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C0D22" w14:textId="450AFD11" w:rsidR="007C1978" w:rsidRDefault="007C1978" w:rsidP="007C1978">
      <w:pPr>
        <w:pStyle w:val="NoSpacing"/>
        <w:rPr>
          <w:b/>
          <w:bCs/>
        </w:rPr>
      </w:pPr>
      <w:r w:rsidRPr="003D0B04">
        <w:rPr>
          <w:b/>
          <w:bCs/>
        </w:rPr>
        <w:t xml:space="preserve">Changes in Electricity Load Profiles Under </w:t>
      </w:r>
      <w:r w:rsidR="007E5B9C" w:rsidRPr="003D0B04">
        <w:rPr>
          <w:b/>
          <w:bCs/>
        </w:rPr>
        <w:t xml:space="preserve">COVID-19: </w:t>
      </w:r>
      <w:r w:rsidRPr="003D0B04">
        <w:rPr>
          <w:b/>
          <w:bCs/>
        </w:rPr>
        <w:t>Implications of “The New Normal”</w:t>
      </w:r>
      <w:r w:rsidR="007E5B9C" w:rsidRPr="003D0B04">
        <w:rPr>
          <w:b/>
          <w:bCs/>
        </w:rPr>
        <w:t xml:space="preserve"> for Electricity Demand</w:t>
      </w:r>
    </w:p>
    <w:p w14:paraId="03F846BF" w14:textId="77777777" w:rsidR="00CF4471" w:rsidRPr="00586B85" w:rsidRDefault="00CF4471" w:rsidP="007C1978">
      <w:pPr>
        <w:pStyle w:val="NoSpacing"/>
        <w:rPr>
          <w:b/>
          <w:bCs/>
        </w:rPr>
      </w:pPr>
    </w:p>
    <w:p w14:paraId="2AC0BD40" w14:textId="74C1BF6F" w:rsidR="002F5D7E" w:rsidRDefault="007C1978" w:rsidP="007C1978">
      <w:pPr>
        <w:pStyle w:val="NoSpacing"/>
      </w:pPr>
      <w:r>
        <w:t xml:space="preserve">Casey D. Burleyson, </w:t>
      </w:r>
      <w:r w:rsidR="000E281B">
        <w:t xml:space="preserve">Aowabin Rahman, Jennie S. Rice, </w:t>
      </w:r>
      <w:r>
        <w:t xml:space="preserve">Amanda D. Smith, </w:t>
      </w:r>
      <w:r w:rsidR="000E281B">
        <w:t xml:space="preserve">and </w:t>
      </w:r>
      <w:r>
        <w:t>Nathalie Voisin</w:t>
      </w:r>
    </w:p>
    <w:p w14:paraId="3F29094E" w14:textId="4369184F" w:rsidR="007C1978" w:rsidRDefault="007C1978" w:rsidP="007C1978">
      <w:pPr>
        <w:pStyle w:val="NoSpacing"/>
      </w:pPr>
      <w:r>
        <w:t>Pacific Northwest National Laboratory</w:t>
      </w:r>
    </w:p>
    <w:p w14:paraId="77CB3F89" w14:textId="77777777" w:rsidR="00526676" w:rsidRDefault="00526676" w:rsidP="007C1978">
      <w:pPr>
        <w:pStyle w:val="NoSpacing"/>
      </w:pPr>
    </w:p>
    <w:p w14:paraId="640569D1" w14:textId="5957E641" w:rsidR="007C1978" w:rsidRPr="007C1978" w:rsidRDefault="007C1978" w:rsidP="007C1978">
      <w:pPr>
        <w:pStyle w:val="NoSpacing"/>
        <w:rPr>
          <w:b/>
          <w:bCs/>
        </w:rPr>
      </w:pPr>
      <w:r w:rsidRPr="007C1978">
        <w:rPr>
          <w:b/>
          <w:bCs/>
        </w:rPr>
        <w:t>Abstract</w:t>
      </w:r>
    </w:p>
    <w:p w14:paraId="3EB97541" w14:textId="7B76AC7B" w:rsidR="007C1978" w:rsidRDefault="00D94DE0" w:rsidP="00341216">
      <w:pPr>
        <w:pStyle w:val="NoSpacing"/>
        <w:ind w:firstLine="720"/>
      </w:pPr>
      <w:r w:rsidRPr="00D94DE0">
        <w:t xml:space="preserve">Shelter-in-place orders and school and business closures related to COVID-19 </w:t>
      </w:r>
      <w:r w:rsidR="00B81D70">
        <w:t xml:space="preserve">have </w:t>
      </w:r>
      <w:r w:rsidRPr="00D94DE0">
        <w:t xml:space="preserve">changed the hourly profile of electricity loads in the </w:t>
      </w:r>
      <w:r w:rsidR="00690C46">
        <w:t>U.S</w:t>
      </w:r>
      <w:r w:rsidRPr="00D94DE0">
        <w:t xml:space="preserve">. </w:t>
      </w:r>
      <w:r w:rsidR="00322F5D" w:rsidRPr="00322F5D">
        <w:t xml:space="preserve">Such shifts have significant implications for utilities and grid operators, affecting operational </w:t>
      </w:r>
      <w:r w:rsidR="002478CB">
        <w:t>efficiency</w:t>
      </w:r>
      <w:r w:rsidR="00322F5D" w:rsidRPr="00322F5D">
        <w:t xml:space="preserve"> as well as investment decisions. It is critical to understand if and how these changes may persist as </w:t>
      </w:r>
      <w:r w:rsidR="002478CB">
        <w:t>economies</w:t>
      </w:r>
      <w:r w:rsidR="00322F5D" w:rsidRPr="00322F5D">
        <w:t xml:space="preserve"> gradually reopen. </w:t>
      </w:r>
      <w:r w:rsidRPr="00D94DE0">
        <w:t xml:space="preserve">Using 2 years of observed electricity consumption data from more than 3.8 million residential and non-residential customers from the Commonwealth Edison utility in Illinois, </w:t>
      </w:r>
      <w:r w:rsidR="00690C46">
        <w:t xml:space="preserve">we show that the onset of COVID-19 shifted weekday residential load profiles to closely resemble weekend profiles from previous years. We use this finding to </w:t>
      </w:r>
      <w:r w:rsidR="00B81D70">
        <w:t>estimate</w:t>
      </w:r>
      <w:r w:rsidR="004E1D6D" w:rsidRPr="00D94DE0">
        <w:t xml:space="preserve"> </w:t>
      </w:r>
      <w:r w:rsidRPr="00D94DE0">
        <w:t xml:space="preserve">the </w:t>
      </w:r>
      <w:r w:rsidR="009F1900">
        <w:t xml:space="preserve">potential </w:t>
      </w:r>
      <w:r w:rsidRPr="00D94DE0">
        <w:t xml:space="preserve">impact of </w:t>
      </w:r>
      <w:r w:rsidR="004E1D6D">
        <w:t xml:space="preserve">continued COVID-19-type profiles of electricity use </w:t>
      </w:r>
      <w:r w:rsidRPr="00D94DE0">
        <w:t xml:space="preserve">on </w:t>
      </w:r>
      <w:r w:rsidR="004E1D6D">
        <w:t xml:space="preserve">total </w:t>
      </w:r>
      <w:r w:rsidR="00BF2985">
        <w:t>load</w:t>
      </w:r>
      <w:r w:rsidRPr="00D94DE0">
        <w:t xml:space="preserve"> profiles. We find that </w:t>
      </w:r>
      <w:r w:rsidR="00110BDF">
        <w:t>long-term s</w:t>
      </w:r>
      <w:r w:rsidR="008C6C5C">
        <w:t>tructural</w:t>
      </w:r>
      <w:r w:rsidR="00110BDF">
        <w:t xml:space="preserve"> changes</w:t>
      </w:r>
      <w:r w:rsidR="002478CB">
        <w:t xml:space="preserve"> to the workplace</w:t>
      </w:r>
      <w:r w:rsidR="00110BDF">
        <w:t xml:space="preserve"> like widespread teleworking</w:t>
      </w:r>
      <w:r w:rsidRPr="00D94DE0">
        <w:t xml:space="preserve"> could lead to </w:t>
      </w:r>
      <w:r w:rsidR="00E16773" w:rsidRPr="00D94DE0">
        <w:t>5-7</w:t>
      </w:r>
      <w:r w:rsidR="00E16773">
        <w:t>%</w:t>
      </w:r>
      <w:r w:rsidR="007D284C">
        <w:t xml:space="preserve"> higher</w:t>
      </w:r>
      <w:r w:rsidR="00E16773">
        <w:t xml:space="preserve"> </w:t>
      </w:r>
      <w:r w:rsidRPr="00D94DE0">
        <w:t xml:space="preserve">spring and summertime peak </w:t>
      </w:r>
      <w:r w:rsidR="005833E0">
        <w:t xml:space="preserve">hourly </w:t>
      </w:r>
      <w:r w:rsidRPr="00D94DE0">
        <w:t>loads occurring up to 2.5 hours earlier.</w:t>
      </w:r>
    </w:p>
    <w:p w14:paraId="6BD421E4" w14:textId="77777777" w:rsidR="007C1978" w:rsidRDefault="007C1978" w:rsidP="007C1978">
      <w:pPr>
        <w:pStyle w:val="NoSpacing"/>
      </w:pPr>
    </w:p>
    <w:p w14:paraId="44251B84" w14:textId="686A420D" w:rsidR="007C1978" w:rsidRPr="007C1978" w:rsidRDefault="007C1978" w:rsidP="007C1978">
      <w:pPr>
        <w:pStyle w:val="NoSpacing"/>
        <w:rPr>
          <w:b/>
          <w:bCs/>
        </w:rPr>
      </w:pPr>
      <w:r w:rsidRPr="007C1978">
        <w:rPr>
          <w:b/>
          <w:bCs/>
        </w:rPr>
        <w:t>Introduction</w:t>
      </w:r>
    </w:p>
    <w:p w14:paraId="1C65178C" w14:textId="6251877D" w:rsidR="00D66D04" w:rsidRDefault="00C11C5A" w:rsidP="00C11C5A">
      <w:pPr>
        <w:pStyle w:val="NoSpacing"/>
        <w:ind w:firstLine="720"/>
      </w:pPr>
      <w:r w:rsidRPr="00562CCC">
        <w:t xml:space="preserve">Understanding </w:t>
      </w:r>
      <w:r w:rsidR="00FF2C54">
        <w:t xml:space="preserve">and predicting </w:t>
      </w:r>
      <w:r w:rsidRPr="00562CCC">
        <w:t xml:space="preserve">the </w:t>
      </w:r>
      <w:r>
        <w:t>diurnal</w:t>
      </w:r>
      <w:r w:rsidRPr="00562CCC">
        <w:t xml:space="preserve"> </w:t>
      </w:r>
      <w:r>
        <w:t>profile of electricity demands (also called load)</w:t>
      </w:r>
      <w:r w:rsidRPr="00562CCC">
        <w:t xml:space="preserve"> </w:t>
      </w:r>
      <w:r>
        <w:t>is critical</w:t>
      </w:r>
      <w:r w:rsidRPr="00562CCC">
        <w:t xml:space="preserve"> for planning </w:t>
      </w:r>
      <w:r>
        <w:t xml:space="preserve">economically efficient </w:t>
      </w:r>
      <w:r w:rsidR="00C822C6">
        <w:t xml:space="preserve">electricity </w:t>
      </w:r>
      <w:r>
        <w:t>grid operations</w:t>
      </w:r>
      <w:r w:rsidRPr="00562CCC">
        <w:t>, designing rates, and evaluating policie</w:t>
      </w:r>
      <w:r>
        <w:t>s</w:t>
      </w:r>
      <w:r w:rsidR="000D584C" w:rsidRPr="000D584C">
        <w:rPr>
          <w:b/>
          <w:bCs/>
          <w:vertAlign w:val="superscript"/>
        </w:rPr>
        <w:t>1-4</w:t>
      </w:r>
      <w:r w:rsidR="00AE0132">
        <w:t xml:space="preserve">. </w:t>
      </w:r>
      <w:r w:rsidR="00C822C6">
        <w:t>Grid o</w:t>
      </w:r>
      <w:r>
        <w:t>perators rely on l</w:t>
      </w:r>
      <w:r w:rsidRPr="00562CCC">
        <w:t>oad forecasts</w:t>
      </w:r>
      <w:r>
        <w:t xml:space="preserve"> that</w:t>
      </w:r>
      <w:r w:rsidRPr="00562CCC">
        <w:t xml:space="preserve"> are highly dependent on </w:t>
      </w:r>
      <w:r>
        <w:t>the day of week and time of year</w:t>
      </w:r>
      <w:r w:rsidRPr="00562CCC">
        <w:t xml:space="preserve">, holidays, </w:t>
      </w:r>
      <w:r>
        <w:t xml:space="preserve">and </w:t>
      </w:r>
      <w:r w:rsidRPr="00562CCC">
        <w:t>medium</w:t>
      </w:r>
      <w:r>
        <w:t>-</w:t>
      </w:r>
      <w:r w:rsidRPr="00562CCC">
        <w:t>range weather forecast</w:t>
      </w:r>
      <w:r>
        <w:t>s</w:t>
      </w:r>
      <w:r w:rsidR="001B37AA">
        <w:rPr>
          <w:b/>
          <w:bCs/>
          <w:vertAlign w:val="superscript"/>
        </w:rPr>
        <w:t>3</w:t>
      </w:r>
      <w:r w:rsidRPr="00562CCC">
        <w:t xml:space="preserve">. </w:t>
      </w:r>
      <w:r w:rsidR="003C18E6" w:rsidRPr="00562CCC">
        <w:t xml:space="preserve">While most of the </w:t>
      </w:r>
      <w:r w:rsidR="003C18E6">
        <w:t>l</w:t>
      </w:r>
      <w:r w:rsidR="003C18E6" w:rsidRPr="00562CCC">
        <w:t xml:space="preserve">oad forecast uncertainty at these time scales is typically driven by </w:t>
      </w:r>
      <w:r w:rsidR="00CB33BE">
        <w:t>uncertainty</w:t>
      </w:r>
      <w:r w:rsidR="00CB33BE" w:rsidRPr="00562CCC">
        <w:t xml:space="preserve"> </w:t>
      </w:r>
      <w:r w:rsidR="003C18E6" w:rsidRPr="00562CCC">
        <w:t>in weather forecasting</w:t>
      </w:r>
      <w:r w:rsidR="001B37AA">
        <w:rPr>
          <w:b/>
          <w:bCs/>
          <w:vertAlign w:val="superscript"/>
        </w:rPr>
        <w:t>5-6</w:t>
      </w:r>
      <w:r w:rsidR="003C18E6" w:rsidRPr="00562CCC">
        <w:t xml:space="preserve">, behavioral and economic shifts </w:t>
      </w:r>
      <w:r w:rsidR="003C18E6" w:rsidRPr="00145A92">
        <w:t>during the COVID-19 pandemic and their potential to persist beyond the current crisis are introducing new uncertainties</w:t>
      </w:r>
      <w:r w:rsidR="00844125">
        <w:rPr>
          <w:b/>
          <w:bCs/>
          <w:vertAlign w:val="superscript"/>
        </w:rPr>
        <w:t>7</w:t>
      </w:r>
      <w:r w:rsidR="003C18E6" w:rsidRPr="00145A92">
        <w:t>. S</w:t>
      </w:r>
      <w:r w:rsidR="00F66A0C" w:rsidRPr="00145A92">
        <w:t>helter-in-place measures</w:t>
      </w:r>
      <w:r w:rsidR="00F66A0C">
        <w:t xml:space="preserve"> to limit the viral spread of COVID-19 during the spring of 2020 have disrupted the ways in which people work, teach, worship, and socialize</w:t>
      </w:r>
      <w:r w:rsidR="00631F19">
        <w:t>.</w:t>
      </w:r>
      <w:r w:rsidR="00207697">
        <w:t xml:space="preserve"> </w:t>
      </w:r>
      <w:r w:rsidR="001A3E3F">
        <w:t xml:space="preserve">These disruptions have modified and will continue to modify when, where, and how we use electricity. </w:t>
      </w:r>
      <w:r w:rsidR="001D1701">
        <w:t xml:space="preserve">Even when COVID-19 cases subside, </w:t>
      </w:r>
      <w:r w:rsidR="0004329C">
        <w:t xml:space="preserve">some </w:t>
      </w:r>
      <w:r w:rsidR="00C3373B">
        <w:t xml:space="preserve">COVID-19-induced </w:t>
      </w:r>
      <w:r w:rsidR="001D1701">
        <w:t xml:space="preserve">changes may </w:t>
      </w:r>
      <w:r w:rsidR="0004329C">
        <w:t>continue</w:t>
      </w:r>
      <w:r w:rsidR="00C3373B">
        <w:t>. For example, s</w:t>
      </w:r>
      <w:r w:rsidR="001D1701" w:rsidRPr="004B5EFC">
        <w:t xml:space="preserve">everal large companies </w:t>
      </w:r>
      <w:r w:rsidR="001D1701">
        <w:t xml:space="preserve">in the </w:t>
      </w:r>
      <w:r w:rsidR="00C3373B">
        <w:t>United States (</w:t>
      </w:r>
      <w:r w:rsidR="001D1701">
        <w:t>U.S.</w:t>
      </w:r>
      <w:r w:rsidR="00C3373B">
        <w:t>)</w:t>
      </w:r>
      <w:r w:rsidR="001D1701">
        <w:t xml:space="preserve"> and </w:t>
      </w:r>
      <w:r w:rsidR="00C3373B">
        <w:t>United Kingdom (</w:t>
      </w:r>
      <w:r w:rsidR="001D1701">
        <w:t>U.K.</w:t>
      </w:r>
      <w:r w:rsidR="00C3373B">
        <w:t>)</w:t>
      </w:r>
      <w:r w:rsidR="001D1701">
        <w:t xml:space="preserve"> </w:t>
      </w:r>
      <w:r w:rsidR="001D1701" w:rsidRPr="004B5EFC">
        <w:t>have announced</w:t>
      </w:r>
      <w:r w:rsidR="001D1701" w:rsidRPr="00682714">
        <w:t xml:space="preserve"> plans to allow for widespread permanent </w:t>
      </w:r>
      <w:r w:rsidR="001D1701" w:rsidRPr="00A67458">
        <w:t xml:space="preserve">teleworking even </w:t>
      </w:r>
      <w:r w:rsidR="001D1701" w:rsidRPr="00757A7B">
        <w:t>as they begin to all</w:t>
      </w:r>
      <w:r w:rsidR="001D1701" w:rsidRPr="004B5EFC">
        <w:t>ow employees back into the office</w:t>
      </w:r>
      <w:r w:rsidR="00844125">
        <w:rPr>
          <w:b/>
          <w:bCs/>
          <w:color w:val="000000" w:themeColor="text1"/>
          <w:vertAlign w:val="superscript"/>
        </w:rPr>
        <w:t>8-10</w:t>
      </w:r>
      <w:r w:rsidR="001D1701" w:rsidRPr="004B5EFC">
        <w:t>.</w:t>
      </w:r>
    </w:p>
    <w:p w14:paraId="7BA2C1E1" w14:textId="09D8CDA8" w:rsidR="003C18E6" w:rsidRDefault="003C18E6" w:rsidP="00C11C5A">
      <w:pPr>
        <w:pStyle w:val="NoSpacing"/>
        <w:ind w:firstLine="720"/>
      </w:pPr>
    </w:p>
    <w:p w14:paraId="5D564AAB" w14:textId="59630613" w:rsidR="00BA745F" w:rsidRDefault="00DE4884" w:rsidP="00C11C5A">
      <w:pPr>
        <w:pStyle w:val="NoSpacing"/>
        <w:ind w:firstLine="720"/>
      </w:pPr>
      <w:r>
        <w:t>T</w:t>
      </w:r>
      <w:r w:rsidR="00207697">
        <w:t xml:space="preserve">eleworking and stay-at-home orders </w:t>
      </w:r>
      <w:r w:rsidR="00127BA7">
        <w:t xml:space="preserve">resulting from COVID-19 have </w:t>
      </w:r>
      <w:r w:rsidR="00207697">
        <w:t>caus</w:t>
      </w:r>
      <w:r w:rsidR="00127BA7">
        <w:t>ed</w:t>
      </w:r>
      <w:r w:rsidR="00207697">
        <w:t xml:space="preserve"> increases in residential demands and decreases in commercial and industrial demands</w:t>
      </w:r>
      <w:r w:rsidR="00207697" w:rsidRPr="00605BE8">
        <w:rPr>
          <w:b/>
          <w:bCs/>
          <w:color w:val="000000" w:themeColor="text1"/>
          <w:vertAlign w:val="superscript"/>
        </w:rPr>
        <w:t>1</w:t>
      </w:r>
      <w:r w:rsidR="00C829BF">
        <w:rPr>
          <w:b/>
          <w:bCs/>
          <w:color w:val="000000" w:themeColor="text1"/>
          <w:vertAlign w:val="superscript"/>
        </w:rPr>
        <w:t>1</w:t>
      </w:r>
      <w:r w:rsidR="00207697" w:rsidRPr="00605BE8">
        <w:rPr>
          <w:b/>
          <w:bCs/>
          <w:color w:val="000000" w:themeColor="text1"/>
          <w:vertAlign w:val="superscript"/>
        </w:rPr>
        <w:t>-</w:t>
      </w:r>
      <w:r w:rsidR="00C829BF">
        <w:rPr>
          <w:b/>
          <w:bCs/>
          <w:color w:val="000000" w:themeColor="text1"/>
          <w:vertAlign w:val="superscript"/>
        </w:rPr>
        <w:t>1</w:t>
      </w:r>
      <w:r w:rsidR="00207697" w:rsidRPr="00605BE8">
        <w:rPr>
          <w:b/>
          <w:bCs/>
          <w:color w:val="000000" w:themeColor="text1"/>
          <w:vertAlign w:val="superscript"/>
        </w:rPr>
        <w:t>3</w:t>
      </w:r>
      <w:r w:rsidR="00BA745F">
        <w:t>. In t</w:t>
      </w:r>
      <w:r w:rsidR="00BA745F" w:rsidRPr="000B01FD">
        <w:t xml:space="preserve">he </w:t>
      </w:r>
      <w:r w:rsidR="00C3373B">
        <w:t>U.S.</w:t>
      </w:r>
      <w:r w:rsidR="00BA745F">
        <w:t>, the</w:t>
      </w:r>
      <w:r w:rsidR="00BA745F" w:rsidRPr="000B01FD">
        <w:t xml:space="preserve"> Energy Information Administration (EIA) report</w:t>
      </w:r>
      <w:r w:rsidR="00BA745F">
        <w:t>s</w:t>
      </w:r>
      <w:r w:rsidR="00BA745F" w:rsidRPr="000B01FD">
        <w:t xml:space="preserve"> that residential electricity sales were 6% higher in April 2020 than in any April of the five previous year</w:t>
      </w:r>
      <w:r w:rsidR="00BA745F">
        <w:t>s while c</w:t>
      </w:r>
      <w:r w:rsidR="00BA745F" w:rsidRPr="000B01FD">
        <w:t>ommercial and industrial sales decreased by 9% and 10%, respectively</w:t>
      </w:r>
      <w:r w:rsidR="009B2C20">
        <w:rPr>
          <w:b/>
          <w:bCs/>
          <w:vertAlign w:val="superscript"/>
        </w:rPr>
        <w:t>13</w:t>
      </w:r>
      <w:r w:rsidR="00BA745F" w:rsidRPr="000B01FD">
        <w:t>.</w:t>
      </w:r>
      <w:r w:rsidR="00BA745F">
        <w:t xml:space="preserve"> A blog post from the New York Independent System Operator (NYISO) reported later-than-normal morning peaks, higher midday residential energy use, and temporal patterns similar to “</w:t>
      </w:r>
      <w:r w:rsidR="00BA745F" w:rsidRPr="009B438F">
        <w:rPr>
          <w:i/>
          <w:iCs/>
        </w:rPr>
        <w:t>a widespread snow day</w:t>
      </w:r>
      <w:r w:rsidR="00BA745F">
        <w:t>”</w:t>
      </w:r>
      <w:r w:rsidR="009B2C20">
        <w:rPr>
          <w:b/>
          <w:bCs/>
          <w:vertAlign w:val="superscript"/>
        </w:rPr>
        <w:t>7</w:t>
      </w:r>
      <w:r w:rsidR="00BA745F">
        <w:t>.</w:t>
      </w:r>
      <w:r w:rsidR="00BA745F" w:rsidRPr="00BA745F">
        <w:t xml:space="preserve"> </w:t>
      </w:r>
      <w:r w:rsidR="00BA745F">
        <w:t xml:space="preserve">A comparison of electricity demand profiles across Europe during the </w:t>
      </w:r>
      <w:r w:rsidR="00581508">
        <w:t>second week of April 2020</w:t>
      </w:r>
      <w:r w:rsidR="00BA745F">
        <w:t xml:space="preserve"> showed that total weekday electricity consumption was considerably reduced in </w:t>
      </w:r>
      <w:r w:rsidR="006028B6">
        <w:t>countries that instituted</w:t>
      </w:r>
      <w:r w:rsidR="00145A92">
        <w:t xml:space="preserve"> COVID-</w:t>
      </w:r>
      <w:r w:rsidR="00145A92">
        <w:lastRenderedPageBreak/>
        <w:t xml:space="preserve">19 </w:t>
      </w:r>
      <w:r w:rsidR="006028B6">
        <w:t xml:space="preserve">containment measures </w:t>
      </w:r>
      <w:r w:rsidR="00BA745F">
        <w:t>and that the weekday hourly profiles resembled pre-pandemic weekend profiles</w:t>
      </w:r>
      <w:r w:rsidR="003116B0" w:rsidRPr="003116B0">
        <w:rPr>
          <w:b/>
          <w:bCs/>
          <w:vertAlign w:val="superscript"/>
        </w:rPr>
        <w:t>14</w:t>
      </w:r>
      <w:r w:rsidR="00BA745F">
        <w:t>.</w:t>
      </w:r>
      <w:r w:rsidR="00F432EF">
        <w:t xml:space="preserve"> </w:t>
      </w:r>
      <w:r w:rsidR="00C3373B">
        <w:t>H</w:t>
      </w:r>
      <w:r w:rsidR="00F432EF">
        <w:t xml:space="preserve">owever, these studies </w:t>
      </w:r>
      <w:r w:rsidR="008B034B">
        <w:t>include</w:t>
      </w:r>
      <w:r w:rsidR="00F432EF">
        <w:t xml:space="preserve"> only qualitative discussion</w:t>
      </w:r>
      <w:r w:rsidR="008B034B">
        <w:t>s</w:t>
      </w:r>
      <w:r w:rsidR="00F432EF">
        <w:t xml:space="preserve"> of “probable” impacts by customer class (residential vs</w:t>
      </w:r>
      <w:r w:rsidR="008B034B">
        <w:t>.</w:t>
      </w:r>
      <w:r w:rsidR="00F432EF">
        <w:t xml:space="preserve"> commercial) and </w:t>
      </w:r>
      <w:r w:rsidR="0004329C">
        <w:t>do not</w:t>
      </w:r>
      <w:r w:rsidR="006028B6">
        <w:t xml:space="preserve"> project</w:t>
      </w:r>
      <w:r w:rsidR="00F432EF">
        <w:t xml:space="preserve"> the potential implications if such changes were to persist.</w:t>
      </w:r>
    </w:p>
    <w:p w14:paraId="663DE797" w14:textId="77777777" w:rsidR="00BA745F" w:rsidRDefault="00BA745F" w:rsidP="00C11C5A">
      <w:pPr>
        <w:pStyle w:val="NoSpacing"/>
        <w:ind w:firstLine="720"/>
      </w:pPr>
    </w:p>
    <w:p w14:paraId="353351FB" w14:textId="13C3978B" w:rsidR="00BA745F" w:rsidRDefault="009F2C23" w:rsidP="008B034B">
      <w:pPr>
        <w:pStyle w:val="NoSpacing"/>
        <w:ind w:firstLine="720"/>
      </w:pPr>
      <w:r>
        <w:t xml:space="preserve">The </w:t>
      </w:r>
      <w:r w:rsidR="00C63ED3">
        <w:t xml:space="preserve">potential for a </w:t>
      </w:r>
      <w:r w:rsidR="00BA745F">
        <w:t xml:space="preserve">“new normal” </w:t>
      </w:r>
      <w:r w:rsidR="00C63ED3">
        <w:t>due to</w:t>
      </w:r>
      <w:r>
        <w:t xml:space="preserve"> </w:t>
      </w:r>
      <w:r w:rsidR="00DA66C6">
        <w:t xml:space="preserve">COVID-19 </w:t>
      </w:r>
      <w:r w:rsidR="00207697">
        <w:t>will create</w:t>
      </w:r>
      <w:r w:rsidR="00DA66C6">
        <w:t xml:space="preserve"> challenge</w:t>
      </w:r>
      <w:r w:rsidR="00BA745F">
        <w:t>s</w:t>
      </w:r>
      <w:r w:rsidR="007B30E8">
        <w:t xml:space="preserve"> in predicting hourly load profiles</w:t>
      </w:r>
      <w:r w:rsidR="00404FC5">
        <w:t xml:space="preserve">. Future profiles will </w:t>
      </w:r>
      <w:r w:rsidR="00C63ED3">
        <w:t xml:space="preserve">need to </w:t>
      </w:r>
      <w:r w:rsidR="00404FC5">
        <w:t xml:space="preserve">reflect societal </w:t>
      </w:r>
      <w:r w:rsidR="00207697">
        <w:t>changes not present in pre-COVID-19 studies</w:t>
      </w:r>
      <w:r w:rsidR="003D22F7">
        <w:t>.</w:t>
      </w:r>
      <w:r w:rsidR="00BA745F">
        <w:t xml:space="preserve"> </w:t>
      </w:r>
      <w:r w:rsidR="00F432EF">
        <w:t>P</w:t>
      </w:r>
      <w:r w:rsidR="00BA745F">
        <w:t xml:space="preserve">rior research </w:t>
      </w:r>
      <w:r w:rsidR="00BA745F" w:rsidRPr="00BA745F">
        <w:t xml:space="preserve">on the energy and climate impacts of teleworking has focused primarily on changes in vehicle distance traveled, with overall energy use </w:t>
      </w:r>
      <w:r w:rsidR="005C7566">
        <w:t xml:space="preserve">being </w:t>
      </w:r>
      <w:r w:rsidR="00BA745F">
        <w:t>a</w:t>
      </w:r>
      <w:r w:rsidR="00BA745F" w:rsidRPr="00BA745F">
        <w:t xml:space="preserve"> secondary focus</w:t>
      </w:r>
      <w:r w:rsidR="003116B0" w:rsidRPr="003116B0">
        <w:rPr>
          <w:b/>
          <w:bCs/>
          <w:vertAlign w:val="superscript"/>
        </w:rPr>
        <w:t>15</w:t>
      </w:r>
      <w:r w:rsidR="00BA745F" w:rsidRPr="00BA745F">
        <w:t xml:space="preserve">. While some pre-COVID-19 studies have addressed the impacts of teleworking on total energy use </w:t>
      </w:r>
      <w:r w:rsidR="00BA745F">
        <w:t>in</w:t>
      </w:r>
      <w:r w:rsidR="00BA745F" w:rsidRPr="00BA745F">
        <w:t xml:space="preserve"> the residential and commercial sectors</w:t>
      </w:r>
      <w:r w:rsidR="004825AF" w:rsidRPr="004825AF">
        <w:rPr>
          <w:b/>
          <w:bCs/>
          <w:vertAlign w:val="superscript"/>
        </w:rPr>
        <w:t>16-17</w:t>
      </w:r>
      <w:r w:rsidR="00421BB7">
        <w:t>, their results were provided at annual time scales</w:t>
      </w:r>
      <w:r w:rsidR="00135A03">
        <w:t xml:space="preserve">. There is a need for new </w:t>
      </w:r>
      <w:r w:rsidR="00BA745F" w:rsidRPr="00BA745F">
        <w:t xml:space="preserve">research investigating the impacts </w:t>
      </w:r>
      <w:r w:rsidR="00135A03">
        <w:t xml:space="preserve">of these changes </w:t>
      </w:r>
      <w:r w:rsidR="00BA745F" w:rsidRPr="00BA745F">
        <w:t>on hourly electricity load profiles by customer class</w:t>
      </w:r>
      <w:r w:rsidR="00AD09A1">
        <w:t xml:space="preserve">. </w:t>
      </w:r>
      <w:r w:rsidR="00C3373B">
        <w:t>Weekday c</w:t>
      </w:r>
      <w:r w:rsidR="00C63ED3">
        <w:t xml:space="preserve">hanges in residential loads have the potential to </w:t>
      </w:r>
      <w:r w:rsidR="00C3373B">
        <w:t xml:space="preserve">significantly </w:t>
      </w:r>
      <w:r w:rsidR="00C63ED3">
        <w:t>change the total load profile.</w:t>
      </w:r>
    </w:p>
    <w:p w14:paraId="6980C027" w14:textId="64173CC3" w:rsidR="00121702" w:rsidRPr="003D0B04" w:rsidRDefault="00121702" w:rsidP="00F432EF">
      <w:pPr>
        <w:pStyle w:val="NoSpacing"/>
        <w:ind w:firstLine="720"/>
      </w:pPr>
    </w:p>
    <w:p w14:paraId="42406EA9" w14:textId="793112E6" w:rsidR="0006389B" w:rsidRDefault="00121702" w:rsidP="00562CCC">
      <w:pPr>
        <w:pStyle w:val="NoSpacing"/>
        <w:ind w:firstLine="720"/>
      </w:pPr>
      <w:r w:rsidRPr="003D0B04">
        <w:t xml:space="preserve">In this analysis, we explore a range of potential scenarios for </w:t>
      </w:r>
      <w:r w:rsidR="00AD09A1">
        <w:t>the</w:t>
      </w:r>
      <w:r w:rsidR="00757A7B">
        <w:t xml:space="preserve"> possible </w:t>
      </w:r>
      <w:r w:rsidRPr="003D0B04">
        <w:t xml:space="preserve">“new normal” </w:t>
      </w:r>
      <w:r w:rsidR="00757A7B">
        <w:t>of persistent shifts in sectoral electricity demands</w:t>
      </w:r>
      <w:r w:rsidR="00343525">
        <w:t xml:space="preserve"> due to COVID-19 </w:t>
      </w:r>
      <w:r w:rsidR="00F55C14">
        <w:t xml:space="preserve">containment </w:t>
      </w:r>
      <w:r w:rsidR="00145A92">
        <w:t>measures</w:t>
      </w:r>
      <w:r w:rsidR="00757A7B">
        <w:t xml:space="preserve">. </w:t>
      </w:r>
      <w:r w:rsidR="0006389B" w:rsidRPr="0006389B">
        <w:t xml:space="preserve">Our analysis takes advantage of one of the few publicly available datasets of hourly demands </w:t>
      </w:r>
      <w:r w:rsidR="00CB33BE">
        <w:t>that</w:t>
      </w:r>
      <w:r w:rsidR="00CB33BE" w:rsidRPr="0006389B">
        <w:t xml:space="preserve"> </w:t>
      </w:r>
      <w:r w:rsidR="0006389B" w:rsidRPr="0006389B">
        <w:t>resolves residential loads separately from non-residential loads</w:t>
      </w:r>
      <w:r w:rsidR="00190586">
        <w:t xml:space="preserve">. </w:t>
      </w:r>
      <w:r w:rsidR="00524094">
        <w:t>The ability to isolate</w:t>
      </w:r>
      <w:r w:rsidR="00190586">
        <w:t xml:space="preserve"> </w:t>
      </w:r>
      <w:r w:rsidR="003149B0">
        <w:t xml:space="preserve">residential from non-residential </w:t>
      </w:r>
      <w:r w:rsidR="00190586">
        <w:t>differences in electricity profiles during COVID</w:t>
      </w:r>
      <w:r w:rsidR="00316844">
        <w:t>-</w:t>
      </w:r>
      <w:r w:rsidR="00190586">
        <w:t>19</w:t>
      </w:r>
      <w:r w:rsidR="00524094">
        <w:t xml:space="preserve"> </w:t>
      </w:r>
      <w:r w:rsidR="003149B0">
        <w:t xml:space="preserve">is </w:t>
      </w:r>
      <w:r w:rsidR="00524094">
        <w:t xml:space="preserve">necessary to </w:t>
      </w:r>
      <w:r w:rsidR="003149B0">
        <w:t>improve</w:t>
      </w:r>
      <w:r w:rsidR="00524094">
        <w:t xml:space="preserve"> hourly load forecast</w:t>
      </w:r>
      <w:r w:rsidR="003149B0">
        <w:t>s</w:t>
      </w:r>
      <w:r w:rsidR="00524094">
        <w:t xml:space="preserve"> at scale</w:t>
      </w:r>
      <w:r w:rsidR="003149B0">
        <w:t>s</w:t>
      </w:r>
      <w:r w:rsidR="00524094">
        <w:t xml:space="preserve"> relevant for</w:t>
      </w:r>
      <w:r w:rsidR="001A3E3F">
        <w:t xml:space="preserve"> electricity system planning and operations.</w:t>
      </w:r>
      <w:r w:rsidR="00524094">
        <w:t xml:space="preserve"> </w:t>
      </w:r>
      <w:r w:rsidR="003149B0">
        <w:t xml:space="preserve">This </w:t>
      </w:r>
      <w:r w:rsidR="00E77FA2">
        <w:t xml:space="preserve">work </w:t>
      </w:r>
      <w:r w:rsidR="003149B0">
        <w:t xml:space="preserve">can </w:t>
      </w:r>
      <w:r w:rsidR="00E77FA2">
        <w:t>aid</w:t>
      </w:r>
      <w:r w:rsidR="00524094">
        <w:t xml:space="preserve"> </w:t>
      </w:r>
      <w:r w:rsidR="001668DD">
        <w:t xml:space="preserve">preparation </w:t>
      </w:r>
      <w:r w:rsidR="003149B0">
        <w:t>for</w:t>
      </w:r>
      <w:r w:rsidR="003149B0" w:rsidRPr="0006389B">
        <w:t xml:space="preserve"> </w:t>
      </w:r>
      <w:r w:rsidR="00190586">
        <w:t xml:space="preserve">a </w:t>
      </w:r>
      <w:r w:rsidR="0006389B" w:rsidRPr="0006389B">
        <w:t xml:space="preserve">“new normal” </w:t>
      </w:r>
      <w:r w:rsidR="003149B0">
        <w:t xml:space="preserve">by illustrating the potential impacts of different reopening </w:t>
      </w:r>
      <w:r w:rsidR="00C3373B">
        <w:t xml:space="preserve">and long-term teleworking </w:t>
      </w:r>
      <w:r w:rsidR="003149B0">
        <w:t>scenarios on</w:t>
      </w:r>
      <w:r w:rsidR="003149B0" w:rsidRPr="0006389B">
        <w:t xml:space="preserve"> </w:t>
      </w:r>
      <w:r w:rsidR="0006389B" w:rsidRPr="0006389B">
        <w:t>residential and non-residential load profiles in future months and years.</w:t>
      </w:r>
    </w:p>
    <w:p w14:paraId="3B4CC685" w14:textId="0B68BD6D" w:rsidR="0024637A" w:rsidRDefault="0024637A" w:rsidP="0024637A">
      <w:pPr>
        <w:pStyle w:val="NoSpacing"/>
      </w:pPr>
    </w:p>
    <w:p w14:paraId="489E6752" w14:textId="77777777" w:rsidR="00A36A12" w:rsidRDefault="00A36A12" w:rsidP="0024637A">
      <w:pPr>
        <w:pStyle w:val="NoSpacing"/>
        <w:rPr>
          <w:b/>
          <w:bCs/>
        </w:rPr>
      </w:pPr>
      <w:r>
        <w:rPr>
          <w:b/>
          <w:bCs/>
        </w:rPr>
        <w:t>Results</w:t>
      </w:r>
    </w:p>
    <w:p w14:paraId="008EA962" w14:textId="77777777" w:rsidR="00A36A12" w:rsidRDefault="00A36A12" w:rsidP="0024637A">
      <w:pPr>
        <w:pStyle w:val="NoSpacing"/>
        <w:rPr>
          <w:b/>
          <w:bCs/>
        </w:rPr>
      </w:pPr>
    </w:p>
    <w:p w14:paraId="13D31EC6" w14:textId="7FEEA075" w:rsidR="0024637A" w:rsidRPr="001A3E3F" w:rsidRDefault="0024637A" w:rsidP="0024637A">
      <w:pPr>
        <w:pStyle w:val="NoSpacing"/>
        <w:rPr>
          <w:u w:val="single"/>
        </w:rPr>
      </w:pPr>
      <w:r w:rsidRPr="001A3E3F">
        <w:rPr>
          <w:u w:val="single"/>
        </w:rPr>
        <w:t xml:space="preserve">Changes in </w:t>
      </w:r>
      <w:r w:rsidR="00757A7B" w:rsidRPr="001A3E3F">
        <w:rPr>
          <w:u w:val="single"/>
        </w:rPr>
        <w:t>Load Profiles</w:t>
      </w:r>
      <w:r w:rsidRPr="001A3E3F">
        <w:rPr>
          <w:u w:val="single"/>
        </w:rPr>
        <w:t xml:space="preserve"> </w:t>
      </w:r>
      <w:r w:rsidR="00081E5D" w:rsidRPr="001A3E3F">
        <w:rPr>
          <w:u w:val="single"/>
        </w:rPr>
        <w:t>D</w:t>
      </w:r>
      <w:r w:rsidRPr="001A3E3F">
        <w:rPr>
          <w:u w:val="single"/>
        </w:rPr>
        <w:t>uring COVID-19</w:t>
      </w:r>
      <w:r w:rsidR="004B5EFC" w:rsidRPr="001A3E3F">
        <w:rPr>
          <w:u w:val="single"/>
        </w:rPr>
        <w:t xml:space="preserve"> Shelter-in-Place Orders</w:t>
      </w:r>
    </w:p>
    <w:p w14:paraId="4C37C1A8" w14:textId="2334E201" w:rsidR="0024637A" w:rsidRDefault="0024637A" w:rsidP="0024637A">
      <w:pPr>
        <w:pStyle w:val="NoSpacing"/>
        <w:ind w:firstLine="720"/>
      </w:pPr>
      <w:r>
        <w:t>We evaluated the past 24 months</w:t>
      </w:r>
      <w:r w:rsidR="00A91143">
        <w:t xml:space="preserve"> (April 2018 through April 2020)</w:t>
      </w:r>
      <w:r>
        <w:t xml:space="preserve"> of 30-minute interval electricity use data for residential and non-residential customers of the</w:t>
      </w:r>
      <w:r w:rsidR="00BC4914">
        <w:t xml:space="preserve"> Commonwealth Edison (</w:t>
      </w:r>
      <w:r>
        <w:t>ComEd</w:t>
      </w:r>
      <w:r w:rsidR="00BC4914">
        <w:t>)</w:t>
      </w:r>
      <w:r>
        <w:t xml:space="preserve"> utility service territory in the </w:t>
      </w:r>
      <w:r w:rsidR="004B5EFC">
        <w:t xml:space="preserve">U.S. </w:t>
      </w:r>
      <w:r>
        <w:t>state of Illinois</w:t>
      </w:r>
      <w:r w:rsidR="0084004B">
        <w:t>. Data was</w:t>
      </w:r>
      <w:r>
        <w:t xml:space="preserve"> obtained through </w:t>
      </w:r>
      <w:r w:rsidR="0084004B">
        <w:t>ComEd’s</w:t>
      </w:r>
      <w:r>
        <w:t xml:space="preserve"> Anonymous Data Servic</w:t>
      </w:r>
      <w:r w:rsidR="00942834">
        <w:t>e</w:t>
      </w:r>
      <w:r w:rsidR="00942834" w:rsidRPr="00605BE8">
        <w:rPr>
          <w:b/>
          <w:bCs/>
          <w:vertAlign w:val="superscript"/>
        </w:rPr>
        <w:t>1</w:t>
      </w:r>
      <w:r w:rsidR="003E007B">
        <w:rPr>
          <w:b/>
          <w:bCs/>
          <w:vertAlign w:val="superscript"/>
        </w:rPr>
        <w:t>8</w:t>
      </w:r>
      <w:r>
        <w:t xml:space="preserve">. </w:t>
      </w:r>
      <w:r w:rsidR="00C2678A">
        <w:t>ComEd</w:t>
      </w:r>
      <w:r>
        <w:t xml:space="preserve"> has </w:t>
      </w:r>
      <w:r w:rsidR="00B81D70">
        <w:t>installed</w:t>
      </w:r>
      <w:r>
        <w:t xml:space="preserve"> millions of smart meters to monitor the electricity use of its customers in 24 Illinois counties</w:t>
      </w:r>
      <w:r w:rsidR="00942834" w:rsidRPr="00605BE8">
        <w:rPr>
          <w:b/>
          <w:bCs/>
          <w:vertAlign w:val="superscript"/>
        </w:rPr>
        <w:t>1</w:t>
      </w:r>
      <w:r w:rsidR="003E007B">
        <w:rPr>
          <w:b/>
          <w:bCs/>
          <w:vertAlign w:val="superscript"/>
        </w:rPr>
        <w:t>9</w:t>
      </w:r>
      <w:r>
        <w:t>.</w:t>
      </w:r>
      <w:r w:rsidR="00607E53" w:rsidRPr="00607E53">
        <w:t xml:space="preserve"> </w:t>
      </w:r>
      <w:r w:rsidR="005D0B37" w:rsidRPr="005D0B37">
        <w:t xml:space="preserve">We use this metered data to explore how shelter-in-place rules </w:t>
      </w:r>
      <w:r w:rsidR="009D5B3A">
        <w:t xml:space="preserve">during March and April </w:t>
      </w:r>
      <w:r w:rsidR="003D0B04">
        <w:t xml:space="preserve">2020 </w:t>
      </w:r>
      <w:r w:rsidR="005D0B37" w:rsidRPr="005D0B37">
        <w:t xml:space="preserve">affected the mean residential </w:t>
      </w:r>
      <w:r w:rsidR="005D0B37">
        <w:t xml:space="preserve">and non-residential </w:t>
      </w:r>
      <w:r w:rsidR="005D0B37" w:rsidRPr="005D0B37">
        <w:t>load profile</w:t>
      </w:r>
      <w:r w:rsidR="005D0B37">
        <w:t>s</w:t>
      </w:r>
      <w:r w:rsidR="005D0B37" w:rsidRPr="005D0B37">
        <w:t>.</w:t>
      </w:r>
    </w:p>
    <w:p w14:paraId="129B4DA5" w14:textId="6AFE68BD" w:rsidR="005D36A2" w:rsidRDefault="005D36A2" w:rsidP="0024637A">
      <w:pPr>
        <w:pStyle w:val="NoSpacing"/>
        <w:ind w:firstLine="720"/>
      </w:pPr>
    </w:p>
    <w:p w14:paraId="74472935" w14:textId="58370E6E" w:rsidR="00B118AF" w:rsidRDefault="009C0833" w:rsidP="00DF017D">
      <w:pPr>
        <w:pStyle w:val="NoSpacing"/>
        <w:ind w:firstLine="720"/>
      </w:pPr>
      <w:r>
        <w:t>A m</w:t>
      </w:r>
      <w:r w:rsidRPr="005D36A2">
        <w:t xml:space="preserve">andatory shelter-in-place </w:t>
      </w:r>
      <w:r>
        <w:t xml:space="preserve">order for the </w:t>
      </w:r>
      <w:r w:rsidR="00AF1DE9">
        <w:t>s</w:t>
      </w:r>
      <w:r>
        <w:t xml:space="preserve">tate of Illinois was issued </w:t>
      </w:r>
      <w:r w:rsidRPr="005D36A2">
        <w:t>on 20-March</w:t>
      </w:r>
      <w:r w:rsidR="00AF1DE9">
        <w:t xml:space="preserve"> 2020</w:t>
      </w:r>
      <w:r w:rsidR="003E007B">
        <w:rPr>
          <w:b/>
          <w:bCs/>
          <w:vertAlign w:val="superscript"/>
        </w:rPr>
        <w:t>20</w:t>
      </w:r>
      <w:r>
        <w:t xml:space="preserve">. </w:t>
      </w:r>
      <w:r w:rsidR="00E064C9" w:rsidRPr="005D36A2">
        <w:t xml:space="preserve">The </w:t>
      </w:r>
      <w:r>
        <w:t xml:space="preserve">impact of this order on electricity demand </w:t>
      </w:r>
      <w:r w:rsidR="009D5B3A">
        <w:t>is evident</w:t>
      </w:r>
      <w:r w:rsidR="009D5B3A" w:rsidRPr="005D36A2">
        <w:t xml:space="preserve"> </w:t>
      </w:r>
      <w:r w:rsidR="00E064C9" w:rsidRPr="005D36A2">
        <w:t xml:space="preserve">in the </w:t>
      </w:r>
      <w:r w:rsidR="000373F9">
        <w:t>daily load profile</w:t>
      </w:r>
      <w:r w:rsidR="00CD51B5">
        <w:t>s</w:t>
      </w:r>
      <w:r w:rsidR="000373F9">
        <w:t xml:space="preserve"> </w:t>
      </w:r>
      <w:r w:rsidR="00CD51B5">
        <w:t>produced from the</w:t>
      </w:r>
      <w:r w:rsidR="000373F9">
        <w:t xml:space="preserve"> </w:t>
      </w:r>
      <w:r w:rsidR="00E064C9" w:rsidRPr="005D36A2">
        <w:t>ComEd data starting the week of 16-March</w:t>
      </w:r>
      <w:r w:rsidR="005D0B37">
        <w:t xml:space="preserve"> 2020</w:t>
      </w:r>
      <w:r w:rsidR="00E064C9" w:rsidRPr="005D36A2">
        <w:t xml:space="preserve"> (Fig. </w:t>
      </w:r>
      <w:r w:rsidR="00BF25B8" w:rsidRPr="00BF25B8">
        <w:rPr>
          <w:color w:val="000000" w:themeColor="text1"/>
        </w:rPr>
        <w:t>1</w:t>
      </w:r>
      <w:r w:rsidR="00C2678A">
        <w:rPr>
          <w:color w:val="000000" w:themeColor="text1"/>
        </w:rPr>
        <w:t>)</w:t>
      </w:r>
      <w:r w:rsidR="003D0B04">
        <w:t>.</w:t>
      </w:r>
      <w:r w:rsidR="005D31D4">
        <w:t xml:space="preserve"> While t</w:t>
      </w:r>
      <w:r w:rsidR="005D31D4" w:rsidRPr="005D36A2">
        <w:t xml:space="preserve">he weekday </w:t>
      </w:r>
      <w:r w:rsidR="005D31D4">
        <w:t xml:space="preserve">load </w:t>
      </w:r>
      <w:r w:rsidR="005D31D4" w:rsidRPr="005D36A2">
        <w:t xml:space="preserve">profile of non-residential customers maintained a </w:t>
      </w:r>
      <w:r>
        <w:t>consistent</w:t>
      </w:r>
      <w:r w:rsidR="005D31D4" w:rsidRPr="005D36A2">
        <w:t xml:space="preserve"> shape</w:t>
      </w:r>
      <w:r w:rsidR="005D31D4">
        <w:t xml:space="preserve"> after the shelter-in-place order</w:t>
      </w:r>
      <w:r w:rsidR="005D31D4" w:rsidRPr="005D36A2">
        <w:t xml:space="preserve">, non-residential electricity consumption was noticeably lower (Fig. </w:t>
      </w:r>
      <w:r w:rsidR="00BF25B8" w:rsidRPr="00BF25B8">
        <w:rPr>
          <w:color w:val="000000" w:themeColor="text1"/>
        </w:rPr>
        <w:t>1</w:t>
      </w:r>
      <w:r w:rsidR="005D31D4" w:rsidRPr="005D36A2">
        <w:t>c</w:t>
      </w:r>
      <w:r w:rsidR="005D31D4">
        <w:t>,f</w:t>
      </w:r>
      <w:r w:rsidR="005D31D4" w:rsidRPr="005D36A2">
        <w:t>). In contrast, the residential weekday load profile showed a dramatic change in shape, with a more gradual morning ramp</w:t>
      </w:r>
      <w:r w:rsidR="00CD51B5">
        <w:t xml:space="preserve">, higher midday loads, and </w:t>
      </w:r>
      <w:r w:rsidR="005D31D4" w:rsidRPr="005D36A2">
        <w:t>a smaller and less steep ramp to the evening peak</w:t>
      </w:r>
      <w:r w:rsidR="005D31D4">
        <w:t xml:space="preserve"> </w:t>
      </w:r>
      <w:r w:rsidR="005D31D4" w:rsidRPr="005D36A2">
        <w:t xml:space="preserve">(Fig. </w:t>
      </w:r>
      <w:r w:rsidR="00BF25B8" w:rsidRPr="00BF25B8">
        <w:rPr>
          <w:color w:val="000000" w:themeColor="text1"/>
        </w:rPr>
        <w:t>1</w:t>
      </w:r>
      <w:r w:rsidR="005D31D4">
        <w:t>b,e</w:t>
      </w:r>
      <w:r w:rsidR="005D31D4" w:rsidRPr="005D36A2">
        <w:t>).</w:t>
      </w:r>
      <w:r w:rsidR="005D31D4">
        <w:t xml:space="preserve"> Weekday residential evening ramps were commonly greater than +1000 MW in a 3-hour </w:t>
      </w:r>
      <w:r w:rsidR="005D31D4">
        <w:lastRenderedPageBreak/>
        <w:t xml:space="preserve">period in February 2020 before COVID-19 </w:t>
      </w:r>
      <w:r w:rsidR="005D31D4" w:rsidRPr="00BA62D2">
        <w:t xml:space="preserve">conditions set in. Weekday residential load profiles after 16-March had ramps that were half as steep. </w:t>
      </w:r>
      <w:r w:rsidR="00AF1DE9">
        <w:t>Total</w:t>
      </w:r>
      <w:r w:rsidR="00CD51B5" w:rsidRPr="003D0B04">
        <w:t xml:space="preserve"> April 2020 weekday </w:t>
      </w:r>
      <w:r w:rsidR="00AF1DE9">
        <w:t>electricity consumption</w:t>
      </w:r>
      <w:r w:rsidR="00CD51B5" w:rsidRPr="003D0B04">
        <w:t xml:space="preserve"> for non-residential customers w</w:t>
      </w:r>
      <w:r w:rsidR="00AF1DE9">
        <w:t>as</w:t>
      </w:r>
      <w:r w:rsidR="00CD51B5" w:rsidRPr="003D0B04">
        <w:t xml:space="preserve"> 16% lower than in April 2019 </w:t>
      </w:r>
      <w:r w:rsidR="00AF1DE9" w:rsidRPr="003D0B04">
        <w:t xml:space="preserve">while </w:t>
      </w:r>
      <w:r w:rsidR="00AF1DE9">
        <w:t>consumption</w:t>
      </w:r>
      <w:r w:rsidR="00AF1DE9" w:rsidRPr="003D0B04">
        <w:t xml:space="preserve"> </w:t>
      </w:r>
      <w:r w:rsidR="00CD51B5" w:rsidRPr="003D0B04">
        <w:t>for residential customers w</w:t>
      </w:r>
      <w:r w:rsidR="00AF1DE9">
        <w:t>as</w:t>
      </w:r>
      <w:r w:rsidR="00CD51B5" w:rsidRPr="003D0B04">
        <w:t xml:space="preserve"> 12% higher</w:t>
      </w:r>
      <w:r w:rsidR="00AF1DE9">
        <w:t>. This is due in part to year-to-year changes in the weather, but also to the wide-ranging impacts of the shelter-in-place order</w:t>
      </w:r>
      <w:r w:rsidR="00CD51B5" w:rsidRPr="003D0B04">
        <w:t>.</w:t>
      </w:r>
      <w:r w:rsidR="00CD51B5">
        <w:t xml:space="preserve"> </w:t>
      </w:r>
      <w:r w:rsidR="00AF1DE9">
        <w:t>C</w:t>
      </w:r>
      <w:r w:rsidR="00337725">
        <w:t>hanges</w:t>
      </w:r>
      <w:r w:rsidR="00AF1DE9">
        <w:t xml:space="preserve"> to the mean residential load profiles</w:t>
      </w:r>
      <w:r w:rsidR="00B1790B" w:rsidRPr="005D36A2">
        <w:t xml:space="preserve"> </w:t>
      </w:r>
      <w:r w:rsidR="00AF1DE9">
        <w:t xml:space="preserve">in April 2020 </w:t>
      </w:r>
      <w:r w:rsidR="00B1790B" w:rsidRPr="005D36A2">
        <w:t xml:space="preserve">are consistent with people not waking up as early, not departing for work </w:t>
      </w:r>
      <w:r w:rsidR="00B1790B" w:rsidRPr="00591A1F">
        <w:rPr>
          <w:i/>
          <w:iCs/>
        </w:rPr>
        <w:t>en masse</w:t>
      </w:r>
      <w:r w:rsidR="00B1790B" w:rsidRPr="005D36A2">
        <w:t xml:space="preserve"> between </w:t>
      </w:r>
      <w:r w:rsidR="00B1790B">
        <w:t>7 am – 8 am</w:t>
      </w:r>
      <w:r w:rsidR="00B1790B" w:rsidRPr="005D36A2">
        <w:t xml:space="preserve">, and </w:t>
      </w:r>
      <w:r w:rsidR="00B1790B">
        <w:t>using electricity at home more consistently throughout the day</w:t>
      </w:r>
      <w:r w:rsidR="00B1790B" w:rsidRPr="005D36A2">
        <w:t>.</w:t>
      </w:r>
    </w:p>
    <w:p w14:paraId="165814FB" w14:textId="02915C09" w:rsidR="0026491B" w:rsidRDefault="0026491B" w:rsidP="0026491B">
      <w:pPr>
        <w:pStyle w:val="NoSpacing"/>
      </w:pPr>
    </w:p>
    <w:p w14:paraId="1D8480D7" w14:textId="59BA53B0" w:rsidR="0026491B" w:rsidRDefault="003D0B04" w:rsidP="0026491B">
      <w:pPr>
        <w:pStyle w:val="NoSpacing"/>
      </w:pPr>
      <w:r>
        <w:rPr>
          <w:noProof/>
        </w:rPr>
        <w:drawing>
          <wp:inline distT="0" distB="0" distL="0" distR="0" wp14:anchorId="5C2973E2" wp14:editId="50707006">
            <wp:extent cx="5943600" cy="3759200"/>
            <wp:effectExtent l="0" t="0" r="0" b="0"/>
            <wp:docPr id="3" name="Picture 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ID_Load_Profiles_C&amp;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759200"/>
                    </a:xfrm>
                    <a:prstGeom prst="rect">
                      <a:avLst/>
                    </a:prstGeom>
                  </pic:spPr>
                </pic:pic>
              </a:graphicData>
            </a:graphic>
          </wp:inline>
        </w:drawing>
      </w:r>
    </w:p>
    <w:p w14:paraId="409CCCD7" w14:textId="77777777" w:rsidR="00A57640" w:rsidRPr="002D5262" w:rsidRDefault="00A57640" w:rsidP="0026491B">
      <w:pPr>
        <w:pStyle w:val="NoSpacing"/>
        <w:rPr>
          <w:i/>
          <w:iCs/>
        </w:rPr>
      </w:pPr>
    </w:p>
    <w:p w14:paraId="2DC6A4E1" w14:textId="0D13AC63" w:rsidR="0026491B" w:rsidRPr="001F4E23" w:rsidRDefault="0026491B" w:rsidP="0026491B">
      <w:pPr>
        <w:pStyle w:val="NoSpacing"/>
        <w:rPr>
          <w:i/>
          <w:iCs/>
        </w:rPr>
      </w:pPr>
      <w:r w:rsidRPr="001F4E23">
        <w:rPr>
          <w:i/>
          <w:iCs/>
        </w:rPr>
        <w:t xml:space="preserve">Fig. </w:t>
      </w:r>
      <w:r w:rsidR="00BF25B8" w:rsidRPr="00BF25B8">
        <w:rPr>
          <w:i/>
          <w:iCs/>
          <w:color w:val="000000" w:themeColor="text1"/>
        </w:rPr>
        <w:t>1</w:t>
      </w:r>
      <w:r w:rsidRPr="001F4E23">
        <w:rPr>
          <w:i/>
          <w:iCs/>
        </w:rPr>
        <w:t>. Week</w:t>
      </w:r>
      <w:r w:rsidR="00F56957">
        <w:rPr>
          <w:i/>
          <w:iCs/>
        </w:rPr>
        <w:t xml:space="preserve">day </w:t>
      </w:r>
      <w:r w:rsidRPr="001F4E23">
        <w:rPr>
          <w:i/>
          <w:iCs/>
        </w:rPr>
        <w:t xml:space="preserve">mean load profiles for all (left), residential (center), and non-residential (right) customers </w:t>
      </w:r>
      <w:r w:rsidR="00CE5223">
        <w:rPr>
          <w:i/>
          <w:iCs/>
        </w:rPr>
        <w:t>by week</w:t>
      </w:r>
      <w:r w:rsidRPr="001F4E23">
        <w:rPr>
          <w:i/>
          <w:iCs/>
        </w:rPr>
        <w:t xml:space="preserve"> from 3-Feb to 30-Apr 2020. The top row shows the absolute values (in MW) while the bottom row normalizes</w:t>
      </w:r>
      <w:r w:rsidR="009D5B3A">
        <w:rPr>
          <w:i/>
          <w:iCs/>
        </w:rPr>
        <w:t xml:space="preserve"> the</w:t>
      </w:r>
      <w:r w:rsidRPr="001F4E23">
        <w:rPr>
          <w:i/>
          <w:iCs/>
        </w:rPr>
        <w:t xml:space="preserve"> values to the </w:t>
      </w:r>
      <w:r w:rsidR="007C6CEE">
        <w:rPr>
          <w:i/>
          <w:iCs/>
        </w:rPr>
        <w:t xml:space="preserve">30-minute mean daily </w:t>
      </w:r>
      <w:r w:rsidRPr="001F4E23">
        <w:rPr>
          <w:i/>
          <w:iCs/>
        </w:rPr>
        <w:t>peak in order to show changes in the shape.</w:t>
      </w:r>
      <w:r w:rsidR="00B81D70">
        <w:rPr>
          <w:i/>
          <w:iCs/>
        </w:rPr>
        <w:t xml:space="preserve"> Shading in this and subsequent figures reflects nominal business hours (9 am – 5 pm).</w:t>
      </w:r>
    </w:p>
    <w:p w14:paraId="39F908FB" w14:textId="77777777" w:rsidR="0084004B" w:rsidRDefault="0084004B" w:rsidP="003D0B04">
      <w:pPr>
        <w:pStyle w:val="NoSpacing"/>
      </w:pPr>
    </w:p>
    <w:p w14:paraId="6FEA4B2A" w14:textId="29384934" w:rsidR="005D36A2" w:rsidRDefault="00E064C9" w:rsidP="0084004B">
      <w:pPr>
        <w:pStyle w:val="NoSpacing"/>
        <w:ind w:firstLine="720"/>
      </w:pPr>
      <w:r>
        <w:t xml:space="preserve">Importantly for our </w:t>
      </w:r>
      <w:r w:rsidR="0084004B">
        <w:t xml:space="preserve">subsequent </w:t>
      </w:r>
      <w:r>
        <w:t>analysis</w:t>
      </w:r>
      <w:r w:rsidR="004B5EFC">
        <w:t xml:space="preserve"> projecting future load profiles</w:t>
      </w:r>
      <w:r>
        <w:t xml:space="preserve">, </w:t>
      </w:r>
      <w:r w:rsidR="00DF017D">
        <w:t>the COVID-19</w:t>
      </w:r>
      <w:r w:rsidR="00DF017D" w:rsidRPr="005D36A2">
        <w:t xml:space="preserve"> </w:t>
      </w:r>
      <w:r w:rsidR="00F550A4">
        <w:t xml:space="preserve">April 2020 residential </w:t>
      </w:r>
      <w:r w:rsidR="003D24F6" w:rsidRPr="003D24F6">
        <w:rPr>
          <w:i/>
          <w:iCs/>
        </w:rPr>
        <w:t xml:space="preserve">weekday </w:t>
      </w:r>
      <w:r w:rsidR="005D36A2" w:rsidRPr="005D36A2">
        <w:t>profile closely resembl</w:t>
      </w:r>
      <w:r w:rsidR="00F550A4">
        <w:t>e</w:t>
      </w:r>
      <w:r w:rsidR="006B3B89">
        <w:t>s</w:t>
      </w:r>
      <w:r w:rsidR="005D36A2" w:rsidRPr="005D36A2">
        <w:t xml:space="preserve"> </w:t>
      </w:r>
      <w:r w:rsidR="006B3B89">
        <w:t xml:space="preserve">the </w:t>
      </w:r>
      <w:r w:rsidR="00F550A4">
        <w:t xml:space="preserve">residential </w:t>
      </w:r>
      <w:r w:rsidR="005D36A2" w:rsidRPr="00526676">
        <w:rPr>
          <w:i/>
          <w:iCs/>
        </w:rPr>
        <w:t>weekend</w:t>
      </w:r>
      <w:r w:rsidR="005D36A2" w:rsidRPr="005D36A2">
        <w:t xml:space="preserve"> load profile</w:t>
      </w:r>
      <w:r w:rsidR="006B3B89">
        <w:t>s</w:t>
      </w:r>
      <w:r w:rsidR="005D36A2" w:rsidRPr="005D36A2">
        <w:t xml:space="preserve"> for </w:t>
      </w:r>
      <w:r w:rsidR="00F550A4">
        <w:t>April</w:t>
      </w:r>
      <w:r w:rsidR="005D36A2" w:rsidRPr="005D36A2">
        <w:t xml:space="preserve"> in 2018 and 2019 (Fig. </w:t>
      </w:r>
      <w:r w:rsidR="00BF25B8" w:rsidRPr="00BF25B8">
        <w:rPr>
          <w:color w:val="000000" w:themeColor="text1"/>
        </w:rPr>
        <w:t>2</w:t>
      </w:r>
      <w:r w:rsidR="00BF25B8">
        <w:t>a</w:t>
      </w:r>
      <w:r w:rsidR="005D36A2" w:rsidRPr="005D36A2">
        <w:t xml:space="preserve">). Figure </w:t>
      </w:r>
      <w:r w:rsidR="00BF25B8" w:rsidRPr="00BF25B8">
        <w:rPr>
          <w:color w:val="000000" w:themeColor="text1"/>
        </w:rPr>
        <w:t xml:space="preserve">3 </w:t>
      </w:r>
      <w:r w:rsidR="005D36A2" w:rsidRPr="005D36A2">
        <w:t xml:space="preserve">shows the correlation by day between the </w:t>
      </w:r>
      <w:r w:rsidR="006B3B89">
        <w:t xml:space="preserve">residential </w:t>
      </w:r>
      <w:r w:rsidR="005D36A2" w:rsidRPr="005D36A2">
        <w:t xml:space="preserve">load profile for a given </w:t>
      </w:r>
      <w:r w:rsidR="00C2678A">
        <w:t>week</w:t>
      </w:r>
      <w:r w:rsidR="005D36A2" w:rsidRPr="005D36A2">
        <w:t>day</w:t>
      </w:r>
      <w:r w:rsidR="003D24F6">
        <w:t xml:space="preserve"> in 2020</w:t>
      </w:r>
      <w:r w:rsidR="005D36A2" w:rsidRPr="005D36A2">
        <w:t xml:space="preserve"> and the mean weekday or weekend</w:t>
      </w:r>
      <w:r w:rsidR="006B3B89">
        <w:t xml:space="preserve"> residential </w:t>
      </w:r>
      <w:r w:rsidR="005D36A2" w:rsidRPr="005D36A2">
        <w:t xml:space="preserve">load profile from </w:t>
      </w:r>
      <w:r w:rsidR="00B96590">
        <w:t xml:space="preserve">the same month in </w:t>
      </w:r>
      <w:r w:rsidR="005D36A2" w:rsidRPr="005D36A2">
        <w:t xml:space="preserve">2019. </w:t>
      </w:r>
      <w:r w:rsidR="00B96590">
        <w:t>T</w:t>
      </w:r>
      <w:r w:rsidR="005D36A2" w:rsidRPr="005D36A2">
        <w:t xml:space="preserve">he correlations shifted sharply </w:t>
      </w:r>
      <w:r w:rsidR="00472395">
        <w:t>the third week in March</w:t>
      </w:r>
      <w:r w:rsidR="00B96590">
        <w:t xml:space="preserve"> s</w:t>
      </w:r>
      <w:r w:rsidR="005D36A2" w:rsidRPr="005D36A2">
        <w:t>uch that the weekday load profiles for residential customers closely resemble typical weekend profiles from the previous year.</w:t>
      </w:r>
      <w:r w:rsidR="00BC4914">
        <w:t xml:space="preserve"> Th</w:t>
      </w:r>
      <w:r w:rsidR="00607E53">
        <w:t>is</w:t>
      </w:r>
      <w:r w:rsidR="00BC4914">
        <w:t xml:space="preserve"> transition to </w:t>
      </w:r>
      <w:r w:rsidR="002D5262">
        <w:t>‘</w:t>
      </w:r>
      <w:r w:rsidR="00BC4914">
        <w:t>perpetual weekend</w:t>
      </w:r>
      <w:r w:rsidR="002D5262">
        <w:t>’</w:t>
      </w:r>
      <w:r w:rsidR="00BC4914">
        <w:t xml:space="preserve"> load </w:t>
      </w:r>
      <w:r w:rsidR="00BC4914">
        <w:lastRenderedPageBreak/>
        <w:t>profiles is consistent with NYISO’s observ</w:t>
      </w:r>
      <w:r w:rsidR="009C5BA2">
        <w:t xml:space="preserve">ation of </w:t>
      </w:r>
      <w:r w:rsidR="00BC4914">
        <w:t xml:space="preserve">load profiles </w:t>
      </w:r>
      <w:r w:rsidR="00B42CFF">
        <w:t>similar to</w:t>
      </w:r>
      <w:r w:rsidR="00BC4914">
        <w:t xml:space="preserve"> “</w:t>
      </w:r>
      <w:r w:rsidR="00BC4914" w:rsidRPr="009B438F">
        <w:rPr>
          <w:i/>
          <w:iCs/>
        </w:rPr>
        <w:t>a widespread snow day</w:t>
      </w:r>
      <w:r w:rsidR="00BC4914">
        <w:t>”</w:t>
      </w:r>
      <w:r w:rsidR="003E007B" w:rsidRPr="003E007B">
        <w:rPr>
          <w:b/>
          <w:bCs/>
          <w:vertAlign w:val="superscript"/>
        </w:rPr>
        <w:t>7</w:t>
      </w:r>
      <w:r w:rsidR="00BC4914">
        <w:t>.</w:t>
      </w:r>
    </w:p>
    <w:p w14:paraId="479ADB6E" w14:textId="4BEFFBCE" w:rsidR="005D36A2" w:rsidRDefault="005D36A2" w:rsidP="005D36A2">
      <w:pPr>
        <w:pStyle w:val="NoSpacing"/>
      </w:pPr>
    </w:p>
    <w:p w14:paraId="509BE354" w14:textId="1780E6E7" w:rsidR="001F4E23" w:rsidRDefault="003D0B04" w:rsidP="001F4E23">
      <w:pPr>
        <w:pStyle w:val="NoSpacing"/>
        <w:jc w:val="center"/>
      </w:pPr>
      <w:r>
        <w:rPr>
          <w:noProof/>
        </w:rPr>
        <w:drawing>
          <wp:inline distT="0" distB="0" distL="0" distR="0" wp14:anchorId="4726F978" wp14:editId="74B71790">
            <wp:extent cx="5943600" cy="2705100"/>
            <wp:effectExtent l="0" t="0" r="0" b="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eekday_Weekend_Profiles_A_C&amp;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p>
    <w:p w14:paraId="57A5CD29" w14:textId="72398AB7" w:rsidR="001F4E23" w:rsidRPr="002D5262" w:rsidRDefault="001F4E23" w:rsidP="005D36A2">
      <w:pPr>
        <w:pStyle w:val="NoSpacing"/>
      </w:pPr>
    </w:p>
    <w:p w14:paraId="248B73A3" w14:textId="126D1ACE" w:rsidR="001F4E23" w:rsidRPr="00EE5F82" w:rsidRDefault="001F4E23" w:rsidP="005D36A2">
      <w:pPr>
        <w:pStyle w:val="NoSpacing"/>
        <w:rPr>
          <w:i/>
          <w:iCs/>
        </w:rPr>
      </w:pPr>
      <w:r w:rsidRPr="00EE5F82">
        <w:rPr>
          <w:i/>
          <w:iCs/>
        </w:rPr>
        <w:t xml:space="preserve">Fig. </w:t>
      </w:r>
      <w:r w:rsidR="00BF25B8" w:rsidRPr="00BF25B8">
        <w:rPr>
          <w:i/>
          <w:iCs/>
          <w:color w:val="000000" w:themeColor="text1"/>
        </w:rPr>
        <w:t>2</w:t>
      </w:r>
      <w:r w:rsidRPr="00EE5F82">
        <w:rPr>
          <w:i/>
          <w:iCs/>
        </w:rPr>
        <w:t>. The diurnal profile of observed mean weekday (solid lines) and weekend (dashed lines) loads in April for residential (top row) and non-residential (bottom row) customers. Diurnal maximum values are indicated by circles.</w:t>
      </w:r>
    </w:p>
    <w:p w14:paraId="65D1B938" w14:textId="39BB8B89" w:rsidR="00CF73F9" w:rsidRDefault="00CF73F9" w:rsidP="005D36A2">
      <w:pPr>
        <w:pStyle w:val="NoSpacing"/>
      </w:pPr>
    </w:p>
    <w:p w14:paraId="6AE4D9B6" w14:textId="66154B89" w:rsidR="00CF73F9" w:rsidRDefault="00CF73F9" w:rsidP="00CF73F9">
      <w:pPr>
        <w:pStyle w:val="NoSpacing"/>
        <w:jc w:val="center"/>
      </w:pPr>
      <w:r>
        <w:rPr>
          <w:noProof/>
        </w:rPr>
        <w:drawing>
          <wp:inline distT="0" distB="0" distL="0" distR="0" wp14:anchorId="7D4C6BBB" wp14:editId="1D20B45A">
            <wp:extent cx="4822798" cy="2854519"/>
            <wp:effectExtent l="0" t="0" r="3810" b="3175"/>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ID_Load_Profile_Correlations_C&amp;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3649" cy="2902373"/>
                    </a:xfrm>
                    <a:prstGeom prst="rect">
                      <a:avLst/>
                    </a:prstGeom>
                  </pic:spPr>
                </pic:pic>
              </a:graphicData>
            </a:graphic>
          </wp:inline>
        </w:drawing>
      </w:r>
    </w:p>
    <w:p w14:paraId="59FFA687" w14:textId="00C7A836" w:rsidR="00CF73F9" w:rsidRPr="002D5262" w:rsidRDefault="00CF73F9" w:rsidP="005D36A2">
      <w:pPr>
        <w:pStyle w:val="NoSpacing"/>
      </w:pPr>
    </w:p>
    <w:p w14:paraId="068CDB0B" w14:textId="34B08621" w:rsidR="00CF73F9" w:rsidRPr="00EE5F82" w:rsidRDefault="00CF73F9" w:rsidP="005D36A2">
      <w:pPr>
        <w:pStyle w:val="NoSpacing"/>
        <w:rPr>
          <w:i/>
          <w:iCs/>
        </w:rPr>
      </w:pPr>
      <w:r w:rsidRPr="00EE5F82">
        <w:rPr>
          <w:i/>
          <w:iCs/>
        </w:rPr>
        <w:t xml:space="preserve">Fig. </w:t>
      </w:r>
      <w:r w:rsidR="00BF25B8" w:rsidRPr="00BF25B8">
        <w:rPr>
          <w:color w:val="000000" w:themeColor="text1"/>
        </w:rPr>
        <w:t>3</w:t>
      </w:r>
      <w:r w:rsidRPr="00EE5F82">
        <w:rPr>
          <w:i/>
          <w:iCs/>
        </w:rPr>
        <w:t>. Correlation between the residential load profile for a given day in 2020 and the mean weekday (blue) or weekend (red) load profile from the same month in 2019. Lines show the average correlation after a 10-day running mean was applied. Weekends were excluded from the running mean calculation.</w:t>
      </w:r>
    </w:p>
    <w:p w14:paraId="79672F0B" w14:textId="77777777" w:rsidR="001F4E23" w:rsidRDefault="001F4E23" w:rsidP="005D36A2">
      <w:pPr>
        <w:pStyle w:val="NoSpacing"/>
      </w:pPr>
    </w:p>
    <w:p w14:paraId="45CE83AD" w14:textId="1DA49823" w:rsidR="005D36A2" w:rsidRPr="001A3E3F" w:rsidRDefault="005D36A2" w:rsidP="005D36A2">
      <w:pPr>
        <w:pStyle w:val="NoSpacing"/>
        <w:rPr>
          <w:i/>
          <w:iCs/>
          <w:u w:val="single"/>
        </w:rPr>
      </w:pPr>
      <w:r w:rsidRPr="001A3E3F">
        <w:rPr>
          <w:u w:val="single"/>
        </w:rPr>
        <w:lastRenderedPageBreak/>
        <w:t xml:space="preserve">Future Weekday Load Profiles Under </w:t>
      </w:r>
      <w:r w:rsidR="00591A1F" w:rsidRPr="001A3E3F">
        <w:rPr>
          <w:u w:val="single"/>
        </w:rPr>
        <w:t>“The New Normal”</w:t>
      </w:r>
    </w:p>
    <w:p w14:paraId="1E9E517A" w14:textId="6993965B" w:rsidR="005D36A2" w:rsidRDefault="00C00585" w:rsidP="005D36A2">
      <w:pPr>
        <w:pStyle w:val="NoSpacing"/>
        <w:ind w:firstLine="720"/>
        <w:rPr>
          <w:i/>
          <w:iCs/>
        </w:rPr>
      </w:pPr>
      <w:r>
        <w:t>Next</w:t>
      </w:r>
      <w:r w:rsidR="007004F4">
        <w:t>,</w:t>
      </w:r>
      <w:r>
        <w:t xml:space="preserve"> we explore the potential implications for </w:t>
      </w:r>
      <w:r w:rsidR="00827B18">
        <w:t>weekday</w:t>
      </w:r>
      <w:r>
        <w:t xml:space="preserve"> loads</w:t>
      </w:r>
      <w:r w:rsidR="00827B18">
        <w:t xml:space="preserve"> during an entire year</w:t>
      </w:r>
      <w:r>
        <w:t xml:space="preserve"> if the COVID-19-induced changes observed in April 2020 were to persist to varying degrees.</w:t>
      </w:r>
      <w:r w:rsidR="00B654EB" w:rsidRPr="00B654EB">
        <w:t xml:space="preserve"> </w:t>
      </w:r>
      <w:r w:rsidR="007004F4">
        <w:t>F</w:t>
      </w:r>
      <w:r w:rsidR="00B654EB" w:rsidRPr="00B654EB">
        <w:t>or example</w:t>
      </w:r>
      <w:r w:rsidR="00B654EB">
        <w:t>,</w:t>
      </w:r>
      <w:r w:rsidR="00B654EB" w:rsidRPr="00B654EB">
        <w:t xml:space="preserve"> some of the policies and behaviors that drove the changes in load shape </w:t>
      </w:r>
      <w:r w:rsidR="007004F4">
        <w:t>may continue</w:t>
      </w:r>
      <w:r w:rsidR="007004F4" w:rsidRPr="00B654EB">
        <w:t xml:space="preserve"> </w:t>
      </w:r>
      <w:r w:rsidR="000D6AB9">
        <w:t xml:space="preserve">into the summer and fall or permanently as a result of </w:t>
      </w:r>
      <w:r w:rsidR="000D6AB9" w:rsidRPr="00B654EB">
        <w:t xml:space="preserve">long-term structural changes </w:t>
      </w:r>
      <w:r w:rsidR="000D6AB9">
        <w:t>(e.g., widespread teleworking</w:t>
      </w:r>
      <w:r w:rsidR="000457EB">
        <w:t xml:space="preserve"> or</w:t>
      </w:r>
      <w:r w:rsidR="00DF017D">
        <w:t xml:space="preserve"> higher unemployment</w:t>
      </w:r>
      <w:r w:rsidR="000D6AB9">
        <w:t>)</w:t>
      </w:r>
      <w:r w:rsidR="00B654EB">
        <w:t xml:space="preserve">. </w:t>
      </w:r>
      <w:r w:rsidR="00C2678A" w:rsidRPr="00C2678A">
        <w:t xml:space="preserve">To better understand the potential implications of some of these changes, we conducted an analysis where we applied the observed changes in March and April 2020 to ‘normal’ historical load profiles in our dataset (i.e., </w:t>
      </w:r>
      <w:r w:rsidR="00C2678A">
        <w:t xml:space="preserve">April </w:t>
      </w:r>
      <w:r w:rsidR="00C2678A" w:rsidRPr="00C2678A">
        <w:t xml:space="preserve">2018 through </w:t>
      </w:r>
      <w:r w:rsidR="00C2678A">
        <w:t>April</w:t>
      </w:r>
      <w:r w:rsidR="00C2678A" w:rsidRPr="00C2678A">
        <w:t xml:space="preserve"> 2020)</w:t>
      </w:r>
      <w:r w:rsidR="00B654EB">
        <w:t xml:space="preserve">. </w:t>
      </w:r>
      <w:r w:rsidR="005D36A2">
        <w:t xml:space="preserve">This </w:t>
      </w:r>
      <w:r w:rsidR="000D6AB9">
        <w:t>approach</w:t>
      </w:r>
      <w:r w:rsidR="005D36A2">
        <w:t xml:space="preserve"> is a proxy for predicting what might happen in the coming months if </w:t>
      </w:r>
      <w:r w:rsidR="00966784">
        <w:t>COVID-19-induced changes to the way we work and live persist</w:t>
      </w:r>
      <w:r w:rsidR="005D36A2">
        <w:t xml:space="preserve"> </w:t>
      </w:r>
      <w:r w:rsidR="00966784">
        <w:t>into the future</w:t>
      </w:r>
      <w:r w:rsidR="005D36A2">
        <w:t>.</w:t>
      </w:r>
      <w:r w:rsidR="00013BA1">
        <w:t xml:space="preserve"> We </w:t>
      </w:r>
      <w:r w:rsidR="007004F4">
        <w:t xml:space="preserve">perform two sets of sensitivity studies. The first </w:t>
      </w:r>
      <w:r w:rsidR="00827B18">
        <w:t>addresses the</w:t>
      </w:r>
      <w:r w:rsidR="007004F4">
        <w:t xml:space="preserve"> potential</w:t>
      </w:r>
      <w:r w:rsidR="00827B18">
        <w:t xml:space="preserve"> persistence of March and April conditions by evaluating scenarios of</w:t>
      </w:r>
      <w:r w:rsidR="007004F4">
        <w:t xml:space="preserve"> increasing residential loads and compensatory, decreasing non-residential loads. The second assumes that non-residential loads will return to pre-</w:t>
      </w:r>
      <w:r w:rsidR="00827B18">
        <w:t>COVID-19</w:t>
      </w:r>
      <w:r w:rsidR="007004F4">
        <w:t xml:space="preserve"> levels </w:t>
      </w:r>
      <w:r w:rsidR="00A870F6">
        <w:t>as</w:t>
      </w:r>
      <w:r w:rsidR="00827B18">
        <w:t xml:space="preserve"> business</w:t>
      </w:r>
      <w:r w:rsidR="00A870F6">
        <w:t>es</w:t>
      </w:r>
      <w:r w:rsidR="00827B18">
        <w:t xml:space="preserve"> re-open </w:t>
      </w:r>
      <w:r w:rsidR="007004F4">
        <w:t>and focuses on the incremental impact</w:t>
      </w:r>
      <w:r w:rsidR="00A870F6">
        <w:t xml:space="preserve"> on residential and total load profiles</w:t>
      </w:r>
      <w:r w:rsidR="007004F4">
        <w:t xml:space="preserve"> of increasing </w:t>
      </w:r>
      <w:r w:rsidR="00827B18">
        <w:t xml:space="preserve">fractions of residential customers </w:t>
      </w:r>
      <w:r w:rsidR="007004F4">
        <w:t>telework</w:t>
      </w:r>
      <w:r w:rsidR="00827B18">
        <w:t>ing/staying hom</w:t>
      </w:r>
      <w:r w:rsidR="004D4F79">
        <w:t>e</w:t>
      </w:r>
      <w:r w:rsidR="00A870F6">
        <w:t xml:space="preserve"> </w:t>
      </w:r>
      <w:r w:rsidR="00431657">
        <w:t>on weekdays in the future</w:t>
      </w:r>
      <w:r w:rsidR="004D4F79">
        <w:t>.</w:t>
      </w:r>
      <w:r w:rsidR="00B81D70">
        <w:t xml:space="preserve"> For context, h</w:t>
      </w:r>
      <w:r w:rsidR="00B81D70" w:rsidRPr="005D36A2">
        <w:t xml:space="preserve">istorical average weekday and weekend load profiles for ComEd’s residential and non-residential customers are shown for 2019 in Fig. </w:t>
      </w:r>
      <w:r w:rsidR="00B81D70" w:rsidRPr="00BF25B8">
        <w:rPr>
          <w:color w:val="000000" w:themeColor="text1"/>
        </w:rPr>
        <w:t>4</w:t>
      </w:r>
      <w:r w:rsidR="00B81D70">
        <w:rPr>
          <w:i/>
          <w:iCs/>
          <w:color w:val="000000" w:themeColor="text1"/>
        </w:rPr>
        <w:t xml:space="preserve"> </w:t>
      </w:r>
      <w:r w:rsidR="00B81D70" w:rsidRPr="005D36A2">
        <w:t xml:space="preserve">and for years 2018 and 2020 </w:t>
      </w:r>
      <w:r w:rsidR="00B81D70">
        <w:t xml:space="preserve">in Figs. </w:t>
      </w:r>
      <w:r w:rsidR="00B63A19">
        <w:t>S</w:t>
      </w:r>
      <w:r w:rsidR="00B81D70" w:rsidRPr="005F1280">
        <w:rPr>
          <w:color w:val="000000" w:themeColor="text1"/>
        </w:rPr>
        <w:t xml:space="preserve">2 and </w:t>
      </w:r>
      <w:r w:rsidR="00B63A19">
        <w:rPr>
          <w:color w:val="000000" w:themeColor="text1"/>
        </w:rPr>
        <w:t>S</w:t>
      </w:r>
      <w:r w:rsidR="00B81D70" w:rsidRPr="005F1280">
        <w:rPr>
          <w:color w:val="000000" w:themeColor="text1"/>
        </w:rPr>
        <w:t>5</w:t>
      </w:r>
      <w:r w:rsidR="00B63A19">
        <w:rPr>
          <w:color w:val="000000" w:themeColor="text1"/>
        </w:rPr>
        <w:t xml:space="preserve"> in the Supplemental Information (SI)</w:t>
      </w:r>
      <w:r w:rsidR="00B81D70" w:rsidRPr="005D36A2">
        <w:t>.</w:t>
      </w:r>
    </w:p>
    <w:p w14:paraId="43206257" w14:textId="3AA86FB1" w:rsidR="005D36A2" w:rsidRDefault="005D36A2" w:rsidP="005D36A2">
      <w:pPr>
        <w:pStyle w:val="NoSpacing"/>
      </w:pPr>
    </w:p>
    <w:p w14:paraId="487C9078" w14:textId="47906346" w:rsidR="00DE3933" w:rsidRDefault="004C0AC2" w:rsidP="008B3042">
      <w:pPr>
        <w:pStyle w:val="NoSpacing"/>
        <w:ind w:firstLine="720"/>
      </w:pPr>
      <w:r>
        <w:t>B</w:t>
      </w:r>
      <w:r w:rsidRPr="005D36A2">
        <w:t xml:space="preserve">ased on the observed transition </w:t>
      </w:r>
      <w:r w:rsidR="004D4F79">
        <w:t xml:space="preserve">of residential weekday load profiles </w:t>
      </w:r>
      <w:r w:rsidRPr="005D36A2">
        <w:t xml:space="preserve">to </w:t>
      </w:r>
      <w:r w:rsidR="002D5262">
        <w:t>‘</w:t>
      </w:r>
      <w:r w:rsidRPr="005D36A2">
        <w:t>perpetual weekends</w:t>
      </w:r>
      <w:r w:rsidR="002D5262">
        <w:t>’</w:t>
      </w:r>
      <w:r w:rsidRPr="005D36A2">
        <w:t xml:space="preserve"> in March and April 2020 (</w:t>
      </w:r>
      <w:r w:rsidRPr="00BF25B8">
        <w:rPr>
          <w:color w:val="000000" w:themeColor="text1"/>
        </w:rPr>
        <w:t xml:space="preserve">Fig. </w:t>
      </w:r>
      <w:r w:rsidR="00BF25B8" w:rsidRPr="00BF25B8">
        <w:rPr>
          <w:color w:val="000000" w:themeColor="text1"/>
        </w:rPr>
        <w:t>2a</w:t>
      </w:r>
      <w:r w:rsidRPr="00BF25B8">
        <w:rPr>
          <w:color w:val="000000" w:themeColor="text1"/>
        </w:rPr>
        <w:t xml:space="preserve"> and Fig. </w:t>
      </w:r>
      <w:r w:rsidR="00BF25B8" w:rsidRPr="00BF25B8">
        <w:rPr>
          <w:color w:val="000000" w:themeColor="text1"/>
        </w:rPr>
        <w:t>3</w:t>
      </w:r>
      <w:r w:rsidRPr="00BF25B8">
        <w:rPr>
          <w:color w:val="000000" w:themeColor="text1"/>
        </w:rPr>
        <w:t>)</w:t>
      </w:r>
      <w:r>
        <w:t xml:space="preserve">, </w:t>
      </w:r>
      <w:r w:rsidR="005D36A2" w:rsidRPr="005D36A2">
        <w:t>we modified the</w:t>
      </w:r>
      <w:r w:rsidR="00922225">
        <w:t xml:space="preserve"> </w:t>
      </w:r>
      <w:r w:rsidR="004D4F79">
        <w:t>weekday</w:t>
      </w:r>
      <w:r w:rsidR="005D36A2" w:rsidRPr="005D36A2">
        <w:t xml:space="preserve"> </w:t>
      </w:r>
      <w:r w:rsidR="003A6290">
        <w:t>load profile</w:t>
      </w:r>
      <w:r w:rsidR="004D4F79">
        <w:t xml:space="preserve">s </w:t>
      </w:r>
      <w:r w:rsidR="005D36A2" w:rsidRPr="005D36A2">
        <w:t>for residential customers</w:t>
      </w:r>
      <w:r w:rsidR="00922225">
        <w:t xml:space="preserve"> in historical months</w:t>
      </w:r>
      <w:r w:rsidR="005D36A2" w:rsidRPr="005D36A2">
        <w:t xml:space="preserve"> by replacing incrementally larger fractions</w:t>
      </w:r>
      <w:r w:rsidR="00922225">
        <w:t xml:space="preserve"> of their historical mean weekday load profiles</w:t>
      </w:r>
      <w:r w:rsidR="005D36A2" w:rsidRPr="005D36A2">
        <w:t xml:space="preserve"> with their corresponding weekend load profiles from the same month. </w:t>
      </w:r>
      <w:r w:rsidR="00245803">
        <w:t xml:space="preserve">To create </w:t>
      </w:r>
      <w:r w:rsidR="00591A1F">
        <w:t xml:space="preserve">a </w:t>
      </w:r>
      <w:r w:rsidR="00245803">
        <w:t xml:space="preserve">composite </w:t>
      </w:r>
      <w:r w:rsidR="00A13990">
        <w:t xml:space="preserve">historical residential </w:t>
      </w:r>
      <w:r w:rsidR="00245803">
        <w:t>load profile with</w:t>
      </w:r>
      <w:r w:rsidR="00B654EB">
        <w:t>, for example,</w:t>
      </w:r>
      <w:r w:rsidR="00245803">
        <w:t xml:space="preserve"> 10% of residential customers </w:t>
      </w:r>
      <w:r w:rsidR="00A13990">
        <w:t>continuing to stay home</w:t>
      </w:r>
      <w:r w:rsidR="000E5B4C">
        <w:t>,</w:t>
      </w:r>
      <w:r w:rsidR="00245803">
        <w:t xml:space="preserve"> we </w:t>
      </w:r>
      <w:r w:rsidR="000D6AB9">
        <w:t>combine</w:t>
      </w:r>
      <w:r w:rsidR="00245803">
        <w:t xml:space="preserve"> 90% of the observed weekday load profile </w:t>
      </w:r>
      <w:r w:rsidR="000D6AB9">
        <w:t>with</w:t>
      </w:r>
      <w:r w:rsidR="000E5B4C">
        <w:t xml:space="preserve"> </w:t>
      </w:r>
      <w:r w:rsidR="00245803">
        <w:t>10% of the observed weekend profile of the same month.</w:t>
      </w:r>
      <w:r w:rsidR="005D36A2" w:rsidRPr="005D36A2">
        <w:t xml:space="preserve"> </w:t>
      </w:r>
      <w:r w:rsidR="005D0B37">
        <w:t xml:space="preserve">This method </w:t>
      </w:r>
      <w:r w:rsidR="00133D4F">
        <w:t xml:space="preserve">is validated by </w:t>
      </w:r>
      <w:r w:rsidR="00A13990">
        <w:t>applying it to observed data from</w:t>
      </w:r>
      <w:r w:rsidR="00133D4F">
        <w:t xml:space="preserve"> April 2020 when widespread </w:t>
      </w:r>
      <w:r w:rsidR="002D5262">
        <w:t>‘</w:t>
      </w:r>
      <w:r w:rsidR="00133D4F">
        <w:t>perpetual weekends</w:t>
      </w:r>
      <w:r w:rsidR="002D5262">
        <w:t>’</w:t>
      </w:r>
      <w:r w:rsidR="00133D4F">
        <w:t xml:space="preserve"> were already in place. </w:t>
      </w:r>
      <w:r w:rsidR="003A6290">
        <w:t xml:space="preserve">As </w:t>
      </w:r>
      <w:r w:rsidR="004D4F79">
        <w:t>expected</w:t>
      </w:r>
      <w:r w:rsidR="003A6290">
        <w:t>, s</w:t>
      </w:r>
      <w:r w:rsidR="00133D4F">
        <w:t xml:space="preserve">wapping out weekend and weekday </w:t>
      </w:r>
      <w:r w:rsidR="008A32DC">
        <w:t xml:space="preserve">residential </w:t>
      </w:r>
      <w:r w:rsidR="00133D4F">
        <w:t xml:space="preserve">load profiles </w:t>
      </w:r>
      <w:r w:rsidR="008A32DC">
        <w:t>in</w:t>
      </w:r>
      <w:r w:rsidR="005C11E0">
        <w:t xml:space="preserve"> April 2020</w:t>
      </w:r>
      <w:r w:rsidR="00133D4F">
        <w:t xml:space="preserve"> had</w:t>
      </w:r>
      <w:r w:rsidR="004D4F79">
        <w:t xml:space="preserve"> a</w:t>
      </w:r>
      <w:r w:rsidR="00133D4F">
        <w:t xml:space="preserve"> </w:t>
      </w:r>
      <w:r w:rsidR="005C11E0">
        <w:t>negligible</w:t>
      </w:r>
      <w:r w:rsidR="00133D4F">
        <w:t xml:space="preserve"> impact on the </w:t>
      </w:r>
      <w:r w:rsidR="002735BB">
        <w:t xml:space="preserve">total load profile </w:t>
      </w:r>
      <w:r w:rsidR="002E1D3F">
        <w:t xml:space="preserve">because </w:t>
      </w:r>
      <w:r w:rsidR="00826902">
        <w:t>weekday and weekend residential profiles</w:t>
      </w:r>
      <w:r w:rsidR="00F97DA3">
        <w:t xml:space="preserve"> were no longer differentiated</w:t>
      </w:r>
      <w:r w:rsidR="00B81D70">
        <w:t xml:space="preserve"> (Fig. </w:t>
      </w:r>
      <w:r w:rsidR="00B63A19">
        <w:t>S</w:t>
      </w:r>
      <w:r w:rsidR="00B81D70" w:rsidRPr="005F1280">
        <w:rPr>
          <w:color w:val="000000" w:themeColor="text1"/>
        </w:rPr>
        <w:t>7</w:t>
      </w:r>
      <w:r w:rsidR="00B81D70">
        <w:t>d</w:t>
      </w:r>
      <w:r w:rsidR="00B63A19">
        <w:t xml:space="preserve"> </w:t>
      </w:r>
      <w:r w:rsidR="00B63A19">
        <w:rPr>
          <w:color w:val="000000" w:themeColor="text1"/>
        </w:rPr>
        <w:t>in the SI</w:t>
      </w:r>
      <w:r w:rsidR="00B81D70">
        <w:t>).</w:t>
      </w:r>
      <w:r w:rsidR="008B3042">
        <w:t xml:space="preserve"> </w:t>
      </w:r>
    </w:p>
    <w:p w14:paraId="5C9215D7" w14:textId="6B5CD230" w:rsidR="00CC3372" w:rsidRDefault="00CC3372" w:rsidP="00CC3372">
      <w:pPr>
        <w:pStyle w:val="NoSpacing"/>
      </w:pPr>
    </w:p>
    <w:p w14:paraId="62F869A8" w14:textId="3B38EEE2" w:rsidR="00CC3372" w:rsidRDefault="000457EB" w:rsidP="00A57640">
      <w:pPr>
        <w:pStyle w:val="NoSpacing"/>
        <w:jc w:val="center"/>
      </w:pPr>
      <w:r>
        <w:rPr>
          <w:noProof/>
        </w:rPr>
        <w:lastRenderedPageBreak/>
        <w:drawing>
          <wp:inline distT="0" distB="0" distL="0" distR="0" wp14:anchorId="12312D92" wp14:editId="7172929B">
            <wp:extent cx="5943600" cy="3848100"/>
            <wp:effectExtent l="0" t="0" r="0" b="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eekday_Weekend_Profiles_by_Month_2019_C&amp;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848100"/>
                    </a:xfrm>
                    <a:prstGeom prst="rect">
                      <a:avLst/>
                    </a:prstGeom>
                  </pic:spPr>
                </pic:pic>
              </a:graphicData>
            </a:graphic>
          </wp:inline>
        </w:drawing>
      </w:r>
    </w:p>
    <w:p w14:paraId="0A5EC7C4" w14:textId="7F73BB6C" w:rsidR="00CC3372" w:rsidRPr="002D5262" w:rsidRDefault="00CC3372" w:rsidP="00CC3372">
      <w:pPr>
        <w:pStyle w:val="NoSpacing"/>
      </w:pPr>
    </w:p>
    <w:p w14:paraId="15EA29AE" w14:textId="2D65B743" w:rsidR="00CC3372" w:rsidRPr="00407451" w:rsidRDefault="00CC3372" w:rsidP="00CC3372">
      <w:pPr>
        <w:pStyle w:val="NoSpacing"/>
        <w:rPr>
          <w:i/>
          <w:iCs/>
        </w:rPr>
      </w:pPr>
      <w:r w:rsidRPr="00407451">
        <w:rPr>
          <w:i/>
          <w:iCs/>
        </w:rPr>
        <w:t xml:space="preserve">Fig. </w:t>
      </w:r>
      <w:r w:rsidR="00BF25B8" w:rsidRPr="00BF25B8">
        <w:rPr>
          <w:i/>
          <w:iCs/>
          <w:color w:val="000000" w:themeColor="text1"/>
        </w:rPr>
        <w:t>4</w:t>
      </w:r>
      <w:r w:rsidRPr="00407451">
        <w:rPr>
          <w:i/>
          <w:iCs/>
        </w:rPr>
        <w:t>. The diurnal profile of observed mean weekday (solid lines) and weekend (dashed lines) loads by month in 2019 for residential (blue lines) and non-residential (red lines) customers. Diurnal maximum values are indicated by circles.</w:t>
      </w:r>
    </w:p>
    <w:p w14:paraId="570D6726" w14:textId="77777777" w:rsidR="00DE3933" w:rsidRDefault="00DE3933" w:rsidP="00A13990">
      <w:pPr>
        <w:pStyle w:val="NoSpacing"/>
        <w:ind w:firstLine="720"/>
      </w:pPr>
    </w:p>
    <w:p w14:paraId="731A26CA" w14:textId="2A4C30D0" w:rsidR="00A13990" w:rsidRDefault="00A13990" w:rsidP="00A13990">
      <w:pPr>
        <w:pStyle w:val="NoSpacing"/>
        <w:ind w:firstLine="720"/>
      </w:pPr>
      <w:r>
        <w:t xml:space="preserve">To simulate a range of possible changes in non-residential loads, </w:t>
      </w:r>
      <w:r w:rsidRPr="00874C7C">
        <w:t xml:space="preserve">we </w:t>
      </w:r>
      <w:r w:rsidR="004D4F79">
        <w:t>decreased the</w:t>
      </w:r>
      <w:r w:rsidRPr="00874C7C">
        <w:t xml:space="preserve"> magnitude of non-residential loads </w:t>
      </w:r>
      <w:r w:rsidR="00FD715F">
        <w:t xml:space="preserve">to represent proportional </w:t>
      </w:r>
      <w:r w:rsidR="009D1515">
        <w:t>decreases in</w:t>
      </w:r>
      <w:r w:rsidR="009D1515" w:rsidRPr="00874C7C">
        <w:t xml:space="preserve"> </w:t>
      </w:r>
      <w:r w:rsidRPr="00874C7C">
        <w:t xml:space="preserve">the number of people </w:t>
      </w:r>
      <w:r>
        <w:t>continuing to stay home</w:t>
      </w:r>
      <w:r w:rsidRPr="00874C7C">
        <w:t xml:space="preserve">. Taking the observed </w:t>
      </w:r>
      <w:r>
        <w:t xml:space="preserve">year-over-year </w:t>
      </w:r>
      <w:r w:rsidR="00EE672F">
        <w:t xml:space="preserve">roughly 15% </w:t>
      </w:r>
      <w:r w:rsidRPr="00874C7C">
        <w:t xml:space="preserve">decrease in non-residential loads observed when virtually </w:t>
      </w:r>
      <w:r>
        <w:t>everyone</w:t>
      </w:r>
      <w:r w:rsidRPr="00874C7C">
        <w:t xml:space="preserve"> in ComEd’s service territory</w:t>
      </w:r>
      <w:r>
        <w:t xml:space="preserve"> </w:t>
      </w:r>
      <w:r w:rsidRPr="00874C7C">
        <w:t>shelter</w:t>
      </w:r>
      <w:r>
        <w:t>ed-</w:t>
      </w:r>
      <w:r w:rsidRPr="00874C7C">
        <w:t>in</w:t>
      </w:r>
      <w:r>
        <w:t>-</w:t>
      </w:r>
      <w:r w:rsidRPr="00874C7C">
        <w:t>place</w:t>
      </w:r>
      <w:r>
        <w:t xml:space="preserve"> in April 2020</w:t>
      </w:r>
      <w:r w:rsidRPr="00874C7C">
        <w:t>, we linearly scaled the non-residential load profiles from -</w:t>
      </w:r>
      <w:r>
        <w:t>15</w:t>
      </w:r>
      <w:r w:rsidRPr="00874C7C">
        <w:t xml:space="preserve">% </w:t>
      </w:r>
      <w:r w:rsidR="00B81D70">
        <w:t>total</w:t>
      </w:r>
      <w:r w:rsidRPr="00874C7C">
        <w:t xml:space="preserve"> </w:t>
      </w:r>
      <w:r>
        <w:t>shelter-in-place conditions</w:t>
      </w:r>
      <w:r w:rsidR="00B81D70">
        <w:t xml:space="preserve"> (100% of residential customers sheltering-in-place)</w:t>
      </w:r>
      <w:r w:rsidRPr="00874C7C">
        <w:t xml:space="preserve"> to no change </w:t>
      </w:r>
      <w:r>
        <w:t xml:space="preserve">in a “business as usual” scenario without COVID-19 (or 0% of residential customers </w:t>
      </w:r>
      <w:r w:rsidR="0047629D">
        <w:t>sheltering-in-place</w:t>
      </w:r>
      <w:r>
        <w:t>)</w:t>
      </w:r>
      <w:r w:rsidRPr="00874C7C">
        <w:t>.</w:t>
      </w:r>
      <w:r>
        <w:t xml:space="preserve"> </w:t>
      </w:r>
      <w:r w:rsidR="00B81D70">
        <w:t xml:space="preserve">The timing of businesses reopening as well as the percentage of people who will return to their normal lives outside of the home during the day and the operating conditions of non-residential buildings are highly uncertain over the coming months. As such, the 15% reduction in non-residential loads and its subsequent impact on total load profiles should likely be taken as an upper-bound. </w:t>
      </w:r>
      <w:r>
        <w:t xml:space="preserve">The scaling approach was applied evenly across all hours of the day to reflect our finding that non-residential loads decreased in magnitude but generally maintained a consistent shape in late March and April 2020 (Fig. </w:t>
      </w:r>
      <w:r w:rsidR="00BF25B8" w:rsidRPr="00BF25B8">
        <w:rPr>
          <w:color w:val="000000" w:themeColor="text1"/>
        </w:rPr>
        <w:t>1</w:t>
      </w:r>
      <w:r>
        <w:t>c,f).</w:t>
      </w:r>
      <w:r w:rsidR="000D6AB9">
        <w:t xml:space="preserve"> More details on this approach are given in the </w:t>
      </w:r>
      <w:r w:rsidR="000D6AB9" w:rsidRPr="005F1280">
        <w:t xml:space="preserve">Methods </w:t>
      </w:r>
      <w:r w:rsidR="000D6AB9">
        <w:t>section.</w:t>
      </w:r>
    </w:p>
    <w:p w14:paraId="6C8FC02B" w14:textId="2287251A" w:rsidR="00A13990" w:rsidRDefault="00A13990" w:rsidP="00A13990">
      <w:pPr>
        <w:pStyle w:val="NoSpacing"/>
        <w:ind w:firstLine="720"/>
      </w:pPr>
    </w:p>
    <w:p w14:paraId="69E377C4" w14:textId="5CBD85AB" w:rsidR="00A13990" w:rsidRDefault="00C2678A" w:rsidP="00A13990">
      <w:pPr>
        <w:pStyle w:val="NoSpacing"/>
        <w:ind w:firstLine="720"/>
      </w:pPr>
      <w:r w:rsidRPr="00C2678A">
        <w:t xml:space="preserve">Figure 5 shows the results from this first sensitivity study for </w:t>
      </w:r>
      <w:r w:rsidR="00B81D70">
        <w:t xml:space="preserve">all twelve months of </w:t>
      </w:r>
      <w:r w:rsidRPr="00C2678A">
        <w:t xml:space="preserve">2019. </w:t>
      </w:r>
      <w:r w:rsidR="00B63A19" w:rsidRPr="00451799">
        <w:t xml:space="preserve">Because non-residential loads make up half or more of the total load in the ComEd service area </w:t>
      </w:r>
      <w:r w:rsidR="00B63A19" w:rsidRPr="00451799">
        <w:lastRenderedPageBreak/>
        <w:t xml:space="preserve">(Fig. </w:t>
      </w:r>
      <w:r w:rsidR="00B63A19">
        <w:t>S</w:t>
      </w:r>
      <w:r w:rsidR="00B63A19" w:rsidRPr="00BF25B8">
        <w:rPr>
          <w:color w:val="000000" w:themeColor="text1"/>
        </w:rPr>
        <w:t>1</w:t>
      </w:r>
      <w:r w:rsidR="00B63A19">
        <w:rPr>
          <w:color w:val="000000" w:themeColor="text1"/>
        </w:rPr>
        <w:t xml:space="preserve"> in the SI)</w:t>
      </w:r>
      <w:r w:rsidR="00B63A19">
        <w:t>,</w:t>
      </w:r>
      <w:r w:rsidR="00B63A19" w:rsidRPr="00451799">
        <w:t xml:space="preserve"> a 15% reduction </w:t>
      </w:r>
      <w:r w:rsidR="00B63A19">
        <w:t>in non-residential loads</w:t>
      </w:r>
      <w:r w:rsidR="00B63A19" w:rsidRPr="00C2678A">
        <w:t xml:space="preserve"> </w:t>
      </w:r>
      <w:r w:rsidRPr="00C2678A">
        <w:t>generally lowered the magnitude of the total loads, but the overall shape of the demand profiles for each month was generally preserved.</w:t>
      </w:r>
      <w:r>
        <w:t xml:space="preserve"> </w:t>
      </w:r>
      <w:r w:rsidR="000D6AB9">
        <w:t>This is consistent with EIA projections</w:t>
      </w:r>
      <w:r w:rsidR="004F09A9" w:rsidRPr="00562CCC">
        <w:t xml:space="preserve"> that </w:t>
      </w:r>
      <w:r w:rsidR="004F09A9">
        <w:t xml:space="preserve">the </w:t>
      </w:r>
      <w:r w:rsidR="004F09A9" w:rsidRPr="00562CCC">
        <w:t xml:space="preserve">U.S. demand for electricity during the summer of 2020 </w:t>
      </w:r>
      <w:r w:rsidR="004F09A9">
        <w:t>may</w:t>
      </w:r>
      <w:r w:rsidR="004F09A9" w:rsidRPr="00562CCC">
        <w:t xml:space="preserve"> be as low as it was in 2009</w:t>
      </w:r>
      <w:r w:rsidR="008D2B03">
        <w:rPr>
          <w:b/>
          <w:bCs/>
          <w:vertAlign w:val="superscript"/>
        </w:rPr>
        <w:t>21</w:t>
      </w:r>
      <w:r w:rsidR="004F09A9" w:rsidRPr="00562CCC">
        <w:t>.</w:t>
      </w:r>
      <w:r w:rsidR="00760305">
        <w:t xml:space="preserve"> </w:t>
      </w:r>
      <w:r w:rsidR="00420A31">
        <w:t>T</w:t>
      </w:r>
      <w:r w:rsidR="00760305">
        <w:t>he timing of the diurnal peak</w:t>
      </w:r>
      <w:r w:rsidR="00420A31">
        <w:t>, while reduced in magnitude,</w:t>
      </w:r>
      <w:r w:rsidR="00760305">
        <w:t xml:space="preserve"> does shift </w:t>
      </w:r>
      <w:r w:rsidR="00787117">
        <w:t xml:space="preserve">earlier </w:t>
      </w:r>
      <w:r w:rsidR="00760305">
        <w:t>by up to 2.5 hours</w:t>
      </w:r>
      <w:r w:rsidR="00B63A19">
        <w:t xml:space="preserve">. </w:t>
      </w:r>
      <w:r w:rsidR="00B63A19" w:rsidRPr="00B63A19">
        <w:t>Our next experiment will show that this shift is associated with changes in the residential load profiles</w:t>
      </w:r>
      <w:r w:rsidR="00760305">
        <w:t>.</w:t>
      </w:r>
    </w:p>
    <w:p w14:paraId="00A3EA26" w14:textId="2B5A5CB8" w:rsidR="00EE5F82" w:rsidRDefault="00EE5F82" w:rsidP="00EE5F82">
      <w:pPr>
        <w:pStyle w:val="NoSpacing"/>
      </w:pPr>
    </w:p>
    <w:p w14:paraId="44A3B910" w14:textId="4213CB6A" w:rsidR="00EE5F82" w:rsidRDefault="000457EB" w:rsidP="00EE5F82">
      <w:pPr>
        <w:pStyle w:val="NoSpacing"/>
        <w:jc w:val="center"/>
      </w:pPr>
      <w:r>
        <w:rPr>
          <w:noProof/>
        </w:rPr>
        <w:drawing>
          <wp:inline distT="0" distB="0" distL="0" distR="0" wp14:anchorId="0C6F737C" wp14:editId="59A07BB0">
            <wp:extent cx="5943600" cy="3848100"/>
            <wp:effectExtent l="0" t="0" r="0" b="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k_From_Home_Scenarios_With_Compensation_2019_C&amp;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848100"/>
                    </a:xfrm>
                    <a:prstGeom prst="rect">
                      <a:avLst/>
                    </a:prstGeom>
                  </pic:spPr>
                </pic:pic>
              </a:graphicData>
            </a:graphic>
          </wp:inline>
        </w:drawing>
      </w:r>
    </w:p>
    <w:p w14:paraId="00AA8F88" w14:textId="047B4C50" w:rsidR="00EE5F82" w:rsidRPr="002D5262" w:rsidRDefault="00EE5F82" w:rsidP="00EE5F82">
      <w:pPr>
        <w:pStyle w:val="NoSpacing"/>
      </w:pPr>
    </w:p>
    <w:p w14:paraId="68844C91" w14:textId="7EAD2D2A" w:rsidR="001F777B" w:rsidRPr="001F777B" w:rsidRDefault="001F777B" w:rsidP="001F777B">
      <w:pPr>
        <w:pStyle w:val="NoSpacing"/>
        <w:rPr>
          <w:i/>
          <w:iCs/>
        </w:rPr>
      </w:pPr>
      <w:r w:rsidRPr="00407451">
        <w:rPr>
          <w:i/>
          <w:iCs/>
        </w:rPr>
        <w:t xml:space="preserve">Fig. </w:t>
      </w:r>
      <w:r w:rsidR="00BF25B8" w:rsidRPr="00BF25B8">
        <w:rPr>
          <w:i/>
          <w:iCs/>
          <w:color w:val="000000" w:themeColor="text1"/>
        </w:rPr>
        <w:t>5</w:t>
      </w:r>
      <w:r w:rsidRPr="00407451">
        <w:rPr>
          <w:i/>
          <w:iCs/>
        </w:rPr>
        <w:t xml:space="preserve">. </w:t>
      </w:r>
      <w:r>
        <w:rPr>
          <w:i/>
          <w:iCs/>
        </w:rPr>
        <w:t>Potential c</w:t>
      </w:r>
      <w:r w:rsidRPr="00407451">
        <w:rPr>
          <w:i/>
          <w:iCs/>
        </w:rPr>
        <w:t xml:space="preserve">hanges in the total </w:t>
      </w:r>
      <w:r w:rsidR="00C2678A">
        <w:rPr>
          <w:i/>
          <w:iCs/>
        </w:rPr>
        <w:t xml:space="preserve">weekday </w:t>
      </w:r>
      <w:r w:rsidRPr="00407451">
        <w:rPr>
          <w:i/>
          <w:iCs/>
        </w:rPr>
        <w:t>load profile by month in 2019 under scenarios in which residential loads were modified to simulate different fractions (line colors) of the population sheltering-in-place and non-residential loads were scaled in proportion to the fraction of the population sheltering-in-place.</w:t>
      </w:r>
      <w:r>
        <w:rPr>
          <w:i/>
          <w:iCs/>
        </w:rPr>
        <w:t xml:space="preserve"> </w:t>
      </w:r>
      <w:r w:rsidRPr="001F777B">
        <w:rPr>
          <w:i/>
          <w:iCs/>
        </w:rPr>
        <w:t xml:space="preserve">Annotations in each panel show how the timing and magnitude of the </w:t>
      </w:r>
      <w:r w:rsidR="000D2958">
        <w:rPr>
          <w:i/>
          <w:iCs/>
        </w:rPr>
        <w:t xml:space="preserve">30-minute </w:t>
      </w:r>
      <w:r w:rsidRPr="001F777B">
        <w:rPr>
          <w:i/>
          <w:iCs/>
        </w:rPr>
        <w:t xml:space="preserve">peak load shifted under 100% </w:t>
      </w:r>
      <w:r>
        <w:rPr>
          <w:i/>
          <w:iCs/>
        </w:rPr>
        <w:t>shelter-in-place</w:t>
      </w:r>
      <w:r w:rsidRPr="001F777B">
        <w:rPr>
          <w:i/>
          <w:iCs/>
        </w:rPr>
        <w:t>.</w:t>
      </w:r>
    </w:p>
    <w:p w14:paraId="70FCEDA8" w14:textId="77777777" w:rsidR="00EE5F82" w:rsidRDefault="00EE5F82" w:rsidP="00EE5F82">
      <w:pPr>
        <w:pStyle w:val="NoSpacing"/>
      </w:pPr>
    </w:p>
    <w:p w14:paraId="724E85C1" w14:textId="4241722A" w:rsidR="002C76AA" w:rsidRDefault="00AB3184" w:rsidP="002C76AA">
      <w:pPr>
        <w:pStyle w:val="NoSpacing"/>
        <w:ind w:firstLine="720"/>
      </w:pPr>
      <w:r>
        <w:t xml:space="preserve">Our final sensitivity experiment explores the potential impact of </w:t>
      </w:r>
      <w:r w:rsidR="00DD3AF0">
        <w:t>widespread teleworking</w:t>
      </w:r>
      <w:r w:rsidR="00787117">
        <w:t xml:space="preserve"> </w:t>
      </w:r>
      <w:r w:rsidR="00B63A19">
        <w:t>continuing to some degree while</w:t>
      </w:r>
      <w:r w:rsidR="00787117">
        <w:t xml:space="preserve"> non-residential electricity consumption return</w:t>
      </w:r>
      <w:r w:rsidR="00B63A19">
        <w:t>s</w:t>
      </w:r>
      <w:r w:rsidR="00787117">
        <w:t xml:space="preserve"> to pre-COVID</w:t>
      </w:r>
      <w:r w:rsidR="008D2B03">
        <w:t>-19</w:t>
      </w:r>
      <w:r w:rsidR="00787117">
        <w:t xml:space="preserve"> conditions. </w:t>
      </w:r>
      <w:r w:rsidR="00D4767B">
        <w:t xml:space="preserve">In other </w:t>
      </w:r>
      <w:r w:rsidR="00321590">
        <w:t>words,</w:t>
      </w:r>
      <w:r w:rsidR="00D4767B">
        <w:t xml:space="preserve"> we are </w:t>
      </w:r>
      <w:r w:rsidR="00B63A19">
        <w:t>exploring a scenario where</w:t>
      </w:r>
      <w:r w:rsidR="00760305">
        <w:t xml:space="preserve"> </w:t>
      </w:r>
      <w:r w:rsidR="00D4767B">
        <w:t>the electricity consumption from business</w:t>
      </w:r>
      <w:r w:rsidR="002C76AA">
        <w:t>es</w:t>
      </w:r>
      <w:r w:rsidR="00D4767B">
        <w:t xml:space="preserve"> and other non-residential buildings will return </w:t>
      </w:r>
      <w:r w:rsidR="00B63A19">
        <w:t xml:space="preserve">roughly </w:t>
      </w:r>
      <w:r w:rsidR="00D4767B">
        <w:t>to their pre-COVID</w:t>
      </w:r>
      <w:r w:rsidR="008D2B03">
        <w:t>-19</w:t>
      </w:r>
      <w:r w:rsidR="00D4767B">
        <w:t xml:space="preserve"> state while some fraction of the workforce </w:t>
      </w:r>
      <w:r w:rsidR="00B63A19">
        <w:t xml:space="preserve">permanently </w:t>
      </w:r>
      <w:r w:rsidR="00D4767B">
        <w:t>transition</w:t>
      </w:r>
      <w:r w:rsidR="00B63A19">
        <w:t>s</w:t>
      </w:r>
      <w:r w:rsidR="00D4767B">
        <w:t xml:space="preserve"> to teleworking and/or distance learning. Different fractions of teleworking were represented</w:t>
      </w:r>
      <w:r w:rsidR="00321590">
        <w:t xml:space="preserve"> using the same methodology as above: </w:t>
      </w:r>
      <w:r w:rsidR="00B63A19">
        <w:t xml:space="preserve">by </w:t>
      </w:r>
      <w:r w:rsidR="00321590">
        <w:t>swapping out fractions of residential customers’ mean weekday profiles with their corresponding weekend profile from the same month.</w:t>
      </w:r>
      <w:r w:rsidR="002C76AA">
        <w:t xml:space="preserve"> </w:t>
      </w:r>
      <w:r w:rsidR="00C2678A" w:rsidRPr="00C2678A">
        <w:t xml:space="preserve">Figure 6 shows our results for 2019. Changes in the timing and magnitude of daily </w:t>
      </w:r>
      <w:r w:rsidR="00C2678A">
        <w:t xml:space="preserve">weekday </w:t>
      </w:r>
      <w:r w:rsidR="00C2678A" w:rsidRPr="00C2678A">
        <w:t xml:space="preserve">peak </w:t>
      </w:r>
      <w:r w:rsidR="00C2678A" w:rsidRPr="00C2678A">
        <w:lastRenderedPageBreak/>
        <w:t xml:space="preserve">electricity loads under 100% teleworking scenarios are annotated in each panel. </w:t>
      </w:r>
      <w:r w:rsidR="005D36A2" w:rsidRPr="005D36A2">
        <w:t xml:space="preserve">Most notable are the increases in </w:t>
      </w:r>
      <w:r w:rsidR="00512892">
        <w:t xml:space="preserve">daily </w:t>
      </w:r>
      <w:r w:rsidR="005D36A2" w:rsidRPr="005D36A2">
        <w:t>peak loads in the spring and summer</w:t>
      </w:r>
      <w:r w:rsidR="000E5B4C">
        <w:t>,</w:t>
      </w:r>
      <w:r w:rsidR="005D36A2" w:rsidRPr="005D36A2">
        <w:t xml:space="preserve"> which ranged from +5.1% in March to +6.8% in April. Critically</w:t>
      </w:r>
      <w:r w:rsidR="002C76AA">
        <w:t>, for electricity operations planning</w:t>
      </w:r>
      <w:r w:rsidR="005D36A2" w:rsidRPr="005D36A2">
        <w:t>, the summer months</w:t>
      </w:r>
      <w:r w:rsidR="00CB33BE">
        <w:t xml:space="preserve"> of</w:t>
      </w:r>
      <w:r w:rsidR="005D36A2" w:rsidRPr="005D36A2">
        <w:t xml:space="preserve"> </w:t>
      </w:r>
      <w:r w:rsidR="00D34895">
        <w:t>June and July</w:t>
      </w:r>
      <w:r w:rsidR="005D36A2" w:rsidRPr="005D36A2">
        <w:t xml:space="preserve"> </w:t>
      </w:r>
      <w:r w:rsidR="009B1DC9">
        <w:t>are projected to have</w:t>
      </w:r>
      <w:r w:rsidR="005D36A2" w:rsidRPr="005D36A2">
        <w:t xml:space="preserve"> </w:t>
      </w:r>
      <w:r w:rsidR="00512892">
        <w:t xml:space="preserve">daily </w:t>
      </w:r>
      <w:r w:rsidR="005D36A2" w:rsidRPr="005D36A2">
        <w:t xml:space="preserve">peak loads that </w:t>
      </w:r>
      <w:r w:rsidR="009B1DC9">
        <w:t>a</w:t>
      </w:r>
      <w:r w:rsidR="005D36A2" w:rsidRPr="005D36A2">
        <w:t xml:space="preserve">re more than 5% higher </w:t>
      </w:r>
      <w:r w:rsidR="005D36A2" w:rsidRPr="00874C7C">
        <w:rPr>
          <w:i/>
          <w:iCs/>
        </w:rPr>
        <w:t>and</w:t>
      </w:r>
      <w:r w:rsidR="005D36A2" w:rsidRPr="005D36A2">
        <w:t xml:space="preserve"> occur 1.5-2.5 hours earlier in the day. </w:t>
      </w:r>
      <w:r w:rsidR="00512892">
        <w:t xml:space="preserve">Changes in </w:t>
      </w:r>
      <w:r w:rsidR="002C76AA">
        <w:t xml:space="preserve">the </w:t>
      </w:r>
      <w:r w:rsidR="00512892">
        <w:t xml:space="preserve">daily peak </w:t>
      </w:r>
      <w:r w:rsidR="005D36A2" w:rsidRPr="005D36A2">
        <w:t>hour in winter, fall, and spring months were less than 1 hour in either direction.</w:t>
      </w:r>
    </w:p>
    <w:p w14:paraId="23337532" w14:textId="77777777" w:rsidR="002C76AA" w:rsidRDefault="002C76AA" w:rsidP="002C76AA">
      <w:pPr>
        <w:pStyle w:val="NoSpacing"/>
        <w:ind w:firstLine="720"/>
      </w:pPr>
    </w:p>
    <w:p w14:paraId="6BFDC459" w14:textId="1E9DDCC3" w:rsidR="00874C7C" w:rsidRDefault="00431C4D" w:rsidP="002C76AA">
      <w:pPr>
        <w:pStyle w:val="NoSpacing"/>
        <w:ind w:firstLine="720"/>
      </w:pPr>
      <w:r>
        <w:t xml:space="preserve">These </w:t>
      </w:r>
      <w:r w:rsidR="00B63A19">
        <w:t xml:space="preserve">projected </w:t>
      </w:r>
      <w:r>
        <w:t xml:space="preserve">changes </w:t>
      </w:r>
      <w:r w:rsidR="002C76AA">
        <w:t xml:space="preserve">in the </w:t>
      </w:r>
      <w:r>
        <w:t xml:space="preserve">timing of the diurnal peak load </w:t>
      </w:r>
      <w:r w:rsidR="00B63A19">
        <w:t xml:space="preserve">under “business as usual but with perpetual teleworking” scenarios </w:t>
      </w:r>
      <w:r>
        <w:t xml:space="preserve">are consistent with the first sensitivity experiment. </w:t>
      </w:r>
      <w:r w:rsidR="001D79DE" w:rsidRPr="001D79DE">
        <w:t xml:space="preserve">The increase in the magnitude of peak loads is due to increased residential electricity usage during the day combined with the return to pre-COVID non-residential demands. </w:t>
      </w:r>
      <w:r w:rsidR="008B3042" w:rsidRPr="005D36A2">
        <w:t xml:space="preserve">While the pattern varies by season, residential loads are generally higher on the weekends during </w:t>
      </w:r>
      <w:r w:rsidR="00512892">
        <w:t>daytime</w:t>
      </w:r>
      <w:r w:rsidR="008B3042" w:rsidRPr="005D36A2">
        <w:t xml:space="preserve"> (9</w:t>
      </w:r>
      <w:r w:rsidR="008B3042">
        <w:t xml:space="preserve"> am – 5 pm</w:t>
      </w:r>
      <w:r w:rsidR="008B3042" w:rsidRPr="005D36A2">
        <w:t>).</w:t>
      </w:r>
      <w:r w:rsidR="008B3042">
        <w:t xml:space="preserve"> </w:t>
      </w:r>
      <w:r w:rsidR="008055E5">
        <w:t>With the shift towards canonical weekend profiles</w:t>
      </w:r>
      <w:r w:rsidR="008B3042">
        <w:t>,</w:t>
      </w:r>
      <w:r w:rsidR="008055E5">
        <w:t xml:space="preserve"> </w:t>
      </w:r>
      <w:r w:rsidR="008B3042">
        <w:t xml:space="preserve">residential loads are increased during the day and </w:t>
      </w:r>
      <w:r w:rsidR="008055E5">
        <w:t xml:space="preserve">align </w:t>
      </w:r>
      <w:r w:rsidR="00727200">
        <w:t>more closely with</w:t>
      </w:r>
      <w:r w:rsidR="000E5B4C">
        <w:t xml:space="preserve"> </w:t>
      </w:r>
      <w:r w:rsidR="009B1DC9">
        <w:t xml:space="preserve">both </w:t>
      </w:r>
      <w:r w:rsidR="008055E5">
        <w:t xml:space="preserve">the </w:t>
      </w:r>
      <w:r w:rsidR="00727200">
        <w:t>typical peak</w:t>
      </w:r>
      <w:r w:rsidR="000E5B4C">
        <w:t xml:space="preserve"> for</w:t>
      </w:r>
      <w:r w:rsidR="00727200">
        <w:t xml:space="preserve"> non-residential deman</w:t>
      </w:r>
      <w:r w:rsidR="00131F1D">
        <w:t>d</w:t>
      </w:r>
      <w:r w:rsidR="009B1DC9">
        <w:t xml:space="preserve"> and </w:t>
      </w:r>
      <w:r w:rsidR="00512892">
        <w:t xml:space="preserve">the availability of </w:t>
      </w:r>
      <w:r w:rsidR="009B1DC9">
        <w:t xml:space="preserve">solar </w:t>
      </w:r>
      <w:r w:rsidR="00512892">
        <w:t>energy</w:t>
      </w:r>
      <w:r w:rsidR="00727200">
        <w:t>.</w:t>
      </w:r>
      <w:r w:rsidR="008A32DC">
        <w:t xml:space="preserve"> Similar patterns were observed </w:t>
      </w:r>
      <w:r w:rsidR="00B63A19">
        <w:t>in 2018</w:t>
      </w:r>
      <w:r w:rsidR="00C957F9">
        <w:t xml:space="preserve"> and</w:t>
      </w:r>
      <w:r w:rsidR="008A32DC">
        <w:t xml:space="preserve"> </w:t>
      </w:r>
      <w:r w:rsidR="00C957F9">
        <w:t>in January and February</w:t>
      </w:r>
      <w:r w:rsidR="008A32DC" w:rsidRPr="008A32DC">
        <w:t xml:space="preserve"> 2020 before widespread shelter-in-place conditions set in</w:t>
      </w:r>
      <w:r w:rsidR="005D36A2" w:rsidRPr="005D36A2">
        <w:t xml:space="preserve"> (</w:t>
      </w:r>
      <w:r w:rsidR="005D36A2" w:rsidRPr="005F1280">
        <w:rPr>
          <w:color w:val="000000" w:themeColor="text1"/>
        </w:rPr>
        <w:t>Fig</w:t>
      </w:r>
      <w:r w:rsidR="005F1280" w:rsidRPr="005F1280">
        <w:rPr>
          <w:color w:val="000000" w:themeColor="text1"/>
        </w:rPr>
        <w:t>s</w:t>
      </w:r>
      <w:r w:rsidR="005D36A2" w:rsidRPr="005F1280">
        <w:rPr>
          <w:color w:val="000000" w:themeColor="text1"/>
        </w:rPr>
        <w:t xml:space="preserve">. </w:t>
      </w:r>
      <w:r w:rsidR="00B63A19">
        <w:rPr>
          <w:color w:val="000000" w:themeColor="text1"/>
        </w:rPr>
        <w:t>S4</w:t>
      </w:r>
      <w:r w:rsidR="00874C7C" w:rsidRPr="005F1280">
        <w:rPr>
          <w:color w:val="000000" w:themeColor="text1"/>
        </w:rPr>
        <w:t xml:space="preserve"> and</w:t>
      </w:r>
      <w:r w:rsidR="008F20A2" w:rsidRPr="005F1280">
        <w:rPr>
          <w:color w:val="000000" w:themeColor="text1"/>
        </w:rPr>
        <w:t xml:space="preserve"> </w:t>
      </w:r>
      <w:r w:rsidR="00B63A19">
        <w:rPr>
          <w:color w:val="000000" w:themeColor="text1"/>
        </w:rPr>
        <w:t>S</w:t>
      </w:r>
      <w:r w:rsidR="005F1280" w:rsidRPr="005F1280">
        <w:rPr>
          <w:color w:val="000000" w:themeColor="text1"/>
        </w:rPr>
        <w:t>7</w:t>
      </w:r>
      <w:r w:rsidR="00B63A19">
        <w:rPr>
          <w:color w:val="000000" w:themeColor="text1"/>
        </w:rPr>
        <w:t xml:space="preserve"> in the SI</w:t>
      </w:r>
      <w:r w:rsidR="005D36A2" w:rsidRPr="005D36A2">
        <w:t>).</w:t>
      </w:r>
    </w:p>
    <w:p w14:paraId="71A81C02" w14:textId="74254248" w:rsidR="0078492A" w:rsidRDefault="0078492A" w:rsidP="0078492A">
      <w:pPr>
        <w:pStyle w:val="NoSpacing"/>
      </w:pPr>
    </w:p>
    <w:p w14:paraId="546CB4C6" w14:textId="70E8BC36" w:rsidR="0078492A" w:rsidRDefault="000457EB" w:rsidP="0078492A">
      <w:pPr>
        <w:pStyle w:val="NoSpacing"/>
      </w:pPr>
      <w:r>
        <w:rPr>
          <w:noProof/>
        </w:rPr>
        <w:drawing>
          <wp:inline distT="0" distB="0" distL="0" distR="0" wp14:anchorId="2B896818" wp14:editId="7FB83F2C">
            <wp:extent cx="5943600" cy="3848100"/>
            <wp:effectExtent l="0" t="0" r="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k_From_Home_Scenarios_2019_C&amp;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848100"/>
                    </a:xfrm>
                    <a:prstGeom prst="rect">
                      <a:avLst/>
                    </a:prstGeom>
                  </pic:spPr>
                </pic:pic>
              </a:graphicData>
            </a:graphic>
          </wp:inline>
        </w:drawing>
      </w:r>
    </w:p>
    <w:p w14:paraId="0F951399" w14:textId="207C1985" w:rsidR="0078492A" w:rsidRPr="002D5262" w:rsidRDefault="0078492A" w:rsidP="0078492A">
      <w:pPr>
        <w:pStyle w:val="NoSpacing"/>
      </w:pPr>
    </w:p>
    <w:p w14:paraId="53EBB5F8" w14:textId="3353336A" w:rsidR="0078492A" w:rsidRPr="001F777B" w:rsidRDefault="0078492A" w:rsidP="0078492A">
      <w:pPr>
        <w:pStyle w:val="NoSpacing"/>
        <w:rPr>
          <w:i/>
          <w:iCs/>
        </w:rPr>
      </w:pPr>
      <w:r w:rsidRPr="001F777B">
        <w:rPr>
          <w:i/>
          <w:iCs/>
        </w:rPr>
        <w:t xml:space="preserve">Fig. </w:t>
      </w:r>
      <w:r w:rsidR="00BF25B8" w:rsidRPr="00BF25B8">
        <w:rPr>
          <w:i/>
          <w:iCs/>
          <w:color w:val="000000" w:themeColor="text1"/>
        </w:rPr>
        <w:t>6</w:t>
      </w:r>
      <w:r w:rsidRPr="00BF25B8">
        <w:rPr>
          <w:i/>
          <w:iCs/>
          <w:color w:val="000000" w:themeColor="text1"/>
        </w:rPr>
        <w:t>.</w:t>
      </w:r>
      <w:r w:rsidRPr="001F777B">
        <w:rPr>
          <w:i/>
          <w:iCs/>
        </w:rPr>
        <w:t xml:space="preserve"> Potential changes in the </w:t>
      </w:r>
      <w:r w:rsidR="00C2678A">
        <w:rPr>
          <w:i/>
          <w:iCs/>
        </w:rPr>
        <w:t xml:space="preserve">weekday </w:t>
      </w:r>
      <w:r w:rsidRPr="001F777B">
        <w:rPr>
          <w:i/>
          <w:iCs/>
        </w:rPr>
        <w:t xml:space="preserve">total load profile by month in 2019 under scenarios in which different fractions of residential customers telework permanently. Annotations in each panel show how the timing and magnitude of the </w:t>
      </w:r>
      <w:r w:rsidR="00E60C42">
        <w:rPr>
          <w:i/>
          <w:iCs/>
        </w:rPr>
        <w:t xml:space="preserve">30-minute </w:t>
      </w:r>
      <w:r w:rsidRPr="001F777B">
        <w:rPr>
          <w:i/>
          <w:iCs/>
        </w:rPr>
        <w:t>peak load shifted under 100% telework.</w:t>
      </w:r>
    </w:p>
    <w:p w14:paraId="1D856E37" w14:textId="54364E99" w:rsidR="00451799" w:rsidRDefault="00451799" w:rsidP="00451799">
      <w:pPr>
        <w:pStyle w:val="NoSpacing"/>
      </w:pPr>
    </w:p>
    <w:p w14:paraId="06974436" w14:textId="7F0E8234" w:rsidR="00874C7C" w:rsidRPr="00874C7C" w:rsidRDefault="00874C7C" w:rsidP="00874C7C">
      <w:pPr>
        <w:pStyle w:val="NoSpacing"/>
        <w:rPr>
          <w:b/>
          <w:bCs/>
        </w:rPr>
      </w:pPr>
      <w:r w:rsidRPr="00874C7C">
        <w:rPr>
          <w:b/>
          <w:bCs/>
        </w:rPr>
        <w:t>Discussion</w:t>
      </w:r>
    </w:p>
    <w:p w14:paraId="37551941" w14:textId="636532FC" w:rsidR="00E539A9" w:rsidRDefault="002E1948" w:rsidP="008706F2">
      <w:pPr>
        <w:ind w:firstLine="720"/>
        <w:rPr>
          <w:rFonts w:ascii="Calibri" w:eastAsia="Times New Roman" w:hAnsi="Calibri" w:cs="Calibri"/>
          <w:strike/>
          <w:color w:val="D13438"/>
          <w:shd w:val="clear" w:color="auto" w:fill="FFFFFF"/>
        </w:rPr>
      </w:pPr>
      <w:r>
        <w:t xml:space="preserve">While some COVID-19-induced changes to the way we work and live </w:t>
      </w:r>
      <w:r w:rsidR="00682714">
        <w:t>are likely to revert to pre-COVID</w:t>
      </w:r>
      <w:r w:rsidR="008D2B03">
        <w:t>-19</w:t>
      </w:r>
      <w:r w:rsidR="00682714">
        <w:t xml:space="preserve"> conditions,</w:t>
      </w:r>
      <w:r>
        <w:t xml:space="preserve"> others like widespread teleworking </w:t>
      </w:r>
      <w:r w:rsidR="005A0FD5">
        <w:t>may</w:t>
      </w:r>
      <w:r>
        <w:t xml:space="preserve"> be permanent fixtures of “the new normal</w:t>
      </w:r>
      <w:r w:rsidR="00682714">
        <w:t>.”</w:t>
      </w:r>
      <w:r>
        <w:t xml:space="preserve"> </w:t>
      </w:r>
      <w:r w:rsidR="002C739A">
        <w:t xml:space="preserve">In addition to showing the potential impact of </w:t>
      </w:r>
      <w:r w:rsidR="005A0FD5">
        <w:t xml:space="preserve">the </w:t>
      </w:r>
      <w:r w:rsidR="002C739A">
        <w:t>gradual relaxation of shelter-in-place restrictions in different months of the year, t</w:t>
      </w:r>
      <w:r w:rsidR="00874C7C">
        <w:t xml:space="preserve">his research demonstrates the potential for </w:t>
      </w:r>
      <w:r w:rsidR="002C739A">
        <w:t>long-term changes like permanent teleworking</w:t>
      </w:r>
      <w:r>
        <w:t xml:space="preserve"> </w:t>
      </w:r>
      <w:r w:rsidR="00874C7C">
        <w:t>to increase total weekday electricity loads during workday hours</w:t>
      </w:r>
      <w:r w:rsidR="009D6B3B">
        <w:t xml:space="preserve">, </w:t>
      </w:r>
      <w:r w:rsidR="00E539A9">
        <w:t xml:space="preserve">to </w:t>
      </w:r>
      <w:r w:rsidR="009D6B3B">
        <w:t xml:space="preserve">shift the timing of </w:t>
      </w:r>
      <w:r w:rsidR="00E539A9">
        <w:t xml:space="preserve">daily </w:t>
      </w:r>
      <w:r w:rsidR="009D6B3B">
        <w:t>peak demand by up to 2.5 hours</w:t>
      </w:r>
      <w:r w:rsidR="00E60C42">
        <w:t xml:space="preserve"> earlier</w:t>
      </w:r>
      <w:r w:rsidR="009D6B3B">
        <w:t>,</w:t>
      </w:r>
      <w:r w:rsidR="00874C7C">
        <w:t xml:space="preserve"> and to reduce the slope and magnitude of the morning and evening ramps. Such changes could have major implications for electricity operations planning.</w:t>
      </w:r>
      <w:r w:rsidR="00591A1F">
        <w:t xml:space="preserve"> </w:t>
      </w:r>
      <w:r w:rsidR="009D6B3B">
        <w:t>As one example, t</w:t>
      </w:r>
      <w:r w:rsidR="00874C7C">
        <w:t>he shape of the pre-COVID residential weekday load profile in the ComEd service area closely follows that of California ISO’s “duck curve”</w:t>
      </w:r>
      <w:r w:rsidR="007B6BF0">
        <w:rPr>
          <w:b/>
          <w:bCs/>
          <w:vertAlign w:val="superscript"/>
        </w:rPr>
        <w:t>22</w:t>
      </w:r>
      <w:r w:rsidR="00526676">
        <w:t>.</w:t>
      </w:r>
      <w:r w:rsidR="00874C7C">
        <w:t xml:space="preserve"> Our analysis shows that the increased daytime loads </w:t>
      </w:r>
      <w:r w:rsidR="009D6B3B">
        <w:t>under extended</w:t>
      </w:r>
      <w:r w:rsidR="00451799">
        <w:t xml:space="preserve"> </w:t>
      </w:r>
      <w:r w:rsidR="00682714">
        <w:t>teleworking/</w:t>
      </w:r>
      <w:r>
        <w:t>stay-at-home</w:t>
      </w:r>
      <w:r w:rsidR="009D6B3B">
        <w:t xml:space="preserve"> scenarios</w:t>
      </w:r>
      <w:r w:rsidR="00451799">
        <w:t xml:space="preserve"> </w:t>
      </w:r>
      <w:r w:rsidR="00874C7C">
        <w:t xml:space="preserve">could be expected to “flatten” the duck curve similar to the shift seen in the ComEd profile during shelter-in-place </w:t>
      </w:r>
      <w:r w:rsidR="00CC3CC2">
        <w:t>conditions</w:t>
      </w:r>
      <w:r w:rsidR="00451799">
        <w:t xml:space="preserve"> in March-April 2020</w:t>
      </w:r>
      <w:r w:rsidR="00CC3CC2">
        <w:t>.</w:t>
      </w:r>
      <w:r w:rsidR="00E539A9">
        <w:t xml:space="preserve"> T</w:t>
      </w:r>
      <w:r w:rsidR="00E539A9" w:rsidRPr="00E539A9">
        <w:rPr>
          <w:rFonts w:ascii="Calibri" w:eastAsia="Times New Roman" w:hAnsi="Calibri" w:cs="Calibri"/>
          <w:color w:val="000000"/>
          <w:shd w:val="clear" w:color="auto" w:fill="FFFFFF"/>
        </w:rPr>
        <w:t>his </w:t>
      </w:r>
      <w:r w:rsidR="00E539A9" w:rsidRPr="00E539A9">
        <w:rPr>
          <w:rFonts w:ascii="Calibri" w:eastAsia="Times New Roman" w:hAnsi="Calibri" w:cs="Calibri"/>
          <w:color w:val="000000" w:themeColor="text1"/>
          <w:shd w:val="clear" w:color="auto" w:fill="FFFFFF"/>
        </w:rPr>
        <w:t>flattened daily net load profile </w:t>
      </w:r>
      <w:r w:rsidR="00A67458">
        <w:rPr>
          <w:rFonts w:ascii="Calibri" w:eastAsia="Times New Roman" w:hAnsi="Calibri" w:cs="Calibri"/>
          <w:color w:val="000000" w:themeColor="text1"/>
          <w:shd w:val="clear" w:color="auto" w:fill="FFFFFF"/>
        </w:rPr>
        <w:t>c</w:t>
      </w:r>
      <w:r w:rsidR="00E539A9" w:rsidRPr="00E539A9">
        <w:rPr>
          <w:rFonts w:ascii="Calibri" w:eastAsia="Times New Roman" w:hAnsi="Calibri" w:cs="Calibri"/>
          <w:color w:val="000000" w:themeColor="text1"/>
          <w:shd w:val="clear" w:color="auto" w:fill="FFFFFF"/>
        </w:rPr>
        <w:t>ould lower ramping needs</w:t>
      </w:r>
      <w:r w:rsidR="00A67458">
        <w:rPr>
          <w:rFonts w:ascii="Calibri" w:eastAsia="Times New Roman" w:hAnsi="Calibri" w:cs="Calibri"/>
          <w:color w:val="000000" w:themeColor="text1"/>
          <w:shd w:val="clear" w:color="auto" w:fill="FFFFFF"/>
        </w:rPr>
        <w:t>,</w:t>
      </w:r>
      <w:r w:rsidR="00E539A9" w:rsidRPr="00E539A9">
        <w:rPr>
          <w:rFonts w:ascii="Calibri" w:eastAsia="Times New Roman" w:hAnsi="Calibri" w:cs="Calibri"/>
          <w:color w:val="000000" w:themeColor="text1"/>
          <w:shd w:val="clear" w:color="auto" w:fill="FFFFFF"/>
        </w:rPr>
        <w:t> reduce oversupply risks</w:t>
      </w:r>
      <w:r w:rsidR="005F4D60" w:rsidRPr="005F4D60">
        <w:rPr>
          <w:rFonts w:ascii="Calibri" w:eastAsia="Times New Roman" w:hAnsi="Calibri" w:cs="Calibri"/>
          <w:b/>
          <w:bCs/>
          <w:color w:val="000000" w:themeColor="text1"/>
          <w:shd w:val="clear" w:color="auto" w:fill="FFFFFF"/>
          <w:vertAlign w:val="superscript"/>
        </w:rPr>
        <w:t>2</w:t>
      </w:r>
      <w:r w:rsidR="00037EEB">
        <w:rPr>
          <w:rFonts w:ascii="Calibri" w:eastAsia="Times New Roman" w:hAnsi="Calibri" w:cs="Calibri"/>
          <w:b/>
          <w:bCs/>
          <w:color w:val="000000" w:themeColor="text1"/>
          <w:shd w:val="clear" w:color="auto" w:fill="FFFFFF"/>
          <w:vertAlign w:val="superscript"/>
        </w:rPr>
        <w:t>3-24</w:t>
      </w:r>
      <w:r w:rsidR="00EF0A00">
        <w:rPr>
          <w:rFonts w:ascii="Calibri" w:eastAsia="Times New Roman" w:hAnsi="Calibri" w:cs="Calibri"/>
          <w:color w:val="000000" w:themeColor="text1"/>
          <w:shd w:val="clear" w:color="auto" w:fill="FFFFFF"/>
        </w:rPr>
        <w:t>,</w:t>
      </w:r>
      <w:r w:rsidR="00E539A9">
        <w:rPr>
          <w:rFonts w:ascii="Calibri" w:eastAsia="Times New Roman" w:hAnsi="Calibri" w:cs="Calibri"/>
          <w:color w:val="000000" w:themeColor="text1"/>
          <w:shd w:val="clear" w:color="auto" w:fill="FFFFFF"/>
        </w:rPr>
        <w:t xml:space="preserve"> and </w:t>
      </w:r>
      <w:r w:rsidR="00E539A9" w:rsidRPr="00E539A9">
        <w:rPr>
          <w:rFonts w:ascii="Calibri" w:eastAsia="Times New Roman" w:hAnsi="Calibri" w:cs="Calibri"/>
          <w:color w:val="000000" w:themeColor="text1"/>
          <w:shd w:val="clear" w:color="auto" w:fill="FFFFFF"/>
        </w:rPr>
        <w:t>change market prices</w:t>
      </w:r>
      <w:r w:rsidR="005F4D60" w:rsidRPr="005F4D60">
        <w:rPr>
          <w:b/>
          <w:bCs/>
          <w:vertAlign w:val="superscript"/>
        </w:rPr>
        <w:t>2</w:t>
      </w:r>
      <w:r w:rsidR="00037EEB">
        <w:rPr>
          <w:b/>
          <w:bCs/>
          <w:vertAlign w:val="superscript"/>
        </w:rPr>
        <w:t>5</w:t>
      </w:r>
      <w:r w:rsidR="00E539A9" w:rsidRPr="00E539A9">
        <w:rPr>
          <w:rFonts w:ascii="Calibri" w:eastAsia="Times New Roman" w:hAnsi="Calibri" w:cs="Calibri"/>
          <w:color w:val="000000" w:themeColor="text1"/>
          <w:shd w:val="clear" w:color="auto" w:fill="FFFFFF"/>
        </w:rPr>
        <w:t>. Such</w:t>
      </w:r>
      <w:r w:rsidR="001A5C4F">
        <w:rPr>
          <w:rFonts w:ascii="Calibri" w:eastAsia="Times New Roman" w:hAnsi="Calibri" w:cs="Calibri"/>
          <w:color w:val="000000" w:themeColor="text1"/>
          <w:shd w:val="clear" w:color="auto" w:fill="FFFFFF"/>
        </w:rPr>
        <w:t xml:space="preserve"> </w:t>
      </w:r>
      <w:r w:rsidR="00E539A9" w:rsidRPr="00E539A9">
        <w:rPr>
          <w:rFonts w:ascii="Calibri" w:eastAsia="Times New Roman" w:hAnsi="Calibri" w:cs="Calibri"/>
          <w:color w:val="000000" w:themeColor="text1"/>
          <w:shd w:val="clear" w:color="auto" w:fill="FFFFFF"/>
        </w:rPr>
        <w:t xml:space="preserve">an impact on </w:t>
      </w:r>
      <w:r w:rsidR="00A67458">
        <w:rPr>
          <w:rFonts w:ascii="Calibri" w:eastAsia="Times New Roman" w:hAnsi="Calibri" w:cs="Calibri"/>
          <w:color w:val="000000" w:themeColor="text1"/>
          <w:shd w:val="clear" w:color="auto" w:fill="FFFFFF"/>
        </w:rPr>
        <w:t>a duck curve</w:t>
      </w:r>
      <w:r w:rsidR="00A67458" w:rsidRPr="00E539A9">
        <w:rPr>
          <w:rFonts w:ascii="Calibri" w:eastAsia="Times New Roman" w:hAnsi="Calibri" w:cs="Calibri"/>
          <w:color w:val="000000" w:themeColor="text1"/>
          <w:shd w:val="clear" w:color="auto" w:fill="FFFFFF"/>
        </w:rPr>
        <w:t xml:space="preserve"> </w:t>
      </w:r>
      <w:r w:rsidR="00E539A9" w:rsidRPr="00E539A9">
        <w:rPr>
          <w:rFonts w:ascii="Calibri" w:eastAsia="Times New Roman" w:hAnsi="Calibri" w:cs="Calibri"/>
          <w:color w:val="000000" w:themeColor="text1"/>
          <w:shd w:val="clear" w:color="auto" w:fill="FFFFFF"/>
        </w:rPr>
        <w:t xml:space="preserve">load shape </w:t>
      </w:r>
      <w:r w:rsidR="00A67458">
        <w:rPr>
          <w:rFonts w:ascii="Calibri" w:eastAsia="Times New Roman" w:hAnsi="Calibri" w:cs="Calibri"/>
          <w:color w:val="000000" w:themeColor="text1"/>
          <w:shd w:val="clear" w:color="auto" w:fill="FFFFFF"/>
        </w:rPr>
        <w:t>was</w:t>
      </w:r>
      <w:r w:rsidR="00E539A9" w:rsidRPr="00E539A9">
        <w:rPr>
          <w:rFonts w:ascii="Calibri" w:eastAsia="Times New Roman" w:hAnsi="Calibri" w:cs="Calibri"/>
          <w:color w:val="000000" w:themeColor="text1"/>
          <w:shd w:val="clear" w:color="auto" w:fill="FFFFFF"/>
        </w:rPr>
        <w:t xml:space="preserve"> observed </w:t>
      </w:r>
      <w:r w:rsidR="00A67458">
        <w:rPr>
          <w:rFonts w:ascii="Calibri" w:eastAsia="Times New Roman" w:hAnsi="Calibri" w:cs="Calibri"/>
          <w:color w:val="000000" w:themeColor="text1"/>
          <w:shd w:val="clear" w:color="auto" w:fill="FFFFFF"/>
        </w:rPr>
        <w:t xml:space="preserve">during March and April 2020 </w:t>
      </w:r>
      <w:r w:rsidR="00E539A9" w:rsidRPr="00E539A9">
        <w:rPr>
          <w:rFonts w:ascii="Calibri" w:eastAsia="Times New Roman" w:hAnsi="Calibri" w:cs="Calibri"/>
          <w:color w:val="000000" w:themeColor="text1"/>
          <w:shd w:val="clear" w:color="auto" w:fill="FFFFFF"/>
        </w:rPr>
        <w:t xml:space="preserve">in a small community in Austin, Texas with extensive </w:t>
      </w:r>
      <w:r w:rsidR="00E539A9" w:rsidRPr="00E539A9">
        <w:rPr>
          <w:rFonts w:ascii="Calibri" w:eastAsia="Times New Roman" w:hAnsi="Calibri" w:cs="Calibri"/>
          <w:color w:val="000000"/>
          <w:shd w:val="clear" w:color="auto" w:fill="FFFFFF"/>
        </w:rPr>
        <w:t>solar</w:t>
      </w:r>
      <w:r w:rsidR="008706F2">
        <w:rPr>
          <w:rFonts w:ascii="Calibri" w:eastAsia="Times New Roman" w:hAnsi="Calibri" w:cs="Calibri"/>
          <w:color w:val="000000"/>
          <w:shd w:val="clear" w:color="auto" w:fill="FFFFFF"/>
        </w:rPr>
        <w:t xml:space="preserve"> penetration</w:t>
      </w:r>
      <w:r w:rsidR="005F4D60" w:rsidRPr="005F4D60">
        <w:rPr>
          <w:rFonts w:ascii="Calibri" w:eastAsia="Times New Roman" w:hAnsi="Calibri" w:cs="Calibri"/>
          <w:b/>
          <w:bCs/>
          <w:color w:val="000000"/>
          <w:shd w:val="clear" w:color="auto" w:fill="FFFFFF"/>
          <w:vertAlign w:val="superscript"/>
        </w:rPr>
        <w:t>2</w:t>
      </w:r>
      <w:r w:rsidR="00037EEB">
        <w:rPr>
          <w:rFonts w:ascii="Calibri" w:eastAsia="Times New Roman" w:hAnsi="Calibri" w:cs="Calibri"/>
          <w:b/>
          <w:bCs/>
          <w:color w:val="000000"/>
          <w:shd w:val="clear" w:color="auto" w:fill="FFFFFF"/>
          <w:vertAlign w:val="superscript"/>
        </w:rPr>
        <w:t>6</w:t>
      </w:r>
      <w:r w:rsidR="00E539A9" w:rsidRPr="00E539A9">
        <w:rPr>
          <w:rFonts w:ascii="Calibri" w:eastAsia="Times New Roman" w:hAnsi="Calibri" w:cs="Calibri"/>
          <w:color w:val="000000"/>
          <w:shd w:val="clear" w:color="auto" w:fill="FFFFFF"/>
        </w:rPr>
        <w:t>.</w:t>
      </w:r>
    </w:p>
    <w:p w14:paraId="6582C64F" w14:textId="64FEB6E3" w:rsidR="009363D6" w:rsidRDefault="009363D6" w:rsidP="00E539A9">
      <w:pPr>
        <w:rPr>
          <w:rFonts w:ascii="Calibri" w:eastAsia="Times New Roman" w:hAnsi="Calibri" w:cs="Calibri"/>
          <w:strike/>
          <w:color w:val="D13438"/>
          <w:shd w:val="clear" w:color="auto" w:fill="FFFFFF"/>
        </w:rPr>
      </w:pPr>
    </w:p>
    <w:p w14:paraId="396E3B5C" w14:textId="36BCA354" w:rsidR="00A67458" w:rsidRDefault="00A67458" w:rsidP="009363D6">
      <w:pPr>
        <w:ind w:firstLine="720"/>
        <w:rPr>
          <w:rFonts w:eastAsia="Times New Roman" w:cstheme="minorHAnsi"/>
        </w:rPr>
      </w:pPr>
      <w:r w:rsidRPr="009363D6">
        <w:rPr>
          <w:rFonts w:eastAsia="Times New Roman" w:cstheme="minorHAnsi"/>
        </w:rPr>
        <w:t xml:space="preserve">Given the COVID-19 impact on hourly load profiles and </w:t>
      </w:r>
      <w:r>
        <w:rPr>
          <w:rFonts w:eastAsia="Times New Roman" w:cstheme="minorHAnsi"/>
        </w:rPr>
        <w:t xml:space="preserve">the fact </w:t>
      </w:r>
      <w:r w:rsidRPr="009363D6">
        <w:rPr>
          <w:rFonts w:eastAsia="Times New Roman" w:cstheme="minorHAnsi"/>
        </w:rPr>
        <w:t>that COVID-19 measures have been implemented worldwide, this research demonstrates the need to isolate residential and non-residential electricity demands from the total load in order to inform system operators and utilities for resource planning.</w:t>
      </w:r>
      <w:r>
        <w:rPr>
          <w:rFonts w:eastAsia="Times New Roman" w:cstheme="minorHAnsi"/>
        </w:rPr>
        <w:t xml:space="preserve"> </w:t>
      </w:r>
      <w:r w:rsidR="0089695E">
        <w:rPr>
          <w:rFonts w:eastAsia="Times New Roman" w:cstheme="minorHAnsi"/>
        </w:rPr>
        <w:t>While a handful of</w:t>
      </w:r>
      <w:r w:rsidR="0089695E" w:rsidRPr="009363D6">
        <w:rPr>
          <w:rFonts w:eastAsia="Times New Roman" w:cstheme="minorHAnsi"/>
        </w:rPr>
        <w:t xml:space="preserve"> region-specific</w:t>
      </w:r>
      <w:r w:rsidR="001D79DE">
        <w:rPr>
          <w:rFonts w:eastAsia="Times New Roman" w:cstheme="minorHAnsi"/>
        </w:rPr>
        <w:t>,</w:t>
      </w:r>
      <w:r w:rsidR="0089695E" w:rsidRPr="009363D6">
        <w:rPr>
          <w:rFonts w:eastAsia="Times New Roman" w:cstheme="minorHAnsi"/>
        </w:rPr>
        <w:t xml:space="preserve"> </w:t>
      </w:r>
      <w:r w:rsidR="000457EB" w:rsidRPr="009363D6">
        <w:rPr>
          <w:rFonts w:eastAsia="Times New Roman" w:cstheme="minorHAnsi"/>
        </w:rPr>
        <w:t xml:space="preserve">system-scale hourly load forecasting </w:t>
      </w:r>
      <w:r w:rsidR="0089695E" w:rsidRPr="009363D6">
        <w:rPr>
          <w:rFonts w:eastAsia="Times New Roman" w:cstheme="minorHAnsi"/>
        </w:rPr>
        <w:t xml:space="preserve">models are emerging that focus on isolating residential and non-residential </w:t>
      </w:r>
      <w:r w:rsidR="003E57D0">
        <w:rPr>
          <w:rFonts w:eastAsia="Times New Roman" w:cstheme="minorHAnsi"/>
        </w:rPr>
        <w:t>hou</w:t>
      </w:r>
      <w:r w:rsidR="007B1F84">
        <w:rPr>
          <w:rFonts w:eastAsia="Times New Roman" w:cstheme="minorHAnsi"/>
        </w:rPr>
        <w:t xml:space="preserve">rly </w:t>
      </w:r>
      <w:r w:rsidR="0089695E" w:rsidRPr="009363D6">
        <w:rPr>
          <w:rFonts w:eastAsia="Times New Roman" w:cstheme="minorHAnsi"/>
        </w:rPr>
        <w:t>load</w:t>
      </w:r>
      <w:r w:rsidR="002B2EAB">
        <w:rPr>
          <w:rFonts w:eastAsia="Times New Roman" w:cstheme="minorHAnsi"/>
        </w:rPr>
        <w:t>s</w:t>
      </w:r>
      <w:r w:rsidR="002B2EAB" w:rsidRPr="002B2EAB">
        <w:rPr>
          <w:rFonts w:eastAsia="Times New Roman" w:cstheme="minorHAnsi"/>
          <w:b/>
          <w:bCs/>
          <w:vertAlign w:val="superscript"/>
        </w:rPr>
        <w:t>2</w:t>
      </w:r>
      <w:r w:rsidR="00C2729A">
        <w:rPr>
          <w:rFonts w:eastAsia="Times New Roman" w:cstheme="minorHAnsi"/>
          <w:b/>
          <w:bCs/>
          <w:vertAlign w:val="superscript"/>
        </w:rPr>
        <w:t>7</w:t>
      </w:r>
      <w:r w:rsidR="002B2EAB" w:rsidRPr="002B2EAB">
        <w:rPr>
          <w:rFonts w:eastAsia="Times New Roman" w:cstheme="minorHAnsi"/>
          <w:b/>
          <w:bCs/>
          <w:vertAlign w:val="superscript"/>
        </w:rPr>
        <w:t>-2</w:t>
      </w:r>
      <w:r w:rsidR="00C2729A">
        <w:rPr>
          <w:rFonts w:eastAsia="Times New Roman" w:cstheme="minorHAnsi"/>
          <w:b/>
          <w:bCs/>
          <w:vertAlign w:val="superscript"/>
        </w:rPr>
        <w:t>8</w:t>
      </w:r>
      <w:r w:rsidR="0089695E">
        <w:rPr>
          <w:rFonts w:eastAsia="Times New Roman" w:cstheme="minorHAnsi"/>
        </w:rPr>
        <w:t>, m</w:t>
      </w:r>
      <w:r w:rsidRPr="009363D6">
        <w:rPr>
          <w:rFonts w:eastAsia="Times New Roman" w:cstheme="minorHAnsi"/>
        </w:rPr>
        <w:t xml:space="preserve">ore widespread analyses of the type presented here </w:t>
      </w:r>
      <w:r w:rsidR="0089695E">
        <w:rPr>
          <w:rFonts w:eastAsia="Times New Roman" w:cstheme="minorHAnsi"/>
        </w:rPr>
        <w:t>are needed</w:t>
      </w:r>
      <w:r w:rsidR="00B76EB7">
        <w:rPr>
          <w:rFonts w:eastAsia="Times New Roman" w:cstheme="minorHAnsi"/>
        </w:rPr>
        <w:t xml:space="preserve">. </w:t>
      </w:r>
      <w:r w:rsidR="000457EB">
        <w:rPr>
          <w:rFonts w:eastAsia="Times New Roman" w:cstheme="minorHAnsi"/>
        </w:rPr>
        <w:t xml:space="preserve">The observed and potential shifts in electricity load profiles documented in this paper </w:t>
      </w:r>
      <w:r w:rsidR="00B76EB7">
        <w:rPr>
          <w:rFonts w:eastAsia="Times New Roman" w:cstheme="minorHAnsi"/>
        </w:rPr>
        <w:t xml:space="preserve">also </w:t>
      </w:r>
      <w:r w:rsidR="00B23F1F">
        <w:rPr>
          <w:rFonts w:eastAsia="Times New Roman" w:cstheme="minorHAnsi"/>
        </w:rPr>
        <w:t>motivate</w:t>
      </w:r>
      <w:r w:rsidR="004702B2">
        <w:rPr>
          <w:rFonts w:eastAsia="Times New Roman" w:cstheme="minorHAnsi"/>
        </w:rPr>
        <w:t xml:space="preserve"> </w:t>
      </w:r>
      <w:r w:rsidR="00B76EB7">
        <w:rPr>
          <w:rFonts w:eastAsia="Times New Roman" w:cstheme="minorHAnsi"/>
        </w:rPr>
        <w:t xml:space="preserve">new </w:t>
      </w:r>
      <w:r w:rsidR="00301C4D">
        <w:rPr>
          <w:rFonts w:eastAsia="Times New Roman" w:cstheme="minorHAnsi"/>
        </w:rPr>
        <w:t xml:space="preserve">approaches to </w:t>
      </w:r>
      <w:r w:rsidR="00B76EB7">
        <w:rPr>
          <w:rFonts w:eastAsia="Times New Roman" w:cstheme="minorHAnsi"/>
        </w:rPr>
        <w:t xml:space="preserve">predicting </w:t>
      </w:r>
      <w:r w:rsidR="00596777">
        <w:rPr>
          <w:rFonts w:eastAsia="Times New Roman" w:cstheme="minorHAnsi"/>
        </w:rPr>
        <w:t>long</w:t>
      </w:r>
      <w:r w:rsidR="00B76EB7">
        <w:rPr>
          <w:rFonts w:eastAsia="Times New Roman" w:cstheme="minorHAnsi"/>
        </w:rPr>
        <w:t>-</w:t>
      </w:r>
      <w:r w:rsidR="00596777">
        <w:rPr>
          <w:rFonts w:eastAsia="Times New Roman" w:cstheme="minorHAnsi"/>
        </w:rPr>
        <w:t xml:space="preserve">term </w:t>
      </w:r>
      <w:r w:rsidR="00B76EB7">
        <w:rPr>
          <w:rFonts w:eastAsia="Times New Roman" w:cstheme="minorHAnsi"/>
        </w:rPr>
        <w:t>changes</w:t>
      </w:r>
      <w:r w:rsidR="000E1BFE">
        <w:rPr>
          <w:rFonts w:eastAsia="Times New Roman" w:cstheme="minorHAnsi"/>
        </w:rPr>
        <w:t xml:space="preserve"> </w:t>
      </w:r>
      <w:r w:rsidR="00B76EB7">
        <w:rPr>
          <w:rFonts w:eastAsia="Times New Roman" w:cstheme="minorHAnsi"/>
        </w:rPr>
        <w:t>in</w:t>
      </w:r>
      <w:r w:rsidR="000E1BFE">
        <w:rPr>
          <w:rFonts w:eastAsia="Times New Roman" w:cstheme="minorHAnsi"/>
        </w:rPr>
        <w:t xml:space="preserve"> </w:t>
      </w:r>
      <w:r w:rsidR="00CB33BE">
        <w:rPr>
          <w:rFonts w:eastAsia="Times New Roman" w:cstheme="minorHAnsi"/>
        </w:rPr>
        <w:t xml:space="preserve">total </w:t>
      </w:r>
      <w:r w:rsidR="000E1BFE">
        <w:rPr>
          <w:rFonts w:eastAsia="Times New Roman" w:cstheme="minorHAnsi"/>
        </w:rPr>
        <w:t>hourly load</w:t>
      </w:r>
      <w:r w:rsidR="0057535F">
        <w:rPr>
          <w:rFonts w:eastAsia="Times New Roman" w:cstheme="minorHAnsi"/>
        </w:rPr>
        <w:t xml:space="preserve">s </w:t>
      </w:r>
      <w:r w:rsidR="00B76EB7">
        <w:rPr>
          <w:rFonts w:eastAsia="Times New Roman" w:cstheme="minorHAnsi"/>
        </w:rPr>
        <w:t>that</w:t>
      </w:r>
      <w:r w:rsidR="00502DB9">
        <w:rPr>
          <w:rFonts w:eastAsia="Times New Roman" w:cstheme="minorHAnsi"/>
        </w:rPr>
        <w:t xml:space="preserve"> explicitly represent </w:t>
      </w:r>
      <w:r w:rsidR="00FE4325">
        <w:rPr>
          <w:rFonts w:eastAsia="Times New Roman" w:cstheme="minorHAnsi"/>
        </w:rPr>
        <w:t xml:space="preserve">potential </w:t>
      </w:r>
      <w:r w:rsidR="00B76EB7">
        <w:rPr>
          <w:rFonts w:eastAsia="Times New Roman" w:cstheme="minorHAnsi"/>
        </w:rPr>
        <w:t>shifts in behaviors and economics</w:t>
      </w:r>
      <w:r w:rsidR="00C2729A" w:rsidRPr="00C2729A">
        <w:rPr>
          <w:rFonts w:eastAsia="Times New Roman" w:cstheme="minorHAnsi"/>
          <w:b/>
          <w:bCs/>
          <w:vertAlign w:val="superscript"/>
        </w:rPr>
        <w:t>29</w:t>
      </w:r>
      <w:r w:rsidR="00B76EB7">
        <w:rPr>
          <w:rFonts w:eastAsia="Times New Roman" w:cstheme="minorHAnsi"/>
        </w:rPr>
        <w:fldChar w:fldCharType="begin"/>
      </w:r>
      <w:r w:rsidR="00B76EB7">
        <w:rPr>
          <w:rFonts w:eastAsia="Times New Roman" w:cstheme="minorHAnsi"/>
        </w:rPr>
        <w:instrText xml:space="preserve"> ADDIN EN.CITE &lt;EndNote&gt;&lt;Cite&gt;&lt;Author&gt;Lindberg&lt;/Author&gt;&lt;Year&gt;2019&lt;/Year&gt;&lt;RecNum&gt;942&lt;/RecNum&gt;&lt;DisplayText&gt;(Lindberg et al., 2019)&lt;/DisplayText&gt;&lt;record&gt;&lt;rec-number&gt;942&lt;/rec-number&gt;&lt;foreign-keys&gt;&lt;key app="EN" db-id="90xfvvexwxdwt3e5dzbvwvslf5299rs2vvza" timestamp="1594833964"&gt;942&lt;/key&gt;&lt;/foreign-keys&gt;&lt;ref-type name="Journal Article"&gt;17&lt;/ref-type&gt;&lt;contributors&gt;&lt;authors&gt;&lt;author&gt;Lindberg, K. B.&lt;/author&gt;&lt;author&gt;Seljom, P.&lt;/author&gt;&lt;author&gt;Madsen, H.&lt;/author&gt;&lt;author&gt;Fischer, D.&lt;/author&gt;&lt;author&gt;Korpås, M.&lt;/author&gt;&lt;/authors&gt;&lt;/contributors&gt;&lt;titles&gt;&lt;title&gt;Long-term electricity load forecasting: Current and future trends&lt;/title&gt;&lt;secondary-title&gt;Utilities Policy&lt;/secondary-title&gt;&lt;/titles&gt;&lt;periodical&gt;&lt;full-title&gt;Utilities Policy&lt;/full-title&gt;&lt;/periodical&gt;&lt;pages&gt;102-119&lt;/pages&gt;&lt;volume&gt;58&lt;/volume&gt;&lt;keywords&gt;&lt;keyword&gt;Long-term load forecasting&lt;/keyword&gt;&lt;keyword&gt;Electricity demand&lt;/keyword&gt;&lt;keyword&gt;Flexibility&lt;/keyword&gt;&lt;/keywords&gt;&lt;dates&gt;&lt;year&gt;2019&lt;/year&gt;&lt;pub-dates&gt;&lt;date&gt;2019/06/01/&lt;/date&gt;&lt;/pub-dates&gt;&lt;/dates&gt;&lt;isbn&gt;0957-1787&lt;/isbn&gt;&lt;urls&gt;&lt;related-urls&gt;&lt;url&gt;http://www.sciencedirect.com/science/article/pii/S0957178719300116&lt;/url&gt;&lt;/related-urls&gt;&lt;/urls&gt;&lt;electronic-resource-num&gt;https://doi.org/10.1016/j.jup.2019.04.001&lt;/electronic-resource-num&gt;&lt;/record&gt;&lt;/Cite&gt;&lt;/EndNote&gt;</w:instrText>
      </w:r>
      <w:r w:rsidR="00B76EB7">
        <w:rPr>
          <w:rFonts w:eastAsia="Times New Roman" w:cstheme="minorHAnsi"/>
        </w:rPr>
        <w:fldChar w:fldCharType="separate"/>
      </w:r>
      <w:r w:rsidR="00B76EB7">
        <w:rPr>
          <w:rFonts w:eastAsia="Times New Roman" w:cstheme="minorHAnsi"/>
        </w:rPr>
        <w:fldChar w:fldCharType="end"/>
      </w:r>
      <w:r w:rsidR="00D3334F">
        <w:rPr>
          <w:rFonts w:eastAsia="Times New Roman" w:cstheme="minorHAnsi"/>
        </w:rPr>
        <w:t xml:space="preserve">. </w:t>
      </w:r>
      <w:r w:rsidR="006C57F8">
        <w:rPr>
          <w:rFonts w:eastAsia="Times New Roman" w:cstheme="minorHAnsi"/>
        </w:rPr>
        <w:t>Better understanding these shifts is</w:t>
      </w:r>
      <w:r w:rsidR="00C34755" w:rsidRPr="00C34755">
        <w:rPr>
          <w:rFonts w:eastAsia="Times New Roman" w:cstheme="minorHAnsi"/>
        </w:rPr>
        <w:t xml:space="preserve"> critical to inform and update load forecast</w:t>
      </w:r>
      <w:r w:rsidR="006C57F8">
        <w:rPr>
          <w:rFonts w:eastAsia="Times New Roman" w:cstheme="minorHAnsi"/>
        </w:rPr>
        <w:t>ing</w:t>
      </w:r>
      <w:r w:rsidR="00C34755" w:rsidRPr="00C34755">
        <w:rPr>
          <w:rFonts w:eastAsia="Times New Roman" w:cstheme="minorHAnsi"/>
        </w:rPr>
        <w:t xml:space="preserve"> approaches that</w:t>
      </w:r>
      <w:r w:rsidR="006C57F8">
        <w:rPr>
          <w:rFonts w:eastAsia="Times New Roman" w:cstheme="minorHAnsi"/>
        </w:rPr>
        <w:t xml:space="preserve"> typically</w:t>
      </w:r>
      <w:r w:rsidR="00C34755" w:rsidRPr="00C34755">
        <w:rPr>
          <w:rFonts w:eastAsia="Times New Roman" w:cstheme="minorHAnsi"/>
        </w:rPr>
        <w:t xml:space="preserve"> </w:t>
      </w:r>
      <w:r w:rsidR="006C57F8">
        <w:rPr>
          <w:rFonts w:eastAsia="Times New Roman" w:cstheme="minorHAnsi"/>
        </w:rPr>
        <w:t>draw upon</w:t>
      </w:r>
      <w:r w:rsidR="00C34755" w:rsidRPr="00C34755">
        <w:rPr>
          <w:rFonts w:eastAsia="Times New Roman" w:cstheme="minorHAnsi"/>
        </w:rPr>
        <w:t xml:space="preserve"> historical hourly load profile</w:t>
      </w:r>
      <w:r w:rsidR="006C57F8">
        <w:rPr>
          <w:rFonts w:eastAsia="Times New Roman" w:cstheme="minorHAnsi"/>
        </w:rPr>
        <w:t>s</w:t>
      </w:r>
      <w:r w:rsidR="00C34755" w:rsidRPr="00C34755">
        <w:rPr>
          <w:rFonts w:eastAsia="Times New Roman" w:cstheme="minorHAnsi"/>
        </w:rPr>
        <w:t xml:space="preserve"> for </w:t>
      </w:r>
      <w:r w:rsidR="00A07198">
        <w:rPr>
          <w:rFonts w:eastAsia="Times New Roman" w:cstheme="minorHAnsi"/>
        </w:rPr>
        <w:t xml:space="preserve">future </w:t>
      </w:r>
      <w:r w:rsidR="00C34755" w:rsidRPr="00C34755">
        <w:rPr>
          <w:rFonts w:eastAsia="Times New Roman" w:cstheme="minorHAnsi"/>
        </w:rPr>
        <w:t>electricity system planning and operations</w:t>
      </w:r>
      <w:r w:rsidR="003B17B0">
        <w:rPr>
          <w:rFonts w:eastAsia="Times New Roman" w:cstheme="minorHAnsi"/>
          <w:b/>
          <w:bCs/>
          <w:vertAlign w:val="superscript"/>
        </w:rPr>
        <w:t>3</w:t>
      </w:r>
      <w:r w:rsidR="003B17B0" w:rsidRPr="003B17B0">
        <w:rPr>
          <w:rFonts w:eastAsia="Times New Roman" w:cstheme="minorHAnsi"/>
          <w:b/>
          <w:bCs/>
          <w:vertAlign w:val="superscript"/>
        </w:rPr>
        <w:t>0-32</w:t>
      </w:r>
      <w:r w:rsidR="006C57F8">
        <w:rPr>
          <w:rFonts w:eastAsia="Times New Roman" w:cstheme="minorHAnsi"/>
        </w:rPr>
        <w:t xml:space="preserve">. </w:t>
      </w:r>
      <w:r w:rsidR="00D3334F">
        <w:rPr>
          <w:rFonts w:eastAsia="Times New Roman" w:cstheme="minorHAnsi"/>
        </w:rPr>
        <w:t xml:space="preserve">The findings also expose </w:t>
      </w:r>
      <w:r w:rsidR="007A7327">
        <w:rPr>
          <w:rFonts w:eastAsia="Times New Roman" w:cstheme="minorHAnsi"/>
        </w:rPr>
        <w:t xml:space="preserve">new research directions in isolating customer classes </w:t>
      </w:r>
      <w:r w:rsidR="00C277EC">
        <w:rPr>
          <w:rFonts w:eastAsia="Times New Roman" w:cstheme="minorHAnsi"/>
        </w:rPr>
        <w:t xml:space="preserve">to </w:t>
      </w:r>
      <w:r w:rsidR="00F432EF">
        <w:rPr>
          <w:rFonts w:eastAsia="Times New Roman" w:cstheme="minorHAnsi"/>
        </w:rPr>
        <w:t xml:space="preserve">evaluate </w:t>
      </w:r>
      <w:r w:rsidR="00F432EF" w:rsidRPr="009363D6">
        <w:rPr>
          <w:rFonts w:eastAsia="Times New Roman" w:cstheme="minorHAnsi"/>
        </w:rPr>
        <w:t>heterogeneity</w:t>
      </w:r>
      <w:r w:rsidR="000457EB" w:rsidRPr="009363D6">
        <w:rPr>
          <w:rFonts w:eastAsia="Times New Roman" w:cstheme="minorHAnsi"/>
        </w:rPr>
        <w:t xml:space="preserve"> in customer adaptations to extreme weather events, adoption of new technologies such as residential battery systems, and the effectiveness of time-of-use pricing programs.</w:t>
      </w:r>
    </w:p>
    <w:p w14:paraId="03D2D0C7" w14:textId="49A021E8" w:rsidR="00874C7C" w:rsidRDefault="00874C7C" w:rsidP="00874C7C">
      <w:pPr>
        <w:pStyle w:val="NoSpacing"/>
      </w:pPr>
    </w:p>
    <w:p w14:paraId="730265A2" w14:textId="77777777" w:rsidR="00874C7C" w:rsidRPr="00874C7C" w:rsidRDefault="00874C7C" w:rsidP="00874C7C">
      <w:pPr>
        <w:pStyle w:val="NoSpacing"/>
        <w:rPr>
          <w:b/>
          <w:bCs/>
        </w:rPr>
      </w:pPr>
      <w:r w:rsidRPr="00874C7C">
        <w:rPr>
          <w:b/>
          <w:bCs/>
        </w:rPr>
        <w:t>Methods</w:t>
      </w:r>
    </w:p>
    <w:p w14:paraId="611F8B2B" w14:textId="1DD5F074" w:rsidR="00EF0A00" w:rsidRDefault="00874C7C" w:rsidP="00EF0A00">
      <w:pPr>
        <w:pStyle w:val="NoSpacing"/>
        <w:ind w:firstLine="720"/>
      </w:pPr>
      <w:r>
        <w:t>The core dataset underpinning this study is end-use electricity consumption from the Commonwealth Edison (ComEd) utility. The ComEd service territory spans all or part of 24 counties in northern Illinois, including Cook County and the greater Chicago metropolitan area. Since 2017</w:t>
      </w:r>
      <w:r w:rsidR="00335737">
        <w:t>,</w:t>
      </w:r>
      <w:r>
        <w:t xml:space="preserve"> ComEd has made 30-minute anonymized energy usage data available for purchase. This Anonymous Data Service (ADS</w:t>
      </w:r>
      <w:r w:rsidR="00602ACF" w:rsidRPr="00602ACF">
        <w:rPr>
          <w:b/>
          <w:bCs/>
          <w:color w:val="000000" w:themeColor="text1"/>
          <w:vertAlign w:val="superscript"/>
        </w:rPr>
        <w:t>1</w:t>
      </w:r>
      <w:r w:rsidR="00D4115E">
        <w:rPr>
          <w:b/>
          <w:bCs/>
          <w:color w:val="000000" w:themeColor="text1"/>
          <w:vertAlign w:val="superscript"/>
        </w:rPr>
        <w:t>8</w:t>
      </w:r>
      <w:r>
        <w:t xml:space="preserve">) covers ComEd customers where Advanced Metering Infrastructure devices have been deployed. Anonymized end-use electricity data are classified by customer class (4 residential and 11 non-residential customer classes) and zip code. While the number of customers in the ADS varies from month-to-month, an average month </w:t>
      </w:r>
      <w:r w:rsidR="00335737">
        <w:t xml:space="preserve">has </w:t>
      </w:r>
      <w:r>
        <w:t xml:space="preserve">more than </w:t>
      </w:r>
      <w:r w:rsidR="00CC3CC2" w:rsidRPr="00A41660">
        <w:rPr>
          <w:color w:val="000000" w:themeColor="text1"/>
        </w:rPr>
        <w:t>3.5</w:t>
      </w:r>
      <w:r w:rsidRPr="00A41660">
        <w:rPr>
          <w:color w:val="000000" w:themeColor="text1"/>
        </w:rPr>
        <w:t xml:space="preserve"> </w:t>
      </w:r>
      <w:r>
        <w:t xml:space="preserve">million residential customer records and </w:t>
      </w:r>
      <w:r w:rsidR="00CC3CC2" w:rsidRPr="00A41660">
        <w:rPr>
          <w:color w:val="000000" w:themeColor="text1"/>
        </w:rPr>
        <w:t>330,000</w:t>
      </w:r>
      <w:r w:rsidRPr="00A41660">
        <w:rPr>
          <w:color w:val="000000" w:themeColor="text1"/>
        </w:rPr>
        <w:t xml:space="preserve"> </w:t>
      </w:r>
      <w:r>
        <w:t>non-residential customer records</w:t>
      </w:r>
      <w:r w:rsidR="00A41660">
        <w:t xml:space="preserve">. </w:t>
      </w:r>
      <w:r w:rsidR="00A41660">
        <w:lastRenderedPageBreak/>
        <w:t xml:space="preserve">This </w:t>
      </w:r>
      <w:r w:rsidR="00CC3CC2">
        <w:t>constitute</w:t>
      </w:r>
      <w:r w:rsidR="00A41660">
        <w:t>s</w:t>
      </w:r>
      <w:r w:rsidR="00CC3CC2">
        <w:t xml:space="preserve"> nearly all of the </w:t>
      </w:r>
      <w:r w:rsidR="00A41660">
        <w:t>3.65 million residential and 386,000 non-residential customer</w:t>
      </w:r>
      <w:r>
        <w:t xml:space="preserve"> ComEd reported in 201</w:t>
      </w:r>
      <w:r w:rsidR="002B2EAB">
        <w:t>8</w:t>
      </w:r>
      <w:r w:rsidR="003B17B0">
        <w:rPr>
          <w:b/>
          <w:bCs/>
          <w:vertAlign w:val="superscript"/>
        </w:rPr>
        <w:t>33</w:t>
      </w:r>
      <w:r>
        <w:t>.</w:t>
      </w:r>
      <w:r w:rsidR="00EF0A00">
        <w:t xml:space="preserve"> </w:t>
      </w:r>
      <w:r w:rsidRPr="00874C7C">
        <w:t xml:space="preserve">This study uses ADS data from April 2018 through April 2020. </w:t>
      </w:r>
      <w:r w:rsidR="003B1FF2">
        <w:t xml:space="preserve">The raw ADS </w:t>
      </w:r>
      <w:r w:rsidR="003B1FF2" w:rsidRPr="005D0676">
        <w:t xml:space="preserve">metered electricity consumption data (kWh) </w:t>
      </w:r>
      <w:r w:rsidR="003B1FF2">
        <w:t xml:space="preserve">is </w:t>
      </w:r>
      <w:r w:rsidR="003B1FF2" w:rsidRPr="005D0676">
        <w:t xml:space="preserve">in 30-minute intervals for each customer. We aggregate these into residential and non-residential customer classes. We then convert the units from kWh per 0.5 h to MWh per h (a multiplier of 2/1000 kW/MW). </w:t>
      </w:r>
      <w:r w:rsidR="003B1FF2">
        <w:t>T</w:t>
      </w:r>
      <w:r w:rsidR="003B1FF2" w:rsidRPr="005D0676">
        <w:t>his facilitates presenting the hourly load profiles as MW on the y-axis and hours on the x-axis</w:t>
      </w:r>
      <w:r w:rsidR="003B1FF2" w:rsidRPr="00607E53">
        <w:t>.</w:t>
      </w:r>
    </w:p>
    <w:p w14:paraId="132C4E6C" w14:textId="77777777" w:rsidR="00EF0A00" w:rsidRDefault="00EF0A00" w:rsidP="00874C7C">
      <w:pPr>
        <w:pStyle w:val="NoSpacing"/>
        <w:ind w:firstLine="720"/>
      </w:pPr>
    </w:p>
    <w:p w14:paraId="1B944542" w14:textId="14E4BCAF" w:rsidR="00C90C70" w:rsidRDefault="00874C7C" w:rsidP="00874C7C">
      <w:pPr>
        <w:pStyle w:val="NoSpacing"/>
        <w:ind w:firstLine="720"/>
      </w:pPr>
      <w:r w:rsidRPr="00874C7C">
        <w:t>Our analysis has two core components. First, we demonstrate how daily electricity load profiles for ComEd’s residential and commercial customers shifted as the U.S. transitioned to widespread shelter-in-place condition</w:t>
      </w:r>
      <w:r w:rsidR="00335737">
        <w:t>s</w:t>
      </w:r>
      <w:r w:rsidRPr="00874C7C">
        <w:t xml:space="preserve"> in March-April 2020. This analysis is based on 30-minute aggregate loads for residential and non-residential customers. Second, we performed a sensitivity study to explore how historical weekday total load profiles may have shifted </w:t>
      </w:r>
      <w:r w:rsidR="00C90C70">
        <w:t>if shelter-in-place conditions or widespread teleworking had occurred in prior months and years. To do this we modified historical monthly</w:t>
      </w:r>
      <w:r w:rsidR="003B1FF2">
        <w:t xml:space="preserve"> mean</w:t>
      </w:r>
      <w:r w:rsidR="00C90C70">
        <w:t xml:space="preserve"> residential and non-residential</w:t>
      </w:r>
      <w:r w:rsidRPr="00874C7C">
        <w:t xml:space="preserve"> daily load profiles </w:t>
      </w:r>
      <w:r w:rsidR="00C90C70">
        <w:t>to reflect the changes observed under near-universal</w:t>
      </w:r>
      <w:r w:rsidRPr="00874C7C">
        <w:t xml:space="preserve"> shelter-in-place conditions in March and April of 2020.</w:t>
      </w:r>
    </w:p>
    <w:p w14:paraId="6A5C8AAB" w14:textId="77777777" w:rsidR="00C90C70" w:rsidRDefault="00C90C70" w:rsidP="00874C7C">
      <w:pPr>
        <w:pStyle w:val="NoSpacing"/>
        <w:ind w:firstLine="720"/>
      </w:pPr>
    </w:p>
    <w:p w14:paraId="13CDE9AB" w14:textId="13A85ADC" w:rsidR="00874C7C" w:rsidRDefault="00054800" w:rsidP="00C90C70">
      <w:pPr>
        <w:pStyle w:val="NoSpacing"/>
        <w:ind w:firstLine="720"/>
      </w:pPr>
      <w:r>
        <w:t xml:space="preserve">Our approach </w:t>
      </w:r>
      <w:r w:rsidR="00C90C70">
        <w:t xml:space="preserve">to changing residential customer load profiles </w:t>
      </w:r>
      <w:r>
        <w:t>is based on the observed shift of weekday load profiles in April 2020 to closely resemble canonical weekend load profiles from previous years.</w:t>
      </w:r>
      <w:r w:rsidR="00C90C70">
        <w:t xml:space="preserve"> </w:t>
      </w:r>
      <w:r>
        <w:t>To simulate a certain fraction of residential customers</w:t>
      </w:r>
      <w:r w:rsidR="003B1FF2">
        <w:t xml:space="preserve"> continuing to shelter-in-place or</w:t>
      </w:r>
      <w:r>
        <w:t xml:space="preserve"> </w:t>
      </w:r>
      <w:r w:rsidR="00C90C70">
        <w:t>teleworking permanently</w:t>
      </w:r>
      <w:r>
        <w:t xml:space="preserve">, for example 20%, we summed 20% of the mean weekend load profile for residential customers with 80% of the mean weekday load for </w:t>
      </w:r>
      <w:r w:rsidR="00335737">
        <w:t xml:space="preserve">the </w:t>
      </w:r>
      <w:r>
        <w:t xml:space="preserve">same month. This method was repeated for different fractions of </w:t>
      </w:r>
      <w:r w:rsidR="00451799">
        <w:t>residential</w:t>
      </w:r>
      <w:r>
        <w:t xml:space="preserve"> customers ranging from 0-100%. To </w:t>
      </w:r>
      <w:r w:rsidR="00DB4BCC">
        <w:t>en</w:t>
      </w:r>
      <w:r>
        <w:t>sure that natural meteorological variability between historical weekday</w:t>
      </w:r>
      <w:r w:rsidR="00D34895">
        <w:t>s</w:t>
      </w:r>
      <w:r>
        <w:t xml:space="preserve"> and weekends is not aliased on to this analysis</w:t>
      </w:r>
      <w:r w:rsidR="00DB4BCC">
        <w:t>,</w:t>
      </w:r>
      <w:r>
        <w:t xml:space="preserve"> we evaluated the statistical differences between mean weekday and weekend temperatures by month for previous years</w:t>
      </w:r>
      <w:r w:rsidR="00E064C9">
        <w:t xml:space="preserve"> using a two-sample t-test and </w:t>
      </w:r>
      <w:r w:rsidR="00335737">
        <w:t xml:space="preserve">a </w:t>
      </w:r>
      <w:r w:rsidR="00E064C9">
        <w:t>5% significance</w:t>
      </w:r>
      <w:r>
        <w:t xml:space="preserve"> </w:t>
      </w:r>
      <w:r w:rsidR="006B2BF1">
        <w:t xml:space="preserve">threshold </w:t>
      </w:r>
      <w:r>
        <w:t xml:space="preserve">(Figs. </w:t>
      </w:r>
      <w:r w:rsidR="00B63A19">
        <w:t>S</w:t>
      </w:r>
      <w:r w:rsidR="008A6235" w:rsidRPr="008A6235">
        <w:rPr>
          <w:color w:val="000000" w:themeColor="text1"/>
        </w:rPr>
        <w:t>8-</w:t>
      </w:r>
      <w:r w:rsidR="00B63A19">
        <w:rPr>
          <w:color w:val="000000" w:themeColor="text1"/>
        </w:rPr>
        <w:t>S</w:t>
      </w:r>
      <w:r w:rsidR="008A6235" w:rsidRPr="008A6235">
        <w:rPr>
          <w:color w:val="000000" w:themeColor="text1"/>
        </w:rPr>
        <w:t>10</w:t>
      </w:r>
      <w:r w:rsidR="00B63A19">
        <w:rPr>
          <w:color w:val="000000" w:themeColor="text1"/>
        </w:rPr>
        <w:t xml:space="preserve"> in the SI</w:t>
      </w:r>
      <w:r>
        <w:t>). With the exception of August 2018 and February 2020</w:t>
      </w:r>
      <w:r w:rsidR="00222F12">
        <w:t>,</w:t>
      </w:r>
      <w:r w:rsidR="00DB4BCC">
        <w:t xml:space="preserve"> which were not quantitatively analyzed in the main text</w:t>
      </w:r>
      <w:r>
        <w:t xml:space="preserve">, </w:t>
      </w:r>
      <w:r w:rsidR="00335737">
        <w:t xml:space="preserve">the </w:t>
      </w:r>
      <w:r>
        <w:t>average weekday and weekend temperatures for a</w:t>
      </w:r>
      <w:r w:rsidR="00DB4BCC">
        <w:t>ll previous</w:t>
      </w:r>
      <w:r>
        <w:t xml:space="preserve"> month</w:t>
      </w:r>
      <w:r w:rsidR="00DB4BCC">
        <w:t>s</w:t>
      </w:r>
      <w:r>
        <w:t xml:space="preserve"> were statistically indistinguishable. Th</w:t>
      </w:r>
      <w:r w:rsidR="00DB4BCC">
        <w:t>i</w:t>
      </w:r>
      <w:r>
        <w:t xml:space="preserve">s suggests that the changes in the magnitude and timing of peak loads that we report in the main text are largely due to the shift in load profiles for residential customers and not </w:t>
      </w:r>
      <w:r w:rsidR="00335737">
        <w:t xml:space="preserve">to </w:t>
      </w:r>
      <w:r>
        <w:t>natural meteorological variability.</w:t>
      </w:r>
    </w:p>
    <w:p w14:paraId="6892EFB8" w14:textId="68034274" w:rsidR="00054800" w:rsidRDefault="00054800" w:rsidP="00874C7C">
      <w:pPr>
        <w:pStyle w:val="NoSpacing"/>
        <w:ind w:firstLine="720"/>
      </w:pPr>
    </w:p>
    <w:p w14:paraId="60194976" w14:textId="7525E234" w:rsidR="00054800" w:rsidRDefault="00CB2771" w:rsidP="00874C7C">
      <w:pPr>
        <w:pStyle w:val="NoSpacing"/>
        <w:ind w:firstLine="720"/>
      </w:pPr>
      <w:r>
        <w:t xml:space="preserve">To </w:t>
      </w:r>
      <w:r w:rsidR="00C90C70">
        <w:t xml:space="preserve">capture changes in </w:t>
      </w:r>
      <w:r w:rsidR="003B1FF2">
        <w:t>non-residential</w:t>
      </w:r>
      <w:r w:rsidR="00C90C70">
        <w:t xml:space="preserve"> load under different levels of phased reopening </w:t>
      </w:r>
      <w:r>
        <w:t xml:space="preserve">we conducted </w:t>
      </w:r>
      <w:r w:rsidR="00C90C70">
        <w:t>an</w:t>
      </w:r>
      <w:r>
        <w:t xml:space="preserve"> analysis in which the non-residential customer loads were scaled </w:t>
      </w:r>
      <w:r w:rsidR="006B2BF1">
        <w:t>proportionally</w:t>
      </w:r>
      <w:r>
        <w:t xml:space="preserve"> to the number of residential customers </w:t>
      </w:r>
      <w:r w:rsidR="00C90C70">
        <w:t>hypothetically shelter</w:t>
      </w:r>
      <w:r w:rsidR="003B1FF2">
        <w:t>ing</w:t>
      </w:r>
      <w:r w:rsidR="00C90C70">
        <w:t>-in-place in previous years</w:t>
      </w:r>
      <w:r>
        <w:t xml:space="preserve">. While this relationship is </w:t>
      </w:r>
      <w:r w:rsidR="00F92F93">
        <w:t>likely to be nonlinear in actuality</w:t>
      </w:r>
      <w:r>
        <w:t xml:space="preserve">, we use </w:t>
      </w:r>
      <w:r w:rsidR="00F92F93">
        <w:t xml:space="preserve">linear proportionality </w:t>
      </w:r>
      <w:r>
        <w:t xml:space="preserve">here as </w:t>
      </w:r>
      <w:r w:rsidR="00F92F93">
        <w:t>an</w:t>
      </w:r>
      <w:r>
        <w:t xml:space="preserve"> approximation</w:t>
      </w:r>
      <w:r w:rsidR="00F92F93">
        <w:t xml:space="preserve"> in lieu of observed data that support a more complex relationship</w:t>
      </w:r>
      <w:r>
        <w:t>. The maximum delta applied to non-residential loads was subjectively chosen as the -</w:t>
      </w:r>
      <w:r w:rsidR="009857DF">
        <w:t>15</w:t>
      </w:r>
      <w:r>
        <w:t xml:space="preserve">% </w:t>
      </w:r>
      <w:r w:rsidR="009857DF">
        <w:t>year-over-year change</w:t>
      </w:r>
      <w:r w:rsidR="006B2BF1">
        <w:t xml:space="preserve"> in non-residential loads</w:t>
      </w:r>
      <w:r>
        <w:t xml:space="preserve"> observed in April 2020. Using this observed value, non-residential customer loads were uniformly scaled by </w:t>
      </w:r>
      <w:r w:rsidRPr="00CB2771">
        <w:t>[1 - (0.</w:t>
      </w:r>
      <w:r w:rsidR="009857DF">
        <w:t>15</w:t>
      </w:r>
      <w:r w:rsidRPr="00CB2771">
        <w:t xml:space="preserve"> * </w:t>
      </w:r>
      <w:r w:rsidR="003B1FF2" w:rsidRPr="003B1FF2">
        <w:t>Shelter-in-Place Penetration</w:t>
      </w:r>
      <w:r w:rsidRPr="00CB2771">
        <w:t>)]</w:t>
      </w:r>
      <w:r w:rsidR="00335737">
        <w:t>,</w:t>
      </w:r>
      <w:r w:rsidRPr="00CB2771">
        <w:t xml:space="preserve"> </w:t>
      </w:r>
      <w:r>
        <w:t xml:space="preserve">as summarized in Table </w:t>
      </w:r>
      <w:r w:rsidR="00170FE7" w:rsidRPr="00170FE7">
        <w:rPr>
          <w:color w:val="000000" w:themeColor="text1"/>
        </w:rPr>
        <w:t>1</w:t>
      </w:r>
      <w:r>
        <w:t>.</w:t>
      </w:r>
    </w:p>
    <w:p w14:paraId="45BEC3AC" w14:textId="1E63821B" w:rsidR="00AC63EE" w:rsidRDefault="00AC63EE" w:rsidP="00CB2771">
      <w:pPr>
        <w:pStyle w:val="NoSpacing"/>
      </w:pPr>
    </w:p>
    <w:p w14:paraId="6A831AED" w14:textId="42ACDD20" w:rsidR="002D5262" w:rsidRDefault="002D5262" w:rsidP="00CB2771">
      <w:pPr>
        <w:pStyle w:val="NoSpacing"/>
      </w:pPr>
    </w:p>
    <w:p w14:paraId="7CABE518" w14:textId="77777777" w:rsidR="002D5262" w:rsidRDefault="002D5262" w:rsidP="00CB2771">
      <w:pPr>
        <w:pStyle w:val="NoSpacing"/>
      </w:pPr>
    </w:p>
    <w:tbl>
      <w:tblPr>
        <w:tblStyle w:val="GridTable1Light-Accent1"/>
        <w:tblW w:w="0" w:type="auto"/>
        <w:jc w:val="center"/>
        <w:tblLook w:val="04A0" w:firstRow="1" w:lastRow="0" w:firstColumn="1" w:lastColumn="0" w:noHBand="0" w:noVBand="1"/>
      </w:tblPr>
      <w:tblGrid>
        <w:gridCol w:w="3028"/>
        <w:gridCol w:w="4358"/>
      </w:tblGrid>
      <w:tr w:rsidR="00CB2771" w14:paraId="56D2D8AA" w14:textId="77777777" w:rsidTr="00FC23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9E672B" w14:textId="0BF1E6B7" w:rsidR="00CB2771" w:rsidRDefault="00FC238F" w:rsidP="00CB2771">
            <w:pPr>
              <w:pStyle w:val="NoSpacing"/>
              <w:jc w:val="center"/>
            </w:pPr>
            <w:r>
              <w:t>Shelter-in-Place Penetration</w:t>
            </w:r>
          </w:p>
        </w:tc>
        <w:tc>
          <w:tcPr>
            <w:tcW w:w="0" w:type="auto"/>
            <w:vAlign w:val="center"/>
          </w:tcPr>
          <w:p w14:paraId="32E89BA3" w14:textId="5A1CB16C" w:rsidR="00CB2771" w:rsidRDefault="00CB2771" w:rsidP="00CB2771">
            <w:pPr>
              <w:pStyle w:val="NoSpacing"/>
              <w:jc w:val="center"/>
              <w:cnfStyle w:val="100000000000" w:firstRow="1" w:lastRow="0" w:firstColumn="0" w:lastColumn="0" w:oddVBand="0" w:evenVBand="0" w:oddHBand="0" w:evenHBand="0" w:firstRowFirstColumn="0" w:firstRowLastColumn="0" w:lastRowFirstColumn="0" w:lastRowLastColumn="0"/>
            </w:pPr>
            <w:r>
              <w:t>Non-Residential Customer</w:t>
            </w:r>
            <w:r w:rsidR="0047787B">
              <w:t>s</w:t>
            </w:r>
            <w:r>
              <w:t xml:space="preserve"> Scaling Factor</w:t>
            </w:r>
          </w:p>
        </w:tc>
      </w:tr>
      <w:tr w:rsidR="00CB2771" w14:paraId="6D18E257"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CED350" w14:textId="7D73450B" w:rsidR="00CB2771" w:rsidRPr="00222F12" w:rsidRDefault="00CB2771" w:rsidP="00CB2771">
            <w:pPr>
              <w:pStyle w:val="NoSpacing"/>
              <w:jc w:val="center"/>
              <w:rPr>
                <w:b w:val="0"/>
                <w:bCs w:val="0"/>
              </w:rPr>
            </w:pPr>
            <w:r w:rsidRPr="00222F12">
              <w:rPr>
                <w:b w:val="0"/>
                <w:bCs w:val="0"/>
              </w:rPr>
              <w:t>0%</w:t>
            </w:r>
          </w:p>
        </w:tc>
        <w:tc>
          <w:tcPr>
            <w:tcW w:w="0" w:type="auto"/>
            <w:vAlign w:val="center"/>
          </w:tcPr>
          <w:p w14:paraId="268D90EF" w14:textId="381FFA03"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Observed</w:t>
            </w:r>
          </w:p>
        </w:tc>
      </w:tr>
      <w:tr w:rsidR="00CB2771" w14:paraId="383937C8"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B02681" w14:textId="2DF375E5" w:rsidR="00CB2771" w:rsidRPr="00222F12" w:rsidRDefault="00CB2771" w:rsidP="00CB2771">
            <w:pPr>
              <w:pStyle w:val="NoSpacing"/>
              <w:jc w:val="center"/>
              <w:rPr>
                <w:b w:val="0"/>
                <w:bCs w:val="0"/>
              </w:rPr>
            </w:pPr>
            <w:r w:rsidRPr="00222F12">
              <w:rPr>
                <w:b w:val="0"/>
                <w:bCs w:val="0"/>
              </w:rPr>
              <w:t>10%</w:t>
            </w:r>
          </w:p>
        </w:tc>
        <w:tc>
          <w:tcPr>
            <w:tcW w:w="0" w:type="auto"/>
            <w:vAlign w:val="center"/>
          </w:tcPr>
          <w:p w14:paraId="76C2094A" w14:textId="080E6B07"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0.9</w:t>
            </w:r>
            <w:r w:rsidR="009857DF">
              <w:t>85</w:t>
            </w:r>
            <w:r>
              <w:t xml:space="preserve"> * Observed</w:t>
            </w:r>
          </w:p>
        </w:tc>
      </w:tr>
      <w:tr w:rsidR="00CB2771" w14:paraId="30402A0D"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1DB6F2" w14:textId="3A13C2EB" w:rsidR="00CB2771" w:rsidRPr="00222F12" w:rsidRDefault="00CB2771" w:rsidP="00CB2771">
            <w:pPr>
              <w:pStyle w:val="NoSpacing"/>
              <w:jc w:val="center"/>
              <w:rPr>
                <w:b w:val="0"/>
                <w:bCs w:val="0"/>
              </w:rPr>
            </w:pPr>
            <w:r w:rsidRPr="00222F12">
              <w:rPr>
                <w:b w:val="0"/>
                <w:bCs w:val="0"/>
              </w:rPr>
              <w:t>20%</w:t>
            </w:r>
          </w:p>
        </w:tc>
        <w:tc>
          <w:tcPr>
            <w:tcW w:w="0" w:type="auto"/>
            <w:vAlign w:val="center"/>
          </w:tcPr>
          <w:p w14:paraId="3D0019BC" w14:textId="6A377123"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0.9</w:t>
            </w:r>
            <w:r w:rsidR="009857DF">
              <w:t>70</w:t>
            </w:r>
            <w:r>
              <w:t xml:space="preserve"> * Observed</w:t>
            </w:r>
          </w:p>
        </w:tc>
      </w:tr>
      <w:tr w:rsidR="00CB2771" w14:paraId="61DDE7F8"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99F251" w14:textId="35F5CD3D" w:rsidR="00CB2771" w:rsidRPr="00222F12" w:rsidRDefault="00CB2771" w:rsidP="00CB2771">
            <w:pPr>
              <w:pStyle w:val="NoSpacing"/>
              <w:jc w:val="center"/>
              <w:rPr>
                <w:b w:val="0"/>
                <w:bCs w:val="0"/>
              </w:rPr>
            </w:pPr>
            <w:r w:rsidRPr="00222F12">
              <w:rPr>
                <w:b w:val="0"/>
                <w:bCs w:val="0"/>
              </w:rPr>
              <w:t>30%</w:t>
            </w:r>
          </w:p>
        </w:tc>
        <w:tc>
          <w:tcPr>
            <w:tcW w:w="0" w:type="auto"/>
            <w:vAlign w:val="center"/>
          </w:tcPr>
          <w:p w14:paraId="34F1CCBE" w14:textId="2A14572B" w:rsidR="00CB2771" w:rsidRP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rPr>
                <w:b/>
                <w:bCs/>
              </w:rPr>
            </w:pPr>
            <w:r>
              <w:t>0.9</w:t>
            </w:r>
            <w:r w:rsidR="009857DF">
              <w:t>55</w:t>
            </w:r>
            <w:r>
              <w:t xml:space="preserve"> * Observed</w:t>
            </w:r>
          </w:p>
        </w:tc>
      </w:tr>
      <w:tr w:rsidR="00CB2771" w14:paraId="06FC2736"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18F827" w14:textId="11000FAC" w:rsidR="00CB2771" w:rsidRPr="00222F12" w:rsidRDefault="00CB2771" w:rsidP="00CB2771">
            <w:pPr>
              <w:pStyle w:val="NoSpacing"/>
              <w:jc w:val="center"/>
              <w:rPr>
                <w:b w:val="0"/>
                <w:bCs w:val="0"/>
              </w:rPr>
            </w:pPr>
            <w:r w:rsidRPr="00222F12">
              <w:rPr>
                <w:b w:val="0"/>
                <w:bCs w:val="0"/>
              </w:rPr>
              <w:t>40%</w:t>
            </w:r>
          </w:p>
        </w:tc>
        <w:tc>
          <w:tcPr>
            <w:tcW w:w="0" w:type="auto"/>
            <w:vAlign w:val="center"/>
          </w:tcPr>
          <w:p w14:paraId="6DF4A896" w14:textId="1A3F5EFA"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940</w:t>
            </w:r>
            <w:r>
              <w:t xml:space="preserve"> * Observed</w:t>
            </w:r>
          </w:p>
        </w:tc>
      </w:tr>
      <w:tr w:rsidR="00CB2771" w14:paraId="69BF9D8D"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790335" w14:textId="3AA545F7" w:rsidR="00CB2771" w:rsidRPr="00222F12" w:rsidRDefault="00CB2771" w:rsidP="00CB2771">
            <w:pPr>
              <w:pStyle w:val="NoSpacing"/>
              <w:jc w:val="center"/>
              <w:rPr>
                <w:b w:val="0"/>
                <w:bCs w:val="0"/>
              </w:rPr>
            </w:pPr>
            <w:r w:rsidRPr="00222F12">
              <w:rPr>
                <w:b w:val="0"/>
                <w:bCs w:val="0"/>
              </w:rPr>
              <w:t>50%</w:t>
            </w:r>
          </w:p>
        </w:tc>
        <w:tc>
          <w:tcPr>
            <w:tcW w:w="0" w:type="auto"/>
            <w:vAlign w:val="center"/>
          </w:tcPr>
          <w:p w14:paraId="477CD1C2" w14:textId="7F2C3132"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925</w:t>
            </w:r>
            <w:r>
              <w:t xml:space="preserve"> * Observed</w:t>
            </w:r>
          </w:p>
        </w:tc>
      </w:tr>
      <w:tr w:rsidR="00CB2771" w14:paraId="6587DAC9"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0C19DD" w14:textId="25B6DA68" w:rsidR="00CB2771" w:rsidRPr="00222F12" w:rsidRDefault="00CB2771" w:rsidP="00CB2771">
            <w:pPr>
              <w:pStyle w:val="NoSpacing"/>
              <w:jc w:val="center"/>
              <w:rPr>
                <w:b w:val="0"/>
                <w:bCs w:val="0"/>
              </w:rPr>
            </w:pPr>
            <w:r w:rsidRPr="00222F12">
              <w:rPr>
                <w:b w:val="0"/>
                <w:bCs w:val="0"/>
              </w:rPr>
              <w:t>60%</w:t>
            </w:r>
          </w:p>
        </w:tc>
        <w:tc>
          <w:tcPr>
            <w:tcW w:w="0" w:type="auto"/>
            <w:vAlign w:val="center"/>
          </w:tcPr>
          <w:p w14:paraId="264925DA" w14:textId="4DDCBC63"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910</w:t>
            </w:r>
            <w:r>
              <w:t xml:space="preserve"> * Observed</w:t>
            </w:r>
          </w:p>
        </w:tc>
      </w:tr>
      <w:tr w:rsidR="00CB2771" w14:paraId="72D4A25F"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337FB9" w14:textId="0860A6A7" w:rsidR="00CB2771" w:rsidRPr="00222F12" w:rsidRDefault="00CB2771" w:rsidP="00CB2771">
            <w:pPr>
              <w:pStyle w:val="NoSpacing"/>
              <w:jc w:val="center"/>
              <w:rPr>
                <w:b w:val="0"/>
                <w:bCs w:val="0"/>
              </w:rPr>
            </w:pPr>
            <w:r w:rsidRPr="00222F12">
              <w:rPr>
                <w:b w:val="0"/>
                <w:bCs w:val="0"/>
              </w:rPr>
              <w:t>70%</w:t>
            </w:r>
          </w:p>
        </w:tc>
        <w:tc>
          <w:tcPr>
            <w:tcW w:w="0" w:type="auto"/>
            <w:vAlign w:val="center"/>
          </w:tcPr>
          <w:p w14:paraId="47B7D78A" w14:textId="19C6F049"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895</w:t>
            </w:r>
            <w:r>
              <w:t xml:space="preserve"> * Observed</w:t>
            </w:r>
          </w:p>
        </w:tc>
      </w:tr>
      <w:tr w:rsidR="00CB2771" w14:paraId="158FFA6C"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853096" w14:textId="526724B3" w:rsidR="00CB2771" w:rsidRPr="00222F12" w:rsidRDefault="00CB2771" w:rsidP="00CB2771">
            <w:pPr>
              <w:pStyle w:val="NoSpacing"/>
              <w:jc w:val="center"/>
              <w:rPr>
                <w:b w:val="0"/>
                <w:bCs w:val="0"/>
              </w:rPr>
            </w:pPr>
            <w:r w:rsidRPr="00222F12">
              <w:rPr>
                <w:b w:val="0"/>
                <w:bCs w:val="0"/>
              </w:rPr>
              <w:t>80%</w:t>
            </w:r>
          </w:p>
        </w:tc>
        <w:tc>
          <w:tcPr>
            <w:tcW w:w="0" w:type="auto"/>
            <w:vAlign w:val="center"/>
          </w:tcPr>
          <w:p w14:paraId="48A5A3F6" w14:textId="7750CA6D"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880</w:t>
            </w:r>
            <w:r>
              <w:t xml:space="preserve"> * Observed</w:t>
            </w:r>
          </w:p>
        </w:tc>
      </w:tr>
      <w:tr w:rsidR="00CB2771" w14:paraId="7CAD0F74"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5C5BB0" w14:textId="121DBD0D" w:rsidR="00CB2771" w:rsidRPr="00222F12" w:rsidRDefault="00CB2771" w:rsidP="00CB2771">
            <w:pPr>
              <w:pStyle w:val="NoSpacing"/>
              <w:jc w:val="center"/>
              <w:rPr>
                <w:b w:val="0"/>
                <w:bCs w:val="0"/>
              </w:rPr>
            </w:pPr>
            <w:r w:rsidRPr="00222F12">
              <w:rPr>
                <w:b w:val="0"/>
                <w:bCs w:val="0"/>
              </w:rPr>
              <w:t>90%</w:t>
            </w:r>
          </w:p>
        </w:tc>
        <w:tc>
          <w:tcPr>
            <w:tcW w:w="0" w:type="auto"/>
            <w:vAlign w:val="center"/>
          </w:tcPr>
          <w:p w14:paraId="35363C1E" w14:textId="11320695"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865</w:t>
            </w:r>
            <w:r>
              <w:t xml:space="preserve"> * Observed</w:t>
            </w:r>
          </w:p>
        </w:tc>
      </w:tr>
      <w:tr w:rsidR="00CB2771" w14:paraId="1B3E2AF5" w14:textId="77777777" w:rsidTr="00FC238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666173" w14:textId="3B7EE9B9" w:rsidR="00CB2771" w:rsidRPr="00222F12" w:rsidRDefault="00CB2771" w:rsidP="00CB2771">
            <w:pPr>
              <w:pStyle w:val="NoSpacing"/>
              <w:jc w:val="center"/>
              <w:rPr>
                <w:b w:val="0"/>
                <w:bCs w:val="0"/>
              </w:rPr>
            </w:pPr>
            <w:r w:rsidRPr="00222F12">
              <w:rPr>
                <w:b w:val="0"/>
                <w:bCs w:val="0"/>
              </w:rPr>
              <w:t>100%</w:t>
            </w:r>
          </w:p>
        </w:tc>
        <w:tc>
          <w:tcPr>
            <w:tcW w:w="0" w:type="auto"/>
            <w:vAlign w:val="center"/>
          </w:tcPr>
          <w:p w14:paraId="43B53EFC" w14:textId="43703A65" w:rsidR="00CB2771" w:rsidRDefault="00CB2771" w:rsidP="00CB2771">
            <w:pPr>
              <w:pStyle w:val="NoSpacing"/>
              <w:jc w:val="center"/>
              <w:cnfStyle w:val="000000000000" w:firstRow="0" w:lastRow="0" w:firstColumn="0" w:lastColumn="0" w:oddVBand="0" w:evenVBand="0" w:oddHBand="0" w:evenHBand="0" w:firstRowFirstColumn="0" w:firstRowLastColumn="0" w:lastRowFirstColumn="0" w:lastRowLastColumn="0"/>
            </w:pPr>
            <w:r>
              <w:t>0.</w:t>
            </w:r>
            <w:r w:rsidR="009857DF">
              <w:t>850</w:t>
            </w:r>
            <w:r>
              <w:t xml:space="preserve"> * Observed</w:t>
            </w:r>
          </w:p>
        </w:tc>
      </w:tr>
    </w:tbl>
    <w:p w14:paraId="79EF89A3" w14:textId="1E56F8C5" w:rsidR="00CB2771" w:rsidRDefault="00CB2771" w:rsidP="00CB2771">
      <w:pPr>
        <w:pStyle w:val="NoSpacing"/>
      </w:pPr>
    </w:p>
    <w:p w14:paraId="09926FEB" w14:textId="4ACF83F7" w:rsidR="00222F12" w:rsidRPr="00AC63EE" w:rsidRDefault="00222F12" w:rsidP="00CB2771">
      <w:pPr>
        <w:pStyle w:val="NoSpacing"/>
        <w:rPr>
          <w:i/>
          <w:iCs/>
        </w:rPr>
      </w:pPr>
      <w:r w:rsidRPr="00AC63EE">
        <w:rPr>
          <w:i/>
          <w:iCs/>
        </w:rPr>
        <w:t xml:space="preserve">Table </w:t>
      </w:r>
      <w:r w:rsidR="00170FE7" w:rsidRPr="00AC63EE">
        <w:rPr>
          <w:i/>
          <w:iCs/>
          <w:color w:val="000000" w:themeColor="text1"/>
        </w:rPr>
        <w:t>1</w:t>
      </w:r>
      <w:r w:rsidRPr="00AC63EE">
        <w:rPr>
          <w:i/>
          <w:iCs/>
        </w:rPr>
        <w:t xml:space="preserve">. Scaling factors uniformly applied to the diurnal load profile for non-residential customers for different ranges of residential customers </w:t>
      </w:r>
      <w:r w:rsidR="00FC238F" w:rsidRPr="00AC63EE">
        <w:rPr>
          <w:i/>
          <w:iCs/>
        </w:rPr>
        <w:t>continuing to shelter-in-place</w:t>
      </w:r>
      <w:r w:rsidRPr="00AC63EE">
        <w:rPr>
          <w:i/>
          <w:iCs/>
        </w:rPr>
        <w:t>.</w:t>
      </w:r>
    </w:p>
    <w:p w14:paraId="42E26234" w14:textId="01DE4015" w:rsidR="00874C7C" w:rsidRDefault="00874C7C" w:rsidP="00874C7C">
      <w:pPr>
        <w:pStyle w:val="NoSpacing"/>
      </w:pPr>
    </w:p>
    <w:p w14:paraId="062B3AA1" w14:textId="77777777" w:rsidR="00874C7C" w:rsidRPr="00874C7C" w:rsidRDefault="00874C7C" w:rsidP="00874C7C">
      <w:pPr>
        <w:pStyle w:val="NoSpacing"/>
        <w:rPr>
          <w:b/>
          <w:bCs/>
        </w:rPr>
      </w:pPr>
      <w:r w:rsidRPr="00874C7C">
        <w:rPr>
          <w:b/>
          <w:bCs/>
        </w:rPr>
        <w:t>Acknowledgements</w:t>
      </w:r>
    </w:p>
    <w:p w14:paraId="464D1B47" w14:textId="74B2DCE7" w:rsidR="00874C7C" w:rsidRDefault="00874C7C" w:rsidP="00874C7C">
      <w:pPr>
        <w:pStyle w:val="NoSpacing"/>
      </w:pPr>
      <w:r>
        <w:t>This research was supported by the U.S. Department of Energy, Office of Science, as part of research in the MultiSector Dynamics, Earth and Environmental System Modeling Program. Pacific Northwest National Laboratory is a multi-program national laboratory operated by Battelle for the U.S. Department of Energy under Contract DE-AC05-76RL01830.</w:t>
      </w:r>
    </w:p>
    <w:p w14:paraId="0CD17DD6" w14:textId="5BD52E37" w:rsidR="00874C7C" w:rsidRDefault="00874C7C" w:rsidP="00874C7C">
      <w:pPr>
        <w:pStyle w:val="NoSpacing"/>
      </w:pPr>
    </w:p>
    <w:p w14:paraId="6599173B" w14:textId="77777777" w:rsidR="007C1978" w:rsidRPr="007C1978" w:rsidRDefault="007C1978" w:rsidP="007C1978">
      <w:pPr>
        <w:pStyle w:val="NoSpacing"/>
        <w:rPr>
          <w:b/>
          <w:bCs/>
        </w:rPr>
      </w:pPr>
      <w:r w:rsidRPr="007C1978">
        <w:rPr>
          <w:b/>
          <w:bCs/>
        </w:rPr>
        <w:t>References</w:t>
      </w:r>
    </w:p>
    <w:p w14:paraId="35FD24A3" w14:textId="769AC949" w:rsidR="009D643E" w:rsidRDefault="000D584C" w:rsidP="00901410">
      <w:pPr>
        <w:pStyle w:val="NoSpacing"/>
      </w:pPr>
      <w:r>
        <w:t xml:space="preserve">1. </w:t>
      </w:r>
      <w:proofErr w:type="spellStart"/>
      <w:r w:rsidR="009D643E">
        <w:t>Alfares</w:t>
      </w:r>
      <w:proofErr w:type="spellEnd"/>
      <w:r w:rsidR="009D643E">
        <w:t xml:space="preserve">, H.K., and </w:t>
      </w:r>
      <w:proofErr w:type="spellStart"/>
      <w:r w:rsidR="009D643E">
        <w:t>Nazeeruddin</w:t>
      </w:r>
      <w:proofErr w:type="spellEnd"/>
      <w:r w:rsidR="009D643E">
        <w:t xml:space="preserve">, M., 2002. Electric load forecasting: literature survey and classification of methods. </w:t>
      </w:r>
      <w:r w:rsidR="009D643E" w:rsidRPr="001A3E3F">
        <w:rPr>
          <w:i/>
          <w:iCs/>
        </w:rPr>
        <w:t>International Journal of Systems Science</w:t>
      </w:r>
      <w:r w:rsidR="009D643E">
        <w:t>, 33(1), 23-34.</w:t>
      </w:r>
    </w:p>
    <w:p w14:paraId="2184D043" w14:textId="66AC4BA1" w:rsidR="009D643E" w:rsidRDefault="009D643E" w:rsidP="00901410">
      <w:pPr>
        <w:pStyle w:val="NoSpacing"/>
      </w:pPr>
    </w:p>
    <w:p w14:paraId="7ADE605D" w14:textId="5661DB28" w:rsidR="000D584C" w:rsidRDefault="000D584C" w:rsidP="00901410">
      <w:pPr>
        <w:pStyle w:val="NoSpacing"/>
      </w:pPr>
      <w:r>
        <w:t xml:space="preserve">2. </w:t>
      </w:r>
      <w:proofErr w:type="spellStart"/>
      <w:r>
        <w:t>Y</w:t>
      </w:r>
      <w:r w:rsidRPr="004F09A9">
        <w:t>amin</w:t>
      </w:r>
      <w:proofErr w:type="spellEnd"/>
      <w:r w:rsidRPr="004F09A9">
        <w:t>, H.Y.</w:t>
      </w:r>
      <w:r>
        <w:t xml:space="preserve">, </w:t>
      </w:r>
      <w:r w:rsidRPr="004F09A9">
        <w:t xml:space="preserve">2004. Review on methods of generation scheduling in electric power systems. </w:t>
      </w:r>
      <w:r w:rsidRPr="00EB77EA">
        <w:rPr>
          <w:i/>
          <w:iCs/>
        </w:rPr>
        <w:t>Electric Power Systems Research</w:t>
      </w:r>
      <w:r>
        <w:t>,</w:t>
      </w:r>
      <w:r w:rsidRPr="004F09A9">
        <w:t xml:space="preserve"> 69(2), 227-248</w:t>
      </w:r>
      <w:r>
        <w:t>.</w:t>
      </w:r>
    </w:p>
    <w:p w14:paraId="3FDC13C1" w14:textId="77777777" w:rsidR="000D584C" w:rsidRDefault="000D584C" w:rsidP="00901410">
      <w:pPr>
        <w:pStyle w:val="NoSpacing"/>
      </w:pPr>
    </w:p>
    <w:p w14:paraId="0E665626" w14:textId="2E4D676F" w:rsidR="009D643E" w:rsidRDefault="000D584C" w:rsidP="00901410">
      <w:pPr>
        <w:pStyle w:val="NoSpacing"/>
      </w:pPr>
      <w:r>
        <w:t xml:space="preserve">3. </w:t>
      </w:r>
      <w:r w:rsidR="009D643E" w:rsidRPr="000C7ECD">
        <w:t xml:space="preserve">Singh, A.K., Khatoon, S., </w:t>
      </w:r>
      <w:proofErr w:type="spellStart"/>
      <w:r w:rsidR="009D643E" w:rsidRPr="000C7ECD">
        <w:t>Muazzam</w:t>
      </w:r>
      <w:proofErr w:type="spellEnd"/>
      <w:r w:rsidR="009D643E" w:rsidRPr="000C7ECD">
        <w:t>, M.</w:t>
      </w:r>
      <w:r w:rsidR="009D643E">
        <w:t>,</w:t>
      </w:r>
      <w:r w:rsidR="009D643E" w:rsidRPr="000C7ECD">
        <w:t xml:space="preserve"> and Chaturvedi, D.</w:t>
      </w:r>
      <w:r w:rsidR="009D643E">
        <w:t>,</w:t>
      </w:r>
      <w:r w:rsidR="009D643E" w:rsidRPr="000C7ECD">
        <w:t xml:space="preserve"> 2012</w:t>
      </w:r>
      <w:r w:rsidR="009D643E">
        <w:t xml:space="preserve">. </w:t>
      </w:r>
      <w:r w:rsidR="009D643E" w:rsidRPr="000C7ECD">
        <w:t>Load forecasting techniques and methodologies: A review</w:t>
      </w:r>
      <w:r w:rsidR="009D643E">
        <w:t xml:space="preserve">. </w:t>
      </w:r>
      <w:r w:rsidR="009D643E" w:rsidRPr="000C04AE">
        <w:rPr>
          <w:i/>
          <w:iCs/>
        </w:rPr>
        <w:t>2012 2nd International Conference on Power, Control and Embedded Systems</w:t>
      </w:r>
      <w:r w:rsidR="009D643E" w:rsidRPr="000C04AE">
        <w:t xml:space="preserve">, Allahabad, 2012, pp. 1-10, </w:t>
      </w:r>
      <w:proofErr w:type="spellStart"/>
      <w:r w:rsidR="009D643E" w:rsidRPr="000C04AE">
        <w:t>doi</w:t>
      </w:r>
      <w:proofErr w:type="spellEnd"/>
      <w:r w:rsidR="009D643E" w:rsidRPr="000C04AE">
        <w:t>: 10.1109/ICPCES.2012.6508132</w:t>
      </w:r>
      <w:r w:rsidR="009D643E" w:rsidRPr="000C7ECD">
        <w:t>.</w:t>
      </w:r>
    </w:p>
    <w:p w14:paraId="6B78A8EA" w14:textId="0EF518C4" w:rsidR="009D643E" w:rsidRDefault="009D643E" w:rsidP="00901410">
      <w:pPr>
        <w:pStyle w:val="NoSpacing"/>
      </w:pPr>
    </w:p>
    <w:p w14:paraId="6BC3BF23" w14:textId="5404B412" w:rsidR="009D643E" w:rsidRDefault="000D584C" w:rsidP="00901410">
      <w:pPr>
        <w:pStyle w:val="NoSpacing"/>
      </w:pPr>
      <w:r>
        <w:t xml:space="preserve">4. </w:t>
      </w:r>
      <w:r w:rsidR="009D643E" w:rsidRPr="00562CCC">
        <w:t>Frick, N. M., Wilson, E., Reyna, J., Parker, A., Present, E., Kim, J., Hong, T., Li, H., &amp; Eckman, T. (2019). End-Use Load Profiles for the U.S. Building Stock: Market Needs, Use Cases,</w:t>
      </w:r>
      <w:r w:rsidR="009D643E">
        <w:t xml:space="preserve"> </w:t>
      </w:r>
      <w:r w:rsidR="009D643E" w:rsidRPr="00562CCC">
        <w:t>and Data Gaps. Lawrence Berkeley National Laboratory.</w:t>
      </w:r>
    </w:p>
    <w:p w14:paraId="46A77254" w14:textId="537CFBFE" w:rsidR="009D643E" w:rsidRDefault="009D643E" w:rsidP="00901410">
      <w:pPr>
        <w:pStyle w:val="NoSpacing"/>
      </w:pPr>
    </w:p>
    <w:p w14:paraId="7E7F6985" w14:textId="68FA14EE" w:rsidR="006C4B71" w:rsidRDefault="006C4B71" w:rsidP="006C4B71">
      <w:pPr>
        <w:pStyle w:val="NoSpacing"/>
      </w:pPr>
      <w:r>
        <w:t xml:space="preserve">5. </w:t>
      </w:r>
      <w:proofErr w:type="spellStart"/>
      <w:r w:rsidRPr="000C7ECD">
        <w:t>McSharry</w:t>
      </w:r>
      <w:proofErr w:type="spellEnd"/>
      <w:r w:rsidRPr="000C7ECD">
        <w:t xml:space="preserve">, P.E., </w:t>
      </w:r>
      <w:proofErr w:type="spellStart"/>
      <w:r w:rsidRPr="000C7ECD">
        <w:t>Bouwman</w:t>
      </w:r>
      <w:proofErr w:type="spellEnd"/>
      <w:r w:rsidRPr="000C7ECD">
        <w:t xml:space="preserve">, S. and </w:t>
      </w:r>
      <w:proofErr w:type="spellStart"/>
      <w:r w:rsidRPr="000C7ECD">
        <w:t>Bloemhof</w:t>
      </w:r>
      <w:proofErr w:type="spellEnd"/>
      <w:r w:rsidRPr="000C7ECD">
        <w:t>, G.</w:t>
      </w:r>
      <w:r>
        <w:t xml:space="preserve">, </w:t>
      </w:r>
      <w:r w:rsidRPr="000C7ECD">
        <w:t>2005.</w:t>
      </w:r>
      <w:r>
        <w:t xml:space="preserve"> </w:t>
      </w:r>
      <w:r w:rsidRPr="000C7ECD">
        <w:t xml:space="preserve">Probabilistic forecasts of the magnitude and timing of peak electricity demand. </w:t>
      </w:r>
      <w:r w:rsidRPr="00DA2BD7">
        <w:rPr>
          <w:i/>
          <w:iCs/>
        </w:rPr>
        <w:t>IEEE Transactions on Power Systems</w:t>
      </w:r>
      <w:r>
        <w:t>,</w:t>
      </w:r>
      <w:r w:rsidRPr="000C7ECD">
        <w:t xml:space="preserve"> 20(2), 1166-1172.</w:t>
      </w:r>
    </w:p>
    <w:p w14:paraId="7900032E" w14:textId="77777777" w:rsidR="006C4B71" w:rsidRDefault="006C4B71" w:rsidP="006C4B71">
      <w:pPr>
        <w:pStyle w:val="NoSpacing"/>
      </w:pPr>
    </w:p>
    <w:p w14:paraId="726E3EA7" w14:textId="77777777" w:rsidR="002E4D0A" w:rsidRDefault="006C4B71" w:rsidP="006C4B71">
      <w:pPr>
        <w:pStyle w:val="NoSpacing"/>
      </w:pPr>
      <w:r>
        <w:lastRenderedPageBreak/>
        <w:t>6</w:t>
      </w:r>
      <w:r>
        <w:t xml:space="preserve">. </w:t>
      </w:r>
      <w:r w:rsidRPr="000C7ECD">
        <w:t>Shao, Z., Chao, F., Yang, S.-L. and Zhou, K.-L.</w:t>
      </w:r>
      <w:r>
        <w:t>,</w:t>
      </w:r>
      <w:r w:rsidRPr="000C7ECD">
        <w:t xml:space="preserve"> 2017. A review of the decomposition methodology for extracting and identifying the fluctuation characteristics in electricity demand forecasting. </w:t>
      </w:r>
      <w:r w:rsidRPr="000C04AE">
        <w:rPr>
          <w:i/>
          <w:iCs/>
        </w:rPr>
        <w:t>Renewable and Sustainable Energy Reviews</w:t>
      </w:r>
      <w:r>
        <w:t>,</w:t>
      </w:r>
      <w:r w:rsidRPr="000C7ECD">
        <w:t xml:space="preserve"> 75, 123-136.</w:t>
      </w:r>
    </w:p>
    <w:p w14:paraId="1737C6CD" w14:textId="77777777" w:rsidR="002E4D0A" w:rsidRDefault="002E4D0A" w:rsidP="006C4B71">
      <w:pPr>
        <w:pStyle w:val="NoSpacing"/>
      </w:pPr>
    </w:p>
    <w:p w14:paraId="1D64270C" w14:textId="1FBBDA99" w:rsidR="002E4D0A" w:rsidRDefault="002E4D0A" w:rsidP="006C4B71">
      <w:pPr>
        <w:pStyle w:val="NoSpacing"/>
      </w:pPr>
      <w:r>
        <w:t xml:space="preserve">7. </w:t>
      </w:r>
      <w:r>
        <w:t xml:space="preserve">New York Independent System Operator. COVID-19 and the electric grid: Load shifts as New Yorkers respond to crisis. </w:t>
      </w:r>
      <w:r w:rsidRPr="000C04AE">
        <w:t>https://www.nyiso.com/-/covid-19-and-the-electric-grid-load-shifts-as-new-yorkers-respond-to-crisis#:~:text=Blog-,COVID%2D19%20and%20the%20Electric%20Grid%3A%20Load%20Shifts%20as,New%20Yorkers%20Respond%20to%20Crisis&amp;text=That%20means%20energy%20load%20is,City%20and%20on%20Long%20Island</w:t>
      </w:r>
      <w:r w:rsidRPr="00562CCC">
        <w:t>.</w:t>
      </w:r>
      <w:r>
        <w:t xml:space="preserve"> (2020) [accessed 2020.06.27].</w:t>
      </w:r>
    </w:p>
    <w:p w14:paraId="3778BA38" w14:textId="2D8CD461" w:rsidR="002E4D0A" w:rsidRDefault="002E4D0A" w:rsidP="006C4B71">
      <w:pPr>
        <w:pStyle w:val="NoSpacing"/>
      </w:pPr>
    </w:p>
    <w:p w14:paraId="4591A4A5" w14:textId="7B5DB9A7" w:rsidR="00844125" w:rsidRDefault="00844125" w:rsidP="00844125">
      <w:pPr>
        <w:pStyle w:val="NoSpacing"/>
      </w:pPr>
      <w:r>
        <w:t xml:space="preserve">8. </w:t>
      </w:r>
      <w:proofErr w:type="spellStart"/>
      <w:r>
        <w:t>D’Urbino</w:t>
      </w:r>
      <w:proofErr w:type="spellEnd"/>
      <w:r>
        <w:t xml:space="preserve">, L. What will be the new normal for offices? </w:t>
      </w:r>
      <w:r w:rsidRPr="00052C84">
        <w:rPr>
          <w:i/>
          <w:iCs/>
        </w:rPr>
        <w:t>The Economist</w:t>
      </w:r>
    </w:p>
    <w:p w14:paraId="7F66169E" w14:textId="77777777" w:rsidR="00844125" w:rsidRDefault="00844125" w:rsidP="00844125">
      <w:pPr>
        <w:pStyle w:val="NoSpacing"/>
      </w:pPr>
      <w:r>
        <w:t xml:space="preserve"> </w:t>
      </w:r>
      <w:r w:rsidRPr="00052C84">
        <w:t>https://www.economist.com/britain/2020/05/09/what-will-be-the-new-normal-for-offices</w:t>
      </w:r>
    </w:p>
    <w:p w14:paraId="0A7EB2F3" w14:textId="77777777" w:rsidR="00844125" w:rsidRDefault="00844125" w:rsidP="00844125">
      <w:pPr>
        <w:pStyle w:val="NoSpacing"/>
      </w:pPr>
      <w:r>
        <w:t xml:space="preserve">(2020) </w:t>
      </w:r>
      <w:r w:rsidRPr="008F20A2">
        <w:t>[accessed 20</w:t>
      </w:r>
      <w:r>
        <w:t>20</w:t>
      </w:r>
      <w:r w:rsidRPr="008F20A2">
        <w:t>.0</w:t>
      </w:r>
      <w:r>
        <w:t>6</w:t>
      </w:r>
      <w:r w:rsidRPr="008F20A2">
        <w:t>.</w:t>
      </w:r>
      <w:r>
        <w:t>27</w:t>
      </w:r>
      <w:r w:rsidRPr="008F20A2">
        <w:t>]</w:t>
      </w:r>
      <w:r>
        <w:t>.</w:t>
      </w:r>
    </w:p>
    <w:p w14:paraId="39A3B805" w14:textId="77777777" w:rsidR="00844125" w:rsidRDefault="00844125" w:rsidP="00844125">
      <w:pPr>
        <w:pStyle w:val="NoSpacing"/>
      </w:pPr>
    </w:p>
    <w:p w14:paraId="58D763F1" w14:textId="337ABB69" w:rsidR="00844125" w:rsidRPr="00947849" w:rsidRDefault="00844125" w:rsidP="00844125">
      <w:pPr>
        <w:pStyle w:val="NoSpacing"/>
      </w:pPr>
      <w:r>
        <w:t>9</w:t>
      </w:r>
      <w:r>
        <w:t xml:space="preserve">. Sandler, R. </w:t>
      </w:r>
      <w:r w:rsidRPr="00947849">
        <w:t xml:space="preserve">Twitter </w:t>
      </w:r>
      <w:r>
        <w:t>t</w:t>
      </w:r>
      <w:r w:rsidRPr="00947849">
        <w:t xml:space="preserve">o </w:t>
      </w:r>
      <w:r>
        <w:t>a</w:t>
      </w:r>
      <w:r w:rsidRPr="00947849">
        <w:t xml:space="preserve">llow </w:t>
      </w:r>
      <w:r>
        <w:t>e</w:t>
      </w:r>
      <w:r w:rsidRPr="00947849">
        <w:t xml:space="preserve">mployees </w:t>
      </w:r>
      <w:r>
        <w:t>t</w:t>
      </w:r>
      <w:r w:rsidRPr="00947849">
        <w:t xml:space="preserve">o </w:t>
      </w:r>
      <w:r>
        <w:t>w</w:t>
      </w:r>
      <w:r w:rsidRPr="00947849">
        <w:t xml:space="preserve">ork </w:t>
      </w:r>
      <w:r>
        <w:t>f</w:t>
      </w:r>
      <w:r w:rsidRPr="00947849">
        <w:t xml:space="preserve">rom </w:t>
      </w:r>
      <w:r>
        <w:t>h</w:t>
      </w:r>
      <w:r w:rsidRPr="00947849">
        <w:t xml:space="preserve">ome </w:t>
      </w:r>
      <w:r>
        <w:t>a</w:t>
      </w:r>
      <w:r w:rsidRPr="00947849">
        <w:t xml:space="preserve">fter </w:t>
      </w:r>
      <w:r>
        <w:t>c</w:t>
      </w:r>
      <w:r w:rsidRPr="00947849">
        <w:t>oronavirus</w:t>
      </w:r>
      <w:r>
        <w:t xml:space="preserve">. </w:t>
      </w:r>
      <w:r w:rsidRPr="00947849">
        <w:rPr>
          <w:i/>
          <w:iCs/>
        </w:rPr>
        <w:t>Forbes</w:t>
      </w:r>
      <w:r>
        <w:t xml:space="preserve"> </w:t>
      </w:r>
      <w:r w:rsidRPr="00947849">
        <w:t>https://www.forbes.com/sites/</w:t>
      </w:r>
      <w:r w:rsidRPr="00947849">
        <w:rPr>
          <w:color w:val="000000" w:themeColor="text1"/>
        </w:rPr>
        <w:t>rachelsandler/2020/05/12/twitter-to-allow-employees-to-work-from-home-after-coronavirus/#d2751123e9fd</w:t>
      </w:r>
      <w:r w:rsidRPr="00947849">
        <w:rPr>
          <w:rStyle w:val="Hyperlink"/>
          <w:color w:val="000000" w:themeColor="text1"/>
          <w:u w:val="none"/>
        </w:rPr>
        <w:t xml:space="preserve"> (2020) [accessed 2020.06.27].</w:t>
      </w:r>
    </w:p>
    <w:p w14:paraId="5A22035E" w14:textId="77777777" w:rsidR="00844125" w:rsidRDefault="00844125" w:rsidP="00844125">
      <w:pPr>
        <w:pStyle w:val="NoSpacing"/>
      </w:pPr>
    </w:p>
    <w:p w14:paraId="65E81FC9" w14:textId="3D723C7D" w:rsidR="00844125" w:rsidRPr="002643BD" w:rsidRDefault="00844125" w:rsidP="00844125">
      <w:pPr>
        <w:pStyle w:val="NoSpacing"/>
        <w:rPr>
          <w:b/>
          <w:bCs/>
        </w:rPr>
      </w:pPr>
      <w:r>
        <w:t>1</w:t>
      </w:r>
      <w:r>
        <w:t>0</w:t>
      </w:r>
      <w:r>
        <w:t xml:space="preserve">. </w:t>
      </w:r>
      <w:proofErr w:type="spellStart"/>
      <w:r>
        <w:t>Lerman</w:t>
      </w:r>
      <w:proofErr w:type="spellEnd"/>
      <w:r>
        <w:t xml:space="preserve">, R., and </w:t>
      </w:r>
      <w:proofErr w:type="spellStart"/>
      <w:r>
        <w:t>Dwoskin</w:t>
      </w:r>
      <w:proofErr w:type="spellEnd"/>
      <w:r>
        <w:t xml:space="preserve">, E. Facebook will now let some employees work from anywhere, but their paychecks could get cut. </w:t>
      </w:r>
      <w:r w:rsidRPr="002643BD">
        <w:rPr>
          <w:i/>
          <w:iCs/>
        </w:rPr>
        <w:t>The Washington Post</w:t>
      </w:r>
      <w:r>
        <w:t xml:space="preserve"> </w:t>
      </w:r>
      <w:r w:rsidRPr="002643BD">
        <w:t>https://www.washingtonpost.com/technology/2020/05/21/facebook-permanent-remote-work</w:t>
      </w:r>
      <w:r w:rsidRPr="002643BD">
        <w:rPr>
          <w:color w:val="000000" w:themeColor="text1"/>
        </w:rPr>
        <w:t>/</w:t>
      </w:r>
      <w:r w:rsidRPr="002643BD">
        <w:rPr>
          <w:rStyle w:val="Hyperlink"/>
          <w:color w:val="000000" w:themeColor="text1"/>
          <w:u w:val="none"/>
        </w:rPr>
        <w:t xml:space="preserve"> (2020) [accessed 2020.06.27].</w:t>
      </w:r>
    </w:p>
    <w:p w14:paraId="0EBC6582" w14:textId="6C8EDEA7" w:rsidR="002E4D0A" w:rsidRDefault="002E4D0A" w:rsidP="006C4B71">
      <w:pPr>
        <w:pStyle w:val="NoSpacing"/>
      </w:pPr>
    </w:p>
    <w:p w14:paraId="3532777C" w14:textId="10D0689C" w:rsidR="00037F46" w:rsidRDefault="00037F46" w:rsidP="00037F46">
      <w:pPr>
        <w:pStyle w:val="NoSpacing"/>
      </w:pPr>
      <w:r>
        <w:t xml:space="preserve">11. </w:t>
      </w:r>
      <w:proofErr w:type="spellStart"/>
      <w:r>
        <w:t>Bandyk</w:t>
      </w:r>
      <w:proofErr w:type="spellEnd"/>
      <w:r>
        <w:t xml:space="preserve">, M. </w:t>
      </w:r>
      <w:r w:rsidRPr="008F20A2">
        <w:t>A COVID-19 hit to public power? For some, it's not all bad</w:t>
      </w:r>
      <w:r>
        <w:t xml:space="preserve">. </w:t>
      </w:r>
      <w:r w:rsidRPr="008F20A2">
        <w:rPr>
          <w:i/>
          <w:iCs/>
        </w:rPr>
        <w:t xml:space="preserve">Utility Dive </w:t>
      </w:r>
      <w:r w:rsidRPr="008F20A2">
        <w:t>https://www.utilitydive.com/news/a-covid-19-hit-to-public-power-for-some-its-not-all-bad/580208/</w:t>
      </w:r>
      <w:r>
        <w:t xml:space="preserve"> (2020) </w:t>
      </w:r>
      <w:r w:rsidRPr="008F20A2">
        <w:t>[accessed 20</w:t>
      </w:r>
      <w:r>
        <w:t>20</w:t>
      </w:r>
      <w:r w:rsidRPr="008F20A2">
        <w:t>.0</w:t>
      </w:r>
      <w:r>
        <w:t>6</w:t>
      </w:r>
      <w:r w:rsidRPr="008F20A2">
        <w:t>.</w:t>
      </w:r>
      <w:r>
        <w:t>27</w:t>
      </w:r>
      <w:r w:rsidRPr="008F20A2">
        <w:t>]</w:t>
      </w:r>
      <w:r>
        <w:t>.</w:t>
      </w:r>
    </w:p>
    <w:p w14:paraId="6C1E9CEC" w14:textId="77777777" w:rsidR="00037F46" w:rsidRDefault="00037F46" w:rsidP="00037F46">
      <w:pPr>
        <w:pStyle w:val="NoSpacing"/>
      </w:pPr>
    </w:p>
    <w:p w14:paraId="6D76F182" w14:textId="2649DC39" w:rsidR="00037F46" w:rsidRDefault="00037F46" w:rsidP="00037F46">
      <w:pPr>
        <w:pStyle w:val="NoSpacing"/>
      </w:pPr>
      <w:r>
        <w:t>1</w:t>
      </w:r>
      <w:r>
        <w:t xml:space="preserve">2. Lee, A., and </w:t>
      </w:r>
      <w:proofErr w:type="spellStart"/>
      <w:r>
        <w:t>DeVilbiss</w:t>
      </w:r>
      <w:proofErr w:type="spellEnd"/>
      <w:r>
        <w:t>, J.</w:t>
      </w:r>
      <w:r w:rsidRPr="00E51F22">
        <w:t xml:space="preserve"> </w:t>
      </w:r>
      <w:r w:rsidRPr="00FA46D5">
        <w:t>Daily electricity demand impacts from COVID-19 mitigation efforts differ by region</w:t>
      </w:r>
      <w:r>
        <w:t xml:space="preserve">. </w:t>
      </w:r>
      <w:r w:rsidRPr="00DB01C4">
        <w:rPr>
          <w:i/>
          <w:iCs/>
        </w:rPr>
        <w:t>U.S. Energy Information Administration (EIA) Today in Energy</w:t>
      </w:r>
      <w:r>
        <w:t xml:space="preserve"> </w:t>
      </w:r>
      <w:r w:rsidRPr="00534A8C">
        <w:t>https://www.eia.gov/todayinenergy/detail.php?id=43636</w:t>
      </w:r>
      <w:r>
        <w:t xml:space="preserve"> (2020</w:t>
      </w:r>
      <w:r w:rsidRPr="00534A8C">
        <w:t>) [accessed 2020.06.27].</w:t>
      </w:r>
    </w:p>
    <w:p w14:paraId="071BF819" w14:textId="77777777" w:rsidR="00037F46" w:rsidRDefault="00037F46" w:rsidP="00037F46">
      <w:pPr>
        <w:pStyle w:val="NoSpacing"/>
      </w:pPr>
    </w:p>
    <w:p w14:paraId="40008FE0" w14:textId="59FADE99" w:rsidR="002E4D0A" w:rsidRDefault="00037F46" w:rsidP="00037F46">
      <w:pPr>
        <w:pStyle w:val="NoSpacing"/>
      </w:pPr>
      <w:r>
        <w:rPr>
          <w:rStyle w:val="Hyperlink"/>
          <w:color w:val="000000" w:themeColor="text1"/>
          <w:u w:val="none"/>
        </w:rPr>
        <w:t>1</w:t>
      </w:r>
      <w:r>
        <w:rPr>
          <w:rStyle w:val="Hyperlink"/>
          <w:color w:val="000000" w:themeColor="text1"/>
          <w:u w:val="none"/>
        </w:rPr>
        <w:t xml:space="preserve">3. Gorski, A., and Lawson, G. </w:t>
      </w:r>
      <w:r w:rsidRPr="00E51F22">
        <w:t>Stay-at-home orders led to less commercial and industrial electricity use in April</w:t>
      </w:r>
      <w:r>
        <w:t>.</w:t>
      </w:r>
      <w:r w:rsidRPr="00E51F22">
        <w:t xml:space="preserve"> </w:t>
      </w:r>
      <w:r w:rsidRPr="00DB01C4">
        <w:rPr>
          <w:i/>
          <w:iCs/>
        </w:rPr>
        <w:t>U.S. Energy Information Administration (EIA) Today in Energy</w:t>
      </w:r>
      <w:r>
        <w:t xml:space="preserve"> </w:t>
      </w:r>
      <w:r w:rsidRPr="00DB01C4">
        <w:t>https://www.eia.gov/todayinenergy/detail.php?id=44276</w:t>
      </w:r>
      <w:r>
        <w:t xml:space="preserve"> (2020) [accessed 2020.06.30].</w:t>
      </w:r>
    </w:p>
    <w:p w14:paraId="083A88B3" w14:textId="489AEAD5" w:rsidR="00037F46" w:rsidRDefault="00037F46" w:rsidP="00037F46">
      <w:pPr>
        <w:pStyle w:val="NoSpacing"/>
      </w:pPr>
    </w:p>
    <w:p w14:paraId="7E8F1B16" w14:textId="7A0A2FE4" w:rsidR="00B26171" w:rsidRDefault="00B26171" w:rsidP="00B26171">
      <w:pPr>
        <w:pStyle w:val="NoSpacing"/>
      </w:pPr>
      <w:r>
        <w:t xml:space="preserve">14. </w:t>
      </w:r>
      <w:r>
        <w:t>Bahmanyar,</w:t>
      </w:r>
      <w:r>
        <w:t xml:space="preserve"> A.,</w:t>
      </w:r>
      <w:r>
        <w:t xml:space="preserve"> </w:t>
      </w:r>
      <w:proofErr w:type="spellStart"/>
      <w:r>
        <w:t>Estebsari</w:t>
      </w:r>
      <w:proofErr w:type="spellEnd"/>
      <w:r>
        <w:t>,</w:t>
      </w:r>
      <w:r>
        <w:t xml:space="preserve"> A., and </w:t>
      </w:r>
      <w:r>
        <w:t>Damien</w:t>
      </w:r>
      <w:r>
        <w:t xml:space="preserve">, </w:t>
      </w:r>
      <w:r>
        <w:t>E</w:t>
      </w:r>
      <w:r>
        <w:t xml:space="preserve">., 2020. </w:t>
      </w:r>
      <w:r>
        <w:t>The impact of different COVID-19 containment measures on electricity consumption in Europe</w:t>
      </w:r>
      <w:r>
        <w:t xml:space="preserve">. </w:t>
      </w:r>
      <w:r w:rsidRPr="00B26171">
        <w:rPr>
          <w:i/>
          <w:iCs/>
        </w:rPr>
        <w:t>Energy Research &amp; Social Science</w:t>
      </w:r>
      <w:r>
        <w:t>,</w:t>
      </w:r>
    </w:p>
    <w:p w14:paraId="4A40522F" w14:textId="5039921B" w:rsidR="00037F46" w:rsidRDefault="00B26171" w:rsidP="00B26171">
      <w:pPr>
        <w:pStyle w:val="NoSpacing"/>
      </w:pPr>
      <w:r>
        <w:t>68,</w:t>
      </w:r>
      <w:r>
        <w:t xml:space="preserve"> </w:t>
      </w:r>
      <w:r>
        <w:t>101683,</w:t>
      </w:r>
      <w:r>
        <w:t xml:space="preserve"> </w:t>
      </w:r>
      <w:r w:rsidRPr="00B26171">
        <w:t>https://doi.org/10.1016/j.erss.2020.101683</w:t>
      </w:r>
      <w:r>
        <w:t>.</w:t>
      </w:r>
    </w:p>
    <w:p w14:paraId="6361495C" w14:textId="2942545E" w:rsidR="00B26171" w:rsidRDefault="00B26171" w:rsidP="00B26171">
      <w:pPr>
        <w:pStyle w:val="NoSpacing"/>
      </w:pPr>
    </w:p>
    <w:p w14:paraId="70AB5EB5" w14:textId="1D8277FE" w:rsidR="00B26171" w:rsidRDefault="003116B0" w:rsidP="00B26171">
      <w:pPr>
        <w:pStyle w:val="NoSpacing"/>
      </w:pPr>
      <w:r>
        <w:t xml:space="preserve">15. </w:t>
      </w:r>
      <w:r>
        <w:t xml:space="preserve">Hook, A., Court, V., </w:t>
      </w:r>
      <w:proofErr w:type="spellStart"/>
      <w:r>
        <w:t>Sovacool</w:t>
      </w:r>
      <w:proofErr w:type="spellEnd"/>
      <w:r>
        <w:t xml:space="preserve">, B., and Sorrell, S., 2020. A systematic review of the energy and climate impacts of teleworking. </w:t>
      </w:r>
      <w:r w:rsidRPr="00170327">
        <w:rPr>
          <w:i/>
          <w:iCs/>
        </w:rPr>
        <w:t>Environmental Research Letters</w:t>
      </w:r>
      <w:r>
        <w:t>, https://doi.org/10.1088/1748-9326/ab8a84.</w:t>
      </w:r>
    </w:p>
    <w:p w14:paraId="05B9EEB9" w14:textId="77777777" w:rsidR="00B26171" w:rsidRDefault="00B26171" w:rsidP="00B26171">
      <w:pPr>
        <w:pStyle w:val="NoSpacing"/>
      </w:pPr>
    </w:p>
    <w:p w14:paraId="7EA2064E" w14:textId="7BE64245" w:rsidR="00844125" w:rsidRDefault="00334B10" w:rsidP="006C4B71">
      <w:pPr>
        <w:pStyle w:val="NoSpacing"/>
      </w:pPr>
      <w:r>
        <w:lastRenderedPageBreak/>
        <w:t xml:space="preserve">16. </w:t>
      </w:r>
      <w:r w:rsidR="005334F1">
        <w:t xml:space="preserve">Matthews, H.S., and Williams, E., 2005. Telework adoption and energy use in building and transport sectors in the United States and Japan. </w:t>
      </w:r>
      <w:r w:rsidR="005334F1" w:rsidRPr="00170327">
        <w:rPr>
          <w:i/>
          <w:iCs/>
        </w:rPr>
        <w:t>Journal of Infrastructure Systems</w:t>
      </w:r>
      <w:r w:rsidR="005334F1">
        <w:t>, 11(1), 21–30.</w:t>
      </w:r>
    </w:p>
    <w:p w14:paraId="2881316C" w14:textId="7F51C570" w:rsidR="00334B10" w:rsidRDefault="00334B10" w:rsidP="006C4B71">
      <w:pPr>
        <w:pStyle w:val="NoSpacing"/>
      </w:pPr>
    </w:p>
    <w:p w14:paraId="7F104548" w14:textId="55D469D3" w:rsidR="00334B10" w:rsidRDefault="00334B10" w:rsidP="006C4B71">
      <w:pPr>
        <w:pStyle w:val="NoSpacing"/>
      </w:pPr>
      <w:r>
        <w:t xml:space="preserve">17. </w:t>
      </w:r>
      <w:proofErr w:type="spellStart"/>
      <w:r w:rsidRPr="00334B10">
        <w:t>Sekar</w:t>
      </w:r>
      <w:proofErr w:type="spellEnd"/>
      <w:r w:rsidRPr="00334B10">
        <w:t>, A.</w:t>
      </w:r>
      <w:r>
        <w:t xml:space="preserve">, </w:t>
      </w:r>
      <w:r w:rsidRPr="00334B10">
        <w:t>Williams,</w:t>
      </w:r>
      <w:r>
        <w:t xml:space="preserve"> E., and Chen, R., 2018. </w:t>
      </w:r>
      <w:r w:rsidRPr="00334B10">
        <w:t xml:space="preserve">Changes in </w:t>
      </w:r>
      <w:r>
        <w:t>t</w:t>
      </w:r>
      <w:r w:rsidRPr="00334B10">
        <w:t xml:space="preserve">ime </w:t>
      </w:r>
      <w:r>
        <w:t>u</w:t>
      </w:r>
      <w:r w:rsidRPr="00334B10">
        <w:t xml:space="preserve">se and </w:t>
      </w:r>
      <w:r>
        <w:t>t</w:t>
      </w:r>
      <w:r w:rsidRPr="00334B10">
        <w:t xml:space="preserve">heir </w:t>
      </w:r>
      <w:r>
        <w:t>e</w:t>
      </w:r>
      <w:r w:rsidRPr="00334B10">
        <w:t xml:space="preserve">ffect on </w:t>
      </w:r>
      <w:r>
        <w:t>e</w:t>
      </w:r>
      <w:r w:rsidRPr="00334B10">
        <w:t xml:space="preserve">nergy </w:t>
      </w:r>
      <w:r>
        <w:t>c</w:t>
      </w:r>
      <w:r w:rsidRPr="00334B10">
        <w:t>onsumption in the United States</w:t>
      </w:r>
      <w:r>
        <w:t xml:space="preserve">. </w:t>
      </w:r>
      <w:r w:rsidRPr="00334B10">
        <w:rPr>
          <w:i/>
          <w:iCs/>
        </w:rPr>
        <w:t>Joule</w:t>
      </w:r>
      <w:r w:rsidRPr="00334B10">
        <w:t>, 2</w:t>
      </w:r>
      <w:r>
        <w:t>(</w:t>
      </w:r>
      <w:r w:rsidRPr="00334B10">
        <w:t>3</w:t>
      </w:r>
      <w:r>
        <w:t>)</w:t>
      </w:r>
      <w:r w:rsidRPr="00334B10">
        <w:t>, 521-536,</w:t>
      </w:r>
      <w:r>
        <w:t xml:space="preserve"> </w:t>
      </w:r>
      <w:r w:rsidRPr="00334B10">
        <w:t>https://doi.org/10.1016/j.joule.2018.01.003</w:t>
      </w:r>
      <w:r>
        <w:t>.</w:t>
      </w:r>
    </w:p>
    <w:p w14:paraId="24A73165" w14:textId="3D1EAD95" w:rsidR="00844125" w:rsidRDefault="00844125" w:rsidP="006C4B71">
      <w:pPr>
        <w:pStyle w:val="NoSpacing"/>
      </w:pPr>
    </w:p>
    <w:p w14:paraId="0161ACCE" w14:textId="6DE1763B" w:rsidR="00831AEB" w:rsidRDefault="00831AEB" w:rsidP="00831AEB">
      <w:pPr>
        <w:pStyle w:val="NoSpacing"/>
      </w:pPr>
      <w:r>
        <w:t xml:space="preserve">18. </w:t>
      </w:r>
      <w:r>
        <w:t xml:space="preserve">ComEd ADS Handbook. Data services handbook for third parties. </w:t>
      </w:r>
      <w:r w:rsidRPr="00052C84">
        <w:t>https://www.comed.com/SiteCollectionDocuments/SmartEnergy/ADSHandbook.pdf</w:t>
      </w:r>
      <w:r>
        <w:rPr>
          <w:rStyle w:val="Hyperlink"/>
        </w:rPr>
        <w:t xml:space="preserve"> </w:t>
      </w:r>
    </w:p>
    <w:p w14:paraId="1B2EFDAE" w14:textId="77777777" w:rsidR="00831AEB" w:rsidRDefault="00831AEB" w:rsidP="00831AEB">
      <w:pPr>
        <w:pStyle w:val="NoSpacing"/>
      </w:pPr>
      <w:r>
        <w:t xml:space="preserve">(2020) </w:t>
      </w:r>
      <w:r w:rsidRPr="008F20A2">
        <w:t>[accessed 20</w:t>
      </w:r>
      <w:r>
        <w:t>20</w:t>
      </w:r>
      <w:r w:rsidRPr="008F20A2">
        <w:t>.0</w:t>
      </w:r>
      <w:r>
        <w:t>4</w:t>
      </w:r>
      <w:r w:rsidRPr="008F20A2">
        <w:t>.</w:t>
      </w:r>
      <w:r>
        <w:t>01</w:t>
      </w:r>
      <w:r w:rsidRPr="008F20A2">
        <w:t>]</w:t>
      </w:r>
      <w:r>
        <w:t>.</w:t>
      </w:r>
    </w:p>
    <w:p w14:paraId="74C6C171" w14:textId="77777777" w:rsidR="00831AEB" w:rsidRDefault="00831AEB" w:rsidP="00831AEB">
      <w:pPr>
        <w:pStyle w:val="NoSpacing"/>
      </w:pPr>
    </w:p>
    <w:p w14:paraId="07F81177" w14:textId="0754F7E2" w:rsidR="00831AEB" w:rsidRDefault="00831AEB" w:rsidP="00831AEB">
      <w:pPr>
        <w:pStyle w:val="NoSpacing"/>
      </w:pPr>
      <w:r>
        <w:t>1</w:t>
      </w:r>
      <w:r>
        <w:t>9</w:t>
      </w:r>
      <w:r>
        <w:t xml:space="preserve">. ComEd Smart Meters FAQ. </w:t>
      </w:r>
      <w:r w:rsidRPr="00052C84">
        <w:t>https://www.comed.com/SiteCollectionDocuments/SmartEnergy/SmartMeterFAQ.pdf</w:t>
      </w:r>
    </w:p>
    <w:p w14:paraId="5CF60851" w14:textId="52C2B269" w:rsidR="00844125" w:rsidRDefault="00831AEB" w:rsidP="00831AEB">
      <w:pPr>
        <w:pStyle w:val="NoSpacing"/>
      </w:pPr>
      <w:r>
        <w:t xml:space="preserve">(2017) </w:t>
      </w:r>
      <w:r w:rsidRPr="008F20A2">
        <w:t>[accessed 20</w:t>
      </w:r>
      <w:r>
        <w:t>20</w:t>
      </w:r>
      <w:r w:rsidRPr="008F20A2">
        <w:t>.0</w:t>
      </w:r>
      <w:r>
        <w:t>6</w:t>
      </w:r>
      <w:r w:rsidRPr="008F20A2">
        <w:t>.</w:t>
      </w:r>
      <w:r>
        <w:t>27</w:t>
      </w:r>
      <w:r w:rsidRPr="008F20A2">
        <w:t>]</w:t>
      </w:r>
      <w:r>
        <w:t>.</w:t>
      </w:r>
    </w:p>
    <w:p w14:paraId="4FE42986" w14:textId="7F19DF34" w:rsidR="00B26171" w:rsidRDefault="00B26171" w:rsidP="006C4B71">
      <w:pPr>
        <w:pStyle w:val="NoSpacing"/>
      </w:pPr>
    </w:p>
    <w:p w14:paraId="1E94D2D1" w14:textId="28FC1C88" w:rsidR="00B26171" w:rsidRDefault="003E007B" w:rsidP="006C4B71">
      <w:pPr>
        <w:pStyle w:val="NoSpacing"/>
      </w:pPr>
      <w:r>
        <w:t xml:space="preserve">20. </w:t>
      </w:r>
      <w:r>
        <w:t xml:space="preserve">Petrella, D., St. Clair, S., Johnson, S., and Pratt, G. </w:t>
      </w:r>
      <w:r w:rsidRPr="008F20A2">
        <w:t>Gov. J.B. Pritzker issues order requiring residents to ‘stay at home’ starting Saturday</w:t>
      </w:r>
      <w:r>
        <w:t xml:space="preserve">. </w:t>
      </w:r>
      <w:r w:rsidRPr="00052C84">
        <w:rPr>
          <w:i/>
          <w:iCs/>
        </w:rPr>
        <w:t>Chicago Tribune</w:t>
      </w:r>
      <w:r>
        <w:t xml:space="preserve"> </w:t>
      </w:r>
      <w:r w:rsidRPr="00052C84">
        <w:t>https://www.chicagotribune.com/coronavirus/ct-coronavirus-illinois-shelter-in-place-lockdown-order-20200320-teedakbfw5gvdgmnaxlel54hau-story.html</w:t>
      </w:r>
      <w:r>
        <w:t xml:space="preserve"> (2020) </w:t>
      </w:r>
      <w:r w:rsidRPr="008F20A2">
        <w:t>[accessed 20</w:t>
      </w:r>
      <w:r>
        <w:t>20</w:t>
      </w:r>
      <w:r w:rsidRPr="008F20A2">
        <w:t>.0</w:t>
      </w:r>
      <w:r>
        <w:t>6</w:t>
      </w:r>
      <w:r w:rsidRPr="008F20A2">
        <w:t>.</w:t>
      </w:r>
      <w:r>
        <w:t>27</w:t>
      </w:r>
      <w:r w:rsidRPr="008F20A2">
        <w:t>]</w:t>
      </w:r>
      <w:r>
        <w:t>.</w:t>
      </w:r>
    </w:p>
    <w:p w14:paraId="1413E493" w14:textId="77777777" w:rsidR="00B26171" w:rsidRDefault="00B26171" w:rsidP="006C4B71">
      <w:pPr>
        <w:pStyle w:val="NoSpacing"/>
      </w:pPr>
    </w:p>
    <w:p w14:paraId="42208FA0" w14:textId="0D69B1F3" w:rsidR="00844125" w:rsidRDefault="008D2B03" w:rsidP="006C4B71">
      <w:pPr>
        <w:pStyle w:val="NoSpacing"/>
      </w:pPr>
      <w:r>
        <w:t xml:space="preserve">21. </w:t>
      </w:r>
      <w:r>
        <w:t xml:space="preserve">Hodge, T. </w:t>
      </w:r>
      <w:r w:rsidRPr="00A726BF">
        <w:t>EIA expects 2020 summer U.S. electricity demand to be lowest since 2009</w:t>
      </w:r>
      <w:r>
        <w:t xml:space="preserve">. </w:t>
      </w:r>
      <w:r w:rsidRPr="00DB01C4">
        <w:rPr>
          <w:i/>
          <w:iCs/>
        </w:rPr>
        <w:t>U.S. Energy Information Administration (EIA) Today in Energy</w:t>
      </w:r>
      <w:r>
        <w:t xml:space="preserve"> </w:t>
      </w:r>
      <w:r w:rsidRPr="00003D6A">
        <w:t>https://www.eia.gov/todayinenergy/detail.php?id=44055#:~:text=The%20U.S.%20Energy%20Information%20Administration,5%25%20less%20than%20last%20summe</w:t>
      </w:r>
      <w:r w:rsidRPr="00003D6A">
        <w:rPr>
          <w:color w:val="000000" w:themeColor="text1"/>
        </w:rPr>
        <w:t>r</w:t>
      </w:r>
      <w:r w:rsidRPr="00003D6A">
        <w:rPr>
          <w:rStyle w:val="Hyperlink"/>
          <w:color w:val="000000" w:themeColor="text1"/>
          <w:u w:val="none"/>
        </w:rPr>
        <w:t xml:space="preserve"> (2020) [assessed 2020.06.27].</w:t>
      </w:r>
    </w:p>
    <w:p w14:paraId="144CEBD0" w14:textId="77777777" w:rsidR="00844125" w:rsidRDefault="00844125" w:rsidP="006C4B71">
      <w:pPr>
        <w:pStyle w:val="NoSpacing"/>
      </w:pPr>
    </w:p>
    <w:p w14:paraId="3E9144ED" w14:textId="14DFF596" w:rsidR="000D584C" w:rsidRDefault="007B6BF0" w:rsidP="00901410">
      <w:pPr>
        <w:pStyle w:val="NoSpacing"/>
      </w:pPr>
      <w:r>
        <w:t>22. C</w:t>
      </w:r>
      <w:r w:rsidRPr="008F20A2">
        <w:t xml:space="preserve">alifornia </w:t>
      </w:r>
      <w:r>
        <w:t>I</w:t>
      </w:r>
      <w:r w:rsidRPr="008F20A2">
        <w:t xml:space="preserve">ndependent </w:t>
      </w:r>
      <w:r>
        <w:t>S</w:t>
      </w:r>
      <w:r w:rsidRPr="008F20A2">
        <w:t xml:space="preserve">ystem </w:t>
      </w:r>
      <w:r>
        <w:t>O</w:t>
      </w:r>
      <w:r w:rsidRPr="008F20A2">
        <w:t>perator. What the duck curve tells us about managing a green grid</w:t>
      </w:r>
      <w:r>
        <w:t xml:space="preserve">. </w:t>
      </w:r>
      <w:r w:rsidRPr="008F20A2">
        <w:t>https://www.caiso.com/Documents/FlexibleResourcesHelpRenewables_FastFacts.pdf</w:t>
      </w:r>
      <w:r>
        <w:t xml:space="preserve"> (2016)</w:t>
      </w:r>
      <w:r w:rsidRPr="008F20A2">
        <w:t xml:space="preserve"> [accessed 20</w:t>
      </w:r>
      <w:r>
        <w:t>20</w:t>
      </w:r>
      <w:r w:rsidRPr="008F20A2">
        <w:t>.0</w:t>
      </w:r>
      <w:r>
        <w:t>6</w:t>
      </w:r>
      <w:r w:rsidRPr="008F20A2">
        <w:t>.</w:t>
      </w:r>
      <w:r>
        <w:t>27</w:t>
      </w:r>
      <w:r w:rsidRPr="008F20A2">
        <w:t>]</w:t>
      </w:r>
      <w:r>
        <w:t>.</w:t>
      </w:r>
    </w:p>
    <w:p w14:paraId="41663D4E" w14:textId="0A4AA9AA" w:rsidR="000D584C" w:rsidRDefault="000D584C" w:rsidP="00901410">
      <w:pPr>
        <w:pStyle w:val="NoSpacing"/>
      </w:pPr>
    </w:p>
    <w:p w14:paraId="5C356E3C" w14:textId="7DF887FD" w:rsidR="007B6BF0" w:rsidRDefault="007B6BF0" w:rsidP="007B6BF0">
      <w:pPr>
        <w:pStyle w:val="NoSpacing"/>
      </w:pPr>
      <w:r>
        <w:t>2</w:t>
      </w:r>
      <w:r>
        <w:t>3</w:t>
      </w:r>
      <w:r>
        <w:t xml:space="preserve">. Cochran, J., Denholm, P., Speer, B., and Miller, M., 2015. Grid integration and the carrying capacity of the U.S. grid to incorporate variable renewable energy. National Renewable Energy Lab. </w:t>
      </w:r>
    </w:p>
    <w:p w14:paraId="08D2E3E5" w14:textId="77777777" w:rsidR="007B6BF0" w:rsidRDefault="007B6BF0" w:rsidP="007B6BF0">
      <w:pPr>
        <w:pStyle w:val="NoSpacing"/>
      </w:pPr>
    </w:p>
    <w:p w14:paraId="1D7D717B" w14:textId="25AC4738" w:rsidR="007B6BF0" w:rsidRDefault="007B6BF0" w:rsidP="007B6BF0">
      <w:pPr>
        <w:pStyle w:val="NoSpacing"/>
      </w:pPr>
      <w:r>
        <w:t>2</w:t>
      </w:r>
      <w:r>
        <w:t>4</w:t>
      </w:r>
      <w:r>
        <w:t xml:space="preserve">. Wang, C., and </w:t>
      </w:r>
      <w:proofErr w:type="spellStart"/>
      <w:r>
        <w:t>Shahidehpour</w:t>
      </w:r>
      <w:proofErr w:type="spellEnd"/>
      <w:r>
        <w:t xml:space="preserve">, S.M., 1993. Effects of ramp-rate limits on unit commitment and economic dispatch. </w:t>
      </w:r>
      <w:r w:rsidRPr="007A3333">
        <w:rPr>
          <w:i/>
          <w:iCs/>
        </w:rPr>
        <w:t>IEEE Transactions on Power Systems</w:t>
      </w:r>
      <w:r>
        <w:t>, 8(3), 1341-1350.</w:t>
      </w:r>
    </w:p>
    <w:p w14:paraId="70773261" w14:textId="77777777" w:rsidR="007B6BF0" w:rsidRDefault="007B6BF0" w:rsidP="007B6BF0">
      <w:pPr>
        <w:pStyle w:val="NoSpacing"/>
      </w:pPr>
    </w:p>
    <w:p w14:paraId="6D5B8771" w14:textId="53136B42" w:rsidR="000D584C" w:rsidRDefault="007B6BF0" w:rsidP="007B6BF0">
      <w:pPr>
        <w:pStyle w:val="NoSpacing"/>
      </w:pPr>
      <w:r>
        <w:t>2</w:t>
      </w:r>
      <w:r>
        <w:t>5</w:t>
      </w:r>
      <w:r>
        <w:t xml:space="preserve">. </w:t>
      </w:r>
      <w:proofErr w:type="spellStart"/>
      <w:r>
        <w:t>Rober</w:t>
      </w:r>
      <w:proofErr w:type="spellEnd"/>
      <w:r>
        <w:t xml:space="preserve">, W. Electricity prices fall along with demand. Statista </w:t>
      </w:r>
      <w:r w:rsidRPr="000C04AE">
        <w:rPr>
          <w:rFonts w:ascii="Calibri" w:eastAsia="Times New Roman" w:hAnsi="Calibri" w:cs="Calibri"/>
          <w:color w:val="000000" w:themeColor="text1"/>
          <w:shd w:val="clear" w:color="auto" w:fill="FFFFFF"/>
        </w:rPr>
        <w:t>https://www.statista.com/chart/21675/electricity-prices-covid/</w:t>
      </w:r>
      <w:r>
        <w:rPr>
          <w:rFonts w:ascii="Calibri" w:eastAsia="Times New Roman" w:hAnsi="Calibri" w:cs="Calibri"/>
          <w:color w:val="000000" w:themeColor="text1"/>
          <w:shd w:val="clear" w:color="auto" w:fill="FFFFFF"/>
        </w:rPr>
        <w:t xml:space="preserve"> (2020) </w:t>
      </w:r>
      <w:r>
        <w:t>[accessed 2020.06.27].</w:t>
      </w:r>
    </w:p>
    <w:p w14:paraId="05B205F2" w14:textId="199AD43B" w:rsidR="002E4D0A" w:rsidRDefault="002E4D0A" w:rsidP="00901410">
      <w:pPr>
        <w:pStyle w:val="NoSpacing"/>
      </w:pPr>
    </w:p>
    <w:p w14:paraId="63CCA191" w14:textId="77493366" w:rsidR="002E4D0A" w:rsidRDefault="00037EEB" w:rsidP="00901410">
      <w:pPr>
        <w:pStyle w:val="NoSpacing"/>
      </w:pPr>
      <w:r>
        <w:lastRenderedPageBreak/>
        <w:t xml:space="preserve">26. </w:t>
      </w:r>
      <w:r>
        <w:t xml:space="preserve">St. John, J. </w:t>
      </w:r>
      <w:r w:rsidRPr="003216C8">
        <w:t>The Solar ‘Duck Curve’ Might Look Different Under Coronavirus</w:t>
      </w:r>
      <w:r>
        <w:t xml:space="preserve">. </w:t>
      </w:r>
      <w:r w:rsidRPr="003216C8">
        <w:rPr>
          <w:i/>
          <w:iCs/>
        </w:rPr>
        <w:t>Green Tech Media</w:t>
      </w:r>
      <w:r>
        <w:t xml:space="preserve"> </w:t>
      </w:r>
      <w:r w:rsidRPr="003216C8">
        <w:t>https://www.greentechmedia.com/articles/read/tracking-the-duck-curve-under-coronavirus-lockdown-and-other-findings-from-pecan-street</w:t>
      </w:r>
      <w:r>
        <w:t xml:space="preserve"> (2020) [accessed 2020.07.02].</w:t>
      </w:r>
    </w:p>
    <w:p w14:paraId="100218D0" w14:textId="1CCC784F" w:rsidR="007B6BF0" w:rsidRDefault="007B6BF0" w:rsidP="00901410">
      <w:pPr>
        <w:pStyle w:val="NoSpacing"/>
      </w:pPr>
    </w:p>
    <w:p w14:paraId="34E318BF" w14:textId="49A97CB5" w:rsidR="00C2729A" w:rsidRDefault="00C2729A" w:rsidP="00C2729A">
      <w:pPr>
        <w:pStyle w:val="NoSpacing"/>
      </w:pPr>
      <w:r>
        <w:t xml:space="preserve">27. </w:t>
      </w:r>
      <w:proofErr w:type="spellStart"/>
      <w:r w:rsidRPr="002B2EAB">
        <w:t>Gerwig</w:t>
      </w:r>
      <w:proofErr w:type="spellEnd"/>
      <w:r>
        <w:t>,</w:t>
      </w:r>
      <w:r w:rsidRPr="002B2EAB">
        <w:t xml:space="preserve"> C.</w:t>
      </w:r>
      <w:r>
        <w:t xml:space="preserve">, </w:t>
      </w:r>
      <w:r w:rsidRPr="002B2EAB">
        <w:t>2015</w:t>
      </w:r>
      <w:r>
        <w:t xml:space="preserve">. </w:t>
      </w:r>
      <w:r w:rsidRPr="002B2EAB">
        <w:t>Short Term Load Forecasting for Residential Buildings—An Extensive Literature Review. In: Neves-Silva R., Jain L., Howlett R. (eds) Intelligent Decision Technologies. IDT 2017. Smart Innovation, Systems and Technologies, vol 39. Springer, Cham</w:t>
      </w:r>
      <w:r>
        <w:t>.</w:t>
      </w:r>
    </w:p>
    <w:p w14:paraId="073933A1" w14:textId="77777777" w:rsidR="00C2729A" w:rsidRDefault="00C2729A" w:rsidP="00C2729A">
      <w:pPr>
        <w:pStyle w:val="NoSpacing"/>
      </w:pPr>
    </w:p>
    <w:p w14:paraId="6B303EB8" w14:textId="60C7BAB4" w:rsidR="00C2729A" w:rsidRDefault="00C2729A" w:rsidP="00C2729A">
      <w:pPr>
        <w:pStyle w:val="NoSpacing"/>
      </w:pPr>
      <w:r>
        <w:t>2</w:t>
      </w:r>
      <w:r>
        <w:t>8</w:t>
      </w:r>
      <w:r>
        <w:t xml:space="preserve">. </w:t>
      </w:r>
      <w:proofErr w:type="spellStart"/>
      <w:r>
        <w:t>Lusis</w:t>
      </w:r>
      <w:proofErr w:type="spellEnd"/>
      <w:r>
        <w:t xml:space="preserve">, P., </w:t>
      </w:r>
      <w:proofErr w:type="spellStart"/>
      <w:r>
        <w:t>Khalilpour</w:t>
      </w:r>
      <w:proofErr w:type="spellEnd"/>
      <w:r>
        <w:t xml:space="preserve">, K.R., Andrew, L., and Liebman, A., 2017. Short-term residential load forecasting: Impact of calendar effects and forecast granularity. </w:t>
      </w:r>
      <w:r w:rsidRPr="00EB77EA">
        <w:rPr>
          <w:i/>
          <w:iCs/>
        </w:rPr>
        <w:t>Applied Energy</w:t>
      </w:r>
      <w:r>
        <w:t>, 205, 654-669.</w:t>
      </w:r>
    </w:p>
    <w:p w14:paraId="046675EF" w14:textId="69C714CF" w:rsidR="007B6BF0" w:rsidRDefault="007B6BF0" w:rsidP="00901410">
      <w:pPr>
        <w:pStyle w:val="NoSpacing"/>
      </w:pPr>
    </w:p>
    <w:p w14:paraId="157631E1" w14:textId="657F165F" w:rsidR="007B6BF0" w:rsidRDefault="00C2729A" w:rsidP="00901410">
      <w:pPr>
        <w:pStyle w:val="NoSpacing"/>
      </w:pPr>
      <w:r>
        <w:t xml:space="preserve">29. </w:t>
      </w:r>
      <w:r>
        <w:t xml:space="preserve">Lindberg, K.B., </w:t>
      </w:r>
      <w:proofErr w:type="spellStart"/>
      <w:r>
        <w:t>Seljom</w:t>
      </w:r>
      <w:proofErr w:type="spellEnd"/>
      <w:r>
        <w:t xml:space="preserve">, P., Madsen, H., Fischer, D., and </w:t>
      </w:r>
      <w:proofErr w:type="spellStart"/>
      <w:r>
        <w:t>Korpås</w:t>
      </w:r>
      <w:proofErr w:type="spellEnd"/>
      <w:r>
        <w:t xml:space="preserve">, M., 2019. Long-term electricity load forecasting: Current and future trends. </w:t>
      </w:r>
      <w:r w:rsidRPr="00170327">
        <w:rPr>
          <w:i/>
          <w:iCs/>
        </w:rPr>
        <w:t>Utilities Policy</w:t>
      </w:r>
      <w:r>
        <w:t>, 58, 102-119.</w:t>
      </w:r>
    </w:p>
    <w:p w14:paraId="08605815" w14:textId="1A47DBB0" w:rsidR="007B6BF0" w:rsidRDefault="007B6BF0" w:rsidP="00901410">
      <w:pPr>
        <w:pStyle w:val="NoSpacing"/>
      </w:pPr>
    </w:p>
    <w:p w14:paraId="7E9AC104" w14:textId="573913F8" w:rsidR="001C7526" w:rsidRPr="001C7526" w:rsidRDefault="001C7526" w:rsidP="001C7526">
      <w:pPr>
        <w:pStyle w:val="NoSpacing"/>
      </w:pPr>
      <w:r>
        <w:t xml:space="preserve">30. </w:t>
      </w:r>
      <w:r w:rsidRPr="001C7526">
        <w:t>Bailey, M., Brownlee, B., Moyer, K.</w:t>
      </w:r>
      <w:r>
        <w:t>,</w:t>
      </w:r>
      <w:r w:rsidRPr="001C7526">
        <w:t xml:space="preserve"> and Zhang, H.</w:t>
      </w:r>
      <w:r>
        <w:t xml:space="preserve">, </w:t>
      </w:r>
      <w:r w:rsidRPr="001C7526">
        <w:t>2014</w:t>
      </w:r>
      <w:r>
        <w:t xml:space="preserve">. </w:t>
      </w:r>
      <w:r w:rsidRPr="001C7526">
        <w:t>Planning</w:t>
      </w:r>
      <w:r w:rsidRPr="001C7526">
        <w:t xml:space="preserve"> for energy futures: The WECC Interconnection-wide </w:t>
      </w:r>
      <w:r w:rsidRPr="001C7526">
        <w:t>Transmission</w:t>
      </w:r>
      <w:r w:rsidRPr="001C7526">
        <w:t xml:space="preserve"> expansion experience, pp. 1-5, IEEE.</w:t>
      </w:r>
    </w:p>
    <w:p w14:paraId="11EBC57F" w14:textId="77777777" w:rsidR="001C7526" w:rsidRPr="001C7526" w:rsidRDefault="001C7526" w:rsidP="001C7526">
      <w:pPr>
        <w:pStyle w:val="NoSpacing"/>
      </w:pPr>
    </w:p>
    <w:p w14:paraId="1D04432D" w14:textId="7CF579D5" w:rsidR="001C7526" w:rsidRPr="001C7526" w:rsidRDefault="001C7526" w:rsidP="001C7526">
      <w:pPr>
        <w:pStyle w:val="NoSpacing"/>
      </w:pPr>
      <w:r>
        <w:t xml:space="preserve">31. </w:t>
      </w:r>
      <w:r w:rsidRPr="001C7526">
        <w:t xml:space="preserve">Cohen, S.M., </w:t>
      </w:r>
      <w:r>
        <w:t>and Coauthors,</w:t>
      </w:r>
      <w:r w:rsidRPr="001C7526">
        <w:t xml:space="preserve"> 2019</w:t>
      </w:r>
      <w:r>
        <w:t>.</w:t>
      </w:r>
      <w:r w:rsidRPr="001C7526">
        <w:t xml:space="preserve"> Regional Energy Deployment System (ReEDS) Model Documentation: Version 2018</w:t>
      </w:r>
      <w:r>
        <w:t xml:space="preserve">. </w:t>
      </w:r>
      <w:r>
        <w:t>National Renewable Energy Lab</w:t>
      </w:r>
      <w:r>
        <w:t>oratory</w:t>
      </w:r>
      <w:r w:rsidRPr="001C7526">
        <w:t>.</w:t>
      </w:r>
    </w:p>
    <w:p w14:paraId="4791C500" w14:textId="77777777" w:rsidR="001C7526" w:rsidRPr="001C7526" w:rsidRDefault="001C7526" w:rsidP="001C7526">
      <w:pPr>
        <w:pStyle w:val="NoSpacing"/>
      </w:pPr>
    </w:p>
    <w:p w14:paraId="36697AD0" w14:textId="3D53746D" w:rsidR="007F373C" w:rsidRPr="001C7526" w:rsidRDefault="001C7526" w:rsidP="001C7526">
      <w:pPr>
        <w:pStyle w:val="NoSpacing"/>
      </w:pPr>
      <w:r>
        <w:t xml:space="preserve">32. </w:t>
      </w:r>
      <w:r w:rsidRPr="001C7526">
        <w:t>Wise, M., Patel, P., Khan, Z., Kim, S.H., Hejazi, M.</w:t>
      </w:r>
      <w:r>
        <w:t>,</w:t>
      </w:r>
      <w:r w:rsidRPr="001C7526">
        <w:t xml:space="preserve"> and Iyer, G.</w:t>
      </w:r>
      <w:r>
        <w:t>,</w:t>
      </w:r>
      <w:r w:rsidRPr="001C7526">
        <w:t xml:space="preserve"> 2019. Representing power sector detail and flexibility in a multi-sector model. </w:t>
      </w:r>
      <w:r w:rsidRPr="001C7526">
        <w:rPr>
          <w:i/>
          <w:iCs/>
        </w:rPr>
        <w:t>Energy Strategy Reviews</w:t>
      </w:r>
      <w:r>
        <w:t>,</w:t>
      </w:r>
      <w:r w:rsidRPr="001C7526">
        <w:t xml:space="preserve"> 26, 100411.</w:t>
      </w:r>
    </w:p>
    <w:p w14:paraId="1F566C21" w14:textId="77777777" w:rsidR="007F373C" w:rsidRDefault="007F373C" w:rsidP="00901410">
      <w:pPr>
        <w:pStyle w:val="NoSpacing"/>
      </w:pPr>
    </w:p>
    <w:p w14:paraId="5BF9DD51" w14:textId="19DE75B9" w:rsidR="00DF7C92" w:rsidRPr="00B63A19" w:rsidRDefault="00D4115E" w:rsidP="00B63A19">
      <w:pPr>
        <w:pStyle w:val="NoSpacing"/>
      </w:pPr>
      <w:r>
        <w:t>3</w:t>
      </w:r>
      <w:r w:rsidR="001C7526">
        <w:t>3</w:t>
      </w:r>
      <w:r>
        <w:t xml:space="preserve">. </w:t>
      </w:r>
      <w:r>
        <w:t xml:space="preserve">EIA-861M Dataset: </w:t>
      </w:r>
      <w:r w:rsidRPr="00752BA7">
        <w:t>https://www.eia.gov/electricity/data/eia861m/</w:t>
      </w:r>
    </w:p>
    <w:sectPr w:rsidR="00DF7C92" w:rsidRPr="00B63A19" w:rsidSect="00DD3AF0">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460C8" w14:textId="77777777" w:rsidR="00B522CB" w:rsidRDefault="00B522CB" w:rsidP="006E65C7">
      <w:r>
        <w:separator/>
      </w:r>
    </w:p>
  </w:endnote>
  <w:endnote w:type="continuationSeparator" w:id="0">
    <w:p w14:paraId="41696D41" w14:textId="77777777" w:rsidR="00B522CB" w:rsidRDefault="00B522CB" w:rsidP="006E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966294"/>
      <w:docPartObj>
        <w:docPartGallery w:val="Page Numbers (Bottom of Page)"/>
        <w:docPartUnique/>
      </w:docPartObj>
    </w:sdtPr>
    <w:sdtEndPr>
      <w:rPr>
        <w:rStyle w:val="PageNumber"/>
      </w:rPr>
    </w:sdtEndPr>
    <w:sdtContent>
      <w:p w14:paraId="04BBCE1E" w14:textId="0BC499E8" w:rsidR="00682714" w:rsidRDefault="00682714" w:rsidP="00AB31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8126D6" w14:textId="77777777" w:rsidR="00682714" w:rsidRDefault="00682714" w:rsidP="006E65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F68DE" w14:textId="77777777" w:rsidR="00682714" w:rsidRDefault="00682714" w:rsidP="006E65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F0B70" w14:textId="77777777" w:rsidR="00B522CB" w:rsidRDefault="00B522CB" w:rsidP="006E65C7">
      <w:r>
        <w:separator/>
      </w:r>
    </w:p>
  </w:footnote>
  <w:footnote w:type="continuationSeparator" w:id="0">
    <w:p w14:paraId="47CA6D9C" w14:textId="77777777" w:rsidR="00B522CB" w:rsidRDefault="00B522CB" w:rsidP="006E6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12CAC"/>
    <w:multiLevelType w:val="multilevel"/>
    <w:tmpl w:val="FFCA8A7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356241C0"/>
    <w:multiLevelType w:val="multilevel"/>
    <w:tmpl w:val="58CE3000"/>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9EB6051"/>
    <w:multiLevelType w:val="hybridMultilevel"/>
    <w:tmpl w:val="B2BE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Water Researc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xfvvexwxdwt3e5dzbvwvslf5299rs2vvza&quot;&gt;My EndNote Library-Converted&lt;record-ids&gt;&lt;item&gt;918&lt;/item&gt;&lt;item&gt;936&lt;/item&gt;&lt;item&gt;942&lt;/item&gt;&lt;/record-ids&gt;&lt;/item&gt;&lt;/Libraries&gt;"/>
  </w:docVars>
  <w:rsids>
    <w:rsidRoot w:val="007B0340"/>
    <w:rsid w:val="000014EB"/>
    <w:rsid w:val="00002CC3"/>
    <w:rsid w:val="00006428"/>
    <w:rsid w:val="00007A37"/>
    <w:rsid w:val="000108FC"/>
    <w:rsid w:val="00013780"/>
    <w:rsid w:val="00013BA1"/>
    <w:rsid w:val="00016793"/>
    <w:rsid w:val="00016EC8"/>
    <w:rsid w:val="00017686"/>
    <w:rsid w:val="00017758"/>
    <w:rsid w:val="000237F6"/>
    <w:rsid w:val="00025A06"/>
    <w:rsid w:val="00025CF1"/>
    <w:rsid w:val="00026E96"/>
    <w:rsid w:val="0003158C"/>
    <w:rsid w:val="000330CE"/>
    <w:rsid w:val="0003438A"/>
    <w:rsid w:val="000373F9"/>
    <w:rsid w:val="00037588"/>
    <w:rsid w:val="00037EEB"/>
    <w:rsid w:val="00037F46"/>
    <w:rsid w:val="0004329C"/>
    <w:rsid w:val="000457EB"/>
    <w:rsid w:val="00052C84"/>
    <w:rsid w:val="00054800"/>
    <w:rsid w:val="000553A4"/>
    <w:rsid w:val="0006389B"/>
    <w:rsid w:val="0006427A"/>
    <w:rsid w:val="00066C09"/>
    <w:rsid w:val="00070C87"/>
    <w:rsid w:val="000711AC"/>
    <w:rsid w:val="000734DF"/>
    <w:rsid w:val="00076657"/>
    <w:rsid w:val="00077B5D"/>
    <w:rsid w:val="00077E89"/>
    <w:rsid w:val="00080B5B"/>
    <w:rsid w:val="00081E5D"/>
    <w:rsid w:val="000961DF"/>
    <w:rsid w:val="000A25F6"/>
    <w:rsid w:val="000A3D4D"/>
    <w:rsid w:val="000B01FD"/>
    <w:rsid w:val="000B1102"/>
    <w:rsid w:val="000B5F57"/>
    <w:rsid w:val="000B73CD"/>
    <w:rsid w:val="000C4200"/>
    <w:rsid w:val="000C4CEE"/>
    <w:rsid w:val="000C7ECD"/>
    <w:rsid w:val="000D050A"/>
    <w:rsid w:val="000D128A"/>
    <w:rsid w:val="000D2958"/>
    <w:rsid w:val="000D4DC8"/>
    <w:rsid w:val="000D584C"/>
    <w:rsid w:val="000D6AB9"/>
    <w:rsid w:val="000D72FE"/>
    <w:rsid w:val="000D7C53"/>
    <w:rsid w:val="000E1BFE"/>
    <w:rsid w:val="000E25B6"/>
    <w:rsid w:val="000E281B"/>
    <w:rsid w:val="000E333A"/>
    <w:rsid w:val="000E5B4C"/>
    <w:rsid w:val="000F30A5"/>
    <w:rsid w:val="000F656B"/>
    <w:rsid w:val="000F73FA"/>
    <w:rsid w:val="0010198E"/>
    <w:rsid w:val="0010343B"/>
    <w:rsid w:val="00110BDF"/>
    <w:rsid w:val="0011112E"/>
    <w:rsid w:val="00112B26"/>
    <w:rsid w:val="0011631A"/>
    <w:rsid w:val="00121702"/>
    <w:rsid w:val="00121F2C"/>
    <w:rsid w:val="00124FC6"/>
    <w:rsid w:val="00125127"/>
    <w:rsid w:val="0012663B"/>
    <w:rsid w:val="00127AC6"/>
    <w:rsid w:val="00127BA7"/>
    <w:rsid w:val="001306C2"/>
    <w:rsid w:val="00131EC2"/>
    <w:rsid w:val="00131F1D"/>
    <w:rsid w:val="0013271D"/>
    <w:rsid w:val="00133D4F"/>
    <w:rsid w:val="00133FE8"/>
    <w:rsid w:val="00135A03"/>
    <w:rsid w:val="00137B62"/>
    <w:rsid w:val="00143ABF"/>
    <w:rsid w:val="00144673"/>
    <w:rsid w:val="00144EB6"/>
    <w:rsid w:val="00145A92"/>
    <w:rsid w:val="00147DB5"/>
    <w:rsid w:val="001509BD"/>
    <w:rsid w:val="00152504"/>
    <w:rsid w:val="00156721"/>
    <w:rsid w:val="0016321B"/>
    <w:rsid w:val="001634CD"/>
    <w:rsid w:val="001668DD"/>
    <w:rsid w:val="00170327"/>
    <w:rsid w:val="00170DD2"/>
    <w:rsid w:val="00170FE7"/>
    <w:rsid w:val="00173D58"/>
    <w:rsid w:val="001760E2"/>
    <w:rsid w:val="001763DF"/>
    <w:rsid w:val="001814F8"/>
    <w:rsid w:val="001879BA"/>
    <w:rsid w:val="00190586"/>
    <w:rsid w:val="00190C6A"/>
    <w:rsid w:val="0019240F"/>
    <w:rsid w:val="001A105D"/>
    <w:rsid w:val="001A145E"/>
    <w:rsid w:val="001A3E3F"/>
    <w:rsid w:val="001A58DC"/>
    <w:rsid w:val="001A5C4F"/>
    <w:rsid w:val="001A5F89"/>
    <w:rsid w:val="001A677C"/>
    <w:rsid w:val="001B05DD"/>
    <w:rsid w:val="001B2141"/>
    <w:rsid w:val="001B346C"/>
    <w:rsid w:val="001B37AA"/>
    <w:rsid w:val="001C1618"/>
    <w:rsid w:val="001C38DB"/>
    <w:rsid w:val="001C3C8C"/>
    <w:rsid w:val="001C3CC9"/>
    <w:rsid w:val="001C7229"/>
    <w:rsid w:val="001C7526"/>
    <w:rsid w:val="001D1701"/>
    <w:rsid w:val="001D2403"/>
    <w:rsid w:val="001D4349"/>
    <w:rsid w:val="001D571F"/>
    <w:rsid w:val="001D69E0"/>
    <w:rsid w:val="001D79DE"/>
    <w:rsid w:val="001E22EF"/>
    <w:rsid w:val="001E2667"/>
    <w:rsid w:val="001E68C7"/>
    <w:rsid w:val="001E7CD0"/>
    <w:rsid w:val="001F09CD"/>
    <w:rsid w:val="001F2389"/>
    <w:rsid w:val="001F4E23"/>
    <w:rsid w:val="001F536B"/>
    <w:rsid w:val="001F60D0"/>
    <w:rsid w:val="001F69D6"/>
    <w:rsid w:val="001F777B"/>
    <w:rsid w:val="001F7CC4"/>
    <w:rsid w:val="00200097"/>
    <w:rsid w:val="00201620"/>
    <w:rsid w:val="00202B28"/>
    <w:rsid w:val="00202F4F"/>
    <w:rsid w:val="0020394A"/>
    <w:rsid w:val="0020680B"/>
    <w:rsid w:val="00206C19"/>
    <w:rsid w:val="00207697"/>
    <w:rsid w:val="00211043"/>
    <w:rsid w:val="002127B7"/>
    <w:rsid w:val="002147F1"/>
    <w:rsid w:val="00214BDE"/>
    <w:rsid w:val="00214F16"/>
    <w:rsid w:val="00215453"/>
    <w:rsid w:val="002156CB"/>
    <w:rsid w:val="00217001"/>
    <w:rsid w:val="00221639"/>
    <w:rsid w:val="00222F12"/>
    <w:rsid w:val="002232B0"/>
    <w:rsid w:val="00223E9B"/>
    <w:rsid w:val="00224FCE"/>
    <w:rsid w:val="00227482"/>
    <w:rsid w:val="002342A6"/>
    <w:rsid w:val="00235D72"/>
    <w:rsid w:val="00240F4F"/>
    <w:rsid w:val="002427C5"/>
    <w:rsid w:val="00245803"/>
    <w:rsid w:val="0024637A"/>
    <w:rsid w:val="0024785A"/>
    <w:rsid w:val="002478CB"/>
    <w:rsid w:val="0025037C"/>
    <w:rsid w:val="002548F7"/>
    <w:rsid w:val="0025623E"/>
    <w:rsid w:val="002572BC"/>
    <w:rsid w:val="002628F2"/>
    <w:rsid w:val="00263AB0"/>
    <w:rsid w:val="00264045"/>
    <w:rsid w:val="002643BD"/>
    <w:rsid w:val="0026491B"/>
    <w:rsid w:val="00265238"/>
    <w:rsid w:val="00265311"/>
    <w:rsid w:val="002654F3"/>
    <w:rsid w:val="00267AFD"/>
    <w:rsid w:val="0027275C"/>
    <w:rsid w:val="002735BB"/>
    <w:rsid w:val="00276571"/>
    <w:rsid w:val="0027724A"/>
    <w:rsid w:val="00277758"/>
    <w:rsid w:val="00277A98"/>
    <w:rsid w:val="002856BB"/>
    <w:rsid w:val="002920C7"/>
    <w:rsid w:val="00293372"/>
    <w:rsid w:val="002950B5"/>
    <w:rsid w:val="002957D2"/>
    <w:rsid w:val="0029640A"/>
    <w:rsid w:val="002A0A13"/>
    <w:rsid w:val="002A1D67"/>
    <w:rsid w:val="002A2BA6"/>
    <w:rsid w:val="002A4ED3"/>
    <w:rsid w:val="002B0260"/>
    <w:rsid w:val="002B2EAB"/>
    <w:rsid w:val="002C32AC"/>
    <w:rsid w:val="002C3AC9"/>
    <w:rsid w:val="002C460E"/>
    <w:rsid w:val="002C63D0"/>
    <w:rsid w:val="002C739A"/>
    <w:rsid w:val="002C76AA"/>
    <w:rsid w:val="002C775A"/>
    <w:rsid w:val="002D3040"/>
    <w:rsid w:val="002D3740"/>
    <w:rsid w:val="002D5262"/>
    <w:rsid w:val="002D57CA"/>
    <w:rsid w:val="002E1948"/>
    <w:rsid w:val="002E1D3F"/>
    <w:rsid w:val="002E3EEB"/>
    <w:rsid w:val="002E4D0A"/>
    <w:rsid w:val="002F0CE6"/>
    <w:rsid w:val="002F25F0"/>
    <w:rsid w:val="002F451C"/>
    <w:rsid w:val="002F5641"/>
    <w:rsid w:val="002F5D7E"/>
    <w:rsid w:val="00300788"/>
    <w:rsid w:val="00301C4D"/>
    <w:rsid w:val="003033BB"/>
    <w:rsid w:val="00303611"/>
    <w:rsid w:val="00305D7F"/>
    <w:rsid w:val="00306F0D"/>
    <w:rsid w:val="003104BE"/>
    <w:rsid w:val="003116B0"/>
    <w:rsid w:val="003149B0"/>
    <w:rsid w:val="00315512"/>
    <w:rsid w:val="00316844"/>
    <w:rsid w:val="00316A8B"/>
    <w:rsid w:val="00316C2F"/>
    <w:rsid w:val="00317E39"/>
    <w:rsid w:val="00321590"/>
    <w:rsid w:val="00322F5A"/>
    <w:rsid w:val="00322F5D"/>
    <w:rsid w:val="00323F41"/>
    <w:rsid w:val="00326609"/>
    <w:rsid w:val="003303B2"/>
    <w:rsid w:val="003343C2"/>
    <w:rsid w:val="00334B10"/>
    <w:rsid w:val="00334BE8"/>
    <w:rsid w:val="00335737"/>
    <w:rsid w:val="003364CD"/>
    <w:rsid w:val="00337330"/>
    <w:rsid w:val="00337725"/>
    <w:rsid w:val="00337CF1"/>
    <w:rsid w:val="00341216"/>
    <w:rsid w:val="00343525"/>
    <w:rsid w:val="00351F75"/>
    <w:rsid w:val="0035429F"/>
    <w:rsid w:val="00354723"/>
    <w:rsid w:val="00355323"/>
    <w:rsid w:val="003626A7"/>
    <w:rsid w:val="0036670A"/>
    <w:rsid w:val="00366DED"/>
    <w:rsid w:val="00370A54"/>
    <w:rsid w:val="00372F51"/>
    <w:rsid w:val="003732B0"/>
    <w:rsid w:val="0037339A"/>
    <w:rsid w:val="00373A3A"/>
    <w:rsid w:val="00382F10"/>
    <w:rsid w:val="00383F16"/>
    <w:rsid w:val="00384A9C"/>
    <w:rsid w:val="00385942"/>
    <w:rsid w:val="00387CB6"/>
    <w:rsid w:val="00390229"/>
    <w:rsid w:val="0039190E"/>
    <w:rsid w:val="003959C5"/>
    <w:rsid w:val="003970DD"/>
    <w:rsid w:val="003A2291"/>
    <w:rsid w:val="003A5846"/>
    <w:rsid w:val="003A61D0"/>
    <w:rsid w:val="003A6290"/>
    <w:rsid w:val="003B17B0"/>
    <w:rsid w:val="003B1FF2"/>
    <w:rsid w:val="003B355A"/>
    <w:rsid w:val="003B3846"/>
    <w:rsid w:val="003B49FF"/>
    <w:rsid w:val="003B7670"/>
    <w:rsid w:val="003C0E23"/>
    <w:rsid w:val="003C18E6"/>
    <w:rsid w:val="003C31DE"/>
    <w:rsid w:val="003C5A0B"/>
    <w:rsid w:val="003C5AC9"/>
    <w:rsid w:val="003C6DB6"/>
    <w:rsid w:val="003D0B04"/>
    <w:rsid w:val="003D22F7"/>
    <w:rsid w:val="003D24F6"/>
    <w:rsid w:val="003D2BCC"/>
    <w:rsid w:val="003D405C"/>
    <w:rsid w:val="003D5B33"/>
    <w:rsid w:val="003E007B"/>
    <w:rsid w:val="003E2CBA"/>
    <w:rsid w:val="003E41F0"/>
    <w:rsid w:val="003E57D0"/>
    <w:rsid w:val="003E5809"/>
    <w:rsid w:val="003F030F"/>
    <w:rsid w:val="003F03B1"/>
    <w:rsid w:val="003F1663"/>
    <w:rsid w:val="003F5625"/>
    <w:rsid w:val="003F58ED"/>
    <w:rsid w:val="003F772A"/>
    <w:rsid w:val="003F7EBE"/>
    <w:rsid w:val="004004BF"/>
    <w:rsid w:val="00402E3F"/>
    <w:rsid w:val="00403967"/>
    <w:rsid w:val="00404FC5"/>
    <w:rsid w:val="00405A8A"/>
    <w:rsid w:val="00405EFA"/>
    <w:rsid w:val="00407451"/>
    <w:rsid w:val="00412055"/>
    <w:rsid w:val="00417F4C"/>
    <w:rsid w:val="00420A31"/>
    <w:rsid w:val="00420B42"/>
    <w:rsid w:val="00421498"/>
    <w:rsid w:val="00421BB7"/>
    <w:rsid w:val="00424BEB"/>
    <w:rsid w:val="0042734B"/>
    <w:rsid w:val="00427393"/>
    <w:rsid w:val="004310F0"/>
    <w:rsid w:val="00431657"/>
    <w:rsid w:val="00431C4D"/>
    <w:rsid w:val="00432B8B"/>
    <w:rsid w:val="00434F4D"/>
    <w:rsid w:val="004375CD"/>
    <w:rsid w:val="00442470"/>
    <w:rsid w:val="00442E50"/>
    <w:rsid w:val="004451D3"/>
    <w:rsid w:val="00445CB4"/>
    <w:rsid w:val="0044779D"/>
    <w:rsid w:val="00451799"/>
    <w:rsid w:val="004518E0"/>
    <w:rsid w:val="00452ED7"/>
    <w:rsid w:val="00453E7A"/>
    <w:rsid w:val="0045463F"/>
    <w:rsid w:val="00457BBA"/>
    <w:rsid w:val="00460A77"/>
    <w:rsid w:val="00461029"/>
    <w:rsid w:val="00465D90"/>
    <w:rsid w:val="00465F44"/>
    <w:rsid w:val="004679A2"/>
    <w:rsid w:val="0047026D"/>
    <w:rsid w:val="004702B2"/>
    <w:rsid w:val="0047138A"/>
    <w:rsid w:val="00472395"/>
    <w:rsid w:val="004752EF"/>
    <w:rsid w:val="0047629D"/>
    <w:rsid w:val="0047787B"/>
    <w:rsid w:val="004825AF"/>
    <w:rsid w:val="00487327"/>
    <w:rsid w:val="00487C6D"/>
    <w:rsid w:val="0049011B"/>
    <w:rsid w:val="004958CC"/>
    <w:rsid w:val="004A2EF9"/>
    <w:rsid w:val="004A6EC5"/>
    <w:rsid w:val="004A71B1"/>
    <w:rsid w:val="004B0D5A"/>
    <w:rsid w:val="004B0F61"/>
    <w:rsid w:val="004B4DB7"/>
    <w:rsid w:val="004B5EFC"/>
    <w:rsid w:val="004B723F"/>
    <w:rsid w:val="004B7F39"/>
    <w:rsid w:val="004C0AC2"/>
    <w:rsid w:val="004C0F96"/>
    <w:rsid w:val="004C32A0"/>
    <w:rsid w:val="004C5485"/>
    <w:rsid w:val="004C5860"/>
    <w:rsid w:val="004C6E05"/>
    <w:rsid w:val="004D4F79"/>
    <w:rsid w:val="004D7C36"/>
    <w:rsid w:val="004E1D6D"/>
    <w:rsid w:val="004E48FE"/>
    <w:rsid w:val="004F09A9"/>
    <w:rsid w:val="004F16A8"/>
    <w:rsid w:val="004F1714"/>
    <w:rsid w:val="004F19A8"/>
    <w:rsid w:val="004F19F6"/>
    <w:rsid w:val="004F2E6E"/>
    <w:rsid w:val="004F3190"/>
    <w:rsid w:val="004F5076"/>
    <w:rsid w:val="00501236"/>
    <w:rsid w:val="00502C7F"/>
    <w:rsid w:val="00502DB9"/>
    <w:rsid w:val="00503025"/>
    <w:rsid w:val="005044F7"/>
    <w:rsid w:val="00504942"/>
    <w:rsid w:val="00506B4C"/>
    <w:rsid w:val="00512892"/>
    <w:rsid w:val="005141FC"/>
    <w:rsid w:val="00516755"/>
    <w:rsid w:val="00520780"/>
    <w:rsid w:val="00522275"/>
    <w:rsid w:val="00522C1A"/>
    <w:rsid w:val="00523449"/>
    <w:rsid w:val="00524094"/>
    <w:rsid w:val="005253CD"/>
    <w:rsid w:val="00526676"/>
    <w:rsid w:val="00526A03"/>
    <w:rsid w:val="00530232"/>
    <w:rsid w:val="005334F1"/>
    <w:rsid w:val="005345EE"/>
    <w:rsid w:val="00536060"/>
    <w:rsid w:val="00540DA9"/>
    <w:rsid w:val="005419E4"/>
    <w:rsid w:val="00542D4A"/>
    <w:rsid w:val="005432AB"/>
    <w:rsid w:val="00543EB8"/>
    <w:rsid w:val="00544678"/>
    <w:rsid w:val="00546FD6"/>
    <w:rsid w:val="00547B54"/>
    <w:rsid w:val="005518DA"/>
    <w:rsid w:val="00555AE2"/>
    <w:rsid w:val="00562CCC"/>
    <w:rsid w:val="005655DF"/>
    <w:rsid w:val="005718B3"/>
    <w:rsid w:val="0057329A"/>
    <w:rsid w:val="0057535F"/>
    <w:rsid w:val="0057594E"/>
    <w:rsid w:val="00576596"/>
    <w:rsid w:val="005801DF"/>
    <w:rsid w:val="00581508"/>
    <w:rsid w:val="005820B5"/>
    <w:rsid w:val="00582E29"/>
    <w:rsid w:val="005833E0"/>
    <w:rsid w:val="00583AF6"/>
    <w:rsid w:val="00587645"/>
    <w:rsid w:val="00587D5E"/>
    <w:rsid w:val="00590831"/>
    <w:rsid w:val="00591734"/>
    <w:rsid w:val="00591A1F"/>
    <w:rsid w:val="00592F0B"/>
    <w:rsid w:val="00595C50"/>
    <w:rsid w:val="00596777"/>
    <w:rsid w:val="00597AE0"/>
    <w:rsid w:val="005A0FD5"/>
    <w:rsid w:val="005A11CF"/>
    <w:rsid w:val="005A5F8F"/>
    <w:rsid w:val="005A756A"/>
    <w:rsid w:val="005B0FEF"/>
    <w:rsid w:val="005B23CE"/>
    <w:rsid w:val="005C0A95"/>
    <w:rsid w:val="005C11E0"/>
    <w:rsid w:val="005C15F4"/>
    <w:rsid w:val="005C227F"/>
    <w:rsid w:val="005C3E26"/>
    <w:rsid w:val="005C7566"/>
    <w:rsid w:val="005C7728"/>
    <w:rsid w:val="005D0676"/>
    <w:rsid w:val="005D0B37"/>
    <w:rsid w:val="005D1A90"/>
    <w:rsid w:val="005D31D4"/>
    <w:rsid w:val="005D36A2"/>
    <w:rsid w:val="005D3F0C"/>
    <w:rsid w:val="005D46DD"/>
    <w:rsid w:val="005D5178"/>
    <w:rsid w:val="005D63F8"/>
    <w:rsid w:val="005D79E6"/>
    <w:rsid w:val="005E47F0"/>
    <w:rsid w:val="005F0173"/>
    <w:rsid w:val="005F0839"/>
    <w:rsid w:val="005F1280"/>
    <w:rsid w:val="005F3AA1"/>
    <w:rsid w:val="005F4D60"/>
    <w:rsid w:val="0060103B"/>
    <w:rsid w:val="006028B6"/>
    <w:rsid w:val="00602ACF"/>
    <w:rsid w:val="00602BFB"/>
    <w:rsid w:val="00605BE8"/>
    <w:rsid w:val="00607E53"/>
    <w:rsid w:val="006115AB"/>
    <w:rsid w:val="006254A9"/>
    <w:rsid w:val="0062667E"/>
    <w:rsid w:val="00630154"/>
    <w:rsid w:val="00631862"/>
    <w:rsid w:val="00631F19"/>
    <w:rsid w:val="00633420"/>
    <w:rsid w:val="006349AC"/>
    <w:rsid w:val="00636216"/>
    <w:rsid w:val="00637660"/>
    <w:rsid w:val="006401B8"/>
    <w:rsid w:val="006412B7"/>
    <w:rsid w:val="0064131B"/>
    <w:rsid w:val="00642770"/>
    <w:rsid w:val="00645526"/>
    <w:rsid w:val="00645B38"/>
    <w:rsid w:val="00647336"/>
    <w:rsid w:val="006628A8"/>
    <w:rsid w:val="00666255"/>
    <w:rsid w:val="006670C6"/>
    <w:rsid w:val="00671953"/>
    <w:rsid w:val="00671A40"/>
    <w:rsid w:val="00671BD1"/>
    <w:rsid w:val="00675354"/>
    <w:rsid w:val="006764FB"/>
    <w:rsid w:val="00676E4B"/>
    <w:rsid w:val="00677690"/>
    <w:rsid w:val="006804F7"/>
    <w:rsid w:val="00682714"/>
    <w:rsid w:val="006836FA"/>
    <w:rsid w:val="006850E5"/>
    <w:rsid w:val="00685F1E"/>
    <w:rsid w:val="00686F83"/>
    <w:rsid w:val="00690C46"/>
    <w:rsid w:val="00691982"/>
    <w:rsid w:val="00694D13"/>
    <w:rsid w:val="006A3225"/>
    <w:rsid w:val="006A4553"/>
    <w:rsid w:val="006A4791"/>
    <w:rsid w:val="006A61DA"/>
    <w:rsid w:val="006A7CF6"/>
    <w:rsid w:val="006B2071"/>
    <w:rsid w:val="006B2BF1"/>
    <w:rsid w:val="006B3B89"/>
    <w:rsid w:val="006B611C"/>
    <w:rsid w:val="006B6F72"/>
    <w:rsid w:val="006B7548"/>
    <w:rsid w:val="006C14CB"/>
    <w:rsid w:val="006C1C12"/>
    <w:rsid w:val="006C4B71"/>
    <w:rsid w:val="006C56F5"/>
    <w:rsid w:val="006C57F8"/>
    <w:rsid w:val="006C6138"/>
    <w:rsid w:val="006D0A44"/>
    <w:rsid w:val="006D0F5A"/>
    <w:rsid w:val="006D3216"/>
    <w:rsid w:val="006E1F4E"/>
    <w:rsid w:val="006E289A"/>
    <w:rsid w:val="006E3CB3"/>
    <w:rsid w:val="006E65C7"/>
    <w:rsid w:val="006F6C17"/>
    <w:rsid w:val="006F77F6"/>
    <w:rsid w:val="007004F4"/>
    <w:rsid w:val="0070190C"/>
    <w:rsid w:val="00702088"/>
    <w:rsid w:val="00710110"/>
    <w:rsid w:val="007102D6"/>
    <w:rsid w:val="00711398"/>
    <w:rsid w:val="00712B93"/>
    <w:rsid w:val="00712C42"/>
    <w:rsid w:val="00712D2A"/>
    <w:rsid w:val="00713A30"/>
    <w:rsid w:val="0071457B"/>
    <w:rsid w:val="00715275"/>
    <w:rsid w:val="00716EFA"/>
    <w:rsid w:val="0072097D"/>
    <w:rsid w:val="00721F15"/>
    <w:rsid w:val="00722388"/>
    <w:rsid w:val="00727200"/>
    <w:rsid w:val="00733BAB"/>
    <w:rsid w:val="00735C57"/>
    <w:rsid w:val="00735D9D"/>
    <w:rsid w:val="00737E79"/>
    <w:rsid w:val="007401D6"/>
    <w:rsid w:val="007418E9"/>
    <w:rsid w:val="007462FA"/>
    <w:rsid w:val="00752CFD"/>
    <w:rsid w:val="0075613B"/>
    <w:rsid w:val="0075644C"/>
    <w:rsid w:val="00757A7B"/>
    <w:rsid w:val="00760305"/>
    <w:rsid w:val="00763A3F"/>
    <w:rsid w:val="00763C2A"/>
    <w:rsid w:val="00766C1E"/>
    <w:rsid w:val="00770395"/>
    <w:rsid w:val="007734DC"/>
    <w:rsid w:val="0077548B"/>
    <w:rsid w:val="00777139"/>
    <w:rsid w:val="00780E99"/>
    <w:rsid w:val="00783330"/>
    <w:rsid w:val="0078492A"/>
    <w:rsid w:val="00787117"/>
    <w:rsid w:val="00787FB2"/>
    <w:rsid w:val="0079169B"/>
    <w:rsid w:val="007916CB"/>
    <w:rsid w:val="00792CD3"/>
    <w:rsid w:val="007945AE"/>
    <w:rsid w:val="00796FEF"/>
    <w:rsid w:val="007A16E3"/>
    <w:rsid w:val="007A2FD2"/>
    <w:rsid w:val="007A3333"/>
    <w:rsid w:val="007A4B7B"/>
    <w:rsid w:val="007A6399"/>
    <w:rsid w:val="007A7327"/>
    <w:rsid w:val="007B0194"/>
    <w:rsid w:val="007B0340"/>
    <w:rsid w:val="007B06A2"/>
    <w:rsid w:val="007B1F84"/>
    <w:rsid w:val="007B2DB8"/>
    <w:rsid w:val="007B30E8"/>
    <w:rsid w:val="007B3508"/>
    <w:rsid w:val="007B6A57"/>
    <w:rsid w:val="007B6BF0"/>
    <w:rsid w:val="007C1978"/>
    <w:rsid w:val="007C39C9"/>
    <w:rsid w:val="007C4BF0"/>
    <w:rsid w:val="007C4CFA"/>
    <w:rsid w:val="007C6CEE"/>
    <w:rsid w:val="007D21C3"/>
    <w:rsid w:val="007D284C"/>
    <w:rsid w:val="007D62BD"/>
    <w:rsid w:val="007E195C"/>
    <w:rsid w:val="007E5B9C"/>
    <w:rsid w:val="007E626B"/>
    <w:rsid w:val="007E7311"/>
    <w:rsid w:val="007F09F4"/>
    <w:rsid w:val="007F0BC1"/>
    <w:rsid w:val="007F1D91"/>
    <w:rsid w:val="007F373C"/>
    <w:rsid w:val="007F3F75"/>
    <w:rsid w:val="007F64BF"/>
    <w:rsid w:val="00800839"/>
    <w:rsid w:val="00800881"/>
    <w:rsid w:val="00802E4E"/>
    <w:rsid w:val="008055E5"/>
    <w:rsid w:val="008058DC"/>
    <w:rsid w:val="008100A1"/>
    <w:rsid w:val="008155F2"/>
    <w:rsid w:val="0081581B"/>
    <w:rsid w:val="0081695B"/>
    <w:rsid w:val="00816993"/>
    <w:rsid w:val="00817F30"/>
    <w:rsid w:val="00820848"/>
    <w:rsid w:val="00821883"/>
    <w:rsid w:val="00821ADD"/>
    <w:rsid w:val="008228FA"/>
    <w:rsid w:val="00824F12"/>
    <w:rsid w:val="00826254"/>
    <w:rsid w:val="008265C8"/>
    <w:rsid w:val="00826902"/>
    <w:rsid w:val="00827B18"/>
    <w:rsid w:val="00830511"/>
    <w:rsid w:val="00831AEB"/>
    <w:rsid w:val="008327E7"/>
    <w:rsid w:val="008359A9"/>
    <w:rsid w:val="0084004B"/>
    <w:rsid w:val="00841065"/>
    <w:rsid w:val="00841089"/>
    <w:rsid w:val="008413D7"/>
    <w:rsid w:val="00844125"/>
    <w:rsid w:val="00846F3C"/>
    <w:rsid w:val="00850592"/>
    <w:rsid w:val="0085093F"/>
    <w:rsid w:val="00855614"/>
    <w:rsid w:val="00861640"/>
    <w:rsid w:val="008640F7"/>
    <w:rsid w:val="008643CA"/>
    <w:rsid w:val="008706F2"/>
    <w:rsid w:val="0087236C"/>
    <w:rsid w:val="008723EE"/>
    <w:rsid w:val="00874249"/>
    <w:rsid w:val="00874AB5"/>
    <w:rsid w:val="00874C7C"/>
    <w:rsid w:val="00875AF7"/>
    <w:rsid w:val="008760AE"/>
    <w:rsid w:val="00881F8B"/>
    <w:rsid w:val="00883070"/>
    <w:rsid w:val="00883CCB"/>
    <w:rsid w:val="00890F08"/>
    <w:rsid w:val="0089105A"/>
    <w:rsid w:val="00894C24"/>
    <w:rsid w:val="00895CF5"/>
    <w:rsid w:val="0089695E"/>
    <w:rsid w:val="008A04BF"/>
    <w:rsid w:val="008A32DC"/>
    <w:rsid w:val="008A3DE5"/>
    <w:rsid w:val="008A4EF0"/>
    <w:rsid w:val="008A53A5"/>
    <w:rsid w:val="008A6235"/>
    <w:rsid w:val="008A69B6"/>
    <w:rsid w:val="008A763C"/>
    <w:rsid w:val="008B034B"/>
    <w:rsid w:val="008B2DAA"/>
    <w:rsid w:val="008B3042"/>
    <w:rsid w:val="008B3719"/>
    <w:rsid w:val="008B3A8F"/>
    <w:rsid w:val="008B4F49"/>
    <w:rsid w:val="008C2B91"/>
    <w:rsid w:val="008C5108"/>
    <w:rsid w:val="008C6990"/>
    <w:rsid w:val="008C6C5C"/>
    <w:rsid w:val="008C7F24"/>
    <w:rsid w:val="008D0B49"/>
    <w:rsid w:val="008D1536"/>
    <w:rsid w:val="008D2B03"/>
    <w:rsid w:val="008D420F"/>
    <w:rsid w:val="008D6641"/>
    <w:rsid w:val="008E07F8"/>
    <w:rsid w:val="008E1D1E"/>
    <w:rsid w:val="008E38D2"/>
    <w:rsid w:val="008E44AD"/>
    <w:rsid w:val="008F1919"/>
    <w:rsid w:val="008F20A2"/>
    <w:rsid w:val="008F50DF"/>
    <w:rsid w:val="00901410"/>
    <w:rsid w:val="00901A5D"/>
    <w:rsid w:val="00901AD7"/>
    <w:rsid w:val="00904559"/>
    <w:rsid w:val="009060BB"/>
    <w:rsid w:val="00911287"/>
    <w:rsid w:val="00911817"/>
    <w:rsid w:val="009121D5"/>
    <w:rsid w:val="009135A9"/>
    <w:rsid w:val="009140CF"/>
    <w:rsid w:val="00915A5C"/>
    <w:rsid w:val="009177F4"/>
    <w:rsid w:val="00920F18"/>
    <w:rsid w:val="009212ED"/>
    <w:rsid w:val="00922225"/>
    <w:rsid w:val="00930312"/>
    <w:rsid w:val="00931DEF"/>
    <w:rsid w:val="00933ED2"/>
    <w:rsid w:val="009363D6"/>
    <w:rsid w:val="00940564"/>
    <w:rsid w:val="009421D2"/>
    <w:rsid w:val="00942834"/>
    <w:rsid w:val="00943127"/>
    <w:rsid w:val="009463C6"/>
    <w:rsid w:val="00950F50"/>
    <w:rsid w:val="009521B1"/>
    <w:rsid w:val="00953CBD"/>
    <w:rsid w:val="009548BA"/>
    <w:rsid w:val="00957429"/>
    <w:rsid w:val="009610E8"/>
    <w:rsid w:val="009651F2"/>
    <w:rsid w:val="00966784"/>
    <w:rsid w:val="0096759E"/>
    <w:rsid w:val="00973F3B"/>
    <w:rsid w:val="009744EF"/>
    <w:rsid w:val="009756D5"/>
    <w:rsid w:val="009765B5"/>
    <w:rsid w:val="009765CB"/>
    <w:rsid w:val="009817DE"/>
    <w:rsid w:val="009838A5"/>
    <w:rsid w:val="009839CC"/>
    <w:rsid w:val="009857DF"/>
    <w:rsid w:val="00992518"/>
    <w:rsid w:val="00994996"/>
    <w:rsid w:val="009A3E3F"/>
    <w:rsid w:val="009A4B04"/>
    <w:rsid w:val="009A6D16"/>
    <w:rsid w:val="009B1DC9"/>
    <w:rsid w:val="009B2C20"/>
    <w:rsid w:val="009B438F"/>
    <w:rsid w:val="009C0833"/>
    <w:rsid w:val="009C197F"/>
    <w:rsid w:val="009C446C"/>
    <w:rsid w:val="009C4697"/>
    <w:rsid w:val="009C5810"/>
    <w:rsid w:val="009C5BA2"/>
    <w:rsid w:val="009C7622"/>
    <w:rsid w:val="009C78C3"/>
    <w:rsid w:val="009D1515"/>
    <w:rsid w:val="009D16A8"/>
    <w:rsid w:val="009D291E"/>
    <w:rsid w:val="009D5475"/>
    <w:rsid w:val="009D5B3A"/>
    <w:rsid w:val="009D643E"/>
    <w:rsid w:val="009D6B3B"/>
    <w:rsid w:val="009E0715"/>
    <w:rsid w:val="009E2594"/>
    <w:rsid w:val="009E399A"/>
    <w:rsid w:val="009E5817"/>
    <w:rsid w:val="009E6B18"/>
    <w:rsid w:val="009E71F2"/>
    <w:rsid w:val="009F0FF5"/>
    <w:rsid w:val="009F14BC"/>
    <w:rsid w:val="009F1900"/>
    <w:rsid w:val="009F2C23"/>
    <w:rsid w:val="009F32F6"/>
    <w:rsid w:val="009F3F87"/>
    <w:rsid w:val="00A009DC"/>
    <w:rsid w:val="00A00D6B"/>
    <w:rsid w:val="00A07198"/>
    <w:rsid w:val="00A13990"/>
    <w:rsid w:val="00A170F1"/>
    <w:rsid w:val="00A21940"/>
    <w:rsid w:val="00A221D1"/>
    <w:rsid w:val="00A2345A"/>
    <w:rsid w:val="00A26FFE"/>
    <w:rsid w:val="00A35143"/>
    <w:rsid w:val="00A363FD"/>
    <w:rsid w:val="00A36A12"/>
    <w:rsid w:val="00A36A45"/>
    <w:rsid w:val="00A41660"/>
    <w:rsid w:val="00A44259"/>
    <w:rsid w:val="00A51E4D"/>
    <w:rsid w:val="00A520F7"/>
    <w:rsid w:val="00A54FD0"/>
    <w:rsid w:val="00A55013"/>
    <w:rsid w:val="00A56C46"/>
    <w:rsid w:val="00A57640"/>
    <w:rsid w:val="00A612A3"/>
    <w:rsid w:val="00A65434"/>
    <w:rsid w:val="00A66FB2"/>
    <w:rsid w:val="00A67458"/>
    <w:rsid w:val="00A675D0"/>
    <w:rsid w:val="00A71FF5"/>
    <w:rsid w:val="00A755DB"/>
    <w:rsid w:val="00A76027"/>
    <w:rsid w:val="00A7776E"/>
    <w:rsid w:val="00A81C53"/>
    <w:rsid w:val="00A8353F"/>
    <w:rsid w:val="00A84C3E"/>
    <w:rsid w:val="00A86B55"/>
    <w:rsid w:val="00A870F6"/>
    <w:rsid w:val="00A902AD"/>
    <w:rsid w:val="00A91143"/>
    <w:rsid w:val="00A92CBE"/>
    <w:rsid w:val="00A966FE"/>
    <w:rsid w:val="00AA2E6B"/>
    <w:rsid w:val="00AA4FD5"/>
    <w:rsid w:val="00AA55C9"/>
    <w:rsid w:val="00AA5CA3"/>
    <w:rsid w:val="00AB02B5"/>
    <w:rsid w:val="00AB13C5"/>
    <w:rsid w:val="00AB3184"/>
    <w:rsid w:val="00AC12B3"/>
    <w:rsid w:val="00AC1BAE"/>
    <w:rsid w:val="00AC63EE"/>
    <w:rsid w:val="00AC7E0E"/>
    <w:rsid w:val="00AD09A1"/>
    <w:rsid w:val="00AD19F0"/>
    <w:rsid w:val="00AD439E"/>
    <w:rsid w:val="00AE0132"/>
    <w:rsid w:val="00AE1AB8"/>
    <w:rsid w:val="00AE4CFA"/>
    <w:rsid w:val="00AE571C"/>
    <w:rsid w:val="00AF1DE9"/>
    <w:rsid w:val="00AF6786"/>
    <w:rsid w:val="00B043F8"/>
    <w:rsid w:val="00B073CE"/>
    <w:rsid w:val="00B118AF"/>
    <w:rsid w:val="00B1790B"/>
    <w:rsid w:val="00B23F1F"/>
    <w:rsid w:val="00B26171"/>
    <w:rsid w:val="00B27BDF"/>
    <w:rsid w:val="00B355B3"/>
    <w:rsid w:val="00B35808"/>
    <w:rsid w:val="00B37D8C"/>
    <w:rsid w:val="00B4024B"/>
    <w:rsid w:val="00B42CFF"/>
    <w:rsid w:val="00B430A7"/>
    <w:rsid w:val="00B45B9C"/>
    <w:rsid w:val="00B45EB2"/>
    <w:rsid w:val="00B474D9"/>
    <w:rsid w:val="00B47F59"/>
    <w:rsid w:val="00B512DF"/>
    <w:rsid w:val="00B522CB"/>
    <w:rsid w:val="00B57411"/>
    <w:rsid w:val="00B6180A"/>
    <w:rsid w:val="00B623BE"/>
    <w:rsid w:val="00B635BE"/>
    <w:rsid w:val="00B63A19"/>
    <w:rsid w:val="00B654EB"/>
    <w:rsid w:val="00B65EE1"/>
    <w:rsid w:val="00B66C50"/>
    <w:rsid w:val="00B67EB7"/>
    <w:rsid w:val="00B70B6E"/>
    <w:rsid w:val="00B74CC3"/>
    <w:rsid w:val="00B76E8E"/>
    <w:rsid w:val="00B76EB7"/>
    <w:rsid w:val="00B8069A"/>
    <w:rsid w:val="00B81D70"/>
    <w:rsid w:val="00B87CFF"/>
    <w:rsid w:val="00B903DA"/>
    <w:rsid w:val="00B92B07"/>
    <w:rsid w:val="00B92FA9"/>
    <w:rsid w:val="00B9592A"/>
    <w:rsid w:val="00B96590"/>
    <w:rsid w:val="00BA00EA"/>
    <w:rsid w:val="00BA55D9"/>
    <w:rsid w:val="00BA62D2"/>
    <w:rsid w:val="00BA65CF"/>
    <w:rsid w:val="00BA745F"/>
    <w:rsid w:val="00BB28AB"/>
    <w:rsid w:val="00BB5064"/>
    <w:rsid w:val="00BB7FCB"/>
    <w:rsid w:val="00BC19FD"/>
    <w:rsid w:val="00BC1D81"/>
    <w:rsid w:val="00BC24BF"/>
    <w:rsid w:val="00BC26EF"/>
    <w:rsid w:val="00BC4914"/>
    <w:rsid w:val="00BD23F2"/>
    <w:rsid w:val="00BD3631"/>
    <w:rsid w:val="00BD5EBC"/>
    <w:rsid w:val="00BD6B37"/>
    <w:rsid w:val="00BD79BB"/>
    <w:rsid w:val="00BE2A52"/>
    <w:rsid w:val="00BF25B8"/>
    <w:rsid w:val="00BF2985"/>
    <w:rsid w:val="00BF3034"/>
    <w:rsid w:val="00BF4892"/>
    <w:rsid w:val="00BF4D8A"/>
    <w:rsid w:val="00BF4EEA"/>
    <w:rsid w:val="00C00585"/>
    <w:rsid w:val="00C01D04"/>
    <w:rsid w:val="00C028D5"/>
    <w:rsid w:val="00C05C5F"/>
    <w:rsid w:val="00C11C5A"/>
    <w:rsid w:val="00C1386B"/>
    <w:rsid w:val="00C15115"/>
    <w:rsid w:val="00C2128F"/>
    <w:rsid w:val="00C26043"/>
    <w:rsid w:val="00C2678A"/>
    <w:rsid w:val="00C2729A"/>
    <w:rsid w:val="00C276A8"/>
    <w:rsid w:val="00C277EC"/>
    <w:rsid w:val="00C3373B"/>
    <w:rsid w:val="00C34755"/>
    <w:rsid w:val="00C371E8"/>
    <w:rsid w:val="00C4114F"/>
    <w:rsid w:val="00C42A13"/>
    <w:rsid w:val="00C474F8"/>
    <w:rsid w:val="00C61FF3"/>
    <w:rsid w:val="00C63ED3"/>
    <w:rsid w:val="00C64F00"/>
    <w:rsid w:val="00C6646D"/>
    <w:rsid w:val="00C70262"/>
    <w:rsid w:val="00C703BF"/>
    <w:rsid w:val="00C71329"/>
    <w:rsid w:val="00C7142F"/>
    <w:rsid w:val="00C72478"/>
    <w:rsid w:val="00C7250C"/>
    <w:rsid w:val="00C740D6"/>
    <w:rsid w:val="00C75AAD"/>
    <w:rsid w:val="00C80C3D"/>
    <w:rsid w:val="00C81773"/>
    <w:rsid w:val="00C81829"/>
    <w:rsid w:val="00C822C6"/>
    <w:rsid w:val="00C828A6"/>
    <w:rsid w:val="00C829BF"/>
    <w:rsid w:val="00C86040"/>
    <w:rsid w:val="00C90C70"/>
    <w:rsid w:val="00C925DE"/>
    <w:rsid w:val="00C957F9"/>
    <w:rsid w:val="00C95AF4"/>
    <w:rsid w:val="00C978A5"/>
    <w:rsid w:val="00CA132C"/>
    <w:rsid w:val="00CA1CB0"/>
    <w:rsid w:val="00CA2473"/>
    <w:rsid w:val="00CA5BC3"/>
    <w:rsid w:val="00CB2771"/>
    <w:rsid w:val="00CB33BE"/>
    <w:rsid w:val="00CB356B"/>
    <w:rsid w:val="00CB3B57"/>
    <w:rsid w:val="00CB418C"/>
    <w:rsid w:val="00CB51F4"/>
    <w:rsid w:val="00CC3372"/>
    <w:rsid w:val="00CC3CC2"/>
    <w:rsid w:val="00CC3D3B"/>
    <w:rsid w:val="00CC42B3"/>
    <w:rsid w:val="00CD2C3E"/>
    <w:rsid w:val="00CD51B5"/>
    <w:rsid w:val="00CD75D6"/>
    <w:rsid w:val="00CE0919"/>
    <w:rsid w:val="00CE14BB"/>
    <w:rsid w:val="00CE2027"/>
    <w:rsid w:val="00CE5223"/>
    <w:rsid w:val="00CE5343"/>
    <w:rsid w:val="00CE5E41"/>
    <w:rsid w:val="00CE5ECB"/>
    <w:rsid w:val="00CE668D"/>
    <w:rsid w:val="00CF301E"/>
    <w:rsid w:val="00CF415C"/>
    <w:rsid w:val="00CF4471"/>
    <w:rsid w:val="00CF73F9"/>
    <w:rsid w:val="00D07145"/>
    <w:rsid w:val="00D135B3"/>
    <w:rsid w:val="00D1405F"/>
    <w:rsid w:val="00D148F1"/>
    <w:rsid w:val="00D17207"/>
    <w:rsid w:val="00D20EBF"/>
    <w:rsid w:val="00D2238A"/>
    <w:rsid w:val="00D22E6F"/>
    <w:rsid w:val="00D30512"/>
    <w:rsid w:val="00D3334F"/>
    <w:rsid w:val="00D34895"/>
    <w:rsid w:val="00D3684F"/>
    <w:rsid w:val="00D40DAC"/>
    <w:rsid w:val="00D4115E"/>
    <w:rsid w:val="00D41F47"/>
    <w:rsid w:val="00D42969"/>
    <w:rsid w:val="00D42B7E"/>
    <w:rsid w:val="00D44F2E"/>
    <w:rsid w:val="00D4623D"/>
    <w:rsid w:val="00D47348"/>
    <w:rsid w:val="00D4767B"/>
    <w:rsid w:val="00D53FDC"/>
    <w:rsid w:val="00D544AC"/>
    <w:rsid w:val="00D572A5"/>
    <w:rsid w:val="00D575D7"/>
    <w:rsid w:val="00D63310"/>
    <w:rsid w:val="00D634D9"/>
    <w:rsid w:val="00D648B0"/>
    <w:rsid w:val="00D66D04"/>
    <w:rsid w:val="00D715F1"/>
    <w:rsid w:val="00D72E7F"/>
    <w:rsid w:val="00D741E9"/>
    <w:rsid w:val="00D746EB"/>
    <w:rsid w:val="00D77236"/>
    <w:rsid w:val="00D77782"/>
    <w:rsid w:val="00D77824"/>
    <w:rsid w:val="00D84E40"/>
    <w:rsid w:val="00D947AE"/>
    <w:rsid w:val="00D94DE0"/>
    <w:rsid w:val="00D96D4F"/>
    <w:rsid w:val="00D97697"/>
    <w:rsid w:val="00D97D42"/>
    <w:rsid w:val="00DA62C5"/>
    <w:rsid w:val="00DA6404"/>
    <w:rsid w:val="00DA66C6"/>
    <w:rsid w:val="00DB044F"/>
    <w:rsid w:val="00DB1D76"/>
    <w:rsid w:val="00DB3407"/>
    <w:rsid w:val="00DB4BCC"/>
    <w:rsid w:val="00DB7A74"/>
    <w:rsid w:val="00DC026D"/>
    <w:rsid w:val="00DC1A15"/>
    <w:rsid w:val="00DD0021"/>
    <w:rsid w:val="00DD3AF0"/>
    <w:rsid w:val="00DD41C1"/>
    <w:rsid w:val="00DD58AC"/>
    <w:rsid w:val="00DD63C3"/>
    <w:rsid w:val="00DD6E3A"/>
    <w:rsid w:val="00DE101B"/>
    <w:rsid w:val="00DE15AE"/>
    <w:rsid w:val="00DE343D"/>
    <w:rsid w:val="00DE3933"/>
    <w:rsid w:val="00DE4884"/>
    <w:rsid w:val="00DE5E3E"/>
    <w:rsid w:val="00DE72A6"/>
    <w:rsid w:val="00DF017D"/>
    <w:rsid w:val="00DF07E8"/>
    <w:rsid w:val="00DF61A2"/>
    <w:rsid w:val="00DF7C92"/>
    <w:rsid w:val="00E0134F"/>
    <w:rsid w:val="00E064C9"/>
    <w:rsid w:val="00E069C9"/>
    <w:rsid w:val="00E12481"/>
    <w:rsid w:val="00E16504"/>
    <w:rsid w:val="00E16773"/>
    <w:rsid w:val="00E1779C"/>
    <w:rsid w:val="00E20109"/>
    <w:rsid w:val="00E2288B"/>
    <w:rsid w:val="00E26167"/>
    <w:rsid w:val="00E267A8"/>
    <w:rsid w:val="00E309C6"/>
    <w:rsid w:val="00E34B04"/>
    <w:rsid w:val="00E3511D"/>
    <w:rsid w:val="00E37A7F"/>
    <w:rsid w:val="00E45E74"/>
    <w:rsid w:val="00E47665"/>
    <w:rsid w:val="00E539A9"/>
    <w:rsid w:val="00E553D5"/>
    <w:rsid w:val="00E561F6"/>
    <w:rsid w:val="00E568C5"/>
    <w:rsid w:val="00E603E5"/>
    <w:rsid w:val="00E60C42"/>
    <w:rsid w:val="00E62163"/>
    <w:rsid w:val="00E641B1"/>
    <w:rsid w:val="00E70AB3"/>
    <w:rsid w:val="00E724FB"/>
    <w:rsid w:val="00E77FA2"/>
    <w:rsid w:val="00E83988"/>
    <w:rsid w:val="00E83E84"/>
    <w:rsid w:val="00E83F5A"/>
    <w:rsid w:val="00E90077"/>
    <w:rsid w:val="00E9011A"/>
    <w:rsid w:val="00E908E9"/>
    <w:rsid w:val="00EA2738"/>
    <w:rsid w:val="00EA3112"/>
    <w:rsid w:val="00EA7D05"/>
    <w:rsid w:val="00EB2976"/>
    <w:rsid w:val="00EB4798"/>
    <w:rsid w:val="00EB5E0E"/>
    <w:rsid w:val="00EB77EA"/>
    <w:rsid w:val="00EC0D41"/>
    <w:rsid w:val="00ED4A22"/>
    <w:rsid w:val="00ED604B"/>
    <w:rsid w:val="00ED6F8B"/>
    <w:rsid w:val="00ED72B4"/>
    <w:rsid w:val="00EE0087"/>
    <w:rsid w:val="00EE2C98"/>
    <w:rsid w:val="00EE5F82"/>
    <w:rsid w:val="00EE61B0"/>
    <w:rsid w:val="00EE672F"/>
    <w:rsid w:val="00EF0A00"/>
    <w:rsid w:val="00EF0C91"/>
    <w:rsid w:val="00EF11E6"/>
    <w:rsid w:val="00EF1360"/>
    <w:rsid w:val="00EF1EA6"/>
    <w:rsid w:val="00EF2180"/>
    <w:rsid w:val="00EF3B9B"/>
    <w:rsid w:val="00EF4DE5"/>
    <w:rsid w:val="00EF6ED6"/>
    <w:rsid w:val="00EF713C"/>
    <w:rsid w:val="00EF7C76"/>
    <w:rsid w:val="00F00468"/>
    <w:rsid w:val="00F05DFA"/>
    <w:rsid w:val="00F1343A"/>
    <w:rsid w:val="00F13A3C"/>
    <w:rsid w:val="00F146A2"/>
    <w:rsid w:val="00F15935"/>
    <w:rsid w:val="00F17DBC"/>
    <w:rsid w:val="00F223AE"/>
    <w:rsid w:val="00F22910"/>
    <w:rsid w:val="00F26FCA"/>
    <w:rsid w:val="00F34DA9"/>
    <w:rsid w:val="00F401DF"/>
    <w:rsid w:val="00F40A97"/>
    <w:rsid w:val="00F432EF"/>
    <w:rsid w:val="00F51DFB"/>
    <w:rsid w:val="00F52AF4"/>
    <w:rsid w:val="00F550A4"/>
    <w:rsid w:val="00F55C14"/>
    <w:rsid w:val="00F568B0"/>
    <w:rsid w:val="00F56957"/>
    <w:rsid w:val="00F60246"/>
    <w:rsid w:val="00F639E6"/>
    <w:rsid w:val="00F64DAC"/>
    <w:rsid w:val="00F66A0C"/>
    <w:rsid w:val="00F67C1F"/>
    <w:rsid w:val="00F7268B"/>
    <w:rsid w:val="00F72C9B"/>
    <w:rsid w:val="00F847C5"/>
    <w:rsid w:val="00F84B52"/>
    <w:rsid w:val="00F8522F"/>
    <w:rsid w:val="00F85658"/>
    <w:rsid w:val="00F85DE3"/>
    <w:rsid w:val="00F86BB3"/>
    <w:rsid w:val="00F92F93"/>
    <w:rsid w:val="00F93CFD"/>
    <w:rsid w:val="00F93D0B"/>
    <w:rsid w:val="00F9767B"/>
    <w:rsid w:val="00F97DA3"/>
    <w:rsid w:val="00FA1FDC"/>
    <w:rsid w:val="00FA3440"/>
    <w:rsid w:val="00FA4B01"/>
    <w:rsid w:val="00FA57B9"/>
    <w:rsid w:val="00FA5A17"/>
    <w:rsid w:val="00FA6567"/>
    <w:rsid w:val="00FB1E49"/>
    <w:rsid w:val="00FB2F1F"/>
    <w:rsid w:val="00FB69BB"/>
    <w:rsid w:val="00FB7025"/>
    <w:rsid w:val="00FB7E00"/>
    <w:rsid w:val="00FC0324"/>
    <w:rsid w:val="00FC238F"/>
    <w:rsid w:val="00FC2D77"/>
    <w:rsid w:val="00FC5AF0"/>
    <w:rsid w:val="00FC7F7C"/>
    <w:rsid w:val="00FD085E"/>
    <w:rsid w:val="00FD4267"/>
    <w:rsid w:val="00FD4417"/>
    <w:rsid w:val="00FD715F"/>
    <w:rsid w:val="00FE0E9F"/>
    <w:rsid w:val="00FE15E7"/>
    <w:rsid w:val="00FE1634"/>
    <w:rsid w:val="00FE21AF"/>
    <w:rsid w:val="00FE27F4"/>
    <w:rsid w:val="00FE4325"/>
    <w:rsid w:val="00FE6B17"/>
    <w:rsid w:val="00FF0F8B"/>
    <w:rsid w:val="00FF1799"/>
    <w:rsid w:val="00FF2C54"/>
    <w:rsid w:val="00FF2E4A"/>
    <w:rsid w:val="00FF4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346E8"/>
  <w15:chartTrackingRefBased/>
  <w15:docId w15:val="{CF1F7778-7DA0-E64A-ADB9-79A3D4E9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0340"/>
  </w:style>
  <w:style w:type="character" w:customStyle="1" w:styleId="NoSpacingChar">
    <w:name w:val="No Spacing Char"/>
    <w:basedOn w:val="DefaultParagraphFont"/>
    <w:link w:val="NoSpacing"/>
    <w:uiPriority w:val="1"/>
    <w:rsid w:val="007C1978"/>
  </w:style>
  <w:style w:type="paragraph" w:styleId="BalloonText">
    <w:name w:val="Balloon Text"/>
    <w:basedOn w:val="Normal"/>
    <w:link w:val="BalloonTextChar"/>
    <w:uiPriority w:val="99"/>
    <w:semiHidden/>
    <w:unhideWhenUsed/>
    <w:rsid w:val="007C19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1978"/>
    <w:rPr>
      <w:rFonts w:ascii="Times New Roman" w:hAnsi="Times New Roman" w:cs="Times New Roman"/>
      <w:sz w:val="18"/>
      <w:szCs w:val="18"/>
    </w:rPr>
  </w:style>
  <w:style w:type="character" w:styleId="Hyperlink">
    <w:name w:val="Hyperlink"/>
    <w:basedOn w:val="DefaultParagraphFont"/>
    <w:uiPriority w:val="99"/>
    <w:unhideWhenUsed/>
    <w:rsid w:val="007C1978"/>
    <w:rPr>
      <w:color w:val="0563C1" w:themeColor="hyperlink"/>
      <w:u w:val="single"/>
    </w:rPr>
  </w:style>
  <w:style w:type="character" w:styleId="UnresolvedMention">
    <w:name w:val="Unresolved Mention"/>
    <w:basedOn w:val="DefaultParagraphFont"/>
    <w:uiPriority w:val="99"/>
    <w:semiHidden/>
    <w:unhideWhenUsed/>
    <w:rsid w:val="007C1978"/>
    <w:rPr>
      <w:color w:val="605E5C"/>
      <w:shd w:val="clear" w:color="auto" w:fill="E1DFDD"/>
    </w:rPr>
  </w:style>
  <w:style w:type="character" w:styleId="CommentReference">
    <w:name w:val="annotation reference"/>
    <w:basedOn w:val="DefaultParagraphFont"/>
    <w:uiPriority w:val="99"/>
    <w:semiHidden/>
    <w:unhideWhenUsed/>
    <w:rsid w:val="00562CCC"/>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562CCC"/>
    <w:rPr>
      <w:rFonts w:ascii="Tahoma" w:hAnsi="Tahoma" w:cs="Tahoma"/>
      <w:sz w:val="16"/>
      <w:szCs w:val="20"/>
    </w:rPr>
  </w:style>
  <w:style w:type="character" w:customStyle="1" w:styleId="CommentTextChar">
    <w:name w:val="Comment Text Char"/>
    <w:basedOn w:val="DefaultParagraphFont"/>
    <w:link w:val="CommentText"/>
    <w:uiPriority w:val="99"/>
    <w:rsid w:val="00562CCC"/>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562CCC"/>
    <w:rPr>
      <w:b/>
      <w:bCs/>
    </w:rPr>
  </w:style>
  <w:style w:type="character" w:customStyle="1" w:styleId="CommentSubjectChar">
    <w:name w:val="Comment Subject Char"/>
    <w:basedOn w:val="CommentTextChar"/>
    <w:link w:val="CommentSubject"/>
    <w:uiPriority w:val="99"/>
    <w:semiHidden/>
    <w:rsid w:val="00562CCC"/>
    <w:rPr>
      <w:rFonts w:ascii="Tahoma" w:hAnsi="Tahoma" w:cs="Tahoma"/>
      <w:b/>
      <w:bCs/>
      <w:sz w:val="20"/>
      <w:szCs w:val="20"/>
    </w:rPr>
  </w:style>
  <w:style w:type="table" w:styleId="TableGrid">
    <w:name w:val="Table Grid"/>
    <w:basedOn w:val="TableNormal"/>
    <w:uiPriority w:val="39"/>
    <w:rsid w:val="00CB2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B277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6E65C7"/>
    <w:pPr>
      <w:tabs>
        <w:tab w:val="center" w:pos="4680"/>
        <w:tab w:val="right" w:pos="9360"/>
      </w:tabs>
    </w:pPr>
  </w:style>
  <w:style w:type="character" w:customStyle="1" w:styleId="FooterChar">
    <w:name w:val="Footer Char"/>
    <w:basedOn w:val="DefaultParagraphFont"/>
    <w:link w:val="Footer"/>
    <w:uiPriority w:val="99"/>
    <w:rsid w:val="006E65C7"/>
  </w:style>
  <w:style w:type="character" w:styleId="PageNumber">
    <w:name w:val="page number"/>
    <w:basedOn w:val="DefaultParagraphFont"/>
    <w:uiPriority w:val="99"/>
    <w:semiHidden/>
    <w:unhideWhenUsed/>
    <w:rsid w:val="006E65C7"/>
  </w:style>
  <w:style w:type="character" w:styleId="LineNumber">
    <w:name w:val="line number"/>
    <w:basedOn w:val="DefaultParagraphFont"/>
    <w:uiPriority w:val="99"/>
    <w:semiHidden/>
    <w:unhideWhenUsed/>
    <w:rsid w:val="00DD3AF0"/>
  </w:style>
  <w:style w:type="character" w:styleId="FollowedHyperlink">
    <w:name w:val="FollowedHyperlink"/>
    <w:basedOn w:val="DefaultParagraphFont"/>
    <w:uiPriority w:val="99"/>
    <w:semiHidden/>
    <w:unhideWhenUsed/>
    <w:rsid w:val="008F20A2"/>
    <w:rPr>
      <w:color w:val="954F72" w:themeColor="followedHyperlink"/>
      <w:u w:val="single"/>
    </w:rPr>
  </w:style>
  <w:style w:type="character" w:customStyle="1" w:styleId="normaltextrun">
    <w:name w:val="normaltextrun"/>
    <w:basedOn w:val="DefaultParagraphFont"/>
    <w:rsid w:val="00E539A9"/>
  </w:style>
  <w:style w:type="paragraph" w:styleId="Revision">
    <w:name w:val="Revision"/>
    <w:hidden/>
    <w:uiPriority w:val="99"/>
    <w:semiHidden/>
    <w:rsid w:val="003D0B04"/>
  </w:style>
  <w:style w:type="paragraph" w:customStyle="1" w:styleId="EndNoteBibliographyTitle">
    <w:name w:val="EndNote Bibliography Title"/>
    <w:basedOn w:val="Normal"/>
    <w:link w:val="EndNoteBibliographyTitleChar"/>
    <w:rsid w:val="00E9011A"/>
    <w:pPr>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E9011A"/>
    <w:rPr>
      <w:rFonts w:ascii="Calibri" w:hAnsi="Calibri" w:cs="Calibri"/>
      <w:noProof/>
    </w:rPr>
  </w:style>
  <w:style w:type="paragraph" w:customStyle="1" w:styleId="EndNoteBibliography">
    <w:name w:val="EndNote Bibliography"/>
    <w:basedOn w:val="Normal"/>
    <w:link w:val="EndNoteBibliographyChar"/>
    <w:rsid w:val="00E9011A"/>
    <w:rPr>
      <w:rFonts w:ascii="Calibri" w:hAnsi="Calibri" w:cs="Calibri"/>
      <w:noProof/>
    </w:rPr>
  </w:style>
  <w:style w:type="character" w:customStyle="1" w:styleId="EndNoteBibliographyChar">
    <w:name w:val="EndNote Bibliography Char"/>
    <w:basedOn w:val="NoSpacingChar"/>
    <w:link w:val="EndNoteBibliography"/>
    <w:rsid w:val="00E9011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23113">
      <w:bodyDiv w:val="1"/>
      <w:marLeft w:val="0"/>
      <w:marRight w:val="0"/>
      <w:marTop w:val="0"/>
      <w:marBottom w:val="0"/>
      <w:divBdr>
        <w:top w:val="none" w:sz="0" w:space="0" w:color="auto"/>
        <w:left w:val="none" w:sz="0" w:space="0" w:color="auto"/>
        <w:bottom w:val="none" w:sz="0" w:space="0" w:color="auto"/>
        <w:right w:val="none" w:sz="0" w:space="0" w:color="auto"/>
      </w:divBdr>
    </w:div>
    <w:div w:id="574704501">
      <w:bodyDiv w:val="1"/>
      <w:marLeft w:val="0"/>
      <w:marRight w:val="0"/>
      <w:marTop w:val="0"/>
      <w:marBottom w:val="0"/>
      <w:divBdr>
        <w:top w:val="none" w:sz="0" w:space="0" w:color="auto"/>
        <w:left w:val="none" w:sz="0" w:space="0" w:color="auto"/>
        <w:bottom w:val="none" w:sz="0" w:space="0" w:color="auto"/>
        <w:right w:val="none" w:sz="0" w:space="0" w:color="auto"/>
      </w:divBdr>
    </w:div>
    <w:div w:id="676229057">
      <w:bodyDiv w:val="1"/>
      <w:marLeft w:val="0"/>
      <w:marRight w:val="0"/>
      <w:marTop w:val="0"/>
      <w:marBottom w:val="0"/>
      <w:divBdr>
        <w:top w:val="none" w:sz="0" w:space="0" w:color="auto"/>
        <w:left w:val="none" w:sz="0" w:space="0" w:color="auto"/>
        <w:bottom w:val="none" w:sz="0" w:space="0" w:color="auto"/>
        <w:right w:val="none" w:sz="0" w:space="0" w:color="auto"/>
      </w:divBdr>
    </w:div>
    <w:div w:id="786655303">
      <w:bodyDiv w:val="1"/>
      <w:marLeft w:val="0"/>
      <w:marRight w:val="0"/>
      <w:marTop w:val="0"/>
      <w:marBottom w:val="0"/>
      <w:divBdr>
        <w:top w:val="none" w:sz="0" w:space="0" w:color="auto"/>
        <w:left w:val="none" w:sz="0" w:space="0" w:color="auto"/>
        <w:bottom w:val="none" w:sz="0" w:space="0" w:color="auto"/>
        <w:right w:val="none" w:sz="0" w:space="0" w:color="auto"/>
      </w:divBdr>
    </w:div>
    <w:div w:id="934943685">
      <w:bodyDiv w:val="1"/>
      <w:marLeft w:val="0"/>
      <w:marRight w:val="0"/>
      <w:marTop w:val="0"/>
      <w:marBottom w:val="0"/>
      <w:divBdr>
        <w:top w:val="none" w:sz="0" w:space="0" w:color="auto"/>
        <w:left w:val="none" w:sz="0" w:space="0" w:color="auto"/>
        <w:bottom w:val="none" w:sz="0" w:space="0" w:color="auto"/>
        <w:right w:val="none" w:sz="0" w:space="0" w:color="auto"/>
      </w:divBdr>
    </w:div>
    <w:div w:id="988241851">
      <w:bodyDiv w:val="1"/>
      <w:marLeft w:val="0"/>
      <w:marRight w:val="0"/>
      <w:marTop w:val="0"/>
      <w:marBottom w:val="0"/>
      <w:divBdr>
        <w:top w:val="none" w:sz="0" w:space="0" w:color="auto"/>
        <w:left w:val="none" w:sz="0" w:space="0" w:color="auto"/>
        <w:bottom w:val="none" w:sz="0" w:space="0" w:color="auto"/>
        <w:right w:val="none" w:sz="0" w:space="0" w:color="auto"/>
      </w:divBdr>
    </w:div>
    <w:div w:id="1055004525">
      <w:bodyDiv w:val="1"/>
      <w:marLeft w:val="0"/>
      <w:marRight w:val="0"/>
      <w:marTop w:val="0"/>
      <w:marBottom w:val="0"/>
      <w:divBdr>
        <w:top w:val="none" w:sz="0" w:space="0" w:color="auto"/>
        <w:left w:val="none" w:sz="0" w:space="0" w:color="auto"/>
        <w:bottom w:val="none" w:sz="0" w:space="0" w:color="auto"/>
        <w:right w:val="none" w:sz="0" w:space="0" w:color="auto"/>
      </w:divBdr>
    </w:div>
    <w:div w:id="1222866701">
      <w:bodyDiv w:val="1"/>
      <w:marLeft w:val="0"/>
      <w:marRight w:val="0"/>
      <w:marTop w:val="0"/>
      <w:marBottom w:val="0"/>
      <w:divBdr>
        <w:top w:val="none" w:sz="0" w:space="0" w:color="auto"/>
        <w:left w:val="none" w:sz="0" w:space="0" w:color="auto"/>
        <w:bottom w:val="none" w:sz="0" w:space="0" w:color="auto"/>
        <w:right w:val="none" w:sz="0" w:space="0" w:color="auto"/>
      </w:divBdr>
    </w:div>
    <w:div w:id="1313751442">
      <w:bodyDiv w:val="1"/>
      <w:marLeft w:val="0"/>
      <w:marRight w:val="0"/>
      <w:marTop w:val="0"/>
      <w:marBottom w:val="0"/>
      <w:divBdr>
        <w:top w:val="none" w:sz="0" w:space="0" w:color="auto"/>
        <w:left w:val="none" w:sz="0" w:space="0" w:color="auto"/>
        <w:bottom w:val="none" w:sz="0" w:space="0" w:color="auto"/>
        <w:right w:val="none" w:sz="0" w:space="0" w:color="auto"/>
      </w:divBdr>
    </w:div>
    <w:div w:id="1425374371">
      <w:bodyDiv w:val="1"/>
      <w:marLeft w:val="0"/>
      <w:marRight w:val="0"/>
      <w:marTop w:val="0"/>
      <w:marBottom w:val="0"/>
      <w:divBdr>
        <w:top w:val="none" w:sz="0" w:space="0" w:color="auto"/>
        <w:left w:val="none" w:sz="0" w:space="0" w:color="auto"/>
        <w:bottom w:val="none" w:sz="0" w:space="0" w:color="auto"/>
        <w:right w:val="none" w:sz="0" w:space="0" w:color="auto"/>
      </w:divBdr>
    </w:div>
    <w:div w:id="1591891964">
      <w:bodyDiv w:val="1"/>
      <w:marLeft w:val="0"/>
      <w:marRight w:val="0"/>
      <w:marTop w:val="0"/>
      <w:marBottom w:val="0"/>
      <w:divBdr>
        <w:top w:val="none" w:sz="0" w:space="0" w:color="auto"/>
        <w:left w:val="none" w:sz="0" w:space="0" w:color="auto"/>
        <w:bottom w:val="none" w:sz="0" w:space="0" w:color="auto"/>
        <w:right w:val="none" w:sz="0" w:space="0" w:color="auto"/>
      </w:divBdr>
    </w:div>
    <w:div w:id="1741753188">
      <w:bodyDiv w:val="1"/>
      <w:marLeft w:val="0"/>
      <w:marRight w:val="0"/>
      <w:marTop w:val="0"/>
      <w:marBottom w:val="0"/>
      <w:divBdr>
        <w:top w:val="none" w:sz="0" w:space="0" w:color="auto"/>
        <w:left w:val="none" w:sz="0" w:space="0" w:color="auto"/>
        <w:bottom w:val="none" w:sz="0" w:space="0" w:color="auto"/>
        <w:right w:val="none" w:sz="0" w:space="0" w:color="auto"/>
      </w:divBdr>
    </w:div>
    <w:div w:id="1910534382">
      <w:bodyDiv w:val="1"/>
      <w:marLeft w:val="0"/>
      <w:marRight w:val="0"/>
      <w:marTop w:val="0"/>
      <w:marBottom w:val="0"/>
      <w:divBdr>
        <w:top w:val="none" w:sz="0" w:space="0" w:color="auto"/>
        <w:left w:val="none" w:sz="0" w:space="0" w:color="auto"/>
        <w:bottom w:val="none" w:sz="0" w:space="0" w:color="auto"/>
        <w:right w:val="none" w:sz="0" w:space="0" w:color="auto"/>
      </w:divBdr>
    </w:div>
    <w:div w:id="19930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81764C-A1BC-6E48-9D7A-56D35679C550}">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268ED6B3C364FAC703FF960F7A610" ma:contentTypeVersion="11" ma:contentTypeDescription="Create a new document." ma:contentTypeScope="" ma:versionID="752a845cae5b6cd504378b46fee83af5">
  <xsd:schema xmlns:xsd="http://www.w3.org/2001/XMLSchema" xmlns:xs="http://www.w3.org/2001/XMLSchema" xmlns:p="http://schemas.microsoft.com/office/2006/metadata/properties" xmlns:ns3="5e300c8b-3036-49a2-80fa-2319748f3f6d" xmlns:ns4="17ba6337-7066-467a-94f6-945ab4d0f378" targetNamespace="http://schemas.microsoft.com/office/2006/metadata/properties" ma:root="true" ma:fieldsID="923af3a524370d848e5c584f558290d9" ns3:_="" ns4:_="">
    <xsd:import namespace="5e300c8b-3036-49a2-80fa-2319748f3f6d"/>
    <xsd:import namespace="17ba6337-7066-467a-94f6-945ab4d0f3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00c8b-3036-49a2-80fa-2319748f3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ba6337-7066-467a-94f6-945ab4d0f37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F0121-3AD4-481E-A9D1-CA15437905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7B7A6A-9B7C-4A9B-B509-73F5D3F160A7}">
  <ds:schemaRefs>
    <ds:schemaRef ds:uri="http://schemas.microsoft.com/sharepoint/v3/contenttype/forms"/>
  </ds:schemaRefs>
</ds:datastoreItem>
</file>

<file path=customXml/itemProps3.xml><?xml version="1.0" encoding="utf-8"?>
<ds:datastoreItem xmlns:ds="http://schemas.openxmlformats.org/officeDocument/2006/customXml" ds:itemID="{8239CE2C-FD94-4940-B15F-F293E0CE5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00c8b-3036-49a2-80fa-2319748f3f6d"/>
    <ds:schemaRef ds:uri="17ba6337-7066-467a-94f6-945ab4d0f3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4924</Words>
  <Characters>28067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Burleyson, Casey D</dc:creator>
  <cp:keywords/>
  <dc:description/>
  <cp:lastModifiedBy>Burleyson, Casey D</cp:lastModifiedBy>
  <cp:revision>2</cp:revision>
  <dcterms:created xsi:type="dcterms:W3CDTF">2020-07-16T17:49:00Z</dcterms:created>
  <dcterms:modified xsi:type="dcterms:W3CDTF">2020-07-16T17:49:00Z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0x0101002DF268ED6B3C364FAC703FF960F7A610</vt:lpwstr>
  </property>
  <property fmtid="{D5CDD505-2E9C-101B-9397-08002B2CF9AE}" pid="3" name="UseTimer">
    <vt:bool>false</vt:bool>
  </property>
  <property fmtid="{D5CDD505-2E9C-101B-9397-08002B2CF9AE}" pid="4" name="LastTick">
    <vt:r8>44011.9066782407</vt:r8>
  </property>
  <property fmtid="{D5CDD505-2E9C-101B-9397-08002B2CF9AE}" pid="5" name="EditTotal">
    <vt:i4>3362</vt:i4>
  </property>
  <property fmtid="{D5CDD505-2E9C-101B-9397-08002B2CF9AE}" pid="6" name="grammarly_documentId">
    <vt:lpwstr>documentId_826</vt:lpwstr>
  </property>
</Properties>
</file>