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A41" w:rsidRDefault="005B4A41" w:rsidP="005B4A41">
      <w:pPr>
        <w:pStyle w:val="Body"/>
        <w:ind w:firstLine="0"/>
        <w:jc w:val="center"/>
        <w:rPr>
          <w:b/>
        </w:rPr>
      </w:pPr>
      <w:bookmarkStart w:id="0" w:name="_Toc8123294"/>
      <w:r>
        <w:rPr>
          <w:rFonts w:cs="Times New Roman"/>
          <w:b/>
          <w:bCs/>
          <w:color w:val="auto"/>
          <w:sz w:val="28"/>
          <w:szCs w:val="24"/>
        </w:rPr>
        <w:t>Use of Deep L</w:t>
      </w:r>
      <w:r w:rsidRPr="0095770F">
        <w:rPr>
          <w:rFonts w:cs="Times New Roman"/>
          <w:b/>
          <w:bCs/>
          <w:color w:val="auto"/>
          <w:sz w:val="28"/>
          <w:szCs w:val="24"/>
        </w:rPr>
        <w:t xml:space="preserve">earning to </w:t>
      </w:r>
      <w:r>
        <w:rPr>
          <w:rFonts w:cs="Times New Roman"/>
          <w:b/>
          <w:bCs/>
          <w:color w:val="auto"/>
          <w:sz w:val="28"/>
          <w:szCs w:val="24"/>
        </w:rPr>
        <w:t>S</w:t>
      </w:r>
      <w:r w:rsidRPr="0095770F">
        <w:rPr>
          <w:rFonts w:cs="Times New Roman"/>
          <w:b/>
          <w:bCs/>
          <w:color w:val="auto"/>
          <w:sz w:val="28"/>
          <w:szCs w:val="24"/>
        </w:rPr>
        <w:t xml:space="preserve">tudy </w:t>
      </w:r>
      <w:r>
        <w:rPr>
          <w:rFonts w:cs="Times New Roman"/>
          <w:b/>
          <w:bCs/>
          <w:color w:val="auto"/>
          <w:sz w:val="28"/>
          <w:szCs w:val="24"/>
        </w:rPr>
        <w:t>M</w:t>
      </w:r>
      <w:r w:rsidRPr="0095770F">
        <w:rPr>
          <w:rFonts w:cs="Times New Roman"/>
          <w:b/>
          <w:bCs/>
          <w:color w:val="auto"/>
          <w:sz w:val="28"/>
          <w:szCs w:val="24"/>
        </w:rPr>
        <w:t xml:space="preserve">odelling </w:t>
      </w:r>
      <w:r>
        <w:rPr>
          <w:rFonts w:cs="Times New Roman"/>
          <w:b/>
          <w:bCs/>
          <w:color w:val="auto"/>
          <w:sz w:val="28"/>
          <w:szCs w:val="24"/>
        </w:rPr>
        <w:t>D</w:t>
      </w:r>
      <w:r w:rsidRPr="0095770F">
        <w:rPr>
          <w:rFonts w:cs="Times New Roman"/>
          <w:b/>
          <w:bCs/>
          <w:color w:val="auto"/>
          <w:sz w:val="28"/>
          <w:szCs w:val="24"/>
        </w:rPr>
        <w:t xml:space="preserve">eterioration of </w:t>
      </w:r>
      <w:r>
        <w:rPr>
          <w:rFonts w:cs="Times New Roman"/>
          <w:b/>
          <w:bCs/>
          <w:color w:val="auto"/>
          <w:sz w:val="28"/>
          <w:szCs w:val="24"/>
        </w:rPr>
        <w:t>P</w:t>
      </w:r>
      <w:r w:rsidRPr="0095770F">
        <w:rPr>
          <w:rFonts w:cs="Times New Roman"/>
          <w:b/>
          <w:bCs/>
          <w:color w:val="auto"/>
          <w:sz w:val="28"/>
          <w:szCs w:val="24"/>
        </w:rPr>
        <w:t xml:space="preserve">avements a </w:t>
      </w:r>
      <w:r>
        <w:rPr>
          <w:rFonts w:cs="Times New Roman"/>
          <w:b/>
          <w:bCs/>
          <w:color w:val="auto"/>
          <w:sz w:val="28"/>
          <w:szCs w:val="24"/>
        </w:rPr>
        <w:t>C</w:t>
      </w:r>
      <w:r w:rsidRPr="0095770F">
        <w:rPr>
          <w:rFonts w:cs="Times New Roman"/>
          <w:b/>
          <w:bCs/>
          <w:color w:val="auto"/>
          <w:sz w:val="28"/>
          <w:szCs w:val="24"/>
        </w:rPr>
        <w:t xml:space="preserve">ase </w:t>
      </w:r>
      <w:r>
        <w:rPr>
          <w:rFonts w:cs="Times New Roman"/>
          <w:b/>
          <w:bCs/>
          <w:color w:val="auto"/>
          <w:sz w:val="28"/>
          <w:szCs w:val="24"/>
        </w:rPr>
        <w:t>S</w:t>
      </w:r>
      <w:r w:rsidRPr="0095770F">
        <w:rPr>
          <w:rFonts w:cs="Times New Roman"/>
          <w:b/>
          <w:bCs/>
          <w:color w:val="auto"/>
          <w:sz w:val="28"/>
          <w:szCs w:val="24"/>
        </w:rPr>
        <w:t>tudy in Iowa</w:t>
      </w:r>
      <w:r w:rsidRPr="00D271F6">
        <w:rPr>
          <w:b/>
        </w:rPr>
        <w:t xml:space="preserve"> </w:t>
      </w:r>
    </w:p>
    <w:p w:rsidR="005B4A41" w:rsidRDefault="005B4A41" w:rsidP="005B4A41">
      <w:pPr>
        <w:pStyle w:val="Body"/>
        <w:ind w:left="720" w:firstLine="0"/>
        <w:rPr>
          <w:vertAlign w:val="superscript"/>
        </w:rPr>
      </w:pPr>
      <w:bookmarkStart w:id="1" w:name="_GoBack"/>
      <w:bookmarkEnd w:id="1"/>
      <w:r w:rsidRPr="00D271F6">
        <w:rPr>
          <w:b/>
        </w:rPr>
        <w:t>Authors:</w:t>
      </w:r>
      <w:r>
        <w:t xml:space="preserve"> Seyed Amirhossein Hosseini</w:t>
      </w:r>
      <w:r w:rsidRPr="00D271F6">
        <w:rPr>
          <w:vertAlign w:val="superscript"/>
        </w:rPr>
        <w:t>1</w:t>
      </w:r>
      <w:r>
        <w:t>, Ahmad Alhassan</w:t>
      </w:r>
      <w:r w:rsidRPr="00201D63">
        <w:rPr>
          <w:vertAlign w:val="superscript"/>
        </w:rPr>
        <w:t>2</w:t>
      </w:r>
      <w:r>
        <w:t>, and Omar Smadi</w:t>
      </w:r>
      <w:r w:rsidRPr="00D271F6">
        <w:rPr>
          <w:vertAlign w:val="superscript"/>
        </w:rPr>
        <w:t>1</w:t>
      </w:r>
    </w:p>
    <w:p w:rsidR="005B4A41" w:rsidRDefault="005B4A41" w:rsidP="005B4A41">
      <w:pPr>
        <w:pStyle w:val="Body"/>
        <w:ind w:left="720" w:firstLine="0"/>
      </w:pPr>
      <w:r w:rsidRPr="00D271F6">
        <w:rPr>
          <w:b/>
        </w:rPr>
        <w:t>Affiliation:</w:t>
      </w:r>
      <w:r>
        <w:t xml:space="preserve"> </w:t>
      </w:r>
      <w:r w:rsidRPr="00D271F6">
        <w:rPr>
          <w:vertAlign w:val="superscript"/>
        </w:rPr>
        <w:t>1</w:t>
      </w:r>
      <w:r>
        <w:t xml:space="preserve">Iowa State University – Institute for Transportation, Ames, Iowa </w:t>
      </w:r>
    </w:p>
    <w:p w:rsidR="005B4A41" w:rsidRDefault="005B4A41" w:rsidP="005B4A41">
      <w:pPr>
        <w:pStyle w:val="Body"/>
        <w:ind w:left="720" w:firstLine="0"/>
      </w:pPr>
      <w:r w:rsidRPr="00201D63">
        <w:rPr>
          <w:vertAlign w:val="superscript"/>
        </w:rPr>
        <w:t>2</w:t>
      </w:r>
      <w:r w:rsidRPr="00201D63">
        <w:t>Applied Research Associates, Inc</w:t>
      </w:r>
      <w:r>
        <w:t xml:space="preserve"> </w:t>
      </w:r>
    </w:p>
    <w:p w:rsidR="005B4A41" w:rsidRDefault="005B4A41" w:rsidP="005B4A41">
      <w:pPr>
        <w:pStyle w:val="Heading2"/>
      </w:pPr>
      <w:bookmarkStart w:id="2" w:name="_Toc40744420"/>
      <w:r>
        <w:t>Abstract</w:t>
      </w:r>
      <w:bookmarkEnd w:id="2"/>
    </w:p>
    <w:p w:rsidR="005B4A41" w:rsidRDefault="005B4A41" w:rsidP="005B4A41">
      <w:pPr>
        <w:pStyle w:val="Body"/>
        <w:rPr>
          <w:rFonts w:eastAsiaTheme="majorEastAsia" w:cs="Times New Roman"/>
        </w:rPr>
      </w:pPr>
      <w:r w:rsidRPr="00C812F1">
        <w:rPr>
          <w:rFonts w:eastAsiaTheme="majorEastAsia" w:cs="Times New Roman"/>
        </w:rPr>
        <w:t xml:space="preserve">This paper describes the process and outcome of deterioration </w:t>
      </w:r>
      <w:r>
        <w:rPr>
          <w:rFonts w:eastAsiaTheme="majorEastAsia" w:cs="Times New Roman"/>
        </w:rPr>
        <w:t>modeling</w:t>
      </w:r>
      <w:r w:rsidRPr="00C812F1">
        <w:rPr>
          <w:rFonts w:eastAsiaTheme="majorEastAsia" w:cs="Times New Roman"/>
        </w:rPr>
        <w:t xml:space="preserve"> for three different pavement types in the state of Iowa. Pavement condition data is collected by the Iowa Department of Transportation </w:t>
      </w:r>
      <w:r>
        <w:rPr>
          <w:rFonts w:eastAsiaTheme="majorEastAsia" w:cs="Times New Roman"/>
        </w:rPr>
        <w:t xml:space="preserve">(DOT) </w:t>
      </w:r>
      <w:r w:rsidRPr="00C812F1">
        <w:rPr>
          <w:rFonts w:eastAsiaTheme="majorEastAsia" w:cs="Times New Roman"/>
        </w:rPr>
        <w:t>and stored in a Pavement-Management Information System (PMIS). Typically, the overall pavement condition is quantified using the Pavement Condition Index (PCI), which is a weighted average of indices represent</w:t>
      </w:r>
      <w:r>
        <w:rPr>
          <w:rFonts w:eastAsiaTheme="majorEastAsia" w:cs="Times New Roman"/>
        </w:rPr>
        <w:t>ing</w:t>
      </w:r>
      <w:r w:rsidRPr="00C812F1">
        <w:rPr>
          <w:rFonts w:eastAsiaTheme="majorEastAsia" w:cs="Times New Roman"/>
        </w:rPr>
        <w:t xml:space="preserve"> different types of distress, roughness, and deflection. Deterioration models of PCI as a function of time were developed for the different pavement types using two </w:t>
      </w:r>
      <w:r>
        <w:rPr>
          <w:rFonts w:eastAsiaTheme="majorEastAsia" w:cs="Times New Roman"/>
        </w:rPr>
        <w:t>modeling</w:t>
      </w:r>
      <w:r w:rsidRPr="00C812F1">
        <w:rPr>
          <w:rFonts w:eastAsiaTheme="majorEastAsia" w:cs="Times New Roman"/>
        </w:rPr>
        <w:t xml:space="preserve"> approaches. The first approach is the Long/Short Term Memory (LSTM), a subset of a recurrent neural network. The second approach, used by the Iowa DOT, is </w:t>
      </w:r>
      <w:r>
        <w:rPr>
          <w:rFonts w:eastAsiaTheme="majorEastAsia" w:cs="Times New Roman"/>
        </w:rPr>
        <w:t>developing</w:t>
      </w:r>
      <w:r w:rsidRPr="00C812F1">
        <w:rPr>
          <w:rFonts w:eastAsiaTheme="majorEastAsia" w:cs="Times New Roman"/>
        </w:rPr>
        <w:t xml:space="preserve"> individual regression models for each section of the different pavement types. A comparison is made between the two approaches to assess the accuracy of each model. The results show that while the individual regression models achieved higher prediction accuracy with respect to asphalt pavements, the LSTM model achieved a higher prediction </w:t>
      </w:r>
      <w:r>
        <w:rPr>
          <w:rFonts w:eastAsiaTheme="majorEastAsia" w:cs="Times New Roman"/>
        </w:rPr>
        <w:t xml:space="preserve">accuracy </w:t>
      </w:r>
      <w:r w:rsidRPr="00C812F1">
        <w:rPr>
          <w:rFonts w:eastAsiaTheme="majorEastAsia" w:cs="Times New Roman"/>
        </w:rPr>
        <w:t>over time for concrete and composite pavement types.</w:t>
      </w:r>
    </w:p>
    <w:p w:rsidR="005B4A41" w:rsidRDefault="005B4A41" w:rsidP="005B4A41">
      <w:pPr>
        <w:pStyle w:val="Body"/>
        <w:ind w:firstLine="0"/>
        <w:rPr>
          <w:rFonts w:eastAsiaTheme="majorEastAsia" w:cs="Times New Roman"/>
        </w:rPr>
      </w:pPr>
      <w:r w:rsidRPr="00C812F1">
        <w:rPr>
          <w:rFonts w:eastAsiaTheme="majorEastAsia" w:cs="Times New Roman"/>
          <w:b/>
        </w:rPr>
        <w:t>Keywords:</w:t>
      </w:r>
      <w:r w:rsidRPr="00C812F1">
        <w:rPr>
          <w:rFonts w:eastAsiaTheme="majorEastAsia" w:cs="Times New Roman"/>
        </w:rPr>
        <w:t xml:space="preserve"> Long/Short Term Memory (LSTM) model, deterioration model, regression model, pavement surface distress, deep learning, prediction accuracy</w:t>
      </w:r>
    </w:p>
    <w:p w:rsidR="005B4A41" w:rsidRDefault="005B4A41" w:rsidP="005B4A41">
      <w:pPr>
        <w:pStyle w:val="Heading2"/>
      </w:pPr>
      <w:bookmarkStart w:id="3" w:name="_Toc40744421"/>
      <w:r>
        <w:lastRenderedPageBreak/>
        <w:t>Introduction</w:t>
      </w:r>
      <w:bookmarkEnd w:id="3"/>
    </w:p>
    <w:p w:rsidR="005B4A41" w:rsidRDefault="005B4A41" w:rsidP="005B4A41">
      <w:pPr>
        <w:pStyle w:val="Body"/>
        <w:rPr>
          <w:rFonts w:eastAsiaTheme="majorEastAsia" w:cs="Times New Roman"/>
        </w:rPr>
      </w:pPr>
      <w:r w:rsidRPr="00C812F1">
        <w:rPr>
          <w:rFonts w:eastAsiaTheme="majorEastAsia" w:cs="Times New Roman"/>
        </w:rPr>
        <w:t>Public agencies use pavement management systems (PMSs) to make objective decisions and conduct activities for maintaining pavements in acceptable conditions at minimal cost (</w:t>
      </w:r>
      <w:r w:rsidRPr="00C812F1">
        <w:rPr>
          <w:rFonts w:eastAsiaTheme="majorEastAsia" w:cs="Times New Roman"/>
        </w:rPr>
        <w:fldChar w:fldCharType="begin" w:fldLock="1"/>
      </w:r>
      <w:r>
        <w:rPr>
          <w:rFonts w:eastAsiaTheme="majorEastAsia" w:cs="Times New Roman"/>
        </w:rPr>
        <w:instrText>ADDIN CSL_CITATION {"citationItems":[{"id":"ITEM-1","itemData":{"author":[{"dropping-particle":"","family":"AASHTO","given":"","non-dropping-particle":"","parse-names":false,"suffix":""}],"id":"ITEM-1","issued":{"date-parts":[["2012"]]},"title":"© 2012 by the American Association of State Highway and Transportation Officials. All rights reserved. Duplication is a violation of applicable law.","type":"article-journal"},"uris":["http://www.mendeley.com/documents/?uuid=fee267b7-a8f7-4f63-a381-aa2d775e2a50"]}],"mendeley":{"formattedCitation":"(AASHTO, 2012)","manualFormatting":"AASHTO, 2012)","plainTextFormattedCitation":"(AASHTO, 2012)","previouslyFormattedCitation":"(AASHTO, 2012)"},"properties":{"noteIndex":0},"schema":"https://github.com/citation-style-language/schema/raw/master/csl-citation.json"}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AASHTO, 2012)</w:t>
      </w:r>
      <w:r w:rsidRPr="00C812F1">
        <w:rPr>
          <w:rFonts w:eastAsiaTheme="majorEastAsia" w:cs="Times New Roman"/>
        </w:rPr>
        <w:fldChar w:fldCharType="end"/>
      </w:r>
      <w:r w:rsidRPr="00C812F1">
        <w:rPr>
          <w:rFonts w:eastAsiaTheme="majorEastAsia" w:cs="Times New Roman"/>
        </w:rPr>
        <w:t xml:space="preserve">. Since the early 1970s, departments of transportation (DOTs) and other </w:t>
      </w:r>
      <w:r>
        <w:rPr>
          <w:rFonts w:eastAsiaTheme="majorEastAsia" w:cs="Times New Roman"/>
        </w:rPr>
        <w:t xml:space="preserve">transportation agencies </w:t>
      </w:r>
      <w:r w:rsidRPr="00C812F1">
        <w:rPr>
          <w:rFonts w:eastAsiaTheme="majorEastAsia" w:cs="Times New Roman"/>
        </w:rPr>
        <w:t xml:space="preserve">have been implementing and establishing PMSs to match their needs, achieving significant savings and improvement in network conditions </w:t>
      </w:r>
      <w:r w:rsidRPr="00C812F1">
        <w:rPr>
          <w:rFonts w:eastAsiaTheme="majorEastAsia" w:cs="Times New Roman"/>
        </w:rPr>
        <w:fldChar w:fldCharType="begin" w:fldLock="1"/>
      </w:r>
      <w:r w:rsidRPr="00C812F1">
        <w:rPr>
          <w:rFonts w:eastAsiaTheme="majorEastAsia" w:cs="Times New Roman"/>
        </w:rPr>
        <w:instrText>ADDIN CSL_CITATION {"citationItems":[{"id":"ITEM-1","itemData":{"author":[{"dropping-particle":"","family":"Vasquez","given":"Cristian A","non-dropping-particle":"","parse-names":false,"suffix":""}],"id":"ITEM-1","issued":{"date-parts":[["2011"]]},"title":"Pavement Management Systems on a Local Level","type":"article-journal"},"uris":["http://www.mendeley.com/documents/?uuid=47c242c7-9240-4178-bfe8-7679222cbfae"]}],"mendeley":{"formattedCitation":"(Vasquez, 2011)","plainTextFormattedCitation":"(Vasquez, 2011)","previouslyFormattedCitation":"(Vasquez, 2011)"},"properties":{"noteIndex":0},"schema":"https://github.com/citation-style-language/schema/raw/master/csl-citation.json"}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(Vasquez, 2011)</w:t>
      </w:r>
      <w:r w:rsidRPr="00C812F1">
        <w:rPr>
          <w:rFonts w:eastAsiaTheme="majorEastAsia" w:cs="Times New Roman"/>
        </w:rPr>
        <w:fldChar w:fldCharType="end"/>
      </w:r>
      <w:r w:rsidRPr="00C812F1">
        <w:rPr>
          <w:rFonts w:eastAsiaTheme="majorEastAsia" w:cs="Times New Roman"/>
        </w:rPr>
        <w:t xml:space="preserve">. The Arizona DOT, for example, saved $14 million and $101 million during the first year and the first four years of PMS implementation, respectively </w:t>
      </w:r>
      <w:r w:rsidRPr="00C812F1">
        <w:rPr>
          <w:rFonts w:eastAsiaTheme="majorEastAsia" w:cs="Times New Roman"/>
        </w:rPr>
        <w:fldChar w:fldCharType="begin" w:fldLock="1"/>
      </w:r>
      <w:r w:rsidRPr="00C812F1">
        <w:rPr>
          <w:rFonts w:eastAsiaTheme="majorEastAsia" w:cs="Times New Roman"/>
        </w:rPr>
        <w:instrText>ADDIN CSL_CITATION {"citationItems":[{"id":"ITEM-1","itemData":{"author":[{"dropping-particle":"","family":"Hassan","given":"Rayya","non-dropping-particle":"","parse-names":false,"suffix":""},{"dropping-particle":"","family":"Lin","given":"Oliver","non-dropping-particle":"","parse-names":false,"suffix":""},{"dropping-particle":"","family":"Thananjeyan","given":"Amutha","non-dropping-particle":"","parse-names":false,"suffix":""}],"id":"ITEM-1","issue":"1","issued":{"date-parts":[["2017"]]},"page":"26-35","title":"A comparison between three approaches for modelling deterioration of five pavement surfaces","type":"article-journal","volume":"18"},"uris":["http://www.mendeley.com/documents/?uuid=fd45c816-a6ae-4218-aba2-385709bec766"]}],"mendeley":{"formattedCitation":"(Hassan, Lin, &amp; Thananjeyan, 2017)","plainTextFormattedCitation":"(Hassan, Lin, &amp; Thananjeyan, 2017)","previouslyFormattedCitation":"(Hassan, Lin, &amp; Thananjeyan, 2017)"},"properties":{"noteIndex":0},"schema":"https://github.com/citation-style-language/schema/raw/master/csl-citation.json"}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(Hassan,</w:t>
      </w:r>
      <w:r>
        <w:rPr>
          <w:rFonts w:eastAsiaTheme="majorEastAsia" w:cs="Times New Roman"/>
          <w:noProof/>
        </w:rPr>
        <w:t xml:space="preserve"> </w:t>
      </w:r>
      <w:r w:rsidRPr="00C812F1">
        <w:rPr>
          <w:rFonts w:eastAsiaTheme="majorEastAsia" w:cs="Times New Roman"/>
          <w:noProof/>
        </w:rPr>
        <w:t>2017)</w:t>
      </w:r>
      <w:r w:rsidRPr="00C812F1">
        <w:rPr>
          <w:rFonts w:eastAsiaTheme="majorEastAsia" w:cs="Times New Roman"/>
        </w:rPr>
        <w:fldChar w:fldCharType="end"/>
      </w:r>
      <w:r w:rsidRPr="00C812F1">
        <w:rPr>
          <w:rFonts w:eastAsiaTheme="majorEastAsia" w:cs="Times New Roman"/>
        </w:rPr>
        <w:t xml:space="preserve">. The Colorado Department of Transportation (CDOT) uses PMS to efficiently spend its $740 million annual budget for maintaining and preserving more than 9,100 center-line miles (about 23,000 total lane miles) </w:t>
      </w:r>
      <w:r w:rsidRPr="00C812F1">
        <w:rPr>
          <w:rFonts w:eastAsiaTheme="majorEastAsia" w:cs="Times New Roman"/>
        </w:rPr>
        <w:fldChar w:fldCharType="begin" w:fldLock="1"/>
      </w:r>
      <w:r>
        <w:rPr>
          <w:rFonts w:eastAsiaTheme="majorEastAsia" w:cs="Times New Roman"/>
        </w:rPr>
        <w:instrText>ADDIN CSL_CITATION {"citationItems":[{"id":"ITEM-1","itemData":{"DOI":"10.1155/2017/8292056","ISSN":"16878094","abstract":"© 2017 Promothes Saha et al. In the state of Colorado, the Colorado Department of Transportation (CDOT) utilizes their pavement management system (PMS) to manage approximately 9,100 miles of interstate, highways, and low-volume roads. Three types of deterioration models are currently being used in the existing PMS: site-specific, family, and expert opinion curves. These curves are developed using deterministic techniques. In the deterministic technique, the uncertainties of pavement deterioration related to traffic and weather are not considered. Probabilistic models that take into account the uncertainties result in more accurate curves. In this study, probabilistic models using the discrete-time Markov process were developed for five distress indices: transverse, longitudinal, fatigue, rut, and ride indices, as a case study on low-volume roads. Regression techniques were used to develop the deterioration paths using the predicted distribution of indices estimated from the Markov process. Results indicated that longitudinal, fatigue, and rut indices had very slow deterioration over time, whereas transverse and ride indices showed faster deterioration. The developed deterioration models had the coefficient of determination (R 2 ) above 0.84. As probabilistic models provide more accurate results, it is recommended that these models be used as the family curves in the CDOT PMS for low-volume roads.","author":[{"dropping-particle":"","family":"Saha","given":"Promothes","non-dropping-particle":"","parse-names":false,"suffix":""},{"dropping-particle":"","family":"Ksaibati","given":"Khaled","non-dropping-particle":"","parse-names":false,"suffix":""},{"dropping-particle":"","family":"Atadero","given":"Rebecca","non-dropping-particle":"","parse-names":false,"suffix":""}],"container-title":"Advances in Civil Engineering","id":"ITEM-1","issued":{"date-parts":[["2017"]]},"title":"Developing Pavement Distress Deterioration Models for Pavement Management System Using Markovian Probabilistic Process","type":"article-journal"},"uris":["http://www.mendeley.com/documents/?uuid=c2ac946f-c337-3344-8020-b6a5cd5d8958"]}],"mendeley":{"formattedCitation":"(Saha, Ksaibati, &amp; Atadero, 2017)","manualFormatting":"(Saha, 2017)","plainTextFormattedCitation":"(Saha, Ksaibati, &amp; Atadero, 2017)","previouslyFormattedCitation":"(Saha, Ksaibati, &amp; Atadero, 2017)"},"properties":{"noteIndex":0},"schema":"https://github.com/citation-style-language/schema/raw/master/csl-citation.json"}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(Saha, 2017)</w:t>
      </w:r>
      <w:r w:rsidRPr="00C812F1">
        <w:rPr>
          <w:rFonts w:eastAsiaTheme="majorEastAsia" w:cs="Times New Roman"/>
        </w:rPr>
        <w:fldChar w:fldCharType="end"/>
      </w:r>
      <w:r w:rsidRPr="00C812F1">
        <w:rPr>
          <w:rFonts w:eastAsiaTheme="majorEastAsia" w:cs="Times New Roman"/>
        </w:rPr>
        <w:t xml:space="preserve">. It appears that there is potential for all such expenses to be </w:t>
      </w:r>
      <w:r>
        <w:rPr>
          <w:rFonts w:eastAsiaTheme="majorEastAsia" w:cs="Times New Roman"/>
        </w:rPr>
        <w:t>more effective</w:t>
      </w:r>
      <w:r w:rsidRPr="00C812F1">
        <w:rPr>
          <w:rFonts w:eastAsiaTheme="majorEastAsia" w:cs="Times New Roman"/>
        </w:rPr>
        <w:t xml:space="preserve"> if PMS improvements can be developed and implemented.</w:t>
      </w:r>
    </w:p>
    <w:p w:rsidR="005B4A41" w:rsidRDefault="005B4A41" w:rsidP="005B4A41">
      <w:pPr>
        <w:pStyle w:val="Body"/>
        <w:rPr>
          <w:rFonts w:eastAsiaTheme="majorEastAsia" w:cs="Times New Roman"/>
        </w:rPr>
      </w:pPr>
      <w:r w:rsidRPr="00C812F1">
        <w:rPr>
          <w:rFonts w:eastAsiaTheme="majorEastAsia" w:cs="Times New Roman"/>
        </w:rPr>
        <w:t xml:space="preserve">A major component of any PMS is evaluation and </w:t>
      </w:r>
      <w:r>
        <w:rPr>
          <w:rFonts w:eastAsiaTheme="majorEastAsia" w:cs="Times New Roman"/>
        </w:rPr>
        <w:t>modeling</w:t>
      </w:r>
      <w:r w:rsidRPr="00C812F1">
        <w:rPr>
          <w:rFonts w:eastAsiaTheme="majorEastAsia" w:cs="Times New Roman"/>
        </w:rPr>
        <w:t xml:space="preserve"> of pavement conditions at the network level. Recently, most states have begun to use automated pavement-condition surveying tools that generate images from remote sensors to collect distress information and report individual distress</w:t>
      </w:r>
      <w:r>
        <w:rPr>
          <w:rFonts w:eastAsiaTheme="majorEastAsia" w:cs="Times New Roman"/>
        </w:rPr>
        <w:t>es</w:t>
      </w:r>
      <w:r w:rsidRPr="00C812F1">
        <w:rPr>
          <w:rFonts w:eastAsiaTheme="majorEastAsia" w:cs="Times New Roman"/>
        </w:rPr>
        <w:t xml:space="preserve"> through an overall condition index </w:t>
      </w:r>
      <w:r w:rsidRPr="00C812F1">
        <w:rPr>
          <w:rFonts w:eastAsiaTheme="majorEastAsia" w:cs="Times New Roman"/>
        </w:rPr>
        <w:fldChar w:fldCharType="begin" w:fldLock="1"/>
      </w:r>
      <w:r>
        <w:rPr>
          <w:rFonts w:eastAsiaTheme="majorEastAsia" w:cs="Times New Roman"/>
        </w:rPr>
        <w:instrText>ADDIN CSL_CITATION {"citationItems":[{"id":"ITEM-1","itemData":{"DOI":"10.3390/infrastructures3040058","author":[{"dropping-particle":"","family":"Ragnoli","given":"Antonella","non-dropping-particle":"","parse-names":false,"suffix":""},{"dropping-particle":"De","family":"Blasiis","given":"Maria Rosaria","non-dropping-particle":"","parse-names":false,"suffix":""},{"dropping-particle":"Di","family":"Benedetto","given":"Alessandro","non-dropping-particle":"","parse-names":false,"suffix":""}],"id":"ITEM-1","issued":{"date-parts":[["2018"]]},"page":"1-19","title":"Pavement Distress Detection Methods : A Review","type":"article-journal"},"uris":["http://www.mendeley.com/documents/?uuid=9b3577b2-10e9-46fd-a2da-cf0daefc66e1"]}],"mendeley":{"formattedCitation":"(Ragnoli, Blasiis, &amp; Benedetto, 2018)","manualFormatting":"(Ragnoli, 2018)","plainTextFormattedCitation":"(Ragnoli, Blasiis, &amp; Benedetto, 2018)","previouslyFormattedCitation":"(Ragnoli, Blasiis, &amp; Benedetto, 2018)"},"properties":{"noteIndex":0},"schema":"https://github.com/citation-style-language/schema/raw/master/csl-citation.json"}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(Ragnoli, 2018)</w:t>
      </w:r>
      <w:r w:rsidRPr="00C812F1">
        <w:rPr>
          <w:rFonts w:eastAsiaTheme="majorEastAsia" w:cs="Times New Roman"/>
        </w:rPr>
        <w:fldChar w:fldCharType="end"/>
      </w:r>
      <w:r w:rsidRPr="00C812F1">
        <w:rPr>
          <w:rFonts w:eastAsiaTheme="majorEastAsia" w:cs="Times New Roman"/>
        </w:rPr>
        <w:t xml:space="preserve">. The concept of Pavement Condition Index (PCI), was developed by the U.S. Army Corps of Engineers in 1970 based on different types of distresses and severity levels </w:t>
      </w:r>
      <w:r w:rsidRPr="00C812F1">
        <w:rPr>
          <w:rFonts w:eastAsiaTheme="majorEastAsia" w:cs="Times New Roman"/>
        </w:rPr>
        <w:fldChar w:fldCharType="begin" w:fldLock="1"/>
      </w:r>
      <w:r>
        <w:rPr>
          <w:rFonts w:eastAsiaTheme="majorEastAsia" w:cs="Times New Roman"/>
        </w:rPr>
        <w:instrText>ADDIN CSL_CITATION {"citationItems":[{"id":"ITEM-1","itemData":{"DOI":"10.1061/(ASCE)TE","author":[{"dropping-particle":"","family":"Shahnazari","given":"Habib","non-dropping-particle":"","parse-names":false,"suffix":""},{"dropping-particle":"","family":"Tutunchian","given":"Mohammad A","non-dropping-particle":"","parse-names":false,"suffix":""},{"dropping-particle":"","family":"Mashayekhi","given":"Mehdi","non-dropping-particle":"","parse-names":false,"suffix":""},{"dropping-particle":"","family":"Amini","given":"Amir A","non-dropping-particle":"","parse-names":false,"suffix":""}],"id":"ITEM-1","issue":"December","issued":{"date-parts":[["2012"]]},"page":"1495-1506","title":"Application of Soft Computing for Prediction of Pavement Condition Index","type":"article-journal","volume":"138"},"uris":["http://www.mendeley.com/documents/?uuid=d959bfac-85a0-4afb-8296-28a62ae0dfe1"]}],"mendeley":{"formattedCitation":"(Shahnazari, Tutunchian, Mashayekhi, &amp; Amini, 2012b)","manualFormatting":"(Shahnazari, 2012)","plainTextFormattedCitation":"(Shahnazari, Tutunchian, Mashayekhi, &amp; Amini, 2012b)","previouslyFormattedCitation":"(Shahnazari, Tutunchian, Mashayekhi, &amp; Amini, 2012b)"},"properties":{"noteIndex":0},"schema":"https://github.com/citation-style-language/schema/raw/master/csl-citation.json"}</w:instrText>
      </w:r>
      <w:r w:rsidRPr="00C812F1">
        <w:rPr>
          <w:rFonts w:eastAsiaTheme="majorEastAsia" w:cs="Times New Roman"/>
        </w:rPr>
        <w:fldChar w:fldCharType="separate"/>
      </w:r>
      <w:r w:rsidRPr="00AC6F62">
        <w:rPr>
          <w:rFonts w:eastAsiaTheme="majorEastAsia" w:cs="Times New Roman"/>
          <w:noProof/>
        </w:rPr>
        <w:t>(Shahnazari, 2012)</w:t>
      </w:r>
      <w:r w:rsidRPr="00C812F1">
        <w:rPr>
          <w:rFonts w:eastAsiaTheme="majorEastAsia" w:cs="Times New Roman"/>
        </w:rPr>
        <w:fldChar w:fldCharType="end"/>
      </w:r>
      <w:r w:rsidRPr="00C812F1">
        <w:rPr>
          <w:rFonts w:eastAsiaTheme="majorEastAsia" w:cs="Times New Roman"/>
        </w:rPr>
        <w:t xml:space="preserve">. Since then, most DOTs and related agencies have been using the PCI to evaluate pavement conditions. The PCI provides important information to pavement engineers by describing overall pavement condition based on different types of distress, roughness, and deflection </w:t>
      </w:r>
      <w:r w:rsidRPr="00C812F1">
        <w:rPr>
          <w:rFonts w:eastAsiaTheme="majorEastAsia" w:cs="Times New Roman"/>
        </w:rPr>
        <w:fldChar w:fldCharType="begin" w:fldLock="1"/>
      </w:r>
      <w:r>
        <w:rPr>
          <w:rFonts w:eastAsiaTheme="majorEastAsia" w:cs="Times New Roman"/>
        </w:rPr>
        <w:instrText>ADDIN CSL_CITATION {"citationItems":[{"id":"ITEM-1","itemData":{"DOI":"10.6135/ijprt.org.tw/2014.7(6).434","abstract":"The use of neural networks (NNs) has increased tremendously in several areas of engineering over the last three decades. This paper is intended to provide a state-of-the-art survey of NN applications in pavement engineering over the last three decades. The reported studies are briefly summarized under eight different categories: (1) prediction of pavement condition and performance, (2) pavement management and maintenance strategies, (3) pavement distress forecasting, (4) structural evaluation of pavement systems, (5) pavement image analysis and classification, (6) pavement materials modeling, and (7) other miscellaneous transportation infrastructure applications. To maintain consistency, the review was primarily based on archival journal publications although novel application-oriented NN implementations published in peer-reviewed conference proceedings and edited books were also considered. Recent publications focusing on the development and use of hybrid neural systems in pavement engineering were also included in the review. The increasing number of publications in this area of research in combination with other soft computing techniques every year definitely indicates that more and more students, researchers, and practitioners are interested in exploring the use of NNs in the study of pavement engineering problems.","author":[{"dropping-particle":"","family":"Ceylan","given":"Halil","non-dropping-particle":"","parse-names":false,"suffix":""},{"dropping-particle":"","family":"Birkan Bayrak","given":"Mustafa","non-dropping-particle":"","parse-names":false,"suffix":""},{"dropping-particle":"","family":"Gopalakrishnan","given":"Kasthurirangan","non-dropping-particle":"","parse-names":false,"suffix":""},{"dropping-particle":"","family":"───────────────────────────────────────────────────────","given":"1+","non-dropping-particle":"","parse-names":false,"suffix":""}],"container-title":"International Journal of Pavement Research and Technology","id":"ITEM-1","issue":"6","issued":{"date-parts":[["2014"]]},"page":"434-444","title":"Neural Networks Applications in Pavement Engineering: A Recent Survey","type":"article-journal","volume":"7"},"uris":["http://www.mendeley.com/documents/?uuid=f5f6db8f-b2f6-3094-89c2-7f65e73c13f8"]}],"mendeley":{"formattedCitation":"(Ceylan, Birkan Bayrak, Gopalakrishnan, &amp; ───────────────────────────────────────────────────────, 2014b)","manualFormatting":"(Ceylan 2014","plainTextFormattedCitation":"(Ceylan, Birkan Bayrak, Gopalakrishnan, &amp; ───────────────────────────────────────────────────────, 2014b)","previouslyFormattedCitation":"(Ceylan, Birkan Bayrak, Gopalakrishnan, &amp; ───────────────────────────────────────────────────────, 2014b)"},"properties":{"noteIndex":0},"schema":"https://github.com/citation-style-language/schema/raw/master/csl-citation.json"}</w:instrText>
      </w:r>
      <w:r w:rsidRPr="00C812F1">
        <w:rPr>
          <w:rFonts w:eastAsiaTheme="majorEastAsia" w:cs="Times New Roman"/>
        </w:rPr>
        <w:fldChar w:fldCharType="separate"/>
      </w:r>
      <w:r>
        <w:rPr>
          <w:rFonts w:eastAsiaTheme="majorEastAsia" w:cs="Times New Roman"/>
          <w:noProof/>
        </w:rPr>
        <w:t>(Ceylan</w:t>
      </w:r>
      <w:r w:rsidRPr="00C812F1">
        <w:rPr>
          <w:rFonts w:eastAsiaTheme="majorEastAsia" w:cs="Times New Roman"/>
          <w:noProof/>
        </w:rPr>
        <w:t xml:space="preserve"> 2014</w:t>
      </w:r>
      <w:r w:rsidRPr="00C812F1">
        <w:rPr>
          <w:rFonts w:eastAsiaTheme="majorEastAsia" w:cs="Times New Roman"/>
        </w:rPr>
        <w:fldChar w:fldCharType="end"/>
      </w:r>
      <w:r>
        <w:rPr>
          <w:rFonts w:eastAsiaTheme="majorEastAsia" w:cs="Times New Roman"/>
        </w:rPr>
        <w:t xml:space="preserve">, </w:t>
      </w:r>
      <w:r w:rsidRPr="00C812F1">
        <w:rPr>
          <w:rFonts w:eastAsiaTheme="majorEastAsia" w:cs="Times New Roman"/>
        </w:rPr>
        <w:fldChar w:fldCharType="begin" w:fldLock="1"/>
      </w:r>
      <w:r>
        <w:rPr>
          <w:rFonts w:eastAsiaTheme="majorEastAsia" w:cs="Times New Roman"/>
        </w:rPr>
        <w:instrText>ADDIN CSL_CITATION {"citationItems":[{"id":"ITEM-1","itemData":{"DOI":"10.1002/9781119038849","ISBN":"9781119038849","ISSN":"0733-947X","PMID":"25246403","abstract":"© 2015 Scrivener Publishing LLC. All rights reserved.Comprehensive and practical, Pavement Asset Management provides an essential resource for educators, students and those in public agencies and consultancies who are directly responsible for managing road and airport pavements. The book is comprehensive in the integration of activities that go into having safe and cost-effective pavements using the best technologies and management processes available. This is accomplished in seven major parts, and 42 component chapters, ranging from the evolution of pavement management to date requirements to determining needs and priority programming of rehabilitation and maintenance, followed by structural design and economic analysis, implementation of pavement management systems, basic features of working systems and finally by a part on looking ahead.","author":[{"dropping-particle":"","family":"Haas","given":"Ralph","non-dropping-particle":"","parse-names":false,"suffix":""},{"dropping-particle":"","family":"Hudson","given":"W. Ronald","non-dropping-particle":"","parse-names":false,"suffix":""},{"dropping-particle":"","family":"Falls","given":"Lynne Cowe","non-dropping-particle":"","parse-names":false,"suffix":""}],"container-title":"Pavement Asset Management","id":"ITEM-1","issued":{"date-parts":[["2015"]]},"title":"Pavement Asset Management","type":"book"},"uris":["http://www.mendeley.com/documents/?uuid=6743301c-fd31-35a9-bc67-cd62bab72805"]}],"mendeley":{"formattedCitation":"(Ralph Haas, Hudson, &amp; Falls, 2015b)","manualFormatting":"Haas 2015)","plainTextFormattedCitation":"(Ralph Haas, Hudson, &amp; Falls, 2015b)","previouslyFormattedCitation":"(Ralph Haas, Hudson, &amp; Falls, 2015b)"},"properties":{"noteIndex":0},"schema":"https://github.com/citation-style-language/schema/raw/master/csl-citation.json"}</w:instrText>
      </w:r>
      <w:r w:rsidRPr="00C812F1">
        <w:rPr>
          <w:rFonts w:eastAsiaTheme="majorEastAsia" w:cs="Times New Roman"/>
        </w:rPr>
        <w:fldChar w:fldCharType="separate"/>
      </w:r>
      <w:r>
        <w:rPr>
          <w:rFonts w:eastAsiaTheme="majorEastAsia" w:cs="Times New Roman"/>
          <w:noProof/>
        </w:rPr>
        <w:t>Haas</w:t>
      </w:r>
      <w:r w:rsidRPr="00AC6F62">
        <w:rPr>
          <w:rFonts w:eastAsiaTheme="majorEastAsia" w:cs="Times New Roman"/>
          <w:noProof/>
        </w:rPr>
        <w:t xml:space="preserve"> 2015)</w:t>
      </w:r>
      <w:r w:rsidRPr="00C812F1">
        <w:rPr>
          <w:rFonts w:eastAsiaTheme="majorEastAsia" w:cs="Times New Roman"/>
        </w:rPr>
        <w:fldChar w:fldCharType="end"/>
      </w:r>
      <w:r w:rsidRPr="00C812F1">
        <w:rPr>
          <w:rFonts w:eastAsiaTheme="majorEastAsia" w:cs="Times New Roman"/>
        </w:rPr>
        <w:t xml:space="preserve">. The PCI is defined as a numerical rating between 0 and 100, with 0 being the worst condition and 100 the best condition </w:t>
      </w:r>
      <w:r>
        <w:rPr>
          <w:rFonts w:eastAsiaTheme="majorEastAsia" w:cs="Times New Roman"/>
        </w:rPr>
        <w:t>for</w:t>
      </w:r>
      <w:r w:rsidRPr="00C812F1">
        <w:rPr>
          <w:rFonts w:eastAsiaTheme="majorEastAsia" w:cs="Times New Roman"/>
        </w:rPr>
        <w:t xml:space="preserve"> pavement segments. Based on </w:t>
      </w:r>
      <w:r w:rsidRPr="00C812F1">
        <w:rPr>
          <w:rFonts w:eastAsiaTheme="majorEastAsia" w:cs="Times New Roman"/>
          <w:noProof/>
        </w:rPr>
        <w:t xml:space="preserve">monitored and modelled </w:t>
      </w:r>
      <w:r w:rsidRPr="00C812F1">
        <w:rPr>
          <w:rFonts w:eastAsiaTheme="majorEastAsia" w:cs="Times New Roman"/>
        </w:rPr>
        <w:t xml:space="preserve">PCI values and other important condition indices, decision-makers can evaluate the </w:t>
      </w:r>
      <w:r w:rsidRPr="00C812F1">
        <w:rPr>
          <w:rFonts w:eastAsiaTheme="majorEastAsia" w:cs="Times New Roman"/>
          <w:noProof/>
        </w:rPr>
        <w:t>functionality</w:t>
      </w:r>
      <w:r w:rsidRPr="00C812F1">
        <w:rPr>
          <w:rFonts w:eastAsiaTheme="majorEastAsia" w:cs="Times New Roman"/>
        </w:rPr>
        <w:t xml:space="preserve"> of pavement </w:t>
      </w:r>
      <w:r w:rsidRPr="00C812F1">
        <w:rPr>
          <w:rFonts w:eastAsiaTheme="majorEastAsia" w:cs="Times New Roman"/>
        </w:rPr>
        <w:lastRenderedPageBreak/>
        <w:t xml:space="preserve">networks,  predict the best time for maintenance and rehabilitation activities, and estimate future funding needs </w:t>
      </w:r>
      <w:r w:rsidRPr="00C812F1">
        <w:rPr>
          <w:rFonts w:eastAsiaTheme="majorEastAsia" w:cs="Times New Roman"/>
        </w:rPr>
        <w:fldChar w:fldCharType="begin" w:fldLock="1"/>
      </w:r>
      <w:r>
        <w:rPr>
          <w:rFonts w:eastAsiaTheme="majorEastAsia" w:cs="Times New Roman"/>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2014)","manualFormatting":"(Bektas, 2014)","plainTextFormattedCitation":"(Bektas, Fatih; Smadi, Omar G.; and Al-Zoubi, 2014)","previouslyFormattedCitation":"(Bektas, Fatih; Smadi, Omar G.; and Al-Zoubi, 2014)"},"properties":{"noteIndex":0},"schema":"https://github.com/citation-style-language/schema/raw/master/csl-citation.json"}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(Bektas, 2014)</w:t>
      </w:r>
      <w:r w:rsidRPr="00C812F1">
        <w:rPr>
          <w:rFonts w:eastAsiaTheme="majorEastAsia" w:cs="Times New Roman"/>
        </w:rPr>
        <w:fldChar w:fldCharType="end"/>
      </w:r>
      <w:r w:rsidRPr="00C812F1">
        <w:rPr>
          <w:rFonts w:eastAsiaTheme="majorEastAsia" w:cs="Times New Roman"/>
        </w:rPr>
        <w:t>.</w:t>
      </w:r>
    </w:p>
    <w:p w:rsidR="005B4A41" w:rsidRPr="00C812F1" w:rsidRDefault="005B4A41" w:rsidP="005B4A41">
      <w:pPr>
        <w:spacing w:line="480" w:lineRule="auto"/>
        <w:rPr>
          <w:rFonts w:eastAsiaTheme="majorEastAsia" w:cs="Times New Roman"/>
        </w:rPr>
      </w:pPr>
      <w:r w:rsidRPr="00C812F1">
        <w:rPr>
          <w:rFonts w:eastAsiaTheme="majorEastAsia" w:cs="Times New Roman"/>
        </w:rPr>
        <w:t xml:space="preserve">Long and short-term planning of maintenance and rehabilitation activities is the major tool for maximizing proper network conditions at the lowest possible cost and requires accurate and robust deterioration models for pavement networks. A Deterioration Model (DM) predicts </w:t>
      </w:r>
      <w:r w:rsidRPr="00C812F1">
        <w:rPr>
          <w:rFonts w:eastAsiaTheme="majorEastAsia" w:cs="Times New Roman"/>
          <w:noProof/>
        </w:rPr>
        <w:t>future</w:t>
      </w:r>
      <w:r w:rsidRPr="00C812F1">
        <w:rPr>
          <w:rFonts w:eastAsiaTheme="majorEastAsia" w:cs="Times New Roman"/>
        </w:rPr>
        <w:t xml:space="preserve"> pavement conditions and helps agencies identify the most effective maintenance and rehabilitation activities </w:t>
      </w:r>
      <w:r w:rsidRPr="00C812F1">
        <w:rPr>
          <w:rFonts w:eastAsiaTheme="majorEastAsia" w:cs="Times New Roman"/>
        </w:rPr>
        <w:fldChar w:fldCharType="begin" w:fldLock="1"/>
      </w:r>
      <w:r>
        <w:rPr>
          <w:rFonts w:eastAsiaTheme="majorEastAsia" w:cs="Times New Roman"/>
        </w:rPr>
        <w:instrText>ADDIN CSL_CITATION {"citationItems":[{"id":"ITEM-1","itemData":{"author":[{"dropping-particle":"","family":"George","given":"K P","non-dropping-particle":"","parse-names":false,"suffix":""}],"id":"ITEM-1","issue":"October","issued":{"date-parts":[["2000"]]},"title":"MDOT PAVEMENT MANAGEMENT SYSTEM PREDICTION MODELS AND FEEDBACK SYSTEM by The University of Mississippi MDOT Pavement Management System : Prediction Models and MS-DOT-RD-00-119 University of Mississippi Mississippi Department of Transportation","type":"article-journal"},"uris":["http://www.mendeley.com/documents/?uuid=ce95445b-7bd1-4ebd-9036-60092e7cba5a"]}],"mendeley":{"formattedCitation":"(George, 2000b)","manualFormatting":"(George 2000","plainTextFormattedCitation":"(George, 2000b)","previouslyFormattedCitation":"(George, 2000b)"},"properties":{"noteIndex":0},"schema":"https://github.com/citation-style-language/schema/raw/master/csl-citation.json"}</w:instrText>
      </w:r>
      <w:r w:rsidRPr="00C812F1">
        <w:rPr>
          <w:rFonts w:eastAsiaTheme="majorEastAsia" w:cs="Times New Roman"/>
        </w:rPr>
        <w:fldChar w:fldCharType="separate"/>
      </w:r>
      <w:r>
        <w:rPr>
          <w:rFonts w:eastAsiaTheme="majorEastAsia" w:cs="Times New Roman"/>
          <w:noProof/>
        </w:rPr>
        <w:t>(George</w:t>
      </w:r>
      <w:r w:rsidRPr="00C812F1">
        <w:rPr>
          <w:rFonts w:eastAsiaTheme="majorEastAsia" w:cs="Times New Roman"/>
          <w:noProof/>
        </w:rPr>
        <w:t xml:space="preserve"> 2000</w:t>
      </w:r>
      <w:r w:rsidRPr="00C812F1">
        <w:rPr>
          <w:rFonts w:eastAsiaTheme="majorEastAsia" w:cs="Times New Roman"/>
        </w:rPr>
        <w:fldChar w:fldCharType="end"/>
      </w:r>
      <w:r>
        <w:rPr>
          <w:rFonts w:eastAsiaTheme="majorEastAsia" w:cs="Times New Roman"/>
        </w:rPr>
        <w:t>,</w:t>
      </w:r>
      <w:r w:rsidRPr="00C812F1">
        <w:rPr>
          <w:rFonts w:eastAsiaTheme="majorEastAsia" w:cs="Times New Roman"/>
        </w:rPr>
        <w:t xml:space="preserve"> </w:t>
      </w:r>
      <w:r w:rsidRPr="00C812F1">
        <w:rPr>
          <w:rFonts w:eastAsiaTheme="majorEastAsia" w:cs="Times New Roman"/>
        </w:rPr>
        <w:fldChar w:fldCharType="begin" w:fldLock="1"/>
      </w:r>
      <w:r>
        <w:rPr>
          <w:rFonts w:eastAsiaTheme="majorEastAsia" w:cs="Times New Roman"/>
        </w:rPr>
        <w:instrText>ADDIN CSL_CITATION {"citationItems":[{"id":"ITEM-1","itemData":{"id":"ITEM-1","issued":{"date-parts":[["0"]]},"title":"G.pdf","type":"article"},"uris":["http://www.mendeley.com/documents/?uuid=57f270be-05e6-40e4-b37e-e6fb72be8e05"]}],"mendeley":{"formattedCitation":"(“G.pdf,” n.d.)","manualFormatting":"Lytton 1987)","plainTextFormattedCitation":"(“G.pdf,” n.d.)","previouslyFormattedCitation":"(“G.pdf,” n.d.)"},"properties":{"noteIndex":0},"schema":"https://github.com/citation-style-language/schema/raw/master/csl-citation.json"}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Lytton 1987)</w:t>
      </w:r>
      <w:r w:rsidRPr="00C812F1">
        <w:rPr>
          <w:rFonts w:eastAsiaTheme="majorEastAsia" w:cs="Times New Roman"/>
        </w:rPr>
        <w:fldChar w:fldCharType="end"/>
      </w:r>
      <w:r w:rsidRPr="00C812F1">
        <w:rPr>
          <w:rFonts w:eastAsiaTheme="majorEastAsia" w:cs="Times New Roman"/>
        </w:rPr>
        <w:t xml:space="preserve">, and such planning and optimization </w:t>
      </w:r>
      <w:r w:rsidRPr="00C812F1">
        <w:rPr>
          <w:rFonts w:eastAsiaTheme="majorEastAsia" w:cs="Times New Roman"/>
          <w:noProof/>
        </w:rPr>
        <w:t>become</w:t>
      </w:r>
      <w:r w:rsidRPr="00C812F1">
        <w:rPr>
          <w:rFonts w:eastAsiaTheme="majorEastAsia" w:cs="Times New Roman"/>
        </w:rPr>
        <w:t xml:space="preserve"> more critical when agencies face </w:t>
      </w:r>
      <w:r w:rsidRPr="00C812F1">
        <w:rPr>
          <w:rFonts w:eastAsiaTheme="majorEastAsia" w:cs="Times New Roman"/>
          <w:noProof/>
        </w:rPr>
        <w:t>budget</w:t>
      </w:r>
      <w:r w:rsidRPr="00C812F1">
        <w:rPr>
          <w:rFonts w:eastAsiaTheme="majorEastAsia" w:cs="Times New Roman"/>
        </w:rPr>
        <w:t xml:space="preserve"> reduction or are otherwise budget-constrained </w:t>
      </w:r>
      <w:r w:rsidRPr="00C812F1">
        <w:rPr>
          <w:rFonts w:eastAsiaTheme="majorEastAsia" w:cs="Times New Roman"/>
        </w:rPr>
        <w:fldChar w:fldCharType="begin" w:fldLock="1"/>
      </w:r>
      <w:r>
        <w:rPr>
          <w:rFonts w:eastAsiaTheme="majorEastAsia" w:cs="Times New Roman"/>
        </w:rPr>
        <w:instrText>ADDIN CSL_CITATION {"citationItems":[{"id":"ITEM-1","itemData":{"author":[{"dropping-particle":"","family":"Hassan","given":"Rayya","non-dropping-particle":"","parse-names":false,"suffix":""},{"dropping-particle":"","family":"Lin","given":"Oliver","non-dropping-particle":"","parse-names":false,"suffix":""},{"dropping-particle":"","family":"Thananjeyan","given":"Amutha","non-dropping-particle":"","parse-names":false,"suffix":""}],"id":"ITEM-1","issue":"1","issued":{"date-parts":[["2017"]]},"page":"26-35","title":"A comparison between three approaches for modelling deterioration of five pavement surfaces","type":"article-journal","volume":"18"},"uris":["http://www.mendeley.com/documents/?uuid=fd45c816-a6ae-4218-aba2-385709bec766"]}],"mendeley":{"formattedCitation":"(Hassan et al., 2017)","manualFormatting":"(Hassan, 2017)","plainTextFormattedCitation":"(Hassan et al., 2017)","previouslyFormattedCitation":"(Hassan et al., 2017)"},"properties":{"noteIndex":0},"schema":"https://github.com/citation-style-language/schema/raw/master/csl-citation.json"}</w:instrText>
      </w:r>
      <w:r w:rsidRPr="00C812F1">
        <w:rPr>
          <w:rFonts w:eastAsiaTheme="majorEastAsia" w:cs="Times New Roman"/>
        </w:rPr>
        <w:fldChar w:fldCharType="separate"/>
      </w:r>
      <w:r>
        <w:rPr>
          <w:rFonts w:eastAsiaTheme="majorEastAsia" w:cs="Times New Roman"/>
          <w:noProof/>
        </w:rPr>
        <w:t>(Hassan</w:t>
      </w:r>
      <w:r w:rsidRPr="00C812F1">
        <w:rPr>
          <w:rFonts w:eastAsiaTheme="majorEastAsia" w:cs="Times New Roman"/>
          <w:noProof/>
        </w:rPr>
        <w:t>, 2017)</w:t>
      </w:r>
      <w:r w:rsidRPr="00C812F1">
        <w:rPr>
          <w:rFonts w:eastAsiaTheme="majorEastAsia" w:cs="Times New Roman"/>
        </w:rPr>
        <w:fldChar w:fldCharType="end"/>
      </w:r>
      <w:r w:rsidRPr="00C812F1">
        <w:rPr>
          <w:rFonts w:eastAsiaTheme="majorEastAsia" w:cs="Times New Roman"/>
        </w:rPr>
        <w:t xml:space="preserve">. </w:t>
      </w:r>
    </w:p>
    <w:p w:rsidR="005B4A41" w:rsidRDefault="005B4A41" w:rsidP="005B4A41">
      <w:pPr>
        <w:pStyle w:val="Body"/>
        <w:rPr>
          <w:rFonts w:cs="Times New Roman"/>
        </w:rPr>
      </w:pPr>
      <w:r w:rsidRPr="00C812F1">
        <w:rPr>
          <w:rFonts w:eastAsiaTheme="majorEastAsia" w:cs="Times New Roman"/>
          <w:noProof/>
        </w:rPr>
        <w:t>Deterministic</w:t>
      </w:r>
      <w:r w:rsidRPr="00C812F1">
        <w:rPr>
          <w:rFonts w:eastAsiaTheme="majorEastAsia" w:cs="Times New Roman"/>
        </w:rPr>
        <w:t xml:space="preserve">, probabilistic, neural network-based, and knowledge-based performance models have been used in pavement management to predict future conditions of pavement sections </w:t>
      </w:r>
      <w:r w:rsidRPr="00C812F1">
        <w:rPr>
          <w:rFonts w:eastAsiaTheme="majorEastAsia" w:cs="Times New Roman"/>
        </w:rPr>
        <w:fldChar w:fldCharType="begin" w:fldLock="1"/>
      </w:r>
      <w:r>
        <w:rPr>
          <w:rFonts w:eastAsiaTheme="majorEastAsia" w:cs="Times New Roman"/>
        </w:rPr>
        <w:instrText>ADDIN CSL_CITATION {"citationItems":[{"id":"ITEM-1","itemData":{"abstract":"In anticipation of developing pavement performance models as part of a proposed pavement management system, the Pennsylvania Department of Transportation (PennDOT) initiated a study in 2009 to investigate performance modeling activities and condition information used by other state highway agencies (SHAs), and to obtain recommendations on how to proceed with their own modeling efforts. A survey of state practice was conducted and the practices of other states were summarized. The findings from the survey were then used to develop three pavement performance modeling options for PennDOT. A final recommendation of how PennDOT should proceed with pavement performance modeling was created and is detailed in this Final Report.","author":[{"dropping-particle":"","family":"Wolters","given":"Angela S","non-dropping-particle":"","parse-names":false,"suffix":""},{"dropping-particle":"","family":"Zimmerman","given":"Kathryn A","non-dropping-particle":"","parse-names":false,"suffix":""},{"dropping-particle":"","family":"Of","given":"Department","non-dropping-particle":"","parse-names":false,"suffix":""},{"dropping-particle":"","family":"Administration","given":"Federal Highway","non-dropping-particle":"","parse-names":false,"suffix":""}],"id":"ITEM-1","issue":"217","issued":{"date-parts":[["2010"]]},"page":"100p","title":"Research of Current Practices in Pavement Performance Modeling","type":"article-journal","volume":"03"},"uris":["http://www.mendeley.com/documents/?uuid=71f3d3ea-ef09-4516-9f7d-428bb8804752"]}],"mendeley":{"formattedCitation":"(A. S. Wolters, Zimmerman, Of, &amp; Administration, 2010)","manualFormatting":"(Wolters, 2010)","plainTextFormattedCitation":"(A. S. Wolters, Zimmerman, Of, &amp; Administration, 2010)","previouslyFormattedCitation":"(A. S. Wolters, Zimmerman, Of, &amp; Administration, 2010)"},"properties":{"noteIndex":0},"schema":"https://github.com/citation-style-language/schema/raw/master/csl-citation.json"}</w:instrText>
      </w:r>
      <w:r w:rsidRPr="00C812F1">
        <w:rPr>
          <w:rFonts w:eastAsiaTheme="majorEastAsia" w:cs="Times New Roman"/>
        </w:rPr>
        <w:fldChar w:fldCharType="separate"/>
      </w:r>
      <w:r w:rsidRPr="00C812F1">
        <w:rPr>
          <w:rFonts w:eastAsiaTheme="majorEastAsia" w:cs="Times New Roman"/>
          <w:noProof/>
        </w:rPr>
        <w:t>(Wolters, 2010)</w:t>
      </w:r>
      <w:r w:rsidRPr="00C812F1">
        <w:rPr>
          <w:rFonts w:eastAsiaTheme="majorEastAsia" w:cs="Times New Roman"/>
        </w:rPr>
        <w:fldChar w:fldCharType="end"/>
      </w:r>
      <w:r w:rsidRPr="00C812F1">
        <w:rPr>
          <w:rFonts w:eastAsiaTheme="majorEastAsia" w:cs="Times New Roman"/>
        </w:rPr>
        <w:t>. Currently, the Iowa Department of Transportation (</w:t>
      </w:r>
      <w:r>
        <w:rPr>
          <w:rFonts w:eastAsiaTheme="majorEastAsia" w:cs="Times New Roman"/>
        </w:rPr>
        <w:t xml:space="preserve">Iowa </w:t>
      </w:r>
      <w:r w:rsidRPr="00C812F1">
        <w:rPr>
          <w:rFonts w:eastAsiaTheme="majorEastAsia" w:cs="Times New Roman"/>
        </w:rPr>
        <w:t xml:space="preserve">DOT) </w:t>
      </w:r>
      <w:r w:rsidRPr="00C812F1">
        <w:rPr>
          <w:rFonts w:eastAsiaTheme="majorEastAsia" w:cs="Times New Roman"/>
          <w:noProof/>
        </w:rPr>
        <w:t>forecasts</w:t>
      </w:r>
      <w:r w:rsidRPr="00C812F1">
        <w:rPr>
          <w:rFonts w:eastAsiaTheme="majorEastAsia" w:cs="Times New Roman"/>
        </w:rPr>
        <w:t xml:space="preserve"> the future </w:t>
      </w:r>
      <w:r w:rsidRPr="00C812F1">
        <w:rPr>
          <w:rFonts w:eastAsiaTheme="majorEastAsia" w:cs="Times New Roman"/>
          <w:noProof/>
        </w:rPr>
        <w:t xml:space="preserve">conditions of pavement sections based on individual deterministic regression models for each pavement section. Deterministic </w:t>
      </w:r>
      <w:r w:rsidRPr="00C812F1">
        <w:rPr>
          <w:rFonts w:cs="Times New Roman"/>
        </w:rPr>
        <w:t xml:space="preserve">models assume that the described process is nonrandom and that observed differences between predicted and measured values are due to random noise in the observation process. </w:t>
      </w:r>
    </w:p>
    <w:p w:rsidR="005B4A41" w:rsidRDefault="005B4A41" w:rsidP="005B4A41">
      <w:pPr>
        <w:pStyle w:val="Body"/>
        <w:rPr>
          <w:rFonts w:cs="Times New Roman"/>
        </w:rPr>
      </w:pPr>
      <w:r w:rsidRPr="00C812F1">
        <w:rPr>
          <w:rFonts w:cs="Times New Roman"/>
        </w:rPr>
        <w:t xml:space="preserve">A deterministic model will thus always produce the same output from a given starting condition or initial state. Most deterministic models are based on explicit regression expressions and are categorized into the following three subsets </w:t>
      </w:r>
      <w:r w:rsidRPr="00C812F1">
        <w:rPr>
          <w:rFonts w:cs="Times New Roman"/>
        </w:rPr>
        <w:fldChar w:fldCharType="begin" w:fldLock="1"/>
      </w:r>
      <w:r>
        <w:rPr>
          <w:rFonts w:cs="Times New Roman"/>
        </w:rPr>
        <w:instrText>ADDIN CSL_CITATION {"citationItems":[{"id":"ITEM-1","itemData":{"author":[{"dropping-particle":"","family":"NINGYUAN LI, WEI-CHAU XIE","given":"AND RALPH HAAS","non-dropping-particle":"","parse-names":false,"suffix":""}],"id":"ITEM-1","issued":{"date-parts":[["0"]]},"page":"203-213","title":"Reliability-Based Processing of Markov Chains for Modeling Pavement","type":"article-journal"},"uris":["http://www.mendeley.com/documents/?uuid=4110efc1-02ae-4066-9bd0-d3dcff65bdf4"]}],"mendeley":{"formattedCitation":"(NINGYUAN LI, WEI-CHAU XIE, n.d.)","manualFormatting":"( Li, 1996)","plainTextFormattedCitation":"(NINGYUAN LI, WEI-CHAU XIE, n.d.)","previouslyFormattedCitation":"(NINGYUAN LI, WEI-CHAU XIE, n.d.)"},"properties":{"noteIndex":0},"schema":"https://github.com/citation-style-language/schema/raw/master/csl-citation.json"}</w:instrText>
      </w:r>
      <w:r w:rsidRPr="00C812F1">
        <w:rPr>
          <w:rFonts w:cs="Times New Roman"/>
        </w:rPr>
        <w:fldChar w:fldCharType="separate"/>
      </w:r>
      <w:r w:rsidRPr="00C812F1">
        <w:rPr>
          <w:rFonts w:cs="Times New Roman"/>
          <w:noProof/>
        </w:rPr>
        <w:t>( Li,</w:t>
      </w:r>
      <w:r>
        <w:rPr>
          <w:rFonts w:cs="Times New Roman"/>
          <w:noProof/>
        </w:rPr>
        <w:t xml:space="preserve"> </w:t>
      </w:r>
      <w:r w:rsidRPr="00C812F1">
        <w:rPr>
          <w:rFonts w:cs="Times New Roman"/>
          <w:noProof/>
        </w:rPr>
        <w:t>1996)</w:t>
      </w:r>
      <w:r w:rsidRPr="00C812F1">
        <w:rPr>
          <w:rFonts w:cs="Times New Roman"/>
        </w:rPr>
        <w:fldChar w:fldCharType="end"/>
      </w:r>
      <w:r w:rsidRPr="00C812F1">
        <w:rPr>
          <w:rFonts w:cs="Times New Roman"/>
        </w:rPr>
        <w:t>:</w:t>
      </w:r>
    </w:p>
    <w:p w:rsidR="005B4A41" w:rsidRDefault="005B4A41" w:rsidP="005B4A41">
      <w:pPr>
        <w:pStyle w:val="Body"/>
        <w:rPr>
          <w:rFonts w:cs="Times New Roman"/>
        </w:rPr>
      </w:pPr>
    </w:p>
    <w:p w:rsidR="005B4A41" w:rsidRDefault="005B4A41" w:rsidP="005B4A41">
      <w:pPr>
        <w:pStyle w:val="Body"/>
        <w:rPr>
          <w:rFonts w:cs="Times New Roman"/>
        </w:rPr>
      </w:pPr>
    </w:p>
    <w:p w:rsidR="005B4A41" w:rsidRDefault="005B4A41" w:rsidP="005B4A41">
      <w:pPr>
        <w:pStyle w:val="Body"/>
        <w:rPr>
          <w:rFonts w:cs="Times New Roman"/>
        </w:rPr>
      </w:pPr>
    </w:p>
    <w:p w:rsidR="005B4A41" w:rsidRDefault="005B4A41" w:rsidP="005B4A41">
      <w:pPr>
        <w:pStyle w:val="Body"/>
        <w:rPr>
          <w:rFonts w:cs="Times New Roman"/>
        </w:rPr>
      </w:pPr>
    </w:p>
    <w:p w:rsidR="005B4A41" w:rsidRPr="00D271F6" w:rsidRDefault="005B4A41" w:rsidP="005B4A41">
      <w:pPr>
        <w:pStyle w:val="ListParagraph"/>
        <w:numPr>
          <w:ilvl w:val="0"/>
          <w:numId w:val="12"/>
        </w:numPr>
        <w:spacing w:line="480" w:lineRule="auto"/>
        <w:rPr>
          <w:rFonts w:cs="Times New Roman"/>
        </w:rPr>
      </w:pPr>
      <w:r w:rsidRPr="00D271F6">
        <w:rPr>
          <w:rFonts w:cs="Times New Roman"/>
          <w:b/>
          <w:i/>
        </w:rPr>
        <w:lastRenderedPageBreak/>
        <w:t>Empirical Models</w:t>
      </w:r>
      <w:r w:rsidRPr="00D271F6">
        <w:rPr>
          <w:rFonts w:cs="Times New Roman"/>
        </w:rPr>
        <w:t xml:space="preserve">: An empirical model, solely based on experimental observations, provides no explanation of the fundamental behavior through constitutive models. These models require large databases for deriving accurate and representative models. Some advantages and disadvantages of empirical methods, based on a study reported by Bulleit and Ylitalo </w:t>
      </w:r>
      <w:r w:rsidRPr="00D271F6">
        <w:rPr>
          <w:rFonts w:cs="Times New Roman"/>
        </w:rPr>
        <w:fldChar w:fldCharType="begin" w:fldLock="1"/>
      </w:r>
      <w:r>
        <w:rPr>
          <w:rFonts w:cs="Times New Roman"/>
        </w:rPr>
        <w:instrText>ADDIN CSL_CITATION {"citationItems":[{"id":"ITEM-1","itemData":{"author":[{"dropping-particle":"De","family":"Melo","given":"Fernando","non-dropping-particle":"","parse-names":false,"suffix":""},{"dropping-particle":"Van","family":"Dam","given":"Thomas J","non-dropping-particle":"","parse-names":false,"suffix":""},{"dropping-particle":"","family":"Bulleit","given":"William M","non-dropping-particle":"","parse-names":false,"suffix":""},{"dropping-particle":"","family":"Ylitalo","given":"Ross","non-dropping-particle":"","parse-names":false,"suffix":""}],"id":"ITEM-1","issue":"00","issued":{"date-parts":[["0"]]},"page":"81-86","title":"Models for Local Government Agencies in Michigan","type":"article-journal"},"uris":["http://www.mendeley.com/documents/?uuid=5a309eae-7317-4bbe-9b12-6f9b719323e7"]}],"mendeley":{"formattedCitation":"(Melo, Dam, Bulleit, &amp; Ylitalo, n.d.)","manualFormatting":"(de Melo, 2000)","plainTextFormattedCitation":"(Melo, Dam, Bulleit, &amp; Ylitalo, n.d.)","previouslyFormattedCitation":"(Melo, Dam, Bulleit, &amp; Ylitalo, n.d.)"},"properties":{"noteIndex":0},"schema":"https://github.com/citation-style-language/schema/raw/master/csl-citation.json"}</w:instrText>
      </w:r>
      <w:r w:rsidRPr="00D271F6">
        <w:rPr>
          <w:rFonts w:cs="Times New Roman"/>
        </w:rPr>
        <w:fldChar w:fldCharType="separate"/>
      </w:r>
      <w:r>
        <w:rPr>
          <w:rFonts w:cs="Times New Roman"/>
          <w:noProof/>
        </w:rPr>
        <w:t>(de Melo</w:t>
      </w:r>
      <w:r w:rsidRPr="00D271F6">
        <w:rPr>
          <w:rFonts w:cs="Times New Roman"/>
          <w:noProof/>
        </w:rPr>
        <w:t>, 2000)</w:t>
      </w:r>
      <w:r w:rsidRPr="00D271F6">
        <w:rPr>
          <w:rFonts w:cs="Times New Roman"/>
        </w:rPr>
        <w:fldChar w:fldCharType="end"/>
      </w:r>
      <w:r w:rsidRPr="00D271F6">
        <w:rPr>
          <w:rFonts w:cs="Times New Roman"/>
        </w:rPr>
        <w:t>, are:</w:t>
      </w:r>
    </w:p>
    <w:p w:rsidR="005B4A41" w:rsidRPr="00C812F1" w:rsidRDefault="005B4A41" w:rsidP="005B4A41">
      <w:pPr>
        <w:spacing w:line="480" w:lineRule="auto"/>
        <w:ind w:firstLine="720"/>
        <w:rPr>
          <w:rFonts w:cs="Times New Roman"/>
        </w:rPr>
      </w:pPr>
      <w:r w:rsidRPr="00C812F1">
        <w:rPr>
          <w:rFonts w:cs="Times New Roman"/>
        </w:rPr>
        <w:t>Advantages:</w:t>
      </w:r>
    </w:p>
    <w:p w:rsidR="005B4A41" w:rsidRPr="00C812F1" w:rsidRDefault="005B4A41" w:rsidP="005B4A41">
      <w:pPr>
        <w:pStyle w:val="ListParagraph"/>
        <w:widowControl/>
        <w:numPr>
          <w:ilvl w:val="0"/>
          <w:numId w:val="11"/>
        </w:numPr>
        <w:spacing w:after="160" w:line="480" w:lineRule="auto"/>
        <w:rPr>
          <w:rFonts w:cs="Times New Roman"/>
        </w:rPr>
      </w:pPr>
      <w:r w:rsidRPr="00C812F1">
        <w:rPr>
          <w:rFonts w:cs="Times New Roman"/>
        </w:rPr>
        <w:t>The mathematical approach for prediction is not complex</w:t>
      </w:r>
    </w:p>
    <w:p w:rsidR="005B4A41" w:rsidRPr="00C812F1" w:rsidRDefault="005B4A41" w:rsidP="005B4A41">
      <w:pPr>
        <w:pStyle w:val="ListParagraph"/>
        <w:widowControl/>
        <w:numPr>
          <w:ilvl w:val="0"/>
          <w:numId w:val="11"/>
        </w:numPr>
        <w:spacing w:after="160" w:line="480" w:lineRule="auto"/>
        <w:rPr>
          <w:rFonts w:cs="Times New Roman"/>
        </w:rPr>
      </w:pPr>
      <w:r w:rsidRPr="00C812F1">
        <w:rPr>
          <w:rFonts w:cs="Times New Roman"/>
        </w:rPr>
        <w:t xml:space="preserve">The relationship between actual and predicted values can be easily described </w:t>
      </w:r>
    </w:p>
    <w:p w:rsidR="005B4A41" w:rsidRPr="00C812F1" w:rsidRDefault="005B4A41" w:rsidP="005B4A41">
      <w:pPr>
        <w:spacing w:line="480" w:lineRule="auto"/>
        <w:ind w:left="1080" w:hanging="360"/>
        <w:rPr>
          <w:rFonts w:cs="Times New Roman"/>
        </w:rPr>
      </w:pPr>
      <w:r w:rsidRPr="00C812F1">
        <w:rPr>
          <w:rFonts w:cs="Times New Roman"/>
        </w:rPr>
        <w:t>Disadvantages:</w:t>
      </w:r>
    </w:p>
    <w:p w:rsidR="005B4A41" w:rsidRDefault="005B4A41" w:rsidP="005B4A41">
      <w:pPr>
        <w:pStyle w:val="ListParagraph"/>
        <w:widowControl/>
        <w:numPr>
          <w:ilvl w:val="0"/>
          <w:numId w:val="11"/>
        </w:numPr>
        <w:spacing w:after="160" w:line="480" w:lineRule="auto"/>
        <w:rPr>
          <w:rFonts w:cs="Times New Roman"/>
        </w:rPr>
      </w:pPr>
      <w:r w:rsidRPr="00C812F1">
        <w:rPr>
          <w:rFonts w:cs="Times New Roman"/>
        </w:rPr>
        <w:t>Model sensitivity</w:t>
      </w:r>
    </w:p>
    <w:p w:rsidR="005B4A41" w:rsidRDefault="005B4A41" w:rsidP="005B4A41">
      <w:pPr>
        <w:pStyle w:val="Body"/>
        <w:numPr>
          <w:ilvl w:val="0"/>
          <w:numId w:val="11"/>
        </w:numPr>
      </w:pPr>
      <w:r w:rsidRPr="00C812F1">
        <w:rPr>
          <w:rFonts w:cs="Times New Roman"/>
        </w:rPr>
        <w:t>Restricted to the conditions used to derive the relationships and not useful for extrapolation.</w:t>
      </w:r>
    </w:p>
    <w:p w:rsidR="005B4A41" w:rsidRPr="00D271F6" w:rsidRDefault="005B4A41" w:rsidP="005B4A41">
      <w:pPr>
        <w:pStyle w:val="Body"/>
        <w:numPr>
          <w:ilvl w:val="0"/>
          <w:numId w:val="12"/>
        </w:numPr>
      </w:pPr>
      <w:r w:rsidRPr="00C812F1">
        <w:rPr>
          <w:rFonts w:cs="Times New Roman"/>
          <w:b/>
          <w:i/>
        </w:rPr>
        <w:t>Mechanistic Models</w:t>
      </w:r>
      <w:r w:rsidRPr="00C812F1">
        <w:rPr>
          <w:rFonts w:cs="Times New Roman"/>
        </w:rPr>
        <w:t xml:space="preserve">: Mechanistic models primarily use laboratory testing data and idealized models to mathematically describe fundamental pavement responses like stress, deflection, and strain caused by traffic loading and other surrounding conditions </w:t>
      </w:r>
      <w:r w:rsidRPr="00C812F1">
        <w:rPr>
          <w:rFonts w:cs="Times New Roman"/>
        </w:rPr>
        <w:fldChar w:fldCharType="begin" w:fldLock="1"/>
      </w:r>
      <w:r>
        <w:rPr>
          <w:rFonts w:cs="Times New Roman"/>
        </w:rPr>
        <w:instrText>ADDIN CSL_CITATION {"citationItems":[{"id":"ITEM-1","itemData":{"DOI":"10.3141/2304-11","author":[{"dropping-particle":"","family":"Nii","given":"Leslie","non-dropping-particle":"","parse-names":false,"suffix":""},{"dropping-particle":"","family":"Mills","given":"Odartey","non-dropping-particle":"","parse-names":false,"suffix":""},{"dropping-particle":"","family":"Attoh-okine","given":"Nii O","non-dropping-particle":"","parse-names":false,"suffix":""},{"dropping-particle":"","family":"Mcneil","given":"Sue","non-dropping-particle":"","parse-names":false,"suffix":""}],"id":"ITEM-1","issued":{"date-parts":[["0"]]},"title":"Developing Pavement Performance Models for Delaware","type":"article-journal"},"uris":["http://www.mendeley.com/documents/?uuid=d84d9375-d532-432d-8277-3eb4bb6d625e"]}],"mendeley":{"formattedCitation":"(Nii, Mills, Attoh-okine, &amp; Mcneil, n.d.)","manualFormatting":"(Mills, 2012)","plainTextFormattedCitation":"(Nii, Mills, Attoh-okine, &amp; Mcneil, n.d.)","previouslyFormattedCitation":"(Nii, Mills, Attoh-okine, &amp; Mcneil, n.d.)"},"properties":{"noteIndex":0},"schema":"https://github.com/citation-style-language/schema/raw/master/csl-citation.json"}</w:instrText>
      </w:r>
      <w:r w:rsidRPr="00C812F1">
        <w:rPr>
          <w:rFonts w:cs="Times New Roman"/>
        </w:rPr>
        <w:fldChar w:fldCharType="separate"/>
      </w:r>
      <w:r w:rsidRPr="00C812F1">
        <w:rPr>
          <w:rFonts w:cs="Times New Roman"/>
          <w:noProof/>
        </w:rPr>
        <w:t>(Mills, 2012)</w:t>
      </w:r>
      <w:r w:rsidRPr="00C812F1">
        <w:rPr>
          <w:rFonts w:cs="Times New Roman"/>
        </w:rPr>
        <w:fldChar w:fldCharType="end"/>
      </w:r>
      <w:r w:rsidRPr="00C812F1">
        <w:rPr>
          <w:rFonts w:cs="Times New Roman"/>
        </w:rPr>
        <w:t>. It has been observed over time that sometimes these idealized lab tests and models do not reflect actual conditions in the field and may therefore fail to accurately predict pavement performance. The availability and feasibility of more recent pavement condition assessment tools have resulted in practitioners and agencies avoiding use of mechanistic models (Haas, et al., 1994).</w:t>
      </w:r>
    </w:p>
    <w:p w:rsidR="005B4A41" w:rsidRPr="00D271F6" w:rsidRDefault="005B4A41" w:rsidP="005B4A41">
      <w:pPr>
        <w:pStyle w:val="Body"/>
        <w:numPr>
          <w:ilvl w:val="0"/>
          <w:numId w:val="12"/>
        </w:numPr>
      </w:pPr>
      <w:r w:rsidRPr="00C812F1">
        <w:rPr>
          <w:rFonts w:cs="Times New Roman"/>
          <w:b/>
          <w:i/>
        </w:rPr>
        <w:t>Mechanistic-Empirical (ME)</w:t>
      </w:r>
      <w:r w:rsidRPr="00C812F1">
        <w:rPr>
          <w:rFonts w:cs="Times New Roman"/>
        </w:rPr>
        <w:t xml:space="preserve">: While these models are fundamentally based on mechanistic models, they are calibrated and coupled with the empirical long-term observations from pavement sections under real-life operating conditions. ME models are </w:t>
      </w:r>
      <w:r w:rsidRPr="00C812F1">
        <w:rPr>
          <w:rFonts w:cs="Times New Roman"/>
        </w:rPr>
        <w:lastRenderedPageBreak/>
        <w:t>more representative of actual conditions, because they consider additional parameters like traffic loading, climate factors, and material properties.</w:t>
      </w:r>
    </w:p>
    <w:p w:rsidR="005B4A41" w:rsidRDefault="005B4A41" w:rsidP="005B4A41">
      <w:pPr>
        <w:pStyle w:val="Body"/>
        <w:ind w:left="720"/>
        <w:rPr>
          <w:rFonts w:cs="Times New Roman"/>
        </w:rPr>
      </w:pPr>
      <w:r w:rsidRPr="00C812F1">
        <w:rPr>
          <w:rFonts w:cs="Times New Roman"/>
        </w:rPr>
        <w:t xml:space="preserve">Probabilistic models are another group of pavement performance models, an alternative to </w:t>
      </w:r>
      <w:r w:rsidRPr="00C812F1">
        <w:rPr>
          <w:rFonts w:cs="Times New Roman"/>
          <w:noProof/>
        </w:rPr>
        <w:t>deterministic</w:t>
      </w:r>
      <w:r w:rsidRPr="00C812F1">
        <w:rPr>
          <w:rFonts w:cs="Times New Roman"/>
        </w:rPr>
        <w:t xml:space="preserve"> models that do not provide probabilistic distribution of existing values. Markov probabilistic </w:t>
      </w:r>
      <w:r>
        <w:rPr>
          <w:rFonts w:cs="Times New Roman"/>
        </w:rPr>
        <w:t>modeling</w:t>
      </w:r>
      <w:r w:rsidRPr="00C812F1">
        <w:rPr>
          <w:rFonts w:cs="Times New Roman"/>
        </w:rPr>
        <w:t xml:space="preserve"> uses samples of </w:t>
      </w:r>
      <w:r w:rsidRPr="00C812F1">
        <w:rPr>
          <w:rFonts w:cs="Times New Roman"/>
          <w:noProof/>
        </w:rPr>
        <w:t xml:space="preserve">probabilistic models, with the transition process represented by a pavement-performance curve </w:t>
      </w:r>
      <w:r w:rsidRPr="00C812F1">
        <w:rPr>
          <w:rFonts w:cs="Times New Roman"/>
          <w:noProof/>
        </w:rPr>
        <w:fldChar w:fldCharType="begin" w:fldLock="1"/>
      </w:r>
      <w:r w:rsidRPr="00C812F1">
        <w:rPr>
          <w:rFonts w:cs="Times New Roman"/>
          <w:noProof/>
        </w:rPr>
        <w:instrText>ADDIN CSL_CITATION {"citationItems":[{"id":"ITEM-1","itemData":{"author":[{"dropping-particle":"","family":"NINGYUAN LI, WEI-CHAU XIE","given":"AND RALPH HAAS","non-dropping-particle":"","parse-names":false,"suffix":""}],"id":"ITEM-1","issued":{"date-parts":[["0"]]},"page":"203-213","title":"Reliability-Based Processing of Markov Chains for Modeling Pavement","type":"article-journal"},"uris":["http://www.mendeley.com/documents/?uuid=4110efc1-02ae-4066-9bd0-d3dcff65bdf4"]}],"mendeley":{"formattedCitation":"(NINGYUAN LI, WEI-CHAU XIE, n.d.)","manualFormatting":"( Li, Xie and Haas, 1996)","plainTextFormattedCitation":"(NINGYUAN LI, WEI-CHAU XIE, n.d.)","previouslyFormattedCitation":"(NINGYUAN LI, WEI-CHAU XIE, n.d.)"},"properties":{"noteIndex":0},"schema":"https://github.com/citation-style-language/schema/raw/master/csl-citation.json"}</w:instrText>
      </w:r>
      <w:r w:rsidRPr="00C812F1">
        <w:rPr>
          <w:rFonts w:cs="Times New Roman"/>
          <w:noProof/>
        </w:rPr>
        <w:fldChar w:fldCharType="separate"/>
      </w:r>
      <w:r w:rsidRPr="00C812F1">
        <w:rPr>
          <w:rFonts w:cs="Times New Roman"/>
          <w:noProof/>
        </w:rPr>
        <w:t>( Li, 1996)</w:t>
      </w:r>
      <w:r w:rsidRPr="00C812F1">
        <w:rPr>
          <w:rFonts w:cs="Times New Roman"/>
          <w:noProof/>
        </w:rPr>
        <w:fldChar w:fldCharType="end"/>
      </w:r>
      <w:r w:rsidRPr="00C812F1">
        <w:rPr>
          <w:rFonts w:cs="Times New Roman"/>
        </w:rPr>
        <w:t xml:space="preserve">. Using information from the pavement’s “before” state, the </w:t>
      </w:r>
      <w:r w:rsidRPr="00C812F1">
        <w:rPr>
          <w:rFonts w:cs="Times New Roman"/>
          <w:noProof/>
        </w:rPr>
        <w:t>Markov</w:t>
      </w:r>
      <w:r w:rsidRPr="00C812F1">
        <w:rPr>
          <w:rFonts w:cs="Times New Roman"/>
        </w:rPr>
        <w:t xml:space="preserve"> process predicts the “after” state </w:t>
      </w:r>
      <w:r w:rsidRPr="00C812F1">
        <w:rPr>
          <w:rFonts w:cs="Times New Roman"/>
        </w:rPr>
        <w:fldChar w:fldCharType="begin" w:fldLock="1"/>
      </w:r>
      <w:r>
        <w:rPr>
          <w:rFonts w:cs="Times New Roman"/>
        </w:rPr>
        <w:instrText>ADDIN CSL_CITATION {"citationItems":[{"id":"ITEM-1","itemData":{"author":[{"dropping-particle":"","family":"George","given":"K P","non-dropping-particle":"","parse-names":false,"suffix":""}],"id":"ITEM-1","issue":"October","issued":{"date-parts":[["2000"]]},"title":"MDOT PAVEMENT MANAGEMENT SYSTEM PREDICTION MODELS AND FEEDBACK SYSTEM by The University of Mississippi MDOT Pavement Management System : Prediction Models and MS-DOT-RD-00-119 University of Mississippi Mississippi Department of Transportation","type":"article-journal"},"uris":["http://www.mendeley.com/documents/?uuid=ce95445b-7bd1-4ebd-9036-60092e7cba5a"]}],"mendeley":{"formattedCitation":"(George, 2000b)","manualFormatting":"(George, 2000)","plainTextFormattedCitation":"(George, 2000b)","previouslyFormattedCitation":"(George, 2000b)"},"properties":{"noteIndex":0},"schema":"https://github.com/citation-style-language/schema/raw/master/csl-citation.json"}</w:instrText>
      </w:r>
      <w:r w:rsidRPr="00C812F1">
        <w:rPr>
          <w:rFonts w:cs="Times New Roman"/>
        </w:rPr>
        <w:fldChar w:fldCharType="separate"/>
      </w:r>
      <w:r w:rsidRPr="00C812F1">
        <w:rPr>
          <w:rFonts w:cs="Times New Roman"/>
          <w:noProof/>
        </w:rPr>
        <w:t>(George, 2000)</w:t>
      </w:r>
      <w:r w:rsidRPr="00C812F1">
        <w:rPr>
          <w:rFonts w:cs="Times New Roman"/>
        </w:rPr>
        <w:fldChar w:fldCharType="end"/>
      </w:r>
      <w:r w:rsidRPr="00C812F1">
        <w:rPr>
          <w:rFonts w:cs="Times New Roman"/>
        </w:rPr>
        <w:t xml:space="preserve">. The Markov transition method is useful in network-level applications where neither historical data or good regression equations are available, </w:t>
      </w:r>
      <w:r w:rsidRPr="00C812F1">
        <w:rPr>
          <w:rFonts w:cs="Times New Roman"/>
        </w:rPr>
        <w:fldChar w:fldCharType="begin" w:fldLock="1"/>
      </w:r>
      <w:r w:rsidRPr="00C812F1">
        <w:rPr>
          <w:rFonts w:cs="Times New Roman"/>
        </w:rPr>
        <w:instrText>ADDIN CSL_CITATION {"citationItems":[{"id":"ITEM-1","itemData":{"author":[{"dropping-particle":"","family":"Shabanpour","given":"Ramin","non-dropping-particle":"","parse-names":false,"suffix":""}],"id":"ITEM-1","issued":{"date-parts":[["2017"]]},"title":"Pavement Performance Modeling : Literature Review and Research Agenda","type":"article-journal"},"uris":["http://www.mendeley.com/documents/?uuid=a0764d3f-87de-48cd-b975-e0eb381a26fb"]}],"mendeley":{"formattedCitation":"(Shabanpour, 2017)","plainTextFormattedCitation":"(Shabanpour, 2017)","previouslyFormattedCitation":"(Shabanpour, 2017)"},"properties":{"noteIndex":0},"schema":"https://github.com/citation-style-language/schema/raw/master/csl-citation.json"}</w:instrText>
      </w:r>
      <w:r w:rsidRPr="00C812F1">
        <w:rPr>
          <w:rFonts w:cs="Times New Roman"/>
        </w:rPr>
        <w:fldChar w:fldCharType="separate"/>
      </w:r>
      <w:r w:rsidRPr="00C812F1">
        <w:rPr>
          <w:rFonts w:cs="Times New Roman"/>
          <w:noProof/>
        </w:rPr>
        <w:t>(Shabanpour, 2017)</w:t>
      </w:r>
      <w:r w:rsidRPr="00C812F1">
        <w:rPr>
          <w:rFonts w:cs="Times New Roman"/>
        </w:rPr>
        <w:fldChar w:fldCharType="end"/>
      </w:r>
      <w:r w:rsidRPr="00C812F1">
        <w:rPr>
          <w:rFonts w:cs="Times New Roman"/>
        </w:rPr>
        <w:t xml:space="preserve">. Another advantage of probabilistic models is their use of different distributions for finding expected values of the dependent variable. </w:t>
      </w:r>
      <w:r w:rsidRPr="00C812F1">
        <w:rPr>
          <w:rFonts w:cs="Times New Roman"/>
          <w:noProof/>
        </w:rPr>
        <w:t xml:space="preserve">Also, uncertainty with respect to environmental conditions, material properties, and traffic loading can be captured by these models. </w:t>
      </w:r>
      <w:r w:rsidRPr="00C812F1">
        <w:rPr>
          <w:rFonts w:cs="Times New Roman"/>
        </w:rPr>
        <w:t xml:space="preserve">The main disadvantage of probabilistic models is that they do not consider the effects of pavement </w:t>
      </w:r>
      <w:r w:rsidRPr="00C812F1">
        <w:rPr>
          <w:rFonts w:cs="Times New Roman"/>
          <w:noProof/>
        </w:rPr>
        <w:t>aging</w:t>
      </w:r>
      <w:r w:rsidRPr="00C812F1">
        <w:rPr>
          <w:rFonts w:cs="Times New Roman"/>
        </w:rPr>
        <w:t xml:space="preserve"> on transition probabilities </w:t>
      </w:r>
      <w:r w:rsidRPr="00C812F1">
        <w:rPr>
          <w:rFonts w:cs="Times New Roman"/>
        </w:rPr>
        <w:fldChar w:fldCharType="begin" w:fldLock="1"/>
      </w:r>
      <w:r w:rsidRPr="00C812F1">
        <w:rPr>
          <w:rFonts w:cs="Times New Roman"/>
        </w:rPr>
        <w:instrText>ADDIN CSL_CITATION {"citationItems":[{"id":"ITEM-1","itemData":{"author":[{"dropping-particle":"","family":"Shabanpour","given":"Ramin","non-dropping-particle":"","parse-names":false,"suffix":""}],"id":"ITEM-1","issued":{"date-parts":[["2017"]]},"title":"Pavement Performance Modeling : Literature Review and Research Agenda","type":"article-journal"},"uris":["http://www.mendeley.com/documents/?uuid=a0764d3f-87de-48cd-b975-e0eb381a26fb"]}],"mendeley":{"formattedCitation":"(Shabanpour, 2017)","plainTextFormattedCitation":"(Shabanpour, 2017)","previouslyFormattedCitation":"(Shabanpour, 2017)"},"properties":{"noteIndex":0},"schema":"https://github.com/citation-style-language/schema/raw/master/csl-citation.json"}</w:instrText>
      </w:r>
      <w:r w:rsidRPr="00C812F1">
        <w:rPr>
          <w:rFonts w:cs="Times New Roman"/>
        </w:rPr>
        <w:fldChar w:fldCharType="separate"/>
      </w:r>
      <w:r w:rsidRPr="00C812F1">
        <w:rPr>
          <w:rFonts w:cs="Times New Roman"/>
          <w:noProof/>
        </w:rPr>
        <w:t>(Shabanpour, 2017)</w:t>
      </w:r>
      <w:r w:rsidRPr="00C812F1">
        <w:rPr>
          <w:rFonts w:cs="Times New Roman"/>
        </w:rPr>
        <w:fldChar w:fldCharType="end"/>
      </w:r>
      <w:r w:rsidRPr="00C812F1">
        <w:rPr>
          <w:rFonts w:cs="Times New Roman"/>
        </w:rPr>
        <w:t>.</w:t>
      </w:r>
    </w:p>
    <w:p w:rsidR="005B4A41" w:rsidRPr="00C812F1" w:rsidRDefault="005B4A41" w:rsidP="005B4A41">
      <w:pPr>
        <w:spacing w:line="480" w:lineRule="auto"/>
        <w:ind w:left="720" w:firstLine="720"/>
        <w:rPr>
          <w:rFonts w:eastAsiaTheme="majorEastAsia" w:cs="Times New Roman"/>
          <w:b/>
        </w:rPr>
      </w:pPr>
      <w:r w:rsidRPr="00C812F1">
        <w:rPr>
          <w:rFonts w:cs="Times New Roman"/>
          <w:noProof/>
        </w:rPr>
        <w:t xml:space="preserve">In addition to Markov models, there are other types of probabilistic models like Bayesian decision models, Bayesian regression models, and semi-Markov models, that generate survivor curves </w:t>
      </w:r>
      <w:r w:rsidRPr="00C812F1">
        <w:rPr>
          <w:rFonts w:cs="Times New Roman"/>
          <w:noProof/>
        </w:rPr>
        <w:fldChar w:fldCharType="begin" w:fldLock="1"/>
      </w:r>
      <w:r>
        <w:rPr>
          <w:rFonts w:cs="Times New Roman"/>
          <w:noProof/>
        </w:rPr>
        <w:instrText>ADDIN CSL_CITATION {"citationItems":[{"id":"ITEM-1","itemData":{"DOI":"10.1061/(ASCE)TE.1943-5436.0000356.","author":[{"dropping-particle":"","family":"Golroo","given":"Amir","non-dropping-particle":"","parse-names":false,"suffix":""},{"dropping-particle":"","family":"Ph","given":"D","non-dropping-particle":"","parse-names":false,"suffix":""},{"dropping-particle":"","family":"Eng","given":"P","non-dropping-particle":"","parse-names":false,"suffix":""},{"dropping-particle":"","family":"Tighe","given":"Susan L","non-dropping-particle":"","parse-names":false,"suffix":""},{"dropping-particle":"","family":"Ph","given":"D","non-dropping-particle":"","parse-names":false,"suffix":""},{"dropping-particle":"","family":"Eng","given":"P","non-dropping-particle":"","parse-names":false,"suffix":""}],"id":"ITEM-1","issue":"May","issued":{"date-parts":[["2012"]]},"page":"634-648","title":"Development of Pervious Concrete Pavement Performance Models Using Expert Opinions","type":"article-journal","volume":"138"},"uris":["http://www.mendeley.com/documents/?uuid=d7c50a6d-ae40-4547-b873-03bbd46c2938"]}],"mendeley":{"formattedCitation":"(Golroo et al., 2012)","manualFormatting":"(Golroo, 2012)","plainTextFormattedCitation":"(Golroo et al., 2012)","previouslyFormattedCitation":"(Golroo et al., 2012)"},"properties":{"noteIndex":0},"schema":"https://github.com/citation-style-language/schema/raw/master/csl-citation.json"}</w:instrText>
      </w:r>
      <w:r w:rsidRPr="00C812F1">
        <w:rPr>
          <w:rFonts w:cs="Times New Roman"/>
          <w:noProof/>
        </w:rPr>
        <w:fldChar w:fldCharType="separate"/>
      </w:r>
      <w:r>
        <w:rPr>
          <w:rFonts w:cs="Times New Roman"/>
          <w:noProof/>
        </w:rPr>
        <w:t>(Golroo</w:t>
      </w:r>
      <w:r w:rsidRPr="00C812F1">
        <w:rPr>
          <w:rFonts w:cs="Times New Roman"/>
          <w:noProof/>
        </w:rPr>
        <w:t>, 2012)</w:t>
      </w:r>
      <w:r w:rsidRPr="00C812F1">
        <w:rPr>
          <w:rFonts w:cs="Times New Roman"/>
          <w:noProof/>
        </w:rPr>
        <w:fldChar w:fldCharType="end"/>
      </w:r>
      <w:r w:rsidRPr="00C812F1">
        <w:rPr>
          <w:rFonts w:cs="Times New Roman"/>
          <w:noProof/>
        </w:rPr>
        <w:t>. The greatest advantages of probabilistic models are their capability for capturing uncertainty in the pavement prediction model, and for producing more realistic results than deterministic models.</w:t>
      </w:r>
    </w:p>
    <w:p w:rsidR="005B4A41" w:rsidRDefault="005B4A41" w:rsidP="005B4A41">
      <w:pPr>
        <w:pStyle w:val="Body"/>
        <w:ind w:left="720"/>
        <w:rPr>
          <w:rFonts w:cs="Times New Roman"/>
          <w:noProof/>
        </w:rPr>
      </w:pPr>
      <w:r w:rsidRPr="00C812F1">
        <w:rPr>
          <w:rFonts w:cs="Times New Roman"/>
          <w:noProof/>
        </w:rPr>
        <w:t xml:space="preserve">Over the past few years, Neural Network (NN) applications have received greater attention, and many research studies on the application of NNs in transportation and civil engineering have been published </w:t>
      </w:r>
      <w:r w:rsidRPr="00C812F1">
        <w:rPr>
          <w:rFonts w:cs="Times New Roman"/>
          <w:noProof/>
        </w:rPr>
        <w:fldChar w:fldCharType="begin" w:fldLock="1"/>
      </w:r>
      <w:r>
        <w:rPr>
          <w:rFonts w:cs="Times New Roman"/>
          <w:noProof/>
        </w:rPr>
        <w:instrText>ADDIN CSL_CITATION {"citationItems":[{"id":"ITEM-1","itemData":{"author":[{"dropping-particle":"","family":"Adeli","given":"Hojjat","non-dropping-particle":"","parse-names":false,"suffix":""}],"id":"ITEM-1","issued":{"date-parts":[["2001"]]},"page":"126-142","title":"Neural Networks in Civil Engineering : 1989 − 2000","type":"article-journal","volume":"16"},"uris":["http://www.mendeley.com/documents/?uuid=0cef1e0b-d448-4c7f-b975-d757cbc3b9e5"]}],"mendeley":{"formattedCitation":"(Adeli, 2001)","manualFormatting":"(Adeli, 2001","plainTextFormattedCitation":"(Adeli, 2001)","previouslyFormattedCitation":"(Adeli, 2001)"},"properties":{"noteIndex":0},"schema":"https://github.com/citation-style-language/schema/raw/master/csl-citation.json"}</w:instrText>
      </w:r>
      <w:r w:rsidRPr="00C812F1">
        <w:rPr>
          <w:rFonts w:cs="Times New Roman"/>
          <w:noProof/>
        </w:rPr>
        <w:fldChar w:fldCharType="separate"/>
      </w:r>
      <w:r w:rsidRPr="00C812F1">
        <w:rPr>
          <w:rFonts w:cs="Times New Roman"/>
          <w:noProof/>
        </w:rPr>
        <w:t>(Adeli 2001</w:t>
      </w:r>
      <w:r w:rsidRPr="00C812F1">
        <w:rPr>
          <w:rFonts w:cs="Times New Roman"/>
          <w:noProof/>
        </w:rPr>
        <w:fldChar w:fldCharType="end"/>
      </w:r>
      <w:r>
        <w:rPr>
          <w:rFonts w:cs="Times New Roman"/>
          <w:noProof/>
        </w:rPr>
        <w:t>,</w:t>
      </w:r>
      <w:r w:rsidRPr="00C812F1">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{"citationItems":[{"id":"ITEM-1","itemData":{"DOI":"10.1016/0968-090X(95)00009-8","ISBN":"0968-090X","ISSN":"0968090X","abstract":"This paper attempts to summarise the findings of a large number of research papers concerning the application of neural networks to transportation. A brief introduction to neural networks is included, for the benefit of readers unfamiliar with the techniques. Because the subject is so young, some of the papers appear only in conference proceedings or other less formal publications. I make no apology for this; I felt it was important to cover as much of the contemporary work as was possible. The paper surveys both the application areas found to be fruitful and the range of neural network paradigms which have been used. Not surprisingly, multilayer feedforward networks such as backpropagation have so far been by far the most popular, but there are signs of a growing diversity; practitioners using neural networks are urged to seek out the less well known paradigms and experiment with them themselves. A particular weakness noted in much of the work is the informal approach taken to detailed analysis of the results of the research. It is postulated that a more rigorous approach to matters such as comparison with other techniques and also the methodology used to design the neural networks would help a clearer picture to emerge as to best practice and future research directions. © 1995.","author":[{"dropping-particle":"","family":"Dougherty","given":"Mark","non-dropping-particle":"","parse-names":false,"suffix":""}],"container-title":"Transportation Research Part C","id":"ITEM-1","issued":{"date-parts":[["1995"]]},"title":"A review of neural networks applied to transport","type":"article-journal"},"uris":["http://www.mendeley.com/documents/?uuid=2b947496-9699-3a89-a374-01146dd652a8"]}],"mendeley":{"formattedCitation":"(Dougherty, 1995)","manualFormatting":"Dougherty 1995","plainTextFormattedCitation":"(Dougherty, 1995)","previouslyFormattedCitation":"(Dougherty, 1995)"},"properties":{"noteIndex":0},"schema":"https://github.com/citation-style-language/schema/raw/master/csl-citation.json"}</w:instrText>
      </w:r>
      <w:r w:rsidRPr="00C812F1">
        <w:rPr>
          <w:rFonts w:cs="Times New Roman"/>
          <w:noProof/>
        </w:rPr>
        <w:fldChar w:fldCharType="separate"/>
      </w:r>
      <w:r>
        <w:rPr>
          <w:rFonts w:cs="Times New Roman"/>
          <w:noProof/>
        </w:rPr>
        <w:t>Dougherty</w:t>
      </w:r>
      <w:r w:rsidRPr="00C812F1">
        <w:rPr>
          <w:rFonts w:cs="Times New Roman"/>
          <w:noProof/>
        </w:rPr>
        <w:t xml:space="preserve"> 1995</w:t>
      </w:r>
      <w:r w:rsidRPr="00C812F1">
        <w:rPr>
          <w:rFonts w:cs="Times New Roman"/>
          <w:noProof/>
        </w:rPr>
        <w:fldChar w:fldCharType="end"/>
      </w:r>
      <w:r>
        <w:rPr>
          <w:rFonts w:cs="Times New Roman"/>
          <w:noProof/>
        </w:rPr>
        <w:t>,</w:t>
      </w:r>
      <w:r w:rsidRPr="00C812F1">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{"citationItems":[{"id":"ITEM-1","itemData":{"DOI":"10.1016/j.aei.2007.07.001","ISBN":"Floo","ISSN":"14740346","abstract":"The purpose of this paper is to stimulate interest within the civil engineering research community for developing the next generation of applied artificial neural networks. In particular, it identifies what the next generation of these devices needs to achieve, and provides direction in terms of how their development may proceed. An analysis of the current situation indicates that progress in the development of artificial neural network applications has largely stagnated. Suggestions are made for advancing the field to the next level of sophistication and application, using genetic algorithms and related techniques. It is shown that this approach will require the design of some very sophisticated genetic coding mechanisms in order to develop the required higher-order network structures, and will utilize development mechanisms observed in nature such as growth, self-organization, and multi-stage objective functions. The capabilities of such an approach and the way in which they can be achieved are explored with reference to the problems of: (a) determining truck attributes from the strain envelopes they induce in structural members when crossing a bridge, and; (b) developing a decision support system for dynamic control of industrialized manufacturing of houses. © 2007.","author":[{"dropping-particle":"","family":"Flood","given":"Ian","non-dropping-particle":"","parse-names":false,"suffix":""}],"container-title":"Advanced Engineering Informatics","id":"ITEM-1","issued":{"date-parts":[["2008"]]},"title":"Towards the next generation of artificial neural networks for civil engineering","type":"article-journal"},"uris":["http://www.mendeley.com/documents/?uuid=99a80882-e36c-3bf6-bc01-b017e41e1814"]}],"mendeley":{"formattedCitation":"(Flood, 2008)","manualFormatting":"Flood 2008","plainTextFormattedCitation":"(Flood, 2008)","previouslyFormattedCitation":"(Flood, 2008)"},"properties":{"noteIndex":0},"schema":"https://github.com/citation-style-language/schema/raw/master/csl-citation.json"}</w:instrText>
      </w:r>
      <w:r w:rsidRPr="00C812F1">
        <w:rPr>
          <w:rFonts w:cs="Times New Roman"/>
          <w:noProof/>
        </w:rPr>
        <w:fldChar w:fldCharType="separate"/>
      </w:r>
      <w:r w:rsidRPr="00C812F1">
        <w:rPr>
          <w:rFonts w:cs="Times New Roman"/>
          <w:noProof/>
        </w:rPr>
        <w:t>Flood 2008</w:t>
      </w:r>
      <w:r w:rsidRPr="00C812F1">
        <w:rPr>
          <w:rFonts w:cs="Times New Roman"/>
          <w:noProof/>
        </w:rPr>
        <w:fldChar w:fldCharType="end"/>
      </w:r>
      <w:r>
        <w:rPr>
          <w:rFonts w:cs="Times New Roman"/>
          <w:noProof/>
        </w:rPr>
        <w:t>,</w:t>
      </w:r>
      <w:r w:rsidRPr="00C812F1">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{"citationItems":[{"id":"ITEM-1","itemData":{"DOI":"10.1061/(ASCE)0887-3801(1994)8:2(131)","ISBN":"08873801 (ISSN)","ISSN":"0887-3801","abstract":"This is the first of two papers providing a discourse on the understanding, usage, and potential for application of artificial neural networks within civil engineering. The present paper develops an understanding of how these devices operate and explains the main issues concerning their use. A simple structural</w:instrText>
      </w:r>
      <w:r>
        <w:rPr>
          <w:rFonts w:ascii="Cambria Math" w:hAnsi="Cambria Math" w:cs="Cambria Math"/>
          <w:noProof/>
        </w:rPr>
        <w:instrText>‐</w:instrText>
      </w:r>
      <w:r>
        <w:rPr>
          <w:rFonts w:cs="Times New Roman"/>
          <w:noProof/>
        </w:rPr>
        <w:instrText>analysis problem is solved using the most popular form of neural</w:instrText>
      </w:r>
      <w:r>
        <w:rPr>
          <w:rFonts w:ascii="Cambria Math" w:hAnsi="Cambria Math" w:cs="Cambria Math"/>
          <w:noProof/>
        </w:rPr>
        <w:instrText>‐</w:instrText>
      </w:r>
      <w:r>
        <w:rPr>
          <w:rFonts w:cs="Times New Roman"/>
          <w:noProof/>
        </w:rPr>
        <w:instrText>networking system—a feedforward network trained using a supervised scheme. A graphical interpretation of the way in which neural networks operate is first presented. This is followed by discussions of the primary concepts and issues concerning their use, including factors affecting their ability to learn and generalize, the selection of an appropriate set of training patterns, theoretical limitations of alternative network configurations, and network validation. The second paper demonstrates the ways in which different types of civil engineering problems can be tackled using neural networks. The objective of the two papers is to ensur...","author":[{"dropping-particle":"","family":"Flood","given":"Ian","non-dropping-particle":"","parse-names":false,"suffix":""},{"dropping-particle":"","family":"Kartam","given":"Nabil","non-dropping-particle":"","parse-names":false,"suffix":""}],"container-title":"Journal of Computing in Civil Engineering","id":"ITEM-1","issued":{"date-parts":[["1994"]]},"title":"Neural Networks in Civil Engineering. I: Principles and Understanding","type":"article-journal"},"uris":["http://www.mendeley.com/documents/?uuid=df420846-c0d0-3f49-87d2-c4be593771c4"]}],"mendeley":{"formattedCitation":"(Flood &amp; Kartam, 1994a)","manualFormatting":"Flood &amp; Kartam, 1994)","plainTextFormattedCitation":"(Flood &amp; Kartam, 1994a)","previouslyFormattedCitation":"(Flood &amp; Kartam, 1994a)"},"properties":{"noteIndex":0},"schema":"https://github.com/citation-style-language/schema/raw/master/csl-citation.json"}</w:instrText>
      </w:r>
      <w:r w:rsidRPr="00C812F1">
        <w:rPr>
          <w:rFonts w:cs="Times New Roman"/>
          <w:noProof/>
        </w:rPr>
        <w:fldChar w:fldCharType="separate"/>
      </w:r>
      <w:r w:rsidRPr="00C812F1">
        <w:rPr>
          <w:rFonts w:cs="Times New Roman"/>
          <w:noProof/>
        </w:rPr>
        <w:t>Flood &amp; Kartam, 1994)</w:t>
      </w:r>
      <w:r w:rsidRPr="00C812F1">
        <w:rPr>
          <w:rFonts w:cs="Times New Roman"/>
          <w:noProof/>
        </w:rPr>
        <w:fldChar w:fldCharType="end"/>
      </w:r>
      <w:r w:rsidRPr="00C812F1">
        <w:rPr>
          <w:rFonts w:cs="Times New Roman"/>
          <w:noProof/>
        </w:rPr>
        <w:t xml:space="preserve">. Because of their capability for interconnecting neurons between layers, </w:t>
      </w:r>
      <w:r w:rsidRPr="00C812F1">
        <w:rPr>
          <w:rFonts w:cs="Times New Roman"/>
          <w:noProof/>
        </w:rPr>
        <w:lastRenderedPageBreak/>
        <w:t xml:space="preserve">NN applications can often solve complex problems more efficiently than traditional methods </w:t>
      </w:r>
      <w:r w:rsidRPr="00C812F1">
        <w:rPr>
          <w:rFonts w:cs="Times New Roman"/>
          <w:noProof/>
        </w:rPr>
        <w:fldChar w:fldCharType="begin" w:fldLock="1"/>
      </w:r>
      <w:r>
        <w:rPr>
          <w:rFonts w:cs="Times New Roman"/>
          <w:noProof/>
        </w:rPr>
        <w:instrText>ADDIN CSL_CITATION {"citationItems":[{"id":"ITEM-1","itemData":{"author":[{"dropping-particle":"","family":"Basheer","given":"I.A.","non-dropping-particle":"","parse-names":false,"suffix":""},{"dropping-particle":"","family":"Hajmeer","given":"M.","non-dropping-particle":"","parse-names":false,"suffix":""}],"container-title":"Kristallografiya","id":"ITEM-1","issue":"43","issued":{"date-parts":[["1980"]]},"page":"80-103","title":"X-ray structural investigation of leghemoglobin. VI. Structure of acetate-ferrileghemoglobin at a resolution of 2.0 Å","type":"article-journal","volume":"25"},"uris":["http://www.mendeley.com/documents/?uuid=463dadf3-58d6-4611-ad85-9e5d481e71c7"]}],"mendeley":{"formattedCitation":"(Basheer &amp; Hajmeer, 1980)","manualFormatting":"(Basheer, 2000)","plainTextFormattedCitation":"(Basheer &amp; Hajmeer, 1980)","previouslyFormattedCitation":"(Basheer &amp; Hajmeer, 1980)"},"properties":{"noteIndex":0},"schema":"https://github.com/citation-style-language/schema/raw/master/csl-citation.json"}</w:instrText>
      </w:r>
      <w:r w:rsidRPr="00C812F1">
        <w:rPr>
          <w:rFonts w:cs="Times New Roman"/>
          <w:noProof/>
        </w:rPr>
        <w:fldChar w:fldCharType="separate"/>
      </w:r>
      <w:r>
        <w:rPr>
          <w:rFonts w:cs="Times New Roman"/>
          <w:noProof/>
        </w:rPr>
        <w:t>(Basheer</w:t>
      </w:r>
      <w:r w:rsidRPr="00C812F1">
        <w:rPr>
          <w:rFonts w:cs="Times New Roman"/>
          <w:noProof/>
        </w:rPr>
        <w:t>, 2000)</w:t>
      </w:r>
      <w:r w:rsidRPr="00C812F1">
        <w:rPr>
          <w:rFonts w:cs="Times New Roman"/>
          <w:noProof/>
        </w:rPr>
        <w:fldChar w:fldCharType="end"/>
      </w:r>
      <w:r w:rsidRPr="00C812F1">
        <w:rPr>
          <w:rFonts w:cs="Times New Roman"/>
          <w:noProof/>
        </w:rPr>
        <w:t xml:space="preserve">. The capabilities of  Neural Network models for solving problems from several pavement-engineering categories are as follows </w:t>
      </w:r>
      <w:r w:rsidRPr="00C812F1">
        <w:rPr>
          <w:rFonts w:cs="Times New Roman"/>
          <w:noProof/>
        </w:rPr>
        <w:fldChar w:fldCharType="begin" w:fldLock="1"/>
      </w:r>
      <w:r>
        <w:rPr>
          <w:rFonts w:cs="Times New Roman"/>
          <w:noProof/>
        </w:rPr>
        <w:instrText>ADDIN CSL_CITATION {"citationItems":[{"id":"ITEM-1","itemData":{"DOI":"10.6135/ijprt.org.tw/2014.7(6).434","abstract":"The use of neural networks (NNs) has increased tremendously in several areas of engineering over the last three decades. This paper is intended to provide a state-of-the-art survey of NN applications in pavement engineering over the last three decades. The reported studies are briefly summarized under eight different categories: (1) prediction of pavement condition and performance, (2) pavement management and maintenance strategies, (3) pavement distress forecasting, (4) structural evaluation of pavement systems, (5) pavement image analysis and classification, (6) pavement materials modeling, and (7) other miscellaneous transportation infrastructure applications. To maintain consistency, the review was primarily based on archival journal publications although novel application-oriented NN implementations published in peer-reviewed conference proceedings and edited books were also considered. Recent publications focusing on the development and use of hybrid neural systems in pavement engineering were also included in the review. The increasing number of publications in this area of research in combination with other soft computing techniques every year definitely indicates that more and more students, researchers, and practitioners are interested in exploring the use of NNs in the study of pavement engineering problems.","author":[{"dropping-particle":"","family":"Ceylan","given":"Halil","non-dropping-particle":"","parse-names":false,"suffix":""},{"dropping-particle":"","family":"Birkan Bayrak","given":"Mustafa","non-dropping-particle":"","parse-names":false,"suffix":""},{"dropping-particle":"","family":"Gopalakrishnan","given":"Kasthurirangan","non-dropping-particle":"","parse-names":false,"suffix":""},{"dropping-particle":"","family":"───────────────────────────────────────────────────────","given":"1+","non-dropping-particle":"","parse-names":false,"suffix":""}],"container-title":"International Journal of Pavement Research and Technology","id":"ITEM-1","issue":"6","issued":{"date-parts":[["2014"]]},"page":"434-444","title":"Neural Networks Applications in Pavement Engineering: A Recent Survey","type":"article-journal","volume":"7"},"uris":["http://www.mendeley.com/documents/?uuid=f5f6db8f-b2f6-3094-89c2-7f65e73c13f8"]}],"mendeley":{"formattedCitation":"(Ceylan et al., 2014b)","manualFormatting":"(Ceylan, et al., 2014)","plainTextFormattedCitation":"(Ceylan et al., 2014b)","previouslyFormattedCitation":"(Ceylan et al., 2014b)"},"properties":{"noteIndex":0},"schema":"https://github.com/citation-style-language/schema/raw/master/csl-citation.json"}</w:instrText>
      </w:r>
      <w:r w:rsidRPr="00C812F1">
        <w:rPr>
          <w:rFonts w:cs="Times New Roman"/>
          <w:noProof/>
        </w:rPr>
        <w:fldChar w:fldCharType="separate"/>
      </w:r>
      <w:r w:rsidRPr="00C812F1">
        <w:rPr>
          <w:rFonts w:cs="Times New Roman"/>
          <w:noProof/>
        </w:rPr>
        <w:t>(Ceylan, 2014)</w:t>
      </w:r>
      <w:r w:rsidRPr="00C812F1">
        <w:rPr>
          <w:rFonts w:cs="Times New Roman"/>
          <w:noProof/>
        </w:rPr>
        <w:fldChar w:fldCharType="end"/>
      </w:r>
      <w:r w:rsidRPr="00C812F1">
        <w:rPr>
          <w:rFonts w:cs="Times New Roman"/>
          <w:noProof/>
        </w:rPr>
        <w:t>:</w:t>
      </w:r>
    </w:p>
    <w:p w:rsidR="005B4A41" w:rsidRPr="00D271F6" w:rsidRDefault="005B4A41" w:rsidP="005B4A41">
      <w:pPr>
        <w:pStyle w:val="Body"/>
        <w:numPr>
          <w:ilvl w:val="0"/>
          <w:numId w:val="13"/>
        </w:numPr>
      </w:pPr>
      <w:r w:rsidRPr="00C812F1">
        <w:rPr>
          <w:rFonts w:cs="Times New Roman"/>
          <w:i/>
          <w:noProof/>
        </w:rPr>
        <w:t>Classification</w:t>
      </w:r>
      <w:r w:rsidRPr="00C812F1">
        <w:rPr>
          <w:rFonts w:cs="Times New Roman"/>
          <w:noProof/>
        </w:rPr>
        <w:t xml:space="preserve">: Supervised learning in neural networks can be used to deal with unknown inputs. Neural network models have been used to investigate the classification of pavement distresses from digital images (Nallamothu, 1996). Another research study by Hu </w:t>
      </w:r>
      <w:r w:rsidRPr="00C812F1">
        <w:rPr>
          <w:rFonts w:cs="Times New Roman"/>
          <w:noProof/>
        </w:rPr>
        <w:fldChar w:fldCharType="begin" w:fldLock="1"/>
      </w:r>
      <w:r w:rsidRPr="00C812F1">
        <w:rPr>
          <w:rFonts w:cs="Times New Roman"/>
          <w:noProof/>
        </w:rPr>
        <w:instrText>ADDIN CSL_CITATION {"citationItems":[{"id":"ITEM-1","itemData":{"DOI":"10.3141/1764-13","ISSN":"0361-1981","abstract":"The collection of pavement surface condition data is usually done by\nconventional visual and manual approaches, which are very costly,\ntime-consuming, dangerous, labor-intensive, and subjective. These\napproaches have high degrees of variability, are unable to provide\nmeaningful quantitative information, and almost always lead to\ninconsistencies in cracking details over space and across evaluations. A\nnovel pavement crack detection approach based on neural network and\ncomputer vision, pattern recognition, and image-processing techniques is\nproposed. The thresholding approach is used to separate crack pixels\nfrom the background. The selection of the thresholds is critical to the\nperformance of automated crack detection systems. Statistical values\n(mean and standard deviation) are used as the features, and they are\nused to train the neural network for selection of the thresholds.\nBecause of the noise, the resulting images have some isolated spots that\ncan be eliminated by a curve detector. Finally, Hough transformation is\nused to detect or classify all cracks in parallel. The experimental\nresults have demonstrated that the cracks are correctly and effectively\ndetected by the proposed method, which will be useful for pavement\nmanagement.","author":[{"dropping-particle":"","family":"Hu","given":"Y. G.","non-dropping-particle":"","parse-names":false,"suffix":""},{"dropping-particle":"","family":"Cheng","given":"H. D.","non-dropping-particle":"","parse-names":false,"suffix":""},{"dropping-particle":"","family":"Glazier","given":"C.","non-dropping-particle":"","parse-names":false,"suffix":""},{"dropping-particle":"","family":"Wang","given":"Jingli","non-dropping-particle":"","parse-names":false,"suffix":""},{"dropping-particle":"","family":"Chen","given":"X. W.","non-dropping-particle":"","parse-names":false,"suffix":""},{"dropping-particle":"","family":"Shi","given":"X. J.","non-dropping-particle":"","parse-names":false,"suffix":""}],"container-title":"Transportation Research Record: Journal of the Transportation Research Board","id":"ITEM-1","issue":"1","issued":{"date-parts":[["2007"]]},"page":"119-127","title":"Novel Approach to Pavement Cracking Detection Based on Neural Network","type":"article-journal","volume":"1764"},"uris":["http://www.mendeley.com/documents/?uuid=093085cb-aaf3-4f1b-b65d-07b110dde542"]}],"mendeley":{"formattedCitation":"(Hu et al., 2007)","manualFormatting":"(2001)","plainTextFormattedCitation":"(Hu et al., 2007)","previouslyFormattedCitation":"(Hu et al., 2007)"},"properties":{"noteIndex":0},"schema":"https://github.com/citation-style-language/schema/raw/master/csl-citation.json"}</w:instrText>
      </w:r>
      <w:r w:rsidRPr="00C812F1">
        <w:rPr>
          <w:rFonts w:cs="Times New Roman"/>
          <w:noProof/>
        </w:rPr>
        <w:fldChar w:fldCharType="separate"/>
      </w:r>
      <w:r w:rsidRPr="00C812F1">
        <w:rPr>
          <w:rFonts w:cs="Times New Roman"/>
          <w:noProof/>
        </w:rPr>
        <w:t>(2001)</w:t>
      </w:r>
      <w:r w:rsidRPr="00C812F1">
        <w:rPr>
          <w:rFonts w:cs="Times New Roman"/>
          <w:noProof/>
        </w:rPr>
        <w:fldChar w:fldCharType="end"/>
      </w:r>
      <w:r w:rsidRPr="00C812F1">
        <w:rPr>
          <w:rFonts w:cs="Times New Roman"/>
          <w:noProof/>
        </w:rPr>
        <w:t xml:space="preserve"> reported using a neural network to detect pavement cracks.</w:t>
      </w:r>
    </w:p>
    <w:p w:rsidR="005B4A41" w:rsidRPr="00D271F6" w:rsidRDefault="005B4A41" w:rsidP="005B4A41">
      <w:pPr>
        <w:pStyle w:val="Body"/>
        <w:numPr>
          <w:ilvl w:val="0"/>
          <w:numId w:val="13"/>
        </w:numPr>
      </w:pPr>
      <w:r w:rsidRPr="00C812F1">
        <w:rPr>
          <w:rFonts w:cs="Times New Roman"/>
          <w:i/>
          <w:noProof/>
        </w:rPr>
        <w:t>Performance Prediction</w:t>
      </w:r>
      <w:r w:rsidRPr="00C812F1">
        <w:rPr>
          <w:rFonts w:cs="Times New Roman"/>
          <w:noProof/>
        </w:rPr>
        <w:t xml:space="preserve">: Neural Networks have been used in various studies as powerful and versatile computational tools for both determining the performance of existing pavement systems and predicting future conditions. The Pavement Distress Index (PDI), based on surface thickness, pavement age, and traffic level, was predicted using a NN model that outperformed other multiple-linear regressions </w:t>
      </w:r>
      <w:r w:rsidRPr="00C812F1">
        <w:rPr>
          <w:rFonts w:cs="Times New Roman"/>
          <w:noProof/>
        </w:rPr>
        <w:fldChar w:fldCharType="begin" w:fldLock="1"/>
      </w:r>
      <w:r w:rsidRPr="00C812F1">
        <w:rPr>
          <w:rFonts w:cs="Times New Roman"/>
          <w:noProof/>
        </w:rPr>
        <w:instrText>ADDIN CSL_CITATION {"citationItems":[{"id":"ITEM-1","itemData":{"DOI":"10.1111/0885-9507.00113","ISBN":"1467-8667","ISSN":"10939687","author":[{"dropping-particle":"","family":"Owusu-Ababio","given":"Sam","non-dropping-particle":"","parse-names":false,"suffix":""}],"container-title":"Computer-Aided Civil and Infrastructure Engineering","id":"ITEM-1","issue":"5","issued":{"date-parts":[["1998"]]},"page":"349-355","title":"Effect of Neural Network Topology on Flexible Pavement Cracking Prediction","type":"article-journal","volume":"13"},"uris":["http://www.mendeley.com/documents/?uuid=4bea5cfa-d70f-40ee-b15a-5ddfcb3225ad"]}],"mendeley":{"formattedCitation":"(Owusu-Ababio, 1998)","plainTextFormattedCitation":"(Owusu-Ababio, 1998)","previouslyFormattedCitation":"(Owusu-Ababio, 1998)"},"properties":{"noteIndex":0},"schema":"https://github.com/citation-style-language/schema/raw/master/csl-citation.json"}</w:instrText>
      </w:r>
      <w:r w:rsidRPr="00C812F1">
        <w:rPr>
          <w:rFonts w:cs="Times New Roman"/>
          <w:noProof/>
        </w:rPr>
        <w:fldChar w:fldCharType="separate"/>
      </w:r>
      <w:r w:rsidRPr="00C812F1">
        <w:rPr>
          <w:rFonts w:cs="Times New Roman"/>
          <w:noProof/>
        </w:rPr>
        <w:t>(Owusu-Ababio, 1998)</w:t>
      </w:r>
      <w:r w:rsidRPr="00C812F1">
        <w:rPr>
          <w:rFonts w:cs="Times New Roman"/>
          <w:noProof/>
        </w:rPr>
        <w:fldChar w:fldCharType="end"/>
      </w:r>
      <w:r w:rsidRPr="00C812F1">
        <w:rPr>
          <w:rFonts w:cs="Times New Roman"/>
          <w:noProof/>
        </w:rPr>
        <w:t xml:space="preserve">. A back-propagation neural network model was developed by </w:t>
      </w:r>
      <w:r w:rsidRPr="00C812F1">
        <w:rPr>
          <w:rFonts w:cs="Times New Roman"/>
          <w:noProof/>
        </w:rPr>
        <w:fldChar w:fldCharType="begin" w:fldLock="1"/>
      </w:r>
      <w:r>
        <w:rPr>
          <w:rFonts w:cs="Times New Roman"/>
          <w:noProof/>
        </w:rPr>
        <w:instrText>ADDIN CSL_CITATION {"citationItems":[{"id":"ITEM-1","itemData":{"abstract":"In 1999, the Taiwan Highway Bureau imported ARAN (Automatic Road Analyzer), a specially equipped car that provides speedy and accurate pavement inspection, and outputs the measured pavement roughness as IRI (International Roughness Index). Since then, the traditional road-inspector visual inspection performed at network level pavement inspection had the tendency to be replaced by automatic inspection devices. Engineers also have gradually started to pay attention to IRI index. However, some pavement distress deterioration conditions are unique to Taiwan due to the island climate and special characteristics of the traffic and axle load. In this paper, analysis of the relationship between IRI and pavement distresses is performed based on a back-propagation neural network methodology to evaluate the applicability of IRI to be treated as a critical representation index of pavement performance. Moreover, the effects of distinct distress types and their extent on IRI can also be analyzed to infer roadwork benefit. Based on a back-propagation neural network we construct in this research, IRI may be predicted accurately from distress rating results obtained from pavement video images, which is recorded by a camera mounted on ARAN. The correlation coefficient between IRI and the distress variables reaches 0.944, which shows that IRI may completely reflect pavement distress conditions. Thus, it is feasible to use IRI as a pavement performance index. Using IRI may simplify inspection works. Obviously, different distress types differently impact IRI. We find the definite effect of each distress type on IRI by sensitivity analysis. Thus, we may infer the improvement in the IRI resulted from certain extent or amount of repair for each distress. However, even if local road authories are not equipped with automatic inspection devices, an accurate IRI is still obtainable via the present visual inspection method based on the back-propagation neural network we propose. Then, based on this IRI further optimization analysis can proceed. [1]","author":[{"dropping-particle":"","family":"Lin","given":"Jyh-dong","non-dropping-particle":"","parse-names":false,"suffix":""},{"dropping-particle":"","family":"Yau","given":"Jyh-Tyng","non-dropping-particle":"","parse-names":false,"suffix":""},{"dropping-particle":"","family":"Hsiao","given":"Liang-Hao","non-dropping-particle":"","parse-names":false,"suffix":""}],"container-title":"82nd Transportation Research Board Annual Meeting","id":"ITEM-1","issue":"January 2003","issued":{"date-parts":[["2003"]]},"title":"Correlation Analysis Between International Roughness Index (IRI) and Pavement Distress by Neural Network","type":"article-journal"},"uris":["http://www.mendeley.com/documents/?uuid=83da8c80-cb85-4604-97da-15b4b2e1ac26"]}],"mendeley":{"formattedCitation":"(Lin, Yau, &amp; Hsiao, 2003)","manualFormatting":"(Lin, 2003)","plainTextFormattedCitation":"(Lin, Yau, &amp; Hsiao, 2003)","previouslyFormattedCitation":"(Lin, Yau, &amp; Hsiao, 2003)"},"properties":{"noteIndex":0},"schema":"https://github.com/citation-style-language/schema/raw/master/csl-citation.json"}</w:instrText>
      </w:r>
      <w:r w:rsidRPr="00C812F1">
        <w:rPr>
          <w:rFonts w:cs="Times New Roman"/>
          <w:noProof/>
        </w:rPr>
        <w:fldChar w:fldCharType="separate"/>
      </w:r>
      <w:r w:rsidRPr="00C812F1">
        <w:rPr>
          <w:rFonts w:cs="Times New Roman"/>
          <w:noProof/>
        </w:rPr>
        <w:t>(Lin, 2003)</w:t>
      </w:r>
      <w:r w:rsidRPr="00C812F1">
        <w:rPr>
          <w:rFonts w:cs="Times New Roman"/>
          <w:noProof/>
        </w:rPr>
        <w:fldChar w:fldCharType="end"/>
      </w:r>
      <w:r w:rsidRPr="00C812F1">
        <w:rPr>
          <w:rFonts w:cs="Times New Roman"/>
          <w:noProof/>
        </w:rPr>
        <w:t xml:space="preserve"> for predicting IRI based on pavement distress.</w:t>
      </w:r>
    </w:p>
    <w:p w:rsidR="005B4A41" w:rsidRPr="00D271F6" w:rsidRDefault="005B4A41" w:rsidP="005B4A41">
      <w:pPr>
        <w:pStyle w:val="Body"/>
        <w:numPr>
          <w:ilvl w:val="0"/>
          <w:numId w:val="13"/>
        </w:numPr>
      </w:pPr>
      <w:r w:rsidRPr="00C812F1">
        <w:rPr>
          <w:rFonts w:cs="Times New Roman"/>
          <w:i/>
          <w:noProof/>
        </w:rPr>
        <w:t>Optimization and maintenance strategies</w:t>
      </w:r>
      <w:r w:rsidRPr="00C812F1">
        <w:rPr>
          <w:rFonts w:cs="Times New Roman"/>
          <w:noProof/>
        </w:rPr>
        <w:t xml:space="preserve">: Neural networks have been used as computational tools to determine which maintenance and rehabilitation actions should be performed on deteriorated pavement sections, using a hybrid NN and Genetic Algorithm method developed for optimizing maintenance strategy of flexible pavements </w:t>
      </w:r>
      <w:r w:rsidRPr="00C812F1">
        <w:rPr>
          <w:rFonts w:cs="Times New Roman"/>
          <w:noProof/>
        </w:rPr>
        <w:fldChar w:fldCharType="begin" w:fldLock="1"/>
      </w:r>
      <w:r>
        <w:rPr>
          <w:rFonts w:cs="Times New Roman"/>
          <w:noProof/>
        </w:rPr>
        <w:instrText>ADDIN CSL_CITATION {"citationItems":[{"id":"ITEM-1","itemData":{"ISSN":"0361-1981","author":[{"dropping-particle":"","family":"Taha","given":"Mahmoud A","non-dropping-particle":"","parse-names":false,"suffix":""},{"dropping-particle":"","family":"Hanna","given":"Awad S","non-dropping-particle":"","parse-names":false,"suffix":""}],"container-title":"Transportation research record","id":"ITEM-1","issue":"1497","issued":{"date-parts":[["1995"]]},"page":"70-76","title":"Evolutionary neural network model for the selection of pavement maintenance strategy","type":"article-journal"},"uris":["http://www.mendeley.com/documents/?uuid=ccf2d6c8-8c06-4549-ab7d-d4aa835f2979"]}],"mendeley":{"formattedCitation":"(Taha &amp; Hanna, 1995)","manualFormatting":"(Taha, 1995)","plainTextFormattedCitation":"(Taha &amp; Hanna, 1995)","previouslyFormattedCitation":"(Taha &amp; Hanna, 1995)"},"properties":{"noteIndex":0},"schema":"https://github.com/citation-style-language/schema/raw/master/csl-citation.json"}</w:instrText>
      </w:r>
      <w:r w:rsidRPr="00C812F1">
        <w:rPr>
          <w:rFonts w:cs="Times New Roman"/>
          <w:noProof/>
        </w:rPr>
        <w:fldChar w:fldCharType="separate"/>
      </w:r>
      <w:r w:rsidRPr="00C812F1">
        <w:rPr>
          <w:rFonts w:cs="Times New Roman"/>
          <w:noProof/>
        </w:rPr>
        <w:t>(Taha, 1995)</w:t>
      </w:r>
      <w:r w:rsidRPr="00C812F1">
        <w:rPr>
          <w:rFonts w:cs="Times New Roman"/>
          <w:noProof/>
        </w:rPr>
        <w:fldChar w:fldCharType="end"/>
      </w:r>
      <w:r w:rsidRPr="00C812F1">
        <w:rPr>
          <w:rFonts w:cs="Times New Roman"/>
          <w:noProof/>
        </w:rPr>
        <w:t>.</w:t>
      </w:r>
    </w:p>
    <w:p w:rsidR="005B4A41" w:rsidRDefault="005B4A41" w:rsidP="005B4A41">
      <w:pPr>
        <w:pStyle w:val="Body"/>
        <w:numPr>
          <w:ilvl w:val="0"/>
          <w:numId w:val="13"/>
        </w:numPr>
      </w:pPr>
      <w:r w:rsidRPr="00C812F1">
        <w:rPr>
          <w:rFonts w:cs="Times New Roman"/>
          <w:i/>
          <w:noProof/>
        </w:rPr>
        <w:t>Distress Prediction</w:t>
      </w:r>
      <w:r w:rsidRPr="00C812F1">
        <w:rPr>
          <w:rFonts w:cs="Times New Roman"/>
          <w:noProof/>
        </w:rPr>
        <w:t xml:space="preserve">: Neural networks can help pavement engineers predict future distresses, and a multi-layer perceptron back-propagation NN with one hidden </w:t>
      </w:r>
      <w:r w:rsidRPr="00C812F1">
        <w:rPr>
          <w:rFonts w:cs="Times New Roman"/>
          <w:noProof/>
        </w:rPr>
        <w:lastRenderedPageBreak/>
        <w:t xml:space="preserve">layer has been used to predict future roughness distress in flexible pavements </w:t>
      </w:r>
      <w:r w:rsidRPr="00C812F1">
        <w:rPr>
          <w:rFonts w:cs="Times New Roman"/>
          <w:noProof/>
        </w:rPr>
        <w:fldChar w:fldCharType="begin" w:fldLock="1"/>
      </w:r>
      <w:r>
        <w:rPr>
          <w:rFonts w:cs="Times New Roman"/>
          <w:noProof/>
        </w:rPr>
        <w:instrText>ADDIN CSL_CITATION {"citationItems":[{"id":"ITEM-1","itemData":{"DOI":"10.3141/1592-11","ISSN":"0361-1981","author":[{"dropping-particle":"","family":"Huang","given":"Yangcai","non-dropping-particle":"","parse-names":false,"suffix":""},{"dropping-particle":"","family":"Moore","given":"Raymond","non-dropping-particle":"","parse-names":false,"suffix":""}],"container-title":"Transportation Research Record: Journal of the Transportation Research Board","id":"ITEM-1","issued":{"date-parts":[["1997","1"]]},"page":"89-97","title":"Roughness Level Probability Prediction Using Artificial Neural Networks","type":"article-journal","volume":"1592"},"uris":["http://www.mendeley.com/documents/?uuid=077f6cbb-29cc-3c2f-9ae8-573bebb08115"]}],"mendeley":{"formattedCitation":"(Huang &amp; Moore, 1997)","manualFormatting":"(Huang, 1997)","plainTextFormattedCitation":"(Huang &amp; Moore, 1997)","previouslyFormattedCitation":"(Huang &amp; Moore, 1997)"},"properties":{"noteIndex":0},"schema":"https://github.com/citation-style-language/schema/raw/master/csl-citation.json"}</w:instrText>
      </w:r>
      <w:r w:rsidRPr="00C812F1">
        <w:rPr>
          <w:rFonts w:cs="Times New Roman"/>
          <w:noProof/>
        </w:rPr>
        <w:fldChar w:fldCharType="separate"/>
      </w:r>
      <w:r>
        <w:rPr>
          <w:rFonts w:cs="Times New Roman"/>
          <w:noProof/>
        </w:rPr>
        <w:t>(Huang</w:t>
      </w:r>
      <w:r w:rsidRPr="00C812F1">
        <w:rPr>
          <w:rFonts w:cs="Times New Roman"/>
          <w:noProof/>
        </w:rPr>
        <w:t>, 1997)</w:t>
      </w:r>
      <w:r w:rsidRPr="00C812F1">
        <w:rPr>
          <w:rFonts w:cs="Times New Roman"/>
          <w:noProof/>
        </w:rPr>
        <w:fldChar w:fldCharType="end"/>
      </w:r>
      <w:r w:rsidRPr="00C812F1">
        <w:rPr>
          <w:rFonts w:cs="Times New Roman"/>
          <w:noProof/>
        </w:rPr>
        <w:t>.</w:t>
      </w:r>
    </w:p>
    <w:p w:rsidR="005B4A41" w:rsidRDefault="005B4A41" w:rsidP="005B4A41">
      <w:pPr>
        <w:pStyle w:val="Body"/>
        <w:rPr>
          <w:rFonts w:cs="Times New Roman"/>
          <w:noProof/>
        </w:rPr>
      </w:pPr>
      <w:r w:rsidRPr="00C812F1">
        <w:rPr>
          <w:rFonts w:cs="Times New Roman"/>
          <w:noProof/>
        </w:rPr>
        <w:t>NNs could be a powerful alternative to traditional techniques that are always limited by normality, linearity, and colinearity assumptions. Two major advantages of using NNs are their ability to model complex and nonlinear large amounts of data, and detect all possible interactions between predictor variables.</w:t>
      </w:r>
    </w:p>
    <w:p w:rsidR="005B4A41" w:rsidRDefault="005B4A41" w:rsidP="005B4A41">
      <w:pPr>
        <w:pStyle w:val="Body"/>
        <w:rPr>
          <w:rFonts w:cs="Times New Roman"/>
          <w:noProof/>
        </w:rPr>
      </w:pPr>
      <w:r w:rsidRPr="00C812F1">
        <w:rPr>
          <w:rFonts w:cs="Times New Roman"/>
          <w:noProof/>
        </w:rPr>
        <w:t xml:space="preserve">It should be mentioned that, because pavement deterioration happens over time, it is important to include the dependency of performance measures on historical data (time) in a prediction model. Accurate time-series prediction is also critical for abnormality detection, resource allocation, and financial planning </w:t>
      </w:r>
      <w:r w:rsidRPr="00C812F1">
        <w:rPr>
          <w:rFonts w:cs="Times New Roman"/>
          <w:noProof/>
        </w:rPr>
        <w:fldChar w:fldCharType="begin" w:fldLock="1"/>
      </w:r>
      <w:r>
        <w:rPr>
          <w:rFonts w:cs="Times New Roman"/>
          <w:noProof/>
        </w:rPr>
        <w:instrText>ADDIN CSL_CITATION {"citationItems":[{"id":"ITEM-1","itemData":{"abstract":"Accurate time-series forecasting during high variance segments (e.g., holidays), is critical for anomaly detection, optimal resource allocation, budget planning and other related tasks. At Uber accurate prediction for completed trips during special events can lead to a more efficient driver allocation resulting in a decreased wait time for the riders. State of the art methods for handling this task often rely on a combination of univariate forecasting models (e.g., Holt-Winters) and machine learning methods (e.g., random forest). Such a system, however, is hard to tune, scale and add exogenous variables. Motivated by the recent resurgence of Long Short Term Memory networks we propose a novel end-to-end recurrent neural network architecture that outperforms the current state of the art event forecasting methods on Uber data and generalizes well to a public M3 dataset used for time-series forecasting competitions.","author":[{"dropping-particle":"","family":"Nikolay","given":"Slawek Laptev","non-dropping-particle":"","parse-names":false,"suffix":""},{"dropping-particle":"","family":"Jason","given":"Yosinski","non-dropping-particle":"","parse-names":false,"suffix":""},{"dropping-particle":"","family":"Erran Li","given":"","non-dropping-particle":"","parse-names":false,"suffix":""},{"dropping-particle":"","family":"Li Smyl","given":"","non-dropping-particle":"","parse-names":false,"suffix":""},{"dropping-particle":"","family":"2017","given":"","non-dropping-particle":"","parse-names":false,"suffix":""}],"id":"ITEM-1","issued":{"date-parts":[["0"]]},"title":"Time-series Extreme Event Forecasting with Neural Networks at Uber","type":"report"},"uris":["http://www.mendeley.com/documents/?uuid=6bcc26e4-da52-3cbe-bd5d-18a09fe7da43"]}],"mendeley":{"formattedCitation":"(Nikolay, Jason, Erran Li, Li Smyl, &amp; 2017, n.d.)","manualFormatting":"(Laptev, 2017","plainTextFormattedCitation":"(Nikolay, Jason, Erran Li, Li Smyl, &amp; 2017, n.d.)","previouslyFormattedCitation":"(Nikolay, Jason, Erran Li, Li Smyl, &amp; 2017, n.d.)"},"properties":{"noteIndex":0},"schema":"https://github.com/citation-style-language/schema/raw/master/csl-citation.json"}</w:instrText>
      </w:r>
      <w:r w:rsidRPr="00C812F1">
        <w:rPr>
          <w:rFonts w:cs="Times New Roman"/>
          <w:noProof/>
        </w:rPr>
        <w:fldChar w:fldCharType="separate"/>
      </w:r>
      <w:r w:rsidRPr="00C812F1">
        <w:rPr>
          <w:rFonts w:cs="Times New Roman"/>
          <w:noProof/>
        </w:rPr>
        <w:t>(</w:t>
      </w:r>
      <w:r>
        <w:rPr>
          <w:rFonts w:cs="Times New Roman"/>
          <w:noProof/>
        </w:rPr>
        <w:t>Laptev</w:t>
      </w:r>
      <w:r w:rsidRPr="00C812F1">
        <w:rPr>
          <w:rFonts w:cs="Times New Roman"/>
          <w:noProof/>
        </w:rPr>
        <w:t>, 2017</w:t>
      </w:r>
      <w:r w:rsidRPr="00C812F1">
        <w:rPr>
          <w:rFonts w:cs="Times New Roman"/>
          <w:noProof/>
        </w:rPr>
        <w:fldChar w:fldCharType="end"/>
      </w:r>
      <w:r w:rsidRPr="00C812F1">
        <w:rPr>
          <w:rFonts w:cs="Times New Roman"/>
          <w:noProof/>
        </w:rPr>
        <w:t xml:space="preserve">). Predicting data time-dependency is challenging because such prediction depends on external factors like weather and traffic load </w:t>
      </w:r>
      <w:r w:rsidRPr="00C812F1">
        <w:rPr>
          <w:rFonts w:cs="Times New Roman"/>
          <w:noProof/>
        </w:rPr>
        <w:fldChar w:fldCharType="begin" w:fldLock="1"/>
      </w:r>
      <w:r>
        <w:rPr>
          <w:rFonts w:cs="Times New Roman"/>
          <w:noProof/>
        </w:rPr>
        <w:instrText>ADDIN CSL_CITATION {"citationItems":[{"id":"ITEM-1","itemData":{"DOI":"10.1177/1012690204043462","ISSN":"1012-6902","abstract":"The 2002 FIFA World Cup Korea/Japan was the first football World Cup Finals ever to take place in Asia and be co-hosted by two countries. Drawing on data provided by the national and local organizing committees, football's world governing institution, local and international media accounts and first-hand observations made before, during and after the event, the article discusses the contrast between discourses that forecast and described the actual impacts of the 2002 World Cup on its host societies. In particular three aspects are discussed: the specific regional political economy of the 2002 World Cup; the role of sports mega-events in identity construction and promotion; and how such events are both constituted by and constitutive of globalization. While a largely sceptical view of the economic impact informs our article, our conclusion explains the gap between forecast and actual impacts as indicative of the power struggle for determining the meaning of mega-events between different agents.","author":[{"dropping-particle":"","family":"Horne","given":"John D.","non-dropping-particle":"","parse-names":false,"suffix":""},{"dropping-particle":"","family":"Manzenreiter","given":"Wolfram","non-dropping-particle":"","parse-names":false,"suffix":""}],"container-title":"International Review for the Sociology of Sport","id":"ITEM-1","issued":{"date-parts":[["2004"]]},"title":"Accounting for Mega-Events","type":"article-journal"},"uris":["http://www.mendeley.com/documents/?uuid=4018aa46-d7a7-3c78-87e5-0adccaf0bfb6"]}],"mendeley":{"formattedCitation":"(Horne &amp; Manzenreiter, 2004)","manualFormatting":"(Horne, 2004)","plainTextFormattedCitation":"(Horne &amp; Manzenreiter, 2004)","previouslyFormattedCitation":"(Horne &amp; Manzenreiter, 2004)"},"properties":{"noteIndex":0},"schema":"https://github.com/citation-style-language/schema/raw/master/csl-citation.json"}</w:instrText>
      </w:r>
      <w:r w:rsidRPr="00C812F1">
        <w:rPr>
          <w:rFonts w:cs="Times New Roman"/>
          <w:noProof/>
        </w:rPr>
        <w:fldChar w:fldCharType="separate"/>
      </w:r>
      <w:r w:rsidRPr="00C812F1">
        <w:rPr>
          <w:rFonts w:cs="Times New Roman"/>
          <w:noProof/>
        </w:rPr>
        <w:t>(Horne, 2004)</w:t>
      </w:r>
      <w:r w:rsidRPr="00C812F1">
        <w:rPr>
          <w:rFonts w:cs="Times New Roman"/>
          <w:noProof/>
        </w:rPr>
        <w:fldChar w:fldCharType="end"/>
      </w:r>
      <w:r w:rsidRPr="00C812F1">
        <w:rPr>
          <w:rFonts w:cs="Times New Roman"/>
          <w:noProof/>
        </w:rPr>
        <w:t>. Time-series analysis works better with highly-correlated measurements over time, because explanatory variables may fail to explain the correlation mechanisms. On the other hand, in regression analysis the explanatory variables should sufficiently explain the trend, resulting in independent fitting residuals.</w:t>
      </w:r>
    </w:p>
    <w:p w:rsidR="005B4A41" w:rsidRDefault="005B4A41" w:rsidP="005B4A41">
      <w:pPr>
        <w:pStyle w:val="Body"/>
        <w:rPr>
          <w:rFonts w:eastAsiaTheme="majorEastAsia" w:cs="Times New Roman"/>
          <w:noProof/>
        </w:rPr>
      </w:pPr>
      <w:r w:rsidRPr="00C812F1">
        <w:rPr>
          <w:rFonts w:cs="Times New Roman"/>
          <w:noProof/>
        </w:rPr>
        <w:t xml:space="preserve">A deep-learning method designed for sequential data is the Recurrent Neural Network (RNN) that has recently received additional attention from researchers primarily because of its capability in learning sequences </w:t>
      </w:r>
      <w:r w:rsidRPr="00C812F1">
        <w:rPr>
          <w:rFonts w:cs="Times New Roman"/>
          <w:noProof/>
        </w:rPr>
        <w:fldChar w:fldCharType="begin" w:fldLock="1"/>
      </w:r>
      <w:r>
        <w:rPr>
          <w:rFonts w:cs="Times New Roman"/>
          <w:noProof/>
        </w:rPr>
        <w:instrText>ADDIN CSL_CITATION {"citationItems":[{"id":"ITEM-1","itemData":{"author":[{"dropping-particle":"","family":"Graves","given":"Alex; 2010","non-dropping-particle":"","parse-names":false,"suffix":""}],"id":"ITEM-1","issued":{"date-parts":[["0"]]},"title":"Supervised Sequence Labelling with Recurrent Neural Networks","type":"book"},"uris":["http://www.mendeley.com/documents/?uuid=f7d41c2c-292e-365a-b9bf-f7f1597eb0a7"]}],"mendeley":{"formattedCitation":"(Graves, n.d.)","manualFormatting":"(Graves 2010","plainTextFormattedCitation":"(Graves, n.d.)","previouslyFormattedCitation":"(Graves, n.d.)"},"properties":{"noteIndex":0},"schema":"https://github.com/citation-style-language/schema/raw/master/csl-citation.json"}</w:instrText>
      </w:r>
      <w:r w:rsidRPr="00C812F1">
        <w:rPr>
          <w:rFonts w:cs="Times New Roman"/>
          <w:noProof/>
        </w:rPr>
        <w:fldChar w:fldCharType="separate"/>
      </w:r>
      <w:r>
        <w:rPr>
          <w:rFonts w:cs="Times New Roman"/>
          <w:noProof/>
        </w:rPr>
        <w:t xml:space="preserve">(Graves </w:t>
      </w:r>
      <w:r w:rsidRPr="00C812F1">
        <w:rPr>
          <w:rFonts w:cs="Times New Roman"/>
          <w:noProof/>
        </w:rPr>
        <w:t>2010</w:t>
      </w:r>
      <w:r w:rsidRPr="00C812F1">
        <w:rPr>
          <w:rFonts w:cs="Times New Roman"/>
          <w:noProof/>
        </w:rPr>
        <w:fldChar w:fldCharType="end"/>
      </w:r>
      <w:r>
        <w:rPr>
          <w:rFonts w:cs="Times New Roman"/>
          <w:noProof/>
        </w:rPr>
        <w:t>,</w:t>
      </w:r>
      <w:r w:rsidRPr="00C812F1">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{"citationItems":[{"id":"ITEM-1","itemData":{"DOI":"10.1038/nature14539","ISSN":"0028-0836","abstract":"Deep learning","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5","28"]]},"page":"436-444","publisher":"Nature Publishing Group","title":"Deep learning","type":"article-journal","volume":"521"},"uris":["http://www.mendeley.com/documents/?uuid=2e02c482-8b40-3613-b397-4dce0cef7a73"]}],"mendeley":{"formattedCitation":"(LeCun, Bengio, &amp; Hinton, 2015)","manualFormatting":"LeCun 2015","plainTextFormattedCitation":"(LeCun, Bengio, &amp; Hinton, 2015)","previouslyFormattedCitation":"(LeCun, Bengio, &amp; Hinton, 2015)"},"properties":{"noteIndex":0},"schema":"https://github.com/citation-style-language/schema/raw/master/csl-citation.json"}</w:instrText>
      </w:r>
      <w:r w:rsidRPr="00C812F1">
        <w:rPr>
          <w:rFonts w:cs="Times New Roman"/>
          <w:noProof/>
        </w:rPr>
        <w:fldChar w:fldCharType="separate"/>
      </w:r>
      <w:r w:rsidRPr="00C812F1">
        <w:rPr>
          <w:rFonts w:cs="Times New Roman"/>
          <w:noProof/>
        </w:rPr>
        <w:t>LeCun 2015</w:t>
      </w:r>
      <w:r w:rsidRPr="00C812F1">
        <w:rPr>
          <w:rFonts w:cs="Times New Roman"/>
          <w:noProof/>
        </w:rPr>
        <w:fldChar w:fldCharType="end"/>
      </w:r>
      <w:r>
        <w:rPr>
          <w:rFonts w:cs="Times New Roman"/>
          <w:noProof/>
        </w:rPr>
        <w:t>,</w:t>
      </w:r>
      <w:r w:rsidRPr="00C812F1">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{"citationItems":[{"id":"ITEM-1","itemData":{"author":[{"dropping-particle":"","family":"Sutskever","given":"Ilya; 2013","non-dropping-particle":"","parse-names":false,"suffix":""}],"id":"ITEM-1","issued":{"date-parts":[["0"]]},"title":"TRAINING RECURRENT NEURAL NETWORKS","type":"thesis"},"uris":["http://www.mendeley.com/documents/?uuid=b2289fc5-268a-396f-9755-b1e7f754449e"]}],"mendeley":{"formattedCitation":"(Sutskever, n.d.)","manualFormatting":"Sutskever 2013)","plainTextFormattedCitation":"(Sutskever, n.d.)","previouslyFormattedCitation":"(Sutskever, n.d.)"},"properties":{"noteIndex":0},"schema":"https://github.com/citation-style-language/schema/raw/master/csl-citation.json"}</w:instrText>
      </w:r>
      <w:r w:rsidRPr="00C812F1">
        <w:rPr>
          <w:rFonts w:cs="Times New Roman"/>
          <w:noProof/>
        </w:rPr>
        <w:fldChar w:fldCharType="separate"/>
      </w:r>
      <w:r w:rsidRPr="00C812F1">
        <w:rPr>
          <w:rFonts w:cs="Times New Roman"/>
          <w:noProof/>
        </w:rPr>
        <w:t>Sutskever 2013)</w:t>
      </w:r>
      <w:r w:rsidRPr="00C812F1">
        <w:rPr>
          <w:rFonts w:cs="Times New Roman"/>
          <w:noProof/>
        </w:rPr>
        <w:fldChar w:fldCharType="end"/>
      </w:r>
      <w:r w:rsidRPr="00C812F1">
        <w:rPr>
          <w:rFonts w:cs="Times New Roman"/>
          <w:noProof/>
        </w:rPr>
        <w:t xml:space="preserve">. RNNs have been widely applied to many time-dependent datasets for use in prediction problems like speech prediction, pattern prediction, economic prediction, and traffic prediction </w:t>
      </w:r>
      <w:r w:rsidRPr="00C812F1">
        <w:rPr>
          <w:rFonts w:cs="Times New Roman"/>
          <w:noProof/>
        </w:rPr>
        <w:fldChar w:fldCharType="begin" w:fldLock="1"/>
      </w:r>
      <w:r>
        <w:rPr>
          <w:rFonts w:cs="Times New Roman"/>
          <w:noProof/>
        </w:rPr>
        <w:instrText>ADDIN CSL_CITATION {"citationItems":[{"id":"ITEM-1","itemData":{"abstract":"Demand forecasting is crucial to electricity providers because their ability to produce energy exceeds their ability to store it. Excess demand can cause \"brown outs,\" while excess supply ends in waste. In an industry worth over $1 trillion in the U.S. alone [1], almost 9% of GDP [2], even marginal improvements can have a huge impact. Any plan toward energy efficiency should include enhanced utilization of existing production. Energy loads provide an interesting topic for Machine Learning techniques due to the availability of large datasets that exhibit fundamental nonlinear patterns. Using data from the Kaggle competition \"Global Energy Forecasting Competition 2012-Load Forecasting\" [3] we sought to use deep learning architectures to predict energy loads across different network grid areas, using only time and temperature data. Data included hourly demand for four and a half years from 20 different geographic regions, and similar hourly temperature readings from 11 zones. For most of our analysis we focused on short term load forecasting because this will aide online operational scheduling. 2 Deep Neural Networks We successfully implemented deep learning architectures for forecasting power loads and found that this produced superior results to both linear and kernelized regression for our given data. We found that, due to the huge dataset we were able to implement complex nonlinear models without encountering much problem of over-fitting. Deep networks allowed us to add significant complexity to our model without specifying what forms the variation should take. Many papers extol the benefits of greedy layer-wise unsupervised training for deep network initialization [5] [6] [10] (i.e., stacked autoencoders and restricted boltzmann machines), which was the starting point for our work (see Appendix C). This is in contrast to the prohibitive scaling properties of either polynomial regression or even nonparametric Gaussian Processes, which scale O(m 3) with data [4]. Our most successful iteration was a recurrent neural network with RMSE of 530 kWh/h and 99.6% correlation to test data(see Table 1). Figure 1 shows a sample comparison of actual load demand in blue (from the test data set) and the recurrent network's prediction in red. TESLA energy forecasting boasts mean absolute percentage error of 0.84-1.56% [7], suggesting our neural network implementations are beginning to approach the best of the private sector. Table 1: Results for different learning mod…","author":[{"dropping-particle":"","family":"Busseti","given":"Enzo","non-dropping-particle":"","parse-names":false,"suffix":""},{"dropping-particle":"","family":"Osband","given":"Ian","non-dropping-particle":"","parse-names":false,"suffix":""},{"dropping-particle":"","family":"Wong","given":"Scott","non-dropping-particle":"","parse-names":false,"suffix":""}],"id":"ITEM-1","issued":{"date-parts":[["2012"]]},"title":"Deep Learning for Time Series Modeling Final Project Report","type":"report"},"uris":["http://www.mendeley.com/documents/?uuid=5b021c5c-4355-3a9a-aef3-1458dfe44e62"]}],"mendeley":{"formattedCitation":"(Busseti, Osband, &amp; Wong, 2012)","manualFormatting":"(Busseti 2012","plainTextFormattedCitation":"(Busseti, Osband, &amp; Wong, 2012)","previouslyFormattedCitation":"(Busseti, Osband, &amp; Wong, 2012)"},"properties":{"noteIndex":0},"schema":"https://github.com/citation-style-language/schema/raw/master/csl-citation.json"}</w:instrText>
      </w:r>
      <w:r w:rsidRPr="00C812F1">
        <w:rPr>
          <w:rFonts w:cs="Times New Roman"/>
          <w:noProof/>
        </w:rPr>
        <w:fldChar w:fldCharType="separate"/>
      </w:r>
      <w:r>
        <w:rPr>
          <w:rFonts w:cs="Times New Roman"/>
          <w:noProof/>
        </w:rPr>
        <w:t xml:space="preserve">(Busseti </w:t>
      </w:r>
      <w:r w:rsidRPr="00C812F1">
        <w:rPr>
          <w:rFonts w:cs="Times New Roman"/>
          <w:noProof/>
        </w:rPr>
        <w:t>2012</w:t>
      </w:r>
      <w:r w:rsidRPr="00C812F1">
        <w:rPr>
          <w:rFonts w:cs="Times New Roman"/>
          <w:noProof/>
        </w:rPr>
        <w:fldChar w:fldCharType="end"/>
      </w:r>
      <w:r>
        <w:rPr>
          <w:rFonts w:cs="Times New Roman"/>
          <w:noProof/>
        </w:rPr>
        <w:t>,</w:t>
      </w:r>
      <w:r w:rsidRPr="00C812F1">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{"citationItems":[{"id":"ITEM-1","itemData":{"author":[{"dropping-particle":"","family":"Martens","given":"J","non-dropping-particle":"","parse-names":false,"suffix":""},{"dropping-particle":"","family":"Conference","given":"I Sutskever - Proceedings of the 28th International","non-dropping-particle":"","parse-names":false,"suffix":""},{"dropping-particle":"","family":"2011","given":"undefined","non-dropping-particle":"","parse-names":false,"suffix":""}],"container-title":"Citeseer","id":"ITEM-1","issued":{"date-parts":[["0"]]},"title":"Learning recurrent neural networks with hessian-free optimization","type":"article-journal"},"uris":["http://www.mendeley.com/documents/?uuid=ad53b96e-08cd-37bc-87f7-9b969a273427"]}],"mendeley":{"formattedCitation":"(Martens, Conference, &amp; 2011, n.d.)","manualFormatting":"Martens 2011","plainTextFormattedCitation":"(Martens, Conference, &amp; 2011, n.d.)","previouslyFormattedCitation":"(Martens, Conference, &amp; 2011, n.d.)"},"properties":{"noteIndex":0},"schema":"https://github.com/citation-style-language/schema/raw/master/csl-citation.json"}</w:instrText>
      </w:r>
      <w:r w:rsidRPr="00C812F1">
        <w:rPr>
          <w:rFonts w:cs="Times New Roman"/>
          <w:noProof/>
        </w:rPr>
        <w:fldChar w:fldCharType="separate"/>
      </w:r>
      <w:r>
        <w:rPr>
          <w:rFonts w:cs="Times New Roman"/>
          <w:noProof/>
        </w:rPr>
        <w:t>Martens</w:t>
      </w:r>
      <w:r w:rsidRPr="00C812F1">
        <w:rPr>
          <w:rFonts w:cs="Times New Roman"/>
          <w:noProof/>
        </w:rPr>
        <w:t xml:space="preserve"> 2011</w:t>
      </w:r>
      <w:r w:rsidRPr="00C812F1">
        <w:rPr>
          <w:rFonts w:cs="Times New Roman"/>
          <w:noProof/>
        </w:rPr>
        <w:fldChar w:fldCharType="end"/>
      </w:r>
      <w:r>
        <w:rPr>
          <w:rFonts w:cs="Times New Roman"/>
          <w:noProof/>
        </w:rPr>
        <w:t>,</w:t>
      </w:r>
      <w:r w:rsidRPr="00C812F1">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author":[{"dropping-particle":"","family":"Wong","given":"WK","non-dropping-particle":"","parse-names":false,"suffix":""},{"dropping-particle":"","family":"Xia","given":"M","non-dropping-particle":"","parse-names":false,"suffix":""},{"dropping-particle":"","family":"Research","given":"WC Chu - European Journal of Operational","non-dropping-particle":"","parse-names":false,"suffix":""},{"dropping-particle":"","family":"2010","given":"undefined","non-dropping-particle":"","parse-names":false,"suffix":""}],"container-title":"Elsevier","id":"ITEM-1","issued":{"date-parts":[["0"]]},"title":"Adaptive neural network model for time-series forecasting","type":"article-journal"},"uris":["http://www.mendeley.com/documents/?uuid=6e905416-4c15-3e58-b52c-1be93ae40604"]}],"mendeley":{"formattedCitation":"(Wong, Xia, Research, &amp; 2010, n.d.)","manualFormatting":"Wong 2010)","plainTextFormattedCitation":"(Wong, Xia, Research, &amp; 2010, n.d.)","previouslyFormattedCitation":"(Wong, Xia, Research, &amp; 2010, n.d.)"},"properties":{"noteIndex":0},"schema":"https://github.com/citation-style-language/schema/raw/master/csl-citation.json"}</w:instrText>
      </w:r>
      <w:r w:rsidRPr="00C812F1">
        <w:rPr>
          <w:rFonts w:cs="Times New Roman"/>
          <w:noProof/>
        </w:rPr>
        <w:fldChar w:fldCharType="separate"/>
      </w:r>
      <w:r w:rsidRPr="00C812F1">
        <w:rPr>
          <w:rFonts w:cs="Times New Roman"/>
          <w:noProof/>
        </w:rPr>
        <w:t>Wong</w:t>
      </w:r>
      <w:r>
        <w:rPr>
          <w:rFonts w:cs="Times New Roman"/>
          <w:noProof/>
        </w:rPr>
        <w:t xml:space="preserve"> 2</w:t>
      </w:r>
      <w:r w:rsidRPr="00C812F1">
        <w:rPr>
          <w:rFonts w:cs="Times New Roman"/>
          <w:noProof/>
        </w:rPr>
        <w:t>010)</w:t>
      </w:r>
      <w:r w:rsidRPr="00C812F1">
        <w:rPr>
          <w:rFonts w:cs="Times New Roman"/>
          <w:noProof/>
        </w:rPr>
        <w:fldChar w:fldCharType="end"/>
      </w:r>
      <w:r w:rsidRPr="00C812F1">
        <w:rPr>
          <w:rFonts w:cs="Times New Roman"/>
          <w:noProof/>
        </w:rPr>
        <w:t xml:space="preserve">. Since RNNs are developed to utilize historical data in time-series analysis, inclusion of a regression model that relies on explanatory variables and historical data of the response variable improved the model accuracy. These networks are designated as recurrent </w:t>
      </w:r>
      <w:r w:rsidRPr="00C812F1">
        <w:rPr>
          <w:rFonts w:cs="Times New Roman"/>
          <w:noProof/>
        </w:rPr>
        <w:lastRenderedPageBreak/>
        <w:t xml:space="preserve">because future forecasting depends on both current and previous stages. Several RNN algorithms such as the Long Short Term Memory (LSTM) network have been developed over the past two decades. LSTM was introduced to support </w:t>
      </w:r>
      <w:r>
        <w:rPr>
          <w:rFonts w:cs="Times New Roman"/>
          <w:noProof/>
        </w:rPr>
        <w:t>modeling</w:t>
      </w:r>
      <w:r w:rsidRPr="00C812F1">
        <w:rPr>
          <w:rFonts w:cs="Times New Roman"/>
          <w:noProof/>
        </w:rPr>
        <w:t xml:space="preserve"> and forecasting of long-term data series. The network was developed to overcome </w:t>
      </w:r>
      <w:r w:rsidRPr="00C812F1">
        <w:rPr>
          <w:rFonts w:eastAsiaTheme="majorEastAsia" w:cs="Times New Roman"/>
          <w:noProof/>
        </w:rPr>
        <w:t>the vanishing gradient problem in which algorthims tend to accumulate errors when a long string of observations are added as predictor variables, increasing prediction variability and associated total error. Based on the literature, another RNN network called the Gated Recurrent Unit (GRU) also solved the vanishing gradient problem, but the LSTM outperformed the GRU in many details.</w:t>
      </w:r>
    </w:p>
    <w:p w:rsidR="005B4A41" w:rsidRDefault="005B4A41" w:rsidP="005B4A41">
      <w:pPr>
        <w:pStyle w:val="Body"/>
        <w:rPr>
          <w:rFonts w:eastAsiaTheme="majorEastAsia" w:cs="Times New Roman"/>
          <w:noProof/>
        </w:rPr>
      </w:pPr>
      <w:r w:rsidRPr="00C812F1">
        <w:rPr>
          <w:rFonts w:cs="Times New Roman"/>
          <w:noProof/>
        </w:rPr>
        <w:t xml:space="preserve">In this study, the LSTM was used for time-dependent prediction of the pavement condition index. This network is suitable for pavement applications because the data is presented in time series with both low observation frequency and high levels of variability. </w:t>
      </w:r>
      <w:r w:rsidRPr="00C812F1">
        <w:rPr>
          <w:rFonts w:eastAsiaTheme="majorEastAsia" w:cs="Times New Roman"/>
          <w:noProof/>
        </w:rPr>
        <w:t>The goal of this study was to develop a new robust deterioration model suitable for long term forecasting, in which the model performance can be objectively evaluated. An LSTM network will utilize historical pavement condition records of the Iowa DOT Pavement Management Information System (PMIS) in the time span between 1998 and 2018. The new time series algorithm, a deep-learning approach specifically developed by LSTM networks, was used to predict future conditions of the three different pavement types.</w:t>
      </w:r>
      <w:r w:rsidRPr="00C812F1">
        <w:rPr>
          <w:rFonts w:cs="Times New Roman"/>
          <w:noProof/>
        </w:rPr>
        <w:t xml:space="preserve"> The Keras software package, a high-level neural network API written in Python,</w:t>
      </w:r>
      <w:r w:rsidRPr="00C812F1" w:rsidDel="009979DB">
        <w:rPr>
          <w:rFonts w:cs="Times New Roman"/>
          <w:noProof/>
        </w:rPr>
        <w:t xml:space="preserve"> </w:t>
      </w:r>
      <w:r w:rsidRPr="00C812F1">
        <w:rPr>
          <w:rFonts w:cs="Times New Roman"/>
          <w:noProof/>
        </w:rPr>
        <w:t>was used for generating the LSTM model with a focus on enabling fast experimentation. This package uses a deep-learning open-source library based on the Tensor</w:t>
      </w:r>
      <w:r>
        <w:rPr>
          <w:rFonts w:cs="Times New Roman"/>
          <w:noProof/>
        </w:rPr>
        <w:t>F</w:t>
      </w:r>
      <w:r w:rsidRPr="00C812F1">
        <w:rPr>
          <w:rFonts w:cs="Times New Roman"/>
          <w:noProof/>
        </w:rPr>
        <w:t xml:space="preserve">low software library. </w:t>
      </w:r>
      <w:r w:rsidRPr="00C812F1">
        <w:rPr>
          <w:rFonts w:eastAsiaTheme="majorEastAsia" w:cs="Times New Roman"/>
          <w:noProof/>
        </w:rPr>
        <w:t xml:space="preserve">The performance and results of the new algorithm are compared to the current method used by Iowa DOT for deterioration </w:t>
      </w:r>
      <w:r>
        <w:rPr>
          <w:rFonts w:eastAsiaTheme="majorEastAsia" w:cs="Times New Roman"/>
          <w:noProof/>
        </w:rPr>
        <w:t>modeling</w:t>
      </w:r>
      <w:r w:rsidRPr="00C812F1">
        <w:rPr>
          <w:rFonts w:eastAsiaTheme="majorEastAsia" w:cs="Times New Roman"/>
          <w:noProof/>
        </w:rPr>
        <w:t>.</w:t>
      </w:r>
    </w:p>
    <w:p w:rsidR="005B4A41" w:rsidRPr="00D271F6" w:rsidRDefault="005B4A41" w:rsidP="005B4A41">
      <w:pPr>
        <w:pStyle w:val="Body"/>
      </w:pPr>
    </w:p>
    <w:p w:rsidR="005B4A41" w:rsidRDefault="005B4A41" w:rsidP="005B4A41">
      <w:pPr>
        <w:pStyle w:val="Heading2"/>
      </w:pPr>
      <w:bookmarkStart w:id="4" w:name="_Toc40744422"/>
      <w:r>
        <w:lastRenderedPageBreak/>
        <w:t>Methodology</w:t>
      </w:r>
      <w:bookmarkEnd w:id="4"/>
    </w:p>
    <w:p w:rsidR="005B4A41" w:rsidRDefault="005B4A41" w:rsidP="005B4A41">
      <w:pPr>
        <w:pStyle w:val="Body"/>
      </w:pPr>
      <w:r>
        <w:rPr>
          <w:rFonts w:cs="Times New Roman"/>
          <w:noProof/>
        </w:rPr>
        <w:t>Figure 8</w:t>
      </w:r>
      <w:r w:rsidRPr="00C812F1">
        <w:rPr>
          <w:rFonts w:cs="Times New Roman"/>
          <w:noProof/>
        </w:rPr>
        <w:t xml:space="preserve"> shows the st</w:t>
      </w:r>
      <w:r>
        <w:rPr>
          <w:rFonts w:cs="Times New Roman"/>
          <w:noProof/>
        </w:rPr>
        <w:t>eps</w:t>
      </w:r>
      <w:r w:rsidRPr="00C812F1">
        <w:rPr>
          <w:rFonts w:cs="Times New Roman"/>
          <w:noProof/>
        </w:rPr>
        <w:t xml:space="preserve"> required </w:t>
      </w:r>
      <w:r>
        <w:rPr>
          <w:rFonts w:cs="Times New Roman"/>
          <w:noProof/>
        </w:rPr>
        <w:t xml:space="preserve">to be completed </w:t>
      </w:r>
      <w:r w:rsidRPr="00C812F1">
        <w:rPr>
          <w:rFonts w:cs="Times New Roman"/>
          <w:noProof/>
        </w:rPr>
        <w:t>in the proposed method, with the individual st</w:t>
      </w:r>
      <w:r>
        <w:rPr>
          <w:rFonts w:cs="Times New Roman"/>
          <w:noProof/>
        </w:rPr>
        <w:t>eps</w:t>
      </w:r>
      <w:r w:rsidRPr="00C812F1">
        <w:rPr>
          <w:rFonts w:cs="Times New Roman"/>
          <w:noProof/>
        </w:rPr>
        <w:t xml:space="preserve"> described in detail in the following subsections.</w:t>
      </w:r>
      <w:r>
        <w:t xml:space="preserve"> </w:t>
      </w:r>
    </w:p>
    <w:p w:rsidR="005B4A41" w:rsidRDefault="005B4A41" w:rsidP="005B4A41">
      <w:pPr>
        <w:pStyle w:val="Body"/>
        <w:keepNext/>
        <w:ind w:firstLine="0"/>
        <w:jc w:val="center"/>
      </w:pPr>
      <w:r w:rsidRPr="00C812F1">
        <w:rPr>
          <w:rFonts w:eastAsiaTheme="majorEastAsia" w:cs="Times New Roman"/>
          <w:b/>
          <w:noProof/>
        </w:rPr>
        <w:drawing>
          <wp:inline distT="0" distB="0" distL="0" distR="0" wp14:anchorId="201E5587" wp14:editId="46C3D104">
            <wp:extent cx="2162175" cy="3200400"/>
            <wp:effectExtent l="0" t="38100" r="0" b="3810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5B4A41" w:rsidRPr="0020750B" w:rsidRDefault="005B4A41" w:rsidP="005B4A41">
      <w:pPr>
        <w:pStyle w:val="Caption"/>
        <w:jc w:val="center"/>
        <w:rPr>
          <w:b/>
          <w:i/>
        </w:rPr>
      </w:pPr>
      <w:bookmarkStart w:id="5" w:name="_Toc40744463"/>
      <w:r w:rsidRPr="0020750B">
        <w:rPr>
          <w:b/>
          <w:i/>
        </w:rPr>
        <w:t xml:space="preserve">Figure </w:t>
      </w:r>
      <w:r w:rsidRPr="0020750B">
        <w:rPr>
          <w:b/>
          <w:i/>
        </w:rPr>
        <w:fldChar w:fldCharType="begin"/>
      </w:r>
      <w:r w:rsidRPr="0020750B">
        <w:rPr>
          <w:b/>
          <w:i/>
        </w:rPr>
        <w:instrText xml:space="preserve"> SEQ Figure \* ARABIC </w:instrText>
      </w:r>
      <w:r w:rsidRPr="0020750B">
        <w:rPr>
          <w:b/>
          <w:i/>
        </w:rPr>
        <w:fldChar w:fldCharType="separate"/>
      </w:r>
      <w:r>
        <w:rPr>
          <w:b/>
          <w:i/>
          <w:noProof/>
        </w:rPr>
        <w:t>8</w:t>
      </w:r>
      <w:r w:rsidRPr="0020750B">
        <w:rPr>
          <w:b/>
          <w:i/>
        </w:rPr>
        <w:fldChar w:fldCharType="end"/>
      </w:r>
      <w:r w:rsidRPr="0020750B">
        <w:rPr>
          <w:b/>
          <w:i/>
        </w:rPr>
        <w:t>: Research Steps</w:t>
      </w:r>
      <w:bookmarkEnd w:id="5"/>
    </w:p>
    <w:p w:rsidR="005B4A41" w:rsidRDefault="005B4A41" w:rsidP="005B4A41">
      <w:pPr>
        <w:pStyle w:val="Heading3"/>
      </w:pPr>
      <w:r>
        <w:br/>
      </w:r>
      <w:bookmarkStart w:id="6" w:name="_Toc40744423"/>
      <w:r>
        <w:t>Data</w:t>
      </w:r>
      <w:bookmarkEnd w:id="6"/>
    </w:p>
    <w:p w:rsidR="005B4A41" w:rsidRDefault="005B4A41" w:rsidP="005B4A41">
      <w:pPr>
        <w:pStyle w:val="Body"/>
        <w:rPr>
          <w:rFonts w:eastAsiaTheme="majorEastAsia" w:cs="Times New Roman"/>
          <w:noProof/>
        </w:rPr>
      </w:pPr>
      <w:r w:rsidRPr="00C812F1">
        <w:rPr>
          <w:rFonts w:cs="Times New Roman"/>
          <w:noProof/>
        </w:rPr>
        <w:t>To develop and implement the new framework, historical records of pavement condition data were acquired from the Iowa DOT Pavement Management Information System (PMIS). These data were collected for Iowa’s interstate and primary network since 1997, the year in which the Iowa DOT began collecting automated pavement distress data</w:t>
      </w:r>
      <w:r>
        <w:rPr>
          <w:rFonts w:cs="Times New Roman"/>
          <w:noProof/>
        </w:rPr>
        <w:t xml:space="preserve"> </w:t>
      </w:r>
      <w:r w:rsidRPr="00C812F1">
        <w:rPr>
          <w:rFonts w:cs="Times New Roman"/>
          <w:noProof/>
        </w:rPr>
        <w:fldChar w:fldCharType="begin" w:fldLock="1"/>
      </w:r>
      <w:r>
        <w:rPr>
          <w:rFonts w:cs="Times New Roman"/>
          <w:noProof/>
        </w:rPr>
        <w:instrText>ADDIN CSL_CITATION {"citationItems":[{"id":"ITEM-1","itemData":{"DOI":"10.1016/j.biochi.2006.09.012","ISBN":"0818679433","ISSN":"03009084","PMID":"17059861","abstract":"Abs'tract This paper describes a 3 -0 automated pavement distr(m data collection and analysis system based on NRC's Biris sensor technology. The paper introduces the problem to be solved, the selected design criteria, and the adopted solution to monitor the quality of road suqaces. The system geometry for the acquisition of the three-dimensional coordinates of pavement surface distresses is presented. Multiple feature extraction and system integration concepts are given with emphasis placed on the ipeal-time processing of the raw data by a parallel arra.y of processors. Advantages and disadvantages of this technology will be discussed. System peqormances and experimental results are provided.","author":[{"dropping-particle":"","family":"Bursanescu","given":"L","non-dropping-particle":"","parse-names":false,"suffix":""},{"dropping-particle":"","family":"Blais","given":"F","non-dropping-particle":"","parse-names":false,"suffix":""}],"id":"ITEM-1","issued":{"date-parts":[["1997"]]},"page":"311-317","title":"Automated pavement distress data collection and analysis: a 3-D approach","type":"article-journal"},"uris":["http://www.mendeley.com/documents/?uuid=0b972d53-950c-4d8e-b436-59be1f37a41f"]}],"mendeley":{"formattedCitation":"(Bursanescu &amp; Blais, 1997)","manualFormatting":"(Bursanescu, 1997)","plainTextFormattedCitation":"(Bursanescu &amp; Blais, 1997)","previouslyFormattedCitation":"(Bursanescu &amp; Blais, 1997)"},"properties":{"noteIndex":0},"schema":"https://github.com/citation-style-language/schema/raw/master/csl-citation.json"}</w:instrText>
      </w:r>
      <w:r w:rsidRPr="00C812F1">
        <w:rPr>
          <w:rFonts w:cs="Times New Roman"/>
          <w:noProof/>
        </w:rPr>
        <w:fldChar w:fldCharType="separate"/>
      </w:r>
      <w:r w:rsidRPr="00C812F1">
        <w:rPr>
          <w:rFonts w:cs="Times New Roman"/>
          <w:noProof/>
        </w:rPr>
        <w:t>(Bursanescu, 1997)</w:t>
      </w:r>
      <w:r w:rsidRPr="00C812F1">
        <w:rPr>
          <w:rFonts w:cs="Times New Roman"/>
          <w:noProof/>
        </w:rPr>
        <w:fldChar w:fldCharType="end"/>
      </w:r>
      <w:r w:rsidRPr="00C812F1">
        <w:rPr>
          <w:rFonts w:cs="Times New Roman"/>
          <w:noProof/>
        </w:rPr>
        <w:t xml:space="preserve">. The data used in this study were acquired between 1998 and 2018, and include </w:t>
      </w:r>
      <w:r w:rsidRPr="00C812F1">
        <w:rPr>
          <w:rFonts w:eastAsiaTheme="majorEastAsia" w:cs="Times New Roman"/>
          <w:noProof/>
        </w:rPr>
        <w:t xml:space="preserve">information regarding highway system classification, construction and reconstruction dates, unique section identifiers, traffic levels, automated pavement distress data, faulting, and pavement ride quality. </w:t>
      </w:r>
      <w:r w:rsidRPr="00C812F1">
        <w:rPr>
          <w:rFonts w:eastAsiaTheme="majorEastAsia" w:cs="Times New Roman"/>
          <w:noProof/>
        </w:rPr>
        <w:lastRenderedPageBreak/>
        <w:t xml:space="preserve">The pavement types included in the study were asphalt concrete (AC), Portland cement concrete (PCC), and composite (COM) pavements. </w:t>
      </w:r>
    </w:p>
    <w:p w:rsidR="005B4A41" w:rsidRDefault="005B4A41" w:rsidP="005B4A41">
      <w:pPr>
        <w:pStyle w:val="Body"/>
        <w:rPr>
          <w:rFonts w:eastAsiaTheme="majorEastAsia" w:cs="Times New Roman"/>
          <w:noProof/>
        </w:rPr>
      </w:pPr>
      <w:r w:rsidRPr="00C812F1">
        <w:rPr>
          <w:rFonts w:eastAsiaTheme="majorEastAsia" w:cs="Times New Roman"/>
          <w:noProof/>
        </w:rPr>
        <w:t xml:space="preserve">The pavement distress information collected includes rutting and cracking data such as transverse cracking, longitudinal cracking, alligator cracking, wheel-path cracking, and patching, with low, medium, and high severity levels assigned to cracking data for all pavement types. For AC and COM pavements, rutting was reported as the average rut depth in both wheel paths, and for PCC pavements faulting was estimated using the acquired longitudinal profile. The international roughness index (IRI) was also used to characterize ride quality for all pavement types. Pavement condition data is collected in two-year cycles in which half the network is surveyed every other year. The Iowa DOT spends about $1 million annually on collecting pavement condition data </w:t>
      </w:r>
      <w:r w:rsidRPr="00C812F1">
        <w:rPr>
          <w:rFonts w:eastAsiaTheme="majorEastAsia" w:cs="Times New Roman"/>
          <w:noProof/>
        </w:rPr>
        <w:fldChar w:fldCharType="begin" w:fldLock="1"/>
      </w:r>
      <w:r w:rsidRPr="00C812F1">
        <w:rPr>
          <w:rFonts w:eastAsiaTheme="majorEastAsia"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C812F1">
        <w:rPr>
          <w:rFonts w:eastAsiaTheme="majorEastAsia" w:cs="Times New Roman"/>
          <w:noProof/>
        </w:rPr>
        <w:fldChar w:fldCharType="separate"/>
      </w:r>
      <w:r w:rsidRPr="00C812F1">
        <w:rPr>
          <w:rFonts w:eastAsiaTheme="majorEastAsia" w:cs="Times New Roman"/>
          <w:noProof/>
        </w:rPr>
        <w:t>(Bektas, 2014)</w:t>
      </w:r>
      <w:r w:rsidRPr="00C812F1">
        <w:rPr>
          <w:rFonts w:eastAsiaTheme="majorEastAsia" w:cs="Times New Roman"/>
          <w:noProof/>
        </w:rPr>
        <w:fldChar w:fldCharType="end"/>
      </w:r>
      <w:r w:rsidRPr="00C812F1">
        <w:rPr>
          <w:rFonts w:eastAsiaTheme="majorEastAsia" w:cs="Times New Roman"/>
          <w:noProof/>
        </w:rPr>
        <w:t>.</w:t>
      </w:r>
    </w:p>
    <w:p w:rsidR="005B4A41" w:rsidRDefault="005B4A41" w:rsidP="005B4A41">
      <w:pPr>
        <w:pStyle w:val="Body"/>
        <w:rPr>
          <w:rFonts w:eastAsiaTheme="majorEastAsia" w:cs="Times New Roman"/>
          <w:noProof/>
        </w:rPr>
      </w:pPr>
      <w:r w:rsidRPr="00C812F1">
        <w:rPr>
          <w:rFonts w:eastAsiaTheme="majorEastAsia" w:cs="Times New Roman"/>
          <w:noProof/>
        </w:rPr>
        <w:t>In many cases, minor maintenance and rehabilitation records were not available, so the maintenance impact on pavement condition overtime was not modelled in this study. Moreover, segments with PCI values increasing over time were discarded from the analysis because they might be associated with unrecorded maintenance activities. A ten-point PCI increase was arbitrarily considered to be a normal fluctuation due to measurement errors or seasonal impacts</w:t>
      </w:r>
      <w:r>
        <w:rPr>
          <w:rFonts w:eastAsiaTheme="majorEastAsia" w:cs="Times New Roman"/>
          <w:noProof/>
        </w:rPr>
        <w:t>. Figure 9</w:t>
      </w:r>
      <w:r w:rsidRPr="00F77B7F">
        <w:rPr>
          <w:rFonts w:eastAsiaTheme="majorEastAsia" w:cs="Times New Roman"/>
          <w:noProof/>
        </w:rPr>
        <w:t xml:space="preserve"> shows the number of different sections for each pavement type, with the descriptive statistics for each pavement type given in Table (</w:t>
      </w:r>
      <w:r>
        <w:rPr>
          <w:rFonts w:eastAsiaTheme="majorEastAsia" w:cs="Times New Roman"/>
          <w:noProof/>
        </w:rPr>
        <w:t>3</w:t>
      </w:r>
      <w:r w:rsidRPr="00F77B7F">
        <w:rPr>
          <w:rFonts w:eastAsiaTheme="majorEastAsia" w:cs="Times New Roman"/>
          <w:noProof/>
        </w:rPr>
        <w:t>). The total number of data records for all 20 years time frame was comprised of 3,805 AC records, 14,117 COM records, and 13,123 PCC records.</w:t>
      </w:r>
    </w:p>
    <w:p w:rsidR="005B4A41" w:rsidRDefault="005B4A41" w:rsidP="005B4A41">
      <w:pPr>
        <w:pStyle w:val="Body"/>
        <w:keepNext/>
        <w:ind w:firstLine="0"/>
        <w:jc w:val="center"/>
      </w:pPr>
      <w:r w:rsidRPr="00C812F1">
        <w:rPr>
          <w:rFonts w:eastAsiaTheme="majorEastAsia" w:cs="Times New Roman"/>
          <w:noProof/>
        </w:rPr>
        <w:lastRenderedPageBreak/>
        <w:drawing>
          <wp:inline distT="0" distB="0" distL="0" distR="0" wp14:anchorId="61367066" wp14:editId="0082F31E">
            <wp:extent cx="3972146" cy="2051436"/>
            <wp:effectExtent l="0" t="0" r="9525" b="63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4A41" w:rsidRDefault="005B4A41" w:rsidP="005B4A41">
      <w:pPr>
        <w:pStyle w:val="Caption"/>
        <w:jc w:val="center"/>
        <w:rPr>
          <w:b/>
          <w:i/>
        </w:rPr>
      </w:pPr>
      <w:bookmarkStart w:id="7" w:name="_Toc40744464"/>
      <w:r w:rsidRPr="00CB090C">
        <w:rPr>
          <w:b/>
          <w:i/>
        </w:rPr>
        <w:t xml:space="preserve">Figure </w:t>
      </w:r>
      <w:r w:rsidRPr="00CB090C">
        <w:rPr>
          <w:b/>
          <w:i/>
        </w:rPr>
        <w:fldChar w:fldCharType="begin"/>
      </w:r>
      <w:r w:rsidRPr="00CB090C">
        <w:rPr>
          <w:b/>
          <w:i/>
        </w:rPr>
        <w:instrText xml:space="preserve"> SEQ Figure \* ARABIC </w:instrText>
      </w:r>
      <w:r w:rsidRPr="00CB090C">
        <w:rPr>
          <w:b/>
          <w:i/>
        </w:rPr>
        <w:fldChar w:fldCharType="separate"/>
      </w:r>
      <w:r>
        <w:rPr>
          <w:b/>
          <w:i/>
          <w:noProof/>
        </w:rPr>
        <w:t>9</w:t>
      </w:r>
      <w:r w:rsidRPr="00CB090C">
        <w:rPr>
          <w:b/>
          <w:i/>
        </w:rPr>
        <w:fldChar w:fldCharType="end"/>
      </w:r>
      <w:r w:rsidRPr="00CB090C">
        <w:rPr>
          <w:b/>
          <w:i/>
        </w:rPr>
        <w:t>: Number of sections in each pavement type</w:t>
      </w:r>
      <w:bookmarkEnd w:id="7"/>
    </w:p>
    <w:p w:rsidR="005B4A41" w:rsidRPr="00CB090C" w:rsidRDefault="005B4A41" w:rsidP="005B4A41">
      <w:pPr>
        <w:pStyle w:val="Caption"/>
        <w:keepNext/>
        <w:rPr>
          <w:b/>
          <w:i/>
        </w:rPr>
      </w:pPr>
      <w:bookmarkStart w:id="8" w:name="_Toc40744687"/>
      <w:r w:rsidRPr="00CB090C">
        <w:rPr>
          <w:b/>
          <w:i/>
        </w:rPr>
        <w:t xml:space="preserve">Table </w:t>
      </w:r>
      <w:r w:rsidRPr="00CB090C">
        <w:rPr>
          <w:b/>
          <w:i/>
        </w:rPr>
        <w:fldChar w:fldCharType="begin"/>
      </w:r>
      <w:r w:rsidRPr="00CB090C">
        <w:rPr>
          <w:b/>
          <w:i/>
        </w:rPr>
        <w:instrText xml:space="preserve"> SEQ Table \* ARABIC </w:instrText>
      </w:r>
      <w:r w:rsidRPr="00CB090C">
        <w:rPr>
          <w:b/>
          <w:i/>
        </w:rPr>
        <w:fldChar w:fldCharType="separate"/>
      </w:r>
      <w:r>
        <w:rPr>
          <w:b/>
          <w:i/>
          <w:noProof/>
        </w:rPr>
        <w:t>3</w:t>
      </w:r>
      <w:r w:rsidRPr="00CB090C">
        <w:rPr>
          <w:b/>
          <w:i/>
        </w:rPr>
        <w:fldChar w:fldCharType="end"/>
      </w:r>
      <w:r w:rsidRPr="00CB090C">
        <w:rPr>
          <w:b/>
          <w:i/>
        </w:rPr>
        <w:t>: Summary statistic</w:t>
      </w:r>
      <w:r>
        <w:rPr>
          <w:b/>
          <w:i/>
        </w:rPr>
        <w:t xml:space="preserve"> of pavement sections (Alharbi,</w:t>
      </w:r>
      <w:r w:rsidRPr="00CB090C">
        <w:rPr>
          <w:b/>
          <w:i/>
        </w:rPr>
        <w:t xml:space="preserve"> 2018)</w:t>
      </w:r>
      <w:bookmarkEnd w:id="8"/>
    </w:p>
    <w:tbl>
      <w:tblPr>
        <w:tblStyle w:val="TableGrid"/>
        <w:tblW w:w="9863" w:type="dxa"/>
        <w:jc w:val="center"/>
        <w:tblLook w:val="04A0" w:firstRow="1" w:lastRow="0" w:firstColumn="1" w:lastColumn="0" w:noHBand="0" w:noVBand="1"/>
      </w:tblPr>
      <w:tblGrid>
        <w:gridCol w:w="2351"/>
        <w:gridCol w:w="2442"/>
        <w:gridCol w:w="2535"/>
        <w:gridCol w:w="2535"/>
      </w:tblGrid>
      <w:tr w:rsidR="005B4A41" w:rsidRPr="00C812F1" w:rsidTr="00366952">
        <w:trPr>
          <w:trHeight w:val="313"/>
          <w:jc w:val="center"/>
        </w:trPr>
        <w:tc>
          <w:tcPr>
            <w:tcW w:w="2351"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Pavement Types</w:t>
            </w:r>
          </w:p>
        </w:tc>
        <w:tc>
          <w:tcPr>
            <w:tcW w:w="2442"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Average Length (Miles)</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Minimum Length (Miles)</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Maximum Length (Miles)</w:t>
            </w:r>
          </w:p>
        </w:tc>
      </w:tr>
      <w:tr w:rsidR="005B4A41" w:rsidRPr="00C812F1" w:rsidTr="00366952">
        <w:trPr>
          <w:trHeight w:val="313"/>
          <w:jc w:val="center"/>
        </w:trPr>
        <w:tc>
          <w:tcPr>
            <w:tcW w:w="2351"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AC</w:t>
            </w:r>
          </w:p>
        </w:tc>
        <w:tc>
          <w:tcPr>
            <w:tcW w:w="2442"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3.88</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0.16</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18.61</w:t>
            </w:r>
          </w:p>
        </w:tc>
      </w:tr>
      <w:tr w:rsidR="005B4A41" w:rsidRPr="00C812F1" w:rsidTr="00366952">
        <w:trPr>
          <w:trHeight w:val="313"/>
          <w:jc w:val="center"/>
        </w:trPr>
        <w:tc>
          <w:tcPr>
            <w:tcW w:w="2351"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PCC</w:t>
            </w:r>
          </w:p>
        </w:tc>
        <w:tc>
          <w:tcPr>
            <w:tcW w:w="2442"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2.7</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0.05</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18.91</w:t>
            </w:r>
          </w:p>
        </w:tc>
      </w:tr>
      <w:tr w:rsidR="005B4A41" w:rsidRPr="00C812F1" w:rsidTr="00366952">
        <w:trPr>
          <w:trHeight w:val="313"/>
          <w:jc w:val="center"/>
        </w:trPr>
        <w:tc>
          <w:tcPr>
            <w:tcW w:w="2351"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COM</w:t>
            </w:r>
          </w:p>
        </w:tc>
        <w:tc>
          <w:tcPr>
            <w:tcW w:w="2442"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2.69</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0.05</w:t>
            </w:r>
          </w:p>
        </w:tc>
        <w:tc>
          <w:tcPr>
            <w:tcW w:w="2535" w:type="dxa"/>
          </w:tcPr>
          <w:p w:rsidR="005B4A41" w:rsidRPr="00C812F1" w:rsidRDefault="005B4A41" w:rsidP="00366952">
            <w:pPr>
              <w:jc w:val="center"/>
              <w:rPr>
                <w:rFonts w:eastAsiaTheme="majorEastAsia" w:cs="Times New Roman"/>
                <w:noProof/>
              </w:rPr>
            </w:pPr>
            <w:r w:rsidRPr="00C812F1">
              <w:rPr>
                <w:rFonts w:eastAsiaTheme="majorEastAsia" w:cs="Times New Roman"/>
                <w:noProof/>
              </w:rPr>
              <w:t>18.14</w:t>
            </w:r>
          </w:p>
        </w:tc>
      </w:tr>
    </w:tbl>
    <w:p w:rsidR="005B4A41" w:rsidRDefault="005B4A41" w:rsidP="005B4A41">
      <w:pPr>
        <w:pStyle w:val="Body"/>
        <w:ind w:firstLine="0"/>
      </w:pPr>
    </w:p>
    <w:p w:rsidR="005B4A41" w:rsidRDefault="005B4A41" w:rsidP="005B4A41">
      <w:pPr>
        <w:pStyle w:val="Heading3"/>
      </w:pPr>
      <w:bookmarkStart w:id="9" w:name="_Toc40744424"/>
      <w:r>
        <w:t>Preprocessing</w:t>
      </w:r>
      <w:bookmarkEnd w:id="9"/>
    </w:p>
    <w:p w:rsidR="005B4A41" w:rsidRDefault="005B4A41" w:rsidP="005B4A41">
      <w:pPr>
        <w:pStyle w:val="Body"/>
        <w:rPr>
          <w:rFonts w:eastAsiaTheme="majorEastAsia" w:cs="Times New Roman"/>
          <w:noProof/>
        </w:rPr>
      </w:pPr>
      <w:r w:rsidRPr="00C812F1">
        <w:rPr>
          <w:rFonts w:eastAsiaTheme="majorEastAsia" w:cs="Times New Roman"/>
          <w:noProof/>
        </w:rPr>
        <w:t xml:space="preserve">After collecting and arranging the data based on pavement type, condition indices were estimated using the reported condition data. Pavement condition can be summarized using four scaled indices with values ranging from 0 to 100, with 0 corresponding to the worst condition and 100 to the best condition. These indices can then be used to calculate the overall PCI using the same scale for individual indices, resulting in the definition of a global index for comparing different pavement types. In this study, the indices were calculated based on definitions provided in a previous study for the Iowa DOT </w:t>
      </w:r>
      <w:r w:rsidRPr="00C812F1">
        <w:rPr>
          <w:rFonts w:eastAsiaTheme="majorEastAsia" w:cs="Times New Roman"/>
          <w:noProof/>
        </w:rPr>
        <w:fldChar w:fldCharType="begin" w:fldLock="1"/>
      </w:r>
      <w:r>
        <w:rPr>
          <w:rFonts w:eastAsiaTheme="majorEastAsia"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2014)","manualFormatting":"(Bektas, 2014)","plainTextFormattedCitation":"(Bektas, Fatih; Smadi, Omar G.; and Al-Zoubi, 2014)","previouslyFormattedCitation":"(Bektas, Fatih; Smadi, Omar G.; and Al-Zoubi, 2014)"},"properties":{"noteIndex":0},"schema":"https://github.com/citation-style-language/schema/raw/master/csl-citation.json"}</w:instrText>
      </w:r>
      <w:r w:rsidRPr="00C812F1">
        <w:rPr>
          <w:rFonts w:eastAsiaTheme="majorEastAsia" w:cs="Times New Roman"/>
          <w:noProof/>
        </w:rPr>
        <w:fldChar w:fldCharType="separate"/>
      </w:r>
      <w:r w:rsidRPr="00C812F1">
        <w:rPr>
          <w:rFonts w:eastAsiaTheme="majorEastAsia" w:cs="Times New Roman"/>
          <w:noProof/>
        </w:rPr>
        <w:t>(Bektas, 2014)</w:t>
      </w:r>
      <w:r w:rsidRPr="00C812F1">
        <w:rPr>
          <w:rFonts w:eastAsiaTheme="majorEastAsia" w:cs="Times New Roman"/>
          <w:noProof/>
        </w:rPr>
        <w:fldChar w:fldCharType="end"/>
      </w:r>
      <w:r w:rsidRPr="00C812F1">
        <w:rPr>
          <w:rFonts w:eastAsiaTheme="majorEastAsia" w:cs="Times New Roman"/>
          <w:noProof/>
        </w:rPr>
        <w:t xml:space="preserve"> and included:</w:t>
      </w:r>
    </w:p>
    <w:p w:rsidR="005B4A41" w:rsidRPr="00C812F1" w:rsidRDefault="005B4A41" w:rsidP="005B4A41">
      <w:pPr>
        <w:pStyle w:val="ListParagraph"/>
        <w:widowControl/>
        <w:numPr>
          <w:ilvl w:val="0"/>
          <w:numId w:val="14"/>
        </w:numPr>
        <w:spacing w:after="160" w:line="480" w:lineRule="auto"/>
        <w:rPr>
          <w:rFonts w:eastAsiaTheme="majorEastAsia" w:cs="Times New Roman"/>
          <w:noProof/>
        </w:rPr>
      </w:pPr>
      <w:r w:rsidRPr="00C812F1">
        <w:rPr>
          <w:rFonts w:eastAsiaTheme="majorEastAsia" w:cs="Times New Roman"/>
          <w:noProof/>
        </w:rPr>
        <w:t>Riding Index</w:t>
      </w:r>
    </w:p>
    <w:p w:rsidR="005B4A41" w:rsidRPr="00C812F1" w:rsidRDefault="005B4A41" w:rsidP="005B4A41">
      <w:pPr>
        <w:pStyle w:val="ListParagraph"/>
        <w:widowControl/>
        <w:numPr>
          <w:ilvl w:val="0"/>
          <w:numId w:val="14"/>
        </w:numPr>
        <w:spacing w:after="160" w:line="480" w:lineRule="auto"/>
        <w:rPr>
          <w:rFonts w:eastAsiaTheme="majorEastAsia" w:cs="Times New Roman"/>
          <w:noProof/>
        </w:rPr>
      </w:pPr>
      <w:r w:rsidRPr="00C812F1">
        <w:rPr>
          <w:rFonts w:eastAsiaTheme="majorEastAsia" w:cs="Times New Roman"/>
          <w:noProof/>
        </w:rPr>
        <w:t>Rutting Index (</w:t>
      </w:r>
      <w:r>
        <w:rPr>
          <w:rFonts w:eastAsiaTheme="majorEastAsia" w:cs="Times New Roman"/>
          <w:noProof/>
        </w:rPr>
        <w:t>AC and COM</w:t>
      </w:r>
      <w:r w:rsidRPr="00C812F1">
        <w:rPr>
          <w:rFonts w:eastAsiaTheme="majorEastAsia" w:cs="Times New Roman"/>
          <w:noProof/>
        </w:rPr>
        <w:t xml:space="preserve"> Only)</w:t>
      </w:r>
    </w:p>
    <w:p w:rsidR="005B4A41" w:rsidRPr="00CB090C" w:rsidRDefault="005B4A41" w:rsidP="005B4A41">
      <w:pPr>
        <w:pStyle w:val="ListParagraph"/>
        <w:widowControl/>
        <w:numPr>
          <w:ilvl w:val="0"/>
          <w:numId w:val="14"/>
        </w:numPr>
        <w:spacing w:after="160" w:line="480" w:lineRule="auto"/>
      </w:pPr>
      <w:r w:rsidRPr="00CB090C">
        <w:rPr>
          <w:rFonts w:eastAsiaTheme="majorEastAsia" w:cs="Times New Roman"/>
          <w:noProof/>
        </w:rPr>
        <w:t>Cracking Index</w:t>
      </w:r>
    </w:p>
    <w:p w:rsidR="005B4A41" w:rsidRPr="00CB090C" w:rsidRDefault="005B4A41" w:rsidP="005B4A41">
      <w:pPr>
        <w:pStyle w:val="ListParagraph"/>
        <w:widowControl/>
        <w:numPr>
          <w:ilvl w:val="0"/>
          <w:numId w:val="14"/>
        </w:numPr>
        <w:spacing w:after="160" w:line="480" w:lineRule="auto"/>
      </w:pPr>
      <w:r w:rsidRPr="00CB090C">
        <w:rPr>
          <w:rFonts w:eastAsiaTheme="majorEastAsia" w:cs="Times New Roman"/>
          <w:noProof/>
        </w:rPr>
        <w:lastRenderedPageBreak/>
        <w:t>Faulting Index (PCC Only)</w:t>
      </w:r>
    </w:p>
    <w:p w:rsidR="005B4A41" w:rsidRDefault="005B4A41" w:rsidP="005B4A41">
      <w:pPr>
        <w:widowControl/>
        <w:spacing w:after="160" w:line="480" w:lineRule="auto"/>
        <w:ind w:firstLine="720"/>
        <w:rPr>
          <w:rFonts w:cs="Times New Roman"/>
          <w:noProof/>
        </w:rPr>
      </w:pPr>
      <w:r w:rsidRPr="00CB090C">
        <w:rPr>
          <w:rFonts w:eastAsiaTheme="majorEastAsia" w:cs="Times New Roman"/>
          <w:noProof/>
        </w:rPr>
        <w:t xml:space="preserve">In AC and COM pavements, four different cracking sub-indecies were used to calculate the cracking index; these included transverse, longitudinal, alligator, and longitudinal-wheel-path cracking. Only two sub-indecies, transverse and longitudinal cracking, were used to characterize PCC pavements. Three severity levels were used by the Iowa DOT in evaluating pavement distresses, with 1, 1.5, and 2 coefficient values, used for low, medium, and high aggregated severities, respectively. All severity levels were then converted into low severity. Since a maximum value (threshold) corresponds to a deduction of 100 points, a cracking sub-index of 0 was determined for each crack type within pavement type, and all threshold values were extracted from a previous Iowa DOT study </w:t>
      </w:r>
      <w:r w:rsidRPr="00CB090C">
        <w:rPr>
          <w:rFonts w:eastAsiaTheme="majorEastAsia" w:cs="Times New Roman"/>
          <w:noProof/>
        </w:rPr>
        <w:fldChar w:fldCharType="begin" w:fldLock="1"/>
      </w:r>
      <w:r w:rsidRPr="00CB090C">
        <w:rPr>
          <w:rFonts w:eastAsiaTheme="majorEastAsia"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CB090C">
        <w:rPr>
          <w:rFonts w:eastAsiaTheme="majorEastAsia" w:cs="Times New Roman"/>
          <w:noProof/>
        </w:rPr>
        <w:fldChar w:fldCharType="separate"/>
      </w:r>
      <w:r w:rsidRPr="00CB090C">
        <w:rPr>
          <w:rFonts w:eastAsiaTheme="majorEastAsia" w:cs="Times New Roman"/>
          <w:noProof/>
        </w:rPr>
        <w:t>(Bektas, 2014)</w:t>
      </w:r>
      <w:r w:rsidRPr="00CB090C">
        <w:rPr>
          <w:rFonts w:eastAsiaTheme="majorEastAsia" w:cs="Times New Roman"/>
          <w:noProof/>
        </w:rPr>
        <w:fldChar w:fldCharType="end"/>
      </w:r>
      <w:r w:rsidRPr="00CB090C">
        <w:rPr>
          <w:rFonts w:eastAsiaTheme="majorEastAsia" w:cs="Times New Roman"/>
          <w:noProof/>
        </w:rPr>
        <w:t xml:space="preserve">. </w:t>
      </w:r>
      <w:r w:rsidRPr="00CB090C">
        <w:rPr>
          <w:rFonts w:cs="Times New Roman"/>
          <w:noProof/>
        </w:rPr>
        <w:t>The cracking index values for all three pavement types, based on the coefficient values provided by Iowa DOT experts, were as follows:</w:t>
      </w:r>
    </w:p>
    <w:p w:rsidR="005B4A41" w:rsidRPr="00CB090C" w:rsidRDefault="005B4A41" w:rsidP="005B4A41">
      <w:pPr>
        <w:widowControl/>
        <w:spacing w:after="160" w:line="480" w:lineRule="auto"/>
        <w:rPr>
          <w:rFonts w:eastAsiaTheme="minorEastAsia"/>
        </w:rPr>
      </w:pPr>
      <m:oMathPara>
        <m:oMath>
          <m:r>
            <w:rPr>
              <w:rFonts w:ascii="Cambria Math" w:hAnsi="Cambria Math" w:cs="Times New Roman"/>
              <w:noProof/>
            </w:rPr>
            <m:t xml:space="preserve">Cracking Index </m:t>
          </m:r>
          <m:d>
            <m:dPr>
              <m:ctrlPr>
                <w:rPr>
                  <w:rFonts w:ascii="Cambria Math" w:hAnsi="Cambria Math" w:cs="Times New Roman"/>
                  <w:i/>
                  <w:noProof/>
                </w:rPr>
              </m:ctrlPr>
            </m:dPr>
            <m:e>
              <m:r>
                <w:rPr>
                  <w:rFonts w:ascii="Cambria Math" w:hAnsi="Cambria Math" w:cs="Times New Roman"/>
                  <w:noProof/>
                </w:rPr>
                <m:t>AC and COM</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Transverse sub Index</m:t>
              </m:r>
            </m:e>
          </m:d>
          <m:r>
            <w:rPr>
              <w:rFonts w:ascii="Cambria Math" w:hAnsi="Cambria Math" w:cs="Times New Roman"/>
              <w:noProof/>
            </w:rPr>
            <m:t>+0.1*</m:t>
          </m:r>
          <m:d>
            <m:dPr>
              <m:ctrlPr>
                <w:rPr>
                  <w:rFonts w:ascii="Cambria Math" w:hAnsi="Cambria Math" w:cs="Times New Roman"/>
                  <w:i/>
                  <w:noProof/>
                </w:rPr>
              </m:ctrlPr>
            </m:dPr>
            <m:e>
              <m:r>
                <w:rPr>
                  <w:rFonts w:ascii="Cambria Math" w:hAnsi="Cambria Math" w:cs="Times New Roman"/>
                  <w:noProof/>
                </w:rPr>
                <m:t>Longitiudinal sub Index</m:t>
              </m:r>
            </m:e>
          </m:d>
          <m:r>
            <w:rPr>
              <w:rFonts w:ascii="Cambria Math" w:hAnsi="Cambria Math" w:cs="Times New Roman"/>
              <w:noProof/>
            </w:rPr>
            <m:t>+0.3*</m:t>
          </m:r>
          <m:d>
            <m:dPr>
              <m:ctrlPr>
                <w:rPr>
                  <w:rFonts w:ascii="Cambria Math" w:hAnsi="Cambria Math" w:cs="Times New Roman"/>
                  <w:i/>
                  <w:noProof/>
                </w:rPr>
              </m:ctrlPr>
            </m:dPr>
            <m:e>
              <m:r>
                <w:rPr>
                  <w:rFonts w:ascii="Cambria Math" w:hAnsi="Cambria Math" w:cs="Times New Roman"/>
                  <w:noProof/>
                </w:rPr>
                <m:t>Wheel-path sub Index</m:t>
              </m:r>
            </m:e>
          </m:d>
          <m:r>
            <w:rPr>
              <w:rFonts w:ascii="Cambria Math" w:hAnsi="Cambria Math" w:cs="Times New Roman"/>
              <w:noProof/>
            </w:rPr>
            <m:t>+0.4*(Alligator sub Index)</m:t>
          </m:r>
        </m:oMath>
      </m:oMathPara>
    </w:p>
    <w:p w:rsidR="005B4A41" w:rsidRPr="00CB090C" w:rsidRDefault="005B4A41" w:rsidP="005B4A41">
      <w:pPr>
        <w:widowControl/>
        <w:spacing w:after="160" w:line="480" w:lineRule="auto"/>
        <w:rPr>
          <w:rFonts w:eastAsiaTheme="minorEastAsia"/>
        </w:rPr>
      </w:pPr>
      <m:oMathPara>
        <m:oMath>
          <m:r>
            <w:rPr>
              <w:rFonts w:ascii="Cambria Math" w:hAnsi="Cambria Math" w:cs="Times New Roman"/>
              <w:noProof/>
            </w:rPr>
            <m:t xml:space="preserve">Cracking Index </m:t>
          </m:r>
          <m:d>
            <m:dPr>
              <m:ctrlPr>
                <w:rPr>
                  <w:rFonts w:ascii="Cambria Math" w:hAnsi="Cambria Math" w:cs="Times New Roman"/>
                  <w:i/>
                  <w:noProof/>
                </w:rPr>
              </m:ctrlPr>
            </m:dPr>
            <m:e>
              <m:r>
                <w:rPr>
                  <w:rFonts w:ascii="Cambria Math" w:hAnsi="Cambria Math" w:cs="Times New Roman"/>
                  <w:noProof/>
                </w:rPr>
                <m:t>PCC</m:t>
              </m:r>
            </m:e>
          </m:d>
          <m:r>
            <w:rPr>
              <w:rFonts w:ascii="Cambria Math" w:hAnsi="Cambria Math" w:cs="Times New Roman"/>
              <w:noProof/>
            </w:rPr>
            <m:t>=0.6*</m:t>
          </m:r>
          <m:d>
            <m:dPr>
              <m:ctrlPr>
                <w:rPr>
                  <w:rFonts w:ascii="Cambria Math" w:hAnsi="Cambria Math" w:cs="Times New Roman"/>
                  <w:i/>
                  <w:noProof/>
                </w:rPr>
              </m:ctrlPr>
            </m:dPr>
            <m:e>
              <m:r>
                <w:rPr>
                  <w:rFonts w:ascii="Cambria Math" w:hAnsi="Cambria Math" w:cs="Times New Roman"/>
                  <w:noProof/>
                </w:rPr>
                <m:t>Transverse sub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Longitiudinal sub Index</m:t>
              </m:r>
            </m:e>
          </m:d>
        </m:oMath>
      </m:oMathPara>
    </w:p>
    <w:p w:rsidR="005B4A41" w:rsidRDefault="005B4A41" w:rsidP="005B4A41">
      <w:pPr>
        <w:widowControl/>
        <w:spacing w:after="160" w:line="480" w:lineRule="auto"/>
        <w:ind w:firstLine="720"/>
        <w:rPr>
          <w:rFonts w:cs="Times New Roman"/>
          <w:noProof/>
        </w:rPr>
      </w:pPr>
      <w:r w:rsidRPr="00C812F1">
        <w:rPr>
          <w:rFonts w:eastAsiaTheme="majorEastAsia" w:cs="Times New Roman"/>
          <w:noProof/>
        </w:rPr>
        <w:t>The International Roughness Index (IRI) is the most commonly used ride-quality index. The Riding Index used in this study was based on the IRI acquired by the Iowa DOT and expressed on a scale of 100. IRI values below 0.5m/km were taken as a perfect 100, while values above 4.0m/km were taken as 0 on the index scale. Other values between 0.5 and 4 m/km were calculated using linear interpolation</w:t>
      </w:r>
      <w:r w:rsidRPr="00C812F1">
        <w:rPr>
          <w:rFonts w:cs="Times New Roman"/>
          <w:noProof/>
        </w:rPr>
        <w:t>.</w:t>
      </w:r>
    </w:p>
    <w:p w:rsidR="005B4A41" w:rsidRDefault="005B4A41" w:rsidP="005B4A41">
      <w:pPr>
        <w:widowControl/>
        <w:spacing w:after="160" w:line="480" w:lineRule="auto"/>
        <w:ind w:firstLine="720"/>
        <w:rPr>
          <w:rFonts w:cs="Times New Roman"/>
          <w:noProof/>
        </w:rPr>
      </w:pPr>
      <w:r w:rsidRPr="00C812F1">
        <w:rPr>
          <w:rFonts w:cs="Times New Roman"/>
          <w:noProof/>
        </w:rPr>
        <w:lastRenderedPageBreak/>
        <w:t>Rutting is defined as the permanent total deformation or consolidation accumulated in an asphalt pavement surface wheel path. The rutting index from this study used rut depths available in the PMIS database, and, based on previous research, a threshold value of 12 mm corresponded to 0 on the rutting Index scale of 100, and values below 12 mm were appli</w:t>
      </w:r>
      <w:r>
        <w:rPr>
          <w:rFonts w:cs="Times New Roman"/>
          <w:noProof/>
        </w:rPr>
        <w:t>ed as corresponding deductions.</w:t>
      </w:r>
    </w:p>
    <w:p w:rsidR="005B4A41" w:rsidRDefault="005B4A41" w:rsidP="005B4A41">
      <w:pPr>
        <w:widowControl/>
        <w:spacing w:after="160" w:line="480" w:lineRule="auto"/>
        <w:ind w:firstLine="720"/>
        <w:rPr>
          <w:rFonts w:cs="Times New Roman"/>
          <w:noProof/>
        </w:rPr>
      </w:pPr>
      <w:r w:rsidRPr="00C812F1">
        <w:rPr>
          <w:rFonts w:cs="Times New Roman"/>
          <w:noProof/>
        </w:rPr>
        <w:t xml:space="preserve">Faulting is defined as the difference in slab elevation across a joint or crack occuring due to differential vertical displacement between two sides. Similar to the rutting index for AC pavements, the faulting index is expressed on a scale of 100, with the faulting value equal to or greater than 12 mm set to 0 and the faulting value equal to zero set to 100 on the index scale </w:t>
      </w:r>
      <w:r w:rsidRPr="00C812F1">
        <w:rPr>
          <w:rFonts w:cs="Times New Roman"/>
          <w:noProof/>
        </w:rPr>
        <w:fldChar w:fldCharType="begin" w:fldLock="1"/>
      </w:r>
      <w:r w:rsidRPr="00C812F1">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C812F1">
        <w:rPr>
          <w:rFonts w:cs="Times New Roman"/>
          <w:noProof/>
        </w:rPr>
        <w:fldChar w:fldCharType="separate"/>
      </w:r>
      <w:r w:rsidRPr="00C812F1">
        <w:rPr>
          <w:rFonts w:cs="Times New Roman"/>
          <w:noProof/>
        </w:rPr>
        <w:t>(Bektas, 2014)</w:t>
      </w:r>
      <w:r w:rsidRPr="00C812F1">
        <w:rPr>
          <w:rFonts w:cs="Times New Roman"/>
          <w:noProof/>
        </w:rPr>
        <w:fldChar w:fldCharType="end"/>
      </w:r>
      <w:r w:rsidRPr="00C812F1">
        <w:rPr>
          <w:rFonts w:cs="Times New Roman"/>
          <w:noProof/>
        </w:rPr>
        <w:t>.</w:t>
      </w:r>
    </w:p>
    <w:p w:rsidR="005B4A41" w:rsidRDefault="005B4A41" w:rsidP="005B4A41">
      <w:pPr>
        <w:widowControl/>
        <w:spacing w:after="160" w:line="480" w:lineRule="auto"/>
        <w:ind w:firstLine="720"/>
        <w:rPr>
          <w:rFonts w:cs="Times New Roman"/>
          <w:noProof/>
        </w:rPr>
      </w:pPr>
      <w:r w:rsidRPr="00C812F1">
        <w:rPr>
          <w:rFonts w:cs="Times New Roman"/>
          <w:noProof/>
        </w:rPr>
        <w:t xml:space="preserve">After calculating all cracking, riding, rutting, and faulting indecies for AC, COM, and PCC pavements, a weighted average formula was used to calculate the PCI values. The current formulae for calculating the PCI for AC, COM, and PCC pavements are as follows </w:t>
      </w:r>
      <w:r w:rsidRPr="00C812F1">
        <w:rPr>
          <w:rFonts w:cs="Times New Roman"/>
          <w:noProof/>
        </w:rPr>
        <w:fldChar w:fldCharType="begin" w:fldLock="1"/>
      </w:r>
      <w:r w:rsidRPr="00C812F1">
        <w:rPr>
          <w:rFonts w:cs="Times New Roman"/>
          <w:noProof/>
        </w:rPr>
        <w:instrText>ADDIN CSL_CITATION {"citationItems":[{"id":"ITEM-1","itemData":{"ISBN":"8004574416","author":[{"dropping-particle":"","family":"Bektas, Fatih; Smadi, Omar G.; and Al-Zoubi","given":"Mazin","non-dropping-particle":"","parse-names":false,"suffix":""}],"id":"ITEM-1","issue":"December","issued":{"date-parts":[["2014"]]},"title":"Pavement Management Performance Modeling: Evaluating the Existing PCI Equations","type":"report"},"uris":["http://www.mendeley.com/documents/?uuid=5c122f2b-84c4-4366-8e28-63e6fce77f01"]}],"mendeley":{"formattedCitation":"(Bektas, Fatih; Smadi, Omar G.; and Al-Zoubi, 2014)","plainTextFormattedCitation":"(Bektas, Fatih; Smadi, Omar G.; and Al-Zoubi, 2014)","previouslyFormattedCitation":"(Bektas, Fatih; Smadi, Omar G.; and Al-Zoubi, 2014)"},"properties":{"noteIndex":0},"schema":"https://github.com/citation-style-language/schema/raw/master/csl-citation.json"}</w:instrText>
      </w:r>
      <w:r w:rsidRPr="00C812F1">
        <w:rPr>
          <w:rFonts w:cs="Times New Roman"/>
          <w:noProof/>
        </w:rPr>
        <w:fldChar w:fldCharType="separate"/>
      </w:r>
      <w:r w:rsidRPr="00C812F1">
        <w:rPr>
          <w:rFonts w:cs="Times New Roman"/>
          <w:noProof/>
        </w:rPr>
        <w:t>(Bektas, 2014)</w:t>
      </w:r>
      <w:r w:rsidRPr="00C812F1">
        <w:rPr>
          <w:rFonts w:cs="Times New Roman"/>
          <w:noProof/>
        </w:rPr>
        <w:fldChar w:fldCharType="end"/>
      </w:r>
      <w:r w:rsidRPr="00C812F1">
        <w:rPr>
          <w:rFonts w:cs="Times New Roman"/>
          <w:noProof/>
        </w:rPr>
        <w:t>:</w:t>
      </w:r>
    </w:p>
    <w:p w:rsidR="005B4A41" w:rsidRPr="00CB090C" w:rsidRDefault="005B4A41" w:rsidP="005B4A41">
      <w:pPr>
        <w:widowControl/>
        <w:spacing w:after="160" w:line="480" w:lineRule="auto"/>
        <w:rPr>
          <w:rFonts w:eastAsiaTheme="minorEastAsia" w:cs="Times New Roman"/>
          <w:noProof/>
        </w:rPr>
      </w:pPr>
      <m:oMathPara>
        <m:oMath>
          <m:r>
            <w:rPr>
              <w:rFonts w:ascii="Cambria Math" w:hAnsi="Cambria Math" w:cs="Times New Roman"/>
              <w:noProof/>
            </w:rPr>
            <m:t xml:space="preserve">PCI </m:t>
          </m:r>
          <m:d>
            <m:dPr>
              <m:ctrlPr>
                <w:rPr>
                  <w:rFonts w:ascii="Cambria Math" w:hAnsi="Cambria Math" w:cs="Times New Roman"/>
                  <w:i/>
                  <w:noProof/>
                </w:rPr>
              </m:ctrlPr>
            </m:dPr>
            <m:e>
              <m:r>
                <w:rPr>
                  <w:rFonts w:ascii="Cambria Math" w:hAnsi="Cambria Math" w:cs="Times New Roman"/>
                  <w:noProof/>
                </w:rPr>
                <m:t>PCC</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Cracking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Riding Index</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Faulting Index</m:t>
              </m:r>
            </m:e>
          </m:d>
        </m:oMath>
      </m:oMathPara>
    </w:p>
    <w:p w:rsidR="005B4A41" w:rsidRPr="00CB090C" w:rsidRDefault="005B4A41" w:rsidP="005B4A41">
      <w:pPr>
        <w:widowControl/>
        <w:spacing w:after="160" w:line="480" w:lineRule="auto"/>
        <w:rPr>
          <w:rFonts w:eastAsiaTheme="minorEastAsia" w:cs="Times New Roman"/>
          <w:noProof/>
        </w:rPr>
      </w:pPr>
      <m:oMathPara>
        <m:oMath>
          <m:r>
            <w:rPr>
              <w:rFonts w:ascii="Cambria Math" w:hAnsi="Cambria Math" w:cs="Times New Roman"/>
              <w:noProof/>
            </w:rPr>
            <m:t xml:space="preserve">PCI </m:t>
          </m:r>
          <m:d>
            <m:dPr>
              <m:ctrlPr>
                <w:rPr>
                  <w:rFonts w:ascii="Cambria Math" w:hAnsi="Cambria Math" w:cs="Times New Roman"/>
                  <w:i/>
                  <w:noProof/>
                </w:rPr>
              </m:ctrlPr>
            </m:dPr>
            <m:e>
              <m:r>
                <w:rPr>
                  <w:rFonts w:ascii="Cambria Math" w:hAnsi="Cambria Math" w:cs="Times New Roman"/>
                  <w:noProof/>
                </w:rPr>
                <m:t>AC</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Cracking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Riding Index</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Rutting Index</m:t>
              </m:r>
            </m:e>
          </m:d>
        </m:oMath>
      </m:oMathPara>
    </w:p>
    <w:p w:rsidR="005B4A41" w:rsidRPr="00CB090C" w:rsidRDefault="005B4A41" w:rsidP="005B4A41">
      <w:pPr>
        <w:widowControl/>
        <w:spacing w:after="160" w:line="480" w:lineRule="auto"/>
        <w:rPr>
          <w:rFonts w:eastAsiaTheme="minorEastAsia" w:cs="Times New Roman"/>
          <w:noProof/>
        </w:rPr>
      </w:pPr>
      <m:oMathPara>
        <m:oMath>
          <m:r>
            <w:rPr>
              <w:rFonts w:ascii="Cambria Math" w:hAnsi="Cambria Math" w:cs="Times New Roman"/>
              <w:noProof/>
            </w:rPr>
            <m:t xml:space="preserve">PCI </m:t>
          </m:r>
          <m:d>
            <m:dPr>
              <m:ctrlPr>
                <w:rPr>
                  <w:rFonts w:ascii="Cambria Math" w:hAnsi="Cambria Math" w:cs="Times New Roman"/>
                  <w:i/>
                  <w:noProof/>
                </w:rPr>
              </m:ctrlPr>
            </m:dPr>
            <m:e>
              <m:r>
                <w:rPr>
                  <w:rFonts w:ascii="Cambria Math" w:hAnsi="Cambria Math" w:cs="Times New Roman"/>
                  <w:noProof/>
                </w:rPr>
                <m:t>COM</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Cracking Index</m:t>
              </m:r>
            </m:e>
          </m:d>
          <m:r>
            <w:rPr>
              <w:rFonts w:ascii="Cambria Math" w:hAnsi="Cambria Math" w:cs="Times New Roman"/>
              <w:noProof/>
            </w:rPr>
            <m:t>+0.4*</m:t>
          </m:r>
          <m:d>
            <m:dPr>
              <m:ctrlPr>
                <w:rPr>
                  <w:rFonts w:ascii="Cambria Math" w:hAnsi="Cambria Math" w:cs="Times New Roman"/>
                  <w:i/>
                  <w:noProof/>
                </w:rPr>
              </m:ctrlPr>
            </m:dPr>
            <m:e>
              <m:r>
                <w:rPr>
                  <w:rFonts w:ascii="Cambria Math" w:hAnsi="Cambria Math" w:cs="Times New Roman"/>
                  <w:noProof/>
                </w:rPr>
                <m:t>Riding Index</m:t>
              </m:r>
            </m:e>
          </m:d>
          <m:r>
            <w:rPr>
              <w:rFonts w:ascii="Cambria Math" w:hAnsi="Cambria Math" w:cs="Times New Roman"/>
              <w:noProof/>
            </w:rPr>
            <m:t>+0.2*</m:t>
          </m:r>
          <m:d>
            <m:dPr>
              <m:ctrlPr>
                <w:rPr>
                  <w:rFonts w:ascii="Cambria Math" w:hAnsi="Cambria Math" w:cs="Times New Roman"/>
                  <w:i/>
                  <w:noProof/>
                </w:rPr>
              </m:ctrlPr>
            </m:dPr>
            <m:e>
              <m:r>
                <w:rPr>
                  <w:rFonts w:ascii="Cambria Math" w:hAnsi="Cambria Math" w:cs="Times New Roman"/>
                  <w:noProof/>
                </w:rPr>
                <m:t>Rutting Index</m:t>
              </m:r>
            </m:e>
          </m:d>
        </m:oMath>
      </m:oMathPara>
    </w:p>
    <w:p w:rsidR="005B4A41" w:rsidRDefault="005B4A41" w:rsidP="005B4A41">
      <w:pPr>
        <w:widowControl/>
        <w:spacing w:after="160" w:line="480" w:lineRule="auto"/>
        <w:ind w:firstLine="720"/>
        <w:rPr>
          <w:rFonts w:eastAsiaTheme="minorEastAsia" w:cs="Times New Roman"/>
          <w:noProof/>
        </w:rPr>
      </w:pPr>
      <w:r w:rsidRPr="00C812F1">
        <w:rPr>
          <w:rFonts w:eastAsiaTheme="minorEastAsia" w:cs="Times New Roman"/>
          <w:noProof/>
        </w:rPr>
        <w:t xml:space="preserve">Based on PCI values, the Iowa DOT classifies pavement condition for the interstate highway system as good, with a PCI value between 76-100, fair, with a PCI value between 51 and 75, and poor, with a PCI value between 0 and 50. Based on these classifications, approximately 91% and 79% of the interstate highway system and the non-interstate highway </w:t>
      </w:r>
      <w:r w:rsidRPr="00C812F1">
        <w:rPr>
          <w:rFonts w:eastAsiaTheme="minorEastAsia" w:cs="Times New Roman"/>
          <w:noProof/>
        </w:rPr>
        <w:lastRenderedPageBreak/>
        <w:t xml:space="preserve">system in the state of Iowa was categorized as good condition pavement up to the end of 2017 </w:t>
      </w:r>
      <w:r w:rsidRPr="00C812F1">
        <w:rPr>
          <w:rFonts w:eastAsiaTheme="minorEastAsia" w:cs="Times New Roman"/>
          <w:noProof/>
        </w:rPr>
        <w:fldChar w:fldCharType="begin" w:fldLock="1"/>
      </w:r>
      <w:r w:rsidRPr="00C812F1">
        <w:rPr>
          <w:rFonts w:eastAsiaTheme="minorEastAsia" w:cs="Times New Roman"/>
          <w:noProof/>
        </w:rPr>
        <w:instrText>ADDIN CSL_CITATION {"citationItems":[{"id":"ITEM-1","itemData":{"id":"ITEM-1","issue":"April","issued":{"date-parts":[["2018"]]},"title":"Transportation Asset Management Plan","type":"article-journal"},"uris":["http://www.mendeley.com/documents/?uuid=3282891b-3432-4cc0-bcfb-7dc8f51e4f3e"]}],"mendeley":{"formattedCitation":"(“Transportation Asset Management Plan,” 2018)","manualFormatting":"(Iowa DOT Transportation Asset Management Plan, 2018)","plainTextFormattedCitation":"(“Transportation Asset Management Plan,” 2018)","previouslyFormattedCitation":"(“Transportation Asset Management Plan,” 2018)"},"properties":{"noteIndex":0},"schema":"https://github.com/citation-style-language/schema/raw/master/csl-citation.json"}</w:instrText>
      </w:r>
      <w:r w:rsidRPr="00C812F1">
        <w:rPr>
          <w:rFonts w:eastAsiaTheme="minorEastAsia" w:cs="Times New Roman"/>
          <w:noProof/>
        </w:rPr>
        <w:fldChar w:fldCharType="separate"/>
      </w:r>
      <w:r w:rsidRPr="00C812F1">
        <w:rPr>
          <w:rFonts w:eastAsiaTheme="minorEastAsia" w:cs="Times New Roman"/>
          <w:noProof/>
        </w:rPr>
        <w:t>(Iowa DOT Transportation Asset Management Plan, 2018)</w:t>
      </w:r>
      <w:r w:rsidRPr="00C812F1">
        <w:rPr>
          <w:rFonts w:eastAsiaTheme="minorEastAsia" w:cs="Times New Roman"/>
          <w:noProof/>
        </w:rPr>
        <w:fldChar w:fldCharType="end"/>
      </w:r>
      <w:r w:rsidRPr="00C812F1">
        <w:rPr>
          <w:rFonts w:eastAsiaTheme="minorEastAsia" w:cs="Times New Roman"/>
          <w:noProof/>
        </w:rPr>
        <w:t>.</w:t>
      </w:r>
    </w:p>
    <w:p w:rsidR="005B4A41" w:rsidRDefault="005B4A41" w:rsidP="005B4A41">
      <w:pPr>
        <w:pStyle w:val="Heading3"/>
      </w:pPr>
      <w:bookmarkStart w:id="10" w:name="_Toc40744425"/>
      <w:r>
        <w:t>Developing the Long Short Term Memory (LSTM) Deterioration Model</w:t>
      </w:r>
      <w:bookmarkEnd w:id="10"/>
    </w:p>
    <w:p w:rsidR="005B4A41" w:rsidRDefault="005B4A41" w:rsidP="005B4A41">
      <w:pPr>
        <w:widowControl/>
        <w:spacing w:after="160" w:line="480" w:lineRule="auto"/>
        <w:ind w:firstLine="720"/>
        <w:rPr>
          <w:rFonts w:cs="Times New Roman"/>
          <w:noProof/>
        </w:rPr>
      </w:pPr>
      <w:r w:rsidRPr="00C812F1">
        <w:rPr>
          <w:rFonts w:cs="Times New Roman"/>
          <w:noProof/>
        </w:rPr>
        <w:t>To predict the future condition of individual pavement sections a modified RNN algorithm called LSTM was used in this research. While in conventional feed-forward neural networks, all observations are considered independent, the models in RNN consider the effects of previous observations and therefore account for the correlation between consecutive observations. It is worth mentioning that RNNs can work properly only with short term dependencies, and for making an accurate prediction with an RNN, having information from previous stages is mandatory. In fact, an RNN fails when too many inputs from historical observations are used. Observations added as predictor variables will increase variability in the predictions and the total error, a phenomenon referred to as the vanishing gradient effect. Generally, in feed-forward neural networks, the multiplication of errors from previous layers, rate of learning, and input for a layer define the updating weight for the following layer. As a result of several multip</w:t>
      </w:r>
      <w:r>
        <w:rPr>
          <w:rFonts w:cs="Times New Roman"/>
          <w:noProof/>
        </w:rPr>
        <w:t>lica</w:t>
      </w:r>
      <w:r w:rsidRPr="00C812F1">
        <w:rPr>
          <w:rFonts w:cs="Times New Roman"/>
          <w:noProof/>
        </w:rPr>
        <w:t>tions of the small value of activation-function derivatives (Sigmoid, Tanh, ReLU), the gradient approaches zero, increasing training complexity and causing information loss within the training layers. To overcome this limitation, LSTM was proposed as a modified version of traditional RNNs while taking advantage of the effectiveness of RNN methods.</w:t>
      </w:r>
    </w:p>
    <w:p w:rsidR="005B4A41" w:rsidRPr="005D6A5C" w:rsidRDefault="005B4A41" w:rsidP="005B4A41">
      <w:pPr>
        <w:widowControl/>
        <w:spacing w:after="160" w:line="480" w:lineRule="auto"/>
        <w:ind w:firstLine="720"/>
        <w:rPr>
          <w:rFonts w:cs="Times New Roman"/>
          <w:noProof/>
        </w:rPr>
      </w:pPr>
      <w:r w:rsidRPr="005D6A5C">
        <w:rPr>
          <w:rFonts w:cs="Times New Roman"/>
          <w:noProof/>
        </w:rPr>
        <w:t xml:space="preserve">The information in LSTMs flows through a cell states mechanism in which LSTMs can selectively either forget or remember information based on its impact on model performance </w:t>
      </w:r>
      <w:r w:rsidRPr="005D6A5C">
        <w:rPr>
          <w:rFonts w:cs="Times New Roman"/>
          <w:noProof/>
        </w:rPr>
        <w:fldChar w:fldCharType="begin" w:fldLock="1"/>
      </w:r>
      <w:r w:rsidRPr="005D6A5C">
        <w:rPr>
          <w:rFonts w:cs="Times New Roman"/>
          <w:noProof/>
        </w:rPr>
        <w:instrText>ADDIN CSL_CITATION {"citationItems":[{"id":"ITEM-1","itemData":{"URL":"https://colah.github.io/posts/2015-08-Understanding-LSTMs/","accessed":{"date-parts":[["2020","3","14"]]},"author":[{"dropping-particle":"","family":"Chris Olah","given":"","non-dropping-particle":"","parse-names":false,"suffix":""}],"id":"ITEM-1","issued":{"date-parts":[["2015"]]},"title":"Understanding LSTM Networks -- colah's blog","type":"webpage"},"uris":["http://www.mendeley.com/documents/?uuid=36599ca7-8490-3fb7-b440-d9823381a1b2"]}],"mendeley":{"formattedCitation":"(Chris Olah, 2015)","plainTextFormattedCitation":"(Chris Olah, 2015)","previouslyFormattedCitation":"(Chris Olah, 2015)"},"properties":{"noteIndex":0},"schema":"https://github.com/citation-style-language/schema/raw/master/csl-citation.json"}</w:instrText>
      </w:r>
      <w:r w:rsidRPr="005D6A5C">
        <w:rPr>
          <w:rFonts w:cs="Times New Roman"/>
          <w:noProof/>
        </w:rPr>
        <w:fldChar w:fldCharType="separate"/>
      </w:r>
      <w:r w:rsidRPr="005D6A5C">
        <w:rPr>
          <w:rFonts w:cs="Times New Roman"/>
          <w:noProof/>
        </w:rPr>
        <w:t>(Chris Olah, 2015)</w:t>
      </w:r>
      <w:r w:rsidRPr="005D6A5C">
        <w:rPr>
          <w:rFonts w:cs="Times New Roman"/>
          <w:noProof/>
        </w:rPr>
        <w:fldChar w:fldCharType="end"/>
      </w:r>
      <w:r w:rsidRPr="005D6A5C">
        <w:rPr>
          <w:rFonts w:cs="Times New Roman"/>
          <w:noProof/>
        </w:rPr>
        <w:t>. Figure 10 is a schematic of the repeating module in an RNN that goes through three major steps.</w:t>
      </w:r>
    </w:p>
    <w:p w:rsidR="005B4A41" w:rsidRDefault="005B4A41" w:rsidP="005B4A41">
      <w:pPr>
        <w:keepNext/>
        <w:widowControl/>
        <w:spacing w:after="160" w:line="480" w:lineRule="auto"/>
        <w:jc w:val="center"/>
      </w:pPr>
      <w:r>
        <w:rPr>
          <w:noProof/>
        </w:rPr>
        <w:lastRenderedPageBreak/>
        <w:drawing>
          <wp:inline distT="0" distB="0" distL="0" distR="0" wp14:anchorId="3AB57541" wp14:editId="5E6010A9">
            <wp:extent cx="5692775" cy="2277745"/>
            <wp:effectExtent l="0" t="0" r="317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2775" cy="2277745"/>
                    </a:xfrm>
                    <a:prstGeom prst="rect">
                      <a:avLst/>
                    </a:prstGeom>
                  </pic:spPr>
                </pic:pic>
              </a:graphicData>
            </a:graphic>
          </wp:inline>
        </w:drawing>
      </w:r>
    </w:p>
    <w:p w:rsidR="005B4A41" w:rsidRPr="00CB090C" w:rsidRDefault="005B4A41" w:rsidP="005B4A41">
      <w:pPr>
        <w:pStyle w:val="Caption"/>
        <w:jc w:val="center"/>
        <w:rPr>
          <w:b/>
          <w:i/>
          <w:noProof/>
          <w:sz w:val="22"/>
        </w:rPr>
      </w:pPr>
      <w:bookmarkStart w:id="11" w:name="_Toc40744465"/>
      <w:r w:rsidRPr="00CB090C">
        <w:rPr>
          <w:b/>
          <w:i/>
        </w:rPr>
        <w:t xml:space="preserve">Figure </w:t>
      </w:r>
      <w:r w:rsidRPr="00CB090C">
        <w:rPr>
          <w:b/>
          <w:i/>
        </w:rPr>
        <w:fldChar w:fldCharType="begin"/>
      </w:r>
      <w:r w:rsidRPr="00CB090C">
        <w:rPr>
          <w:b/>
          <w:i/>
        </w:rPr>
        <w:instrText xml:space="preserve"> SEQ Figure \* ARABIC </w:instrText>
      </w:r>
      <w:r w:rsidRPr="00CB090C">
        <w:rPr>
          <w:b/>
          <w:i/>
        </w:rPr>
        <w:fldChar w:fldCharType="separate"/>
      </w:r>
      <w:r>
        <w:rPr>
          <w:b/>
          <w:i/>
          <w:noProof/>
        </w:rPr>
        <w:t>10</w:t>
      </w:r>
      <w:r w:rsidRPr="00CB090C">
        <w:rPr>
          <w:b/>
          <w:i/>
        </w:rPr>
        <w:fldChar w:fldCharType="end"/>
      </w:r>
      <w:r w:rsidRPr="00CB090C">
        <w:rPr>
          <w:b/>
          <w:i/>
        </w:rPr>
        <w:t>: Schematic of Repeating Module in RNN (Chris Olah, 2015)</w:t>
      </w:r>
      <w:bookmarkEnd w:id="11"/>
    </w:p>
    <w:p w:rsidR="005B4A41" w:rsidRDefault="005B4A41" w:rsidP="005B4A41">
      <w:pPr>
        <w:widowControl/>
        <w:spacing w:after="160" w:line="480" w:lineRule="auto"/>
        <w:ind w:firstLine="720"/>
        <w:rPr>
          <w:noProof/>
          <w:sz w:val="22"/>
        </w:rPr>
      </w:pPr>
      <w:r w:rsidRPr="00C812F1">
        <w:rPr>
          <w:noProof/>
        </w:rPr>
        <w:t>In the first step, the LSTM passes the output from the previous time step</w:t>
      </w:r>
      <w:r>
        <w:rPr>
          <w:noProof/>
        </w:rPr>
        <w:t xml:space="preserve"> </w:t>
      </w:r>
      <m:oMath>
        <m:d>
          <m:dPr>
            <m:ctrlPr>
              <w:rPr>
                <w:rFonts w:ascii="Cambria Math" w:hAnsi="Cambria Math"/>
                <w:noProof/>
              </w:rPr>
            </m:ctrlPr>
          </m:dPr>
          <m:e>
            <m:r>
              <w:rPr>
                <w:rFonts w:ascii="Cambria Math" w:hAnsi="Cambria Math"/>
                <w:noProof/>
              </w:rPr>
              <m:t>t</m:t>
            </m:r>
            <m:r>
              <m:rPr>
                <m:sty m:val="p"/>
              </m:rPr>
              <w:rPr>
                <w:rFonts w:ascii="Cambria Math" w:hAnsi="Cambria Math"/>
                <w:noProof/>
              </w:rPr>
              <m:t>-1</m:t>
            </m:r>
          </m:e>
        </m:d>
      </m:oMath>
      <w:r w:rsidRPr="00C812F1">
        <w:rPr>
          <w:rFonts w:eastAsiaTheme="minorEastAsia"/>
          <w:noProof/>
        </w:rPr>
        <w:t xml:space="preserve"> to the forget gate, where it is classified using the sigmoidal function shown in Equation 1 either as significant information passed to </w:t>
      </w:r>
      <w:r>
        <w:rPr>
          <w:rFonts w:eastAsiaTheme="minorEastAsia"/>
          <w:noProof/>
        </w:rPr>
        <w:t xml:space="preserve">the </w:t>
      </w:r>
      <w:r w:rsidRPr="00C812F1">
        <w:rPr>
          <w:rFonts w:eastAsiaTheme="minorEastAsia"/>
          <w:noProof/>
        </w:rPr>
        <w:t>next step in the training or insignificant information dropped from the training model.</w:t>
      </w:r>
    </w:p>
    <w:p w:rsidR="005B4A41" w:rsidRPr="00C80CCD" w:rsidRDefault="005B4A41" w:rsidP="005B4A41">
      <w:pPr>
        <w:widowControl/>
        <w:spacing w:after="160" w:line="480" w:lineRule="auto"/>
        <w:rPr>
          <w:rFonts w:eastAsiaTheme="minorEastAsia" w:cs="Times New Roman"/>
          <w:noProof/>
          <w:sz w:val="22"/>
          <w:szCs w:val="20"/>
        </w:rPr>
      </w:pPr>
      <m:oMath>
        <m:r>
          <w:rPr>
            <w:rFonts w:ascii="Cambria Math" w:hAnsi="Cambria Math"/>
          </w:rPr>
          <m:t>Ft= σ(Wf</m:t>
        </m:r>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t-1</m:t>
                </m:r>
              </m:e>
            </m:d>
            <m:r>
              <w:rPr>
                <w:rFonts w:ascii="Cambria Math" w:hAnsi="Cambria Math"/>
              </w:rPr>
              <m:t>,Xt</m:t>
            </m:r>
          </m:e>
        </m:d>
        <m:r>
          <w:rPr>
            <w:rFonts w:ascii="Cambria Math" w:hAnsi="Cambria Math"/>
          </w:rPr>
          <m:t>)+bf</m:t>
        </m:r>
      </m:oMath>
      <w:r w:rsidRPr="00C80CCD">
        <w:rPr>
          <w:rFonts w:eastAsiaTheme="minorEastAsia" w:cs="Times New Roman"/>
          <w:noProof/>
          <w:sz w:val="22"/>
          <w:szCs w:val="20"/>
        </w:rPr>
        <w:t xml:space="preserve">                              </w:t>
      </w:r>
      <w:r>
        <w:rPr>
          <w:rFonts w:eastAsiaTheme="minorEastAsia" w:cs="Times New Roman"/>
          <w:noProof/>
          <w:sz w:val="22"/>
          <w:szCs w:val="20"/>
        </w:rPr>
        <w:t xml:space="preserve">               </w:t>
      </w:r>
      <w:r w:rsidRPr="00C80CCD">
        <w:rPr>
          <w:rFonts w:eastAsiaTheme="minorEastAsia" w:cs="Times New Roman"/>
          <w:noProof/>
          <w:sz w:val="22"/>
          <w:szCs w:val="20"/>
        </w:rPr>
        <w:t xml:space="preserve">                                           </w:t>
      </w:r>
      <w:r w:rsidRPr="00C80CCD">
        <w:rPr>
          <w:rFonts w:eastAsiaTheme="minorEastAsia" w:cs="Times New Roman"/>
          <w:noProof/>
          <w:sz w:val="28"/>
          <w:szCs w:val="24"/>
        </w:rPr>
        <w:t xml:space="preserve">              </w:t>
      </w:r>
      <w:r w:rsidRPr="00C80CCD">
        <w:rPr>
          <w:rFonts w:eastAsiaTheme="minorEastAsia" w:cs="Times New Roman"/>
          <w:noProof/>
        </w:rPr>
        <w:t>(1)</w:t>
      </w:r>
    </w:p>
    <w:p w:rsidR="005B4A41" w:rsidRDefault="005B4A41" w:rsidP="005B4A41">
      <w:pPr>
        <w:widowControl/>
        <w:spacing w:after="160" w:line="480" w:lineRule="auto"/>
        <w:ind w:firstLine="360"/>
        <w:rPr>
          <w:rFonts w:cs="Times New Roman"/>
          <w:noProof/>
        </w:rPr>
      </w:pPr>
      <w:r w:rsidRPr="00C812F1">
        <w:rPr>
          <w:rFonts w:cs="Times New Roman"/>
          <w:noProof/>
        </w:rPr>
        <w:t xml:space="preserve">where </w:t>
      </w:r>
      <m:oMath>
        <m:r>
          <w:rPr>
            <w:rFonts w:ascii="Cambria Math" w:hAnsi="Cambria Math" w:cs="Times New Roman"/>
            <w:noProof/>
          </w:rPr>
          <m:t>Ft</m:t>
        </m:r>
      </m:oMath>
      <w:r w:rsidRPr="00C812F1">
        <w:rPr>
          <w:rFonts w:cs="Times New Roman"/>
          <w:noProof/>
        </w:rPr>
        <w:t xml:space="preserve"> represents the forget gate, </w:t>
      </w:r>
      <m:oMath>
        <m:r>
          <w:rPr>
            <w:rFonts w:ascii="Cambria Math" w:hAnsi="Cambria Math" w:cs="Times New Roman"/>
            <w:noProof/>
          </w:rPr>
          <m:t>σ</m:t>
        </m:r>
      </m:oMath>
      <w:r w:rsidRPr="00C812F1">
        <w:rPr>
          <w:rFonts w:cs="Times New Roman"/>
          <w:noProof/>
        </w:rPr>
        <w:t xml:space="preserve"> is the Sigmoid function</w:t>
      </w:r>
      <m:oMath>
        <m:r>
          <w:rPr>
            <w:rFonts w:ascii="Cambria Math" w:hAnsi="Cambria Math" w:cs="Times New Roman"/>
            <w:noProof/>
          </w:rPr>
          <m:t>, Wf</m:t>
        </m:r>
      </m:oMath>
      <w:r w:rsidRPr="00C812F1">
        <w:rPr>
          <w:rFonts w:cs="Times New Roman"/>
          <w:noProof/>
        </w:rPr>
        <w:t xml:space="preserve"> represents the weight for the forget gate neurons, </w:t>
      </w:r>
      <m:oMath>
        <m:r>
          <w:rPr>
            <w:rFonts w:ascii="Cambria Math" w:hAnsi="Cambria Math" w:cs="Times New Roman"/>
            <w:noProof/>
          </w:rPr>
          <m:t>h</m:t>
        </m:r>
        <m:d>
          <m:dPr>
            <m:ctrlPr>
              <w:rPr>
                <w:rFonts w:ascii="Cambria Math" w:hAnsi="Cambria Math" w:cs="Times New Roman"/>
                <w:noProof/>
              </w:rPr>
            </m:ctrlPr>
          </m:dPr>
          <m:e>
            <m:r>
              <w:rPr>
                <w:rFonts w:ascii="Cambria Math" w:hAnsi="Cambria Math" w:cs="Times New Roman"/>
                <w:noProof/>
              </w:rPr>
              <m:t>t</m:t>
            </m:r>
            <m:r>
              <m:rPr>
                <m:sty m:val="p"/>
              </m:rPr>
              <w:rPr>
                <w:rFonts w:ascii="Cambria Math" w:hAnsi="Cambria Math" w:cs="Times New Roman"/>
                <w:noProof/>
              </w:rPr>
              <m:t>-1</m:t>
            </m:r>
          </m:e>
        </m:d>
      </m:oMath>
      <w:r w:rsidRPr="00C812F1">
        <w:rPr>
          <w:rFonts w:cs="Times New Roman"/>
          <w:noProof/>
        </w:rPr>
        <w:t xml:space="preserve"> is the output of a previous LSTM block at time</w:t>
      </w:r>
      <m:oMath>
        <m:d>
          <m:dPr>
            <m:ctrlPr>
              <w:rPr>
                <w:rFonts w:ascii="Cambria Math" w:hAnsi="Cambria Math" w:cs="Times New Roman"/>
                <w:noProof/>
              </w:rPr>
            </m:ctrlPr>
          </m:dPr>
          <m:e>
            <m:r>
              <w:rPr>
                <w:rFonts w:ascii="Cambria Math" w:hAnsi="Cambria Math" w:cs="Times New Roman"/>
                <w:noProof/>
              </w:rPr>
              <m:t>t</m:t>
            </m:r>
            <m:r>
              <m:rPr>
                <m:sty m:val="p"/>
              </m:rPr>
              <w:rPr>
                <w:rFonts w:ascii="Cambria Math" w:hAnsi="Cambria Math" w:cs="Times New Roman"/>
                <w:noProof/>
              </w:rPr>
              <m:t>-1</m:t>
            </m:r>
          </m:e>
        </m:d>
      </m:oMath>
      <w:r w:rsidRPr="00C812F1">
        <w:rPr>
          <w:rFonts w:cs="Times New Roman"/>
          <w:noProof/>
        </w:rPr>
        <w:t xml:space="preserve">, </w:t>
      </w:r>
      <m:oMath>
        <m:r>
          <w:rPr>
            <w:rFonts w:ascii="Cambria Math" w:hAnsi="Cambria Math" w:cs="Times New Roman"/>
            <w:noProof/>
          </w:rPr>
          <m:t>Xt</m:t>
        </m:r>
      </m:oMath>
      <w:r w:rsidRPr="00C812F1">
        <w:rPr>
          <w:rFonts w:cs="Times New Roman"/>
          <w:noProof/>
        </w:rPr>
        <w:t xml:space="preserve"> represents the input at the current time step, and </w:t>
      </w:r>
      <m:oMath>
        <m:r>
          <w:rPr>
            <w:rFonts w:ascii="Cambria Math" w:hAnsi="Cambria Math" w:cs="Times New Roman"/>
            <w:noProof/>
          </w:rPr>
          <m:t>bf</m:t>
        </m:r>
      </m:oMath>
      <w:r w:rsidRPr="00C812F1">
        <w:rPr>
          <w:rFonts w:cs="Times New Roman"/>
          <w:noProof/>
        </w:rPr>
        <w:t xml:space="preserve"> represents biases for the forget gate.</w:t>
      </w:r>
    </w:p>
    <w:p w:rsidR="005B4A41" w:rsidRDefault="005B4A41" w:rsidP="005B4A41">
      <w:pPr>
        <w:widowControl/>
        <w:spacing w:after="160" w:line="480" w:lineRule="auto"/>
        <w:ind w:firstLine="360"/>
        <w:rPr>
          <w:rFonts w:cs="Times New Roman"/>
          <w:noProof/>
        </w:rPr>
      </w:pPr>
      <w:r w:rsidRPr="00C812F1">
        <w:rPr>
          <w:rFonts w:eastAsiaTheme="minorEastAsia" w:cs="Times New Roman"/>
          <w:noProof/>
        </w:rPr>
        <w:t xml:space="preserve">In the second step, the LSTM decides what new information should be stored in the cell state by identifying values requiring updating by the Sigmoidal function and the </w:t>
      </w:r>
      <w:r w:rsidRPr="00C812F1">
        <w:rPr>
          <w:rFonts w:cs="Times New Roman"/>
          <w:noProof/>
        </w:rPr>
        <w:t>vector of new candidate values created by the Tanh function that could be added to the next state. These two functions are shown in Equations 2 and 3:</w:t>
      </w:r>
    </w:p>
    <w:p w:rsidR="005B4A41" w:rsidRPr="00C80CCD" w:rsidRDefault="005B4A41" w:rsidP="005B4A41">
      <w:pPr>
        <w:widowControl/>
        <w:spacing w:after="160" w:line="480" w:lineRule="auto"/>
        <w:rPr>
          <w:rFonts w:eastAsiaTheme="minorEastAsia" w:cs="Times New Roman"/>
          <w:noProof/>
        </w:rPr>
      </w:pPr>
      <m:oMath>
        <m:r>
          <w:rPr>
            <w:rFonts w:ascii="Cambria Math" w:hAnsi="Cambria Math"/>
          </w:rPr>
          <m:t>It= σ(Wi</m:t>
        </m:r>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t-1</m:t>
                </m:r>
              </m:e>
            </m:d>
            <m:r>
              <w:rPr>
                <w:rFonts w:ascii="Cambria Math" w:hAnsi="Cambria Math"/>
              </w:rPr>
              <m:t>,Xt</m:t>
            </m:r>
          </m:e>
        </m:d>
        <m:r>
          <w:rPr>
            <w:rFonts w:ascii="Cambria Math" w:hAnsi="Cambria Math"/>
          </w:rPr>
          <m:t>+bi</m:t>
        </m:r>
      </m:oMath>
      <w:r>
        <w:rPr>
          <w:rFonts w:eastAsiaTheme="minorEastAsia" w:cs="Times New Roman"/>
          <w:noProof/>
        </w:rPr>
        <w:t xml:space="preserve">                                                                                                     (2)</w:t>
      </w:r>
    </w:p>
    <w:p w:rsidR="005B4A41" w:rsidRPr="00C80CCD" w:rsidRDefault="005B4A41" w:rsidP="005B4A41">
      <w:pPr>
        <w:widowControl/>
        <w:spacing w:after="160" w:line="480" w:lineRule="auto"/>
        <w:rPr>
          <w:rFonts w:eastAsiaTheme="minorEastAsia" w:cs="Times New Roman"/>
          <w:noProof/>
        </w:rPr>
      </w:pPr>
      <m:oMath>
        <m:r>
          <w:rPr>
            <w:rFonts w:ascii="Cambria Math" w:hAnsi="Cambria Math"/>
          </w:rPr>
          <m:t>C´t= tanh(Wc</m:t>
        </m:r>
        <m:d>
          <m:dPr>
            <m:begChr m:val="["/>
            <m:endChr m:val="]"/>
            <m:ctrlPr>
              <w:rPr>
                <w:rFonts w:ascii="Cambria Math" w:hAnsi="Cambria Math"/>
                <w:i/>
              </w:rPr>
            </m:ctrlPr>
          </m:dPr>
          <m:e>
            <m:r>
              <w:rPr>
                <w:rFonts w:ascii="Cambria Math" w:hAnsi="Cambria Math"/>
              </w:rPr>
              <m:t>h</m:t>
            </m:r>
            <m:d>
              <m:dPr>
                <m:ctrlPr>
                  <w:rPr>
                    <w:rFonts w:ascii="Cambria Math" w:hAnsi="Cambria Math"/>
                    <w:i/>
                  </w:rPr>
                </m:ctrlPr>
              </m:dPr>
              <m:e>
                <m:r>
                  <w:rPr>
                    <w:rFonts w:ascii="Cambria Math" w:hAnsi="Cambria Math"/>
                  </w:rPr>
                  <m:t>t-1</m:t>
                </m:r>
              </m:e>
            </m:d>
            <m:r>
              <w:rPr>
                <w:rFonts w:ascii="Cambria Math" w:hAnsi="Cambria Math"/>
              </w:rPr>
              <m:t>,Xt</m:t>
            </m:r>
          </m:e>
        </m:d>
        <m:r>
          <w:rPr>
            <w:rFonts w:ascii="Cambria Math" w:hAnsi="Cambria Math"/>
          </w:rPr>
          <m:t>+bc</m:t>
        </m:r>
      </m:oMath>
      <w:r>
        <w:rPr>
          <w:rFonts w:eastAsiaTheme="minorEastAsia" w:cs="Times New Roman"/>
          <w:noProof/>
        </w:rPr>
        <w:t xml:space="preserve">                                                                                            (3)</w:t>
      </w:r>
    </w:p>
    <w:p w:rsidR="005B4A41" w:rsidRDefault="005B4A41" w:rsidP="005B4A41">
      <w:pPr>
        <w:widowControl/>
        <w:spacing w:after="160" w:line="480" w:lineRule="auto"/>
        <w:ind w:firstLine="360"/>
        <w:rPr>
          <w:rFonts w:eastAsiaTheme="minorEastAsia"/>
          <w:noProof/>
          <w:sz w:val="22"/>
        </w:rPr>
      </w:pPr>
      <w:r w:rsidRPr="00C812F1">
        <w:rPr>
          <w:rFonts w:eastAsiaTheme="minorEastAsia"/>
          <w:noProof/>
          <w:sz w:val="22"/>
        </w:rPr>
        <w:lastRenderedPageBreak/>
        <w:t xml:space="preserve">where </w:t>
      </w:r>
      <m:oMath>
        <m:r>
          <m:rPr>
            <m:sty m:val="p"/>
          </m:rPr>
          <w:rPr>
            <w:rFonts w:ascii="Cambria Math" w:eastAsiaTheme="minorEastAsia" w:hAnsi="Cambria Math"/>
            <w:noProof/>
            <w:sz w:val="22"/>
          </w:rPr>
          <m:t>I</m:t>
        </m:r>
        <m:r>
          <w:rPr>
            <w:rFonts w:ascii="Cambria Math" w:eastAsiaTheme="minorEastAsia" w:hAnsi="Cambria Math"/>
            <w:noProof/>
            <w:sz w:val="22"/>
          </w:rPr>
          <m:t>t</m:t>
        </m:r>
      </m:oMath>
      <w:r w:rsidRPr="00C812F1">
        <w:rPr>
          <w:rFonts w:eastAsiaTheme="minorEastAsia"/>
          <w:noProof/>
          <w:sz w:val="22"/>
        </w:rPr>
        <w:t xml:space="preserve"> represents the input gate, </w:t>
      </w:r>
      <m:oMath>
        <m:r>
          <w:rPr>
            <w:rFonts w:ascii="Cambria Math" w:eastAsiaTheme="minorEastAsia" w:hAnsi="Cambria Math"/>
            <w:noProof/>
            <w:sz w:val="22"/>
          </w:rPr>
          <m:t>Wi</m:t>
        </m:r>
      </m:oMath>
      <w:r w:rsidRPr="00C812F1">
        <w:rPr>
          <w:rFonts w:eastAsiaTheme="minorEastAsia"/>
          <w:noProof/>
          <w:sz w:val="22"/>
        </w:rPr>
        <w:t xml:space="preserve"> represents the weight for respective gate neurons, </w:t>
      </w:r>
      <m:oMath>
        <m:r>
          <w:rPr>
            <w:rFonts w:ascii="Cambria Math" w:eastAsiaTheme="minorEastAsia" w:hAnsi="Cambria Math"/>
            <w:noProof/>
            <w:sz w:val="22"/>
          </w:rPr>
          <m:t>Xt</m:t>
        </m:r>
      </m:oMath>
      <w:r w:rsidRPr="00C812F1">
        <w:rPr>
          <w:rFonts w:eastAsiaTheme="minorEastAsia"/>
          <w:noProof/>
          <w:sz w:val="22"/>
        </w:rPr>
        <w:t xml:space="preserve"> represents the input at the current time step, and </w:t>
      </w:r>
      <m:oMath>
        <m:r>
          <w:rPr>
            <w:rFonts w:ascii="Cambria Math" w:eastAsiaTheme="minorEastAsia" w:hAnsi="Cambria Math"/>
            <w:noProof/>
            <w:sz w:val="22"/>
          </w:rPr>
          <m:t>C</m:t>
        </m:r>
        <m:r>
          <m:rPr>
            <m:sty m:val="p"/>
          </m:rPr>
          <w:rPr>
            <w:rFonts w:ascii="Cambria Math" w:eastAsiaTheme="minorEastAsia" w:hAnsi="Cambria Math"/>
            <w:noProof/>
            <w:sz w:val="22"/>
          </w:rPr>
          <m:t>´</m:t>
        </m:r>
        <m:r>
          <w:rPr>
            <w:rFonts w:ascii="Cambria Math" w:eastAsiaTheme="minorEastAsia" w:hAnsi="Cambria Math"/>
            <w:noProof/>
            <w:sz w:val="22"/>
          </w:rPr>
          <m:t>t</m:t>
        </m:r>
      </m:oMath>
      <w:r w:rsidRPr="00C812F1">
        <w:rPr>
          <w:rFonts w:eastAsiaTheme="minorEastAsia"/>
          <w:noProof/>
          <w:sz w:val="22"/>
        </w:rPr>
        <w:t xml:space="preserve"> represents the candidate for cell state at time step (t).</w:t>
      </w:r>
    </w:p>
    <w:p w:rsidR="005B4A41" w:rsidRDefault="005B4A41" w:rsidP="005B4A41">
      <w:pPr>
        <w:widowControl/>
        <w:spacing w:after="160" w:line="480" w:lineRule="auto"/>
        <w:ind w:firstLine="360"/>
        <w:rPr>
          <w:rFonts w:eastAsiaTheme="minorEastAsia"/>
          <w:noProof/>
          <w:sz w:val="22"/>
        </w:rPr>
      </w:pPr>
      <w:r w:rsidRPr="00C812F1">
        <w:rPr>
          <w:rFonts w:eastAsiaTheme="minorEastAsia"/>
          <w:noProof/>
          <w:sz w:val="22"/>
        </w:rPr>
        <w:t>By combining information from the previous cell and the input gate from the current time step, the information for the later step will be updated. Equation 4 represents how information is filtered from the forget gate layer combined with new information from the current time step. Other Sigmoid and Tanh functions help the LSTM cell decide what information should</w:t>
      </w:r>
      <w:r>
        <w:rPr>
          <w:rFonts w:eastAsiaTheme="minorEastAsia"/>
          <w:noProof/>
          <w:sz w:val="22"/>
        </w:rPr>
        <w:t xml:space="preserve"> be taken as output. Equations 5</w:t>
      </w:r>
      <w:r w:rsidRPr="00C812F1">
        <w:rPr>
          <w:rFonts w:eastAsiaTheme="minorEastAsia"/>
          <w:noProof/>
          <w:sz w:val="22"/>
        </w:rPr>
        <w:t xml:space="preserve"> and 6 represent the Sigmoidal and Tanh functions in the last step:</w:t>
      </w:r>
    </w:p>
    <w:p w:rsidR="005B4A41" w:rsidRPr="00C80CCD" w:rsidRDefault="005B4A41" w:rsidP="005B4A41">
      <w:pPr>
        <w:widowControl/>
        <w:spacing w:after="160" w:line="480" w:lineRule="auto"/>
        <w:rPr>
          <w:rFonts w:eastAsiaTheme="minorEastAsia" w:cs="Times New Roman"/>
          <w:noProof/>
          <w:szCs w:val="24"/>
        </w:rPr>
      </w:pPr>
      <m:oMath>
        <m:r>
          <w:rPr>
            <w:rFonts w:ascii="Cambria Math" w:hAnsi="Cambria Math"/>
            <w:szCs w:val="24"/>
          </w:rPr>
          <m:t>Ct=Ft*C</m:t>
        </m:r>
        <m:d>
          <m:dPr>
            <m:ctrlPr>
              <w:rPr>
                <w:rFonts w:ascii="Cambria Math" w:hAnsi="Cambria Math"/>
                <w:i/>
                <w:szCs w:val="24"/>
              </w:rPr>
            </m:ctrlPr>
          </m:dPr>
          <m:e>
            <m:r>
              <w:rPr>
                <w:rFonts w:ascii="Cambria Math" w:hAnsi="Cambria Math"/>
                <w:szCs w:val="24"/>
              </w:rPr>
              <m:t>t-1</m:t>
            </m:r>
          </m:e>
        </m:d>
        <m:r>
          <w:rPr>
            <w:rFonts w:ascii="Cambria Math" w:hAnsi="Cambria Math"/>
            <w:szCs w:val="24"/>
          </w:rPr>
          <m:t>+ It*C´t</m:t>
        </m:r>
      </m:oMath>
      <w:r w:rsidRPr="00C80CCD">
        <w:rPr>
          <w:rFonts w:ascii="Cambria Math" w:hAnsi="Cambria Math"/>
          <w:i/>
          <w:szCs w:val="24"/>
        </w:rPr>
        <w:t xml:space="preserve"> </w:t>
      </w:r>
      <w:r w:rsidRPr="00C80CCD">
        <w:rPr>
          <w:rFonts w:eastAsiaTheme="minorEastAsia" w:cs="Times New Roman"/>
          <w:noProof/>
          <w:szCs w:val="24"/>
        </w:rPr>
        <w:t xml:space="preserve">                                           </w:t>
      </w:r>
      <w:r>
        <w:rPr>
          <w:rFonts w:eastAsiaTheme="minorEastAsia" w:cs="Times New Roman"/>
          <w:noProof/>
          <w:szCs w:val="24"/>
        </w:rPr>
        <w:t xml:space="preserve">         </w:t>
      </w:r>
      <w:r w:rsidRPr="00C80CCD">
        <w:rPr>
          <w:rFonts w:eastAsiaTheme="minorEastAsia" w:cs="Times New Roman"/>
          <w:noProof/>
          <w:szCs w:val="24"/>
        </w:rPr>
        <w:t xml:space="preserve">                                                 (4)</w:t>
      </w:r>
    </w:p>
    <w:p w:rsidR="005B4A41" w:rsidRPr="00C80CCD" w:rsidRDefault="005B4A41" w:rsidP="005B4A41">
      <w:pPr>
        <w:widowControl/>
        <w:spacing w:after="160" w:line="480" w:lineRule="auto"/>
        <w:rPr>
          <w:rFonts w:eastAsiaTheme="minorEastAsia" w:cs="Times New Roman"/>
          <w:noProof/>
          <w:szCs w:val="24"/>
        </w:rPr>
      </w:pPr>
      <m:oMath>
        <m:r>
          <w:rPr>
            <w:rFonts w:ascii="Cambria Math" w:hAnsi="Cambria Math"/>
            <w:szCs w:val="24"/>
          </w:rPr>
          <m:t>Ot= σ(Wo</m:t>
        </m:r>
        <m:d>
          <m:dPr>
            <m:begChr m:val="["/>
            <m:endChr m:val="]"/>
            <m:ctrlPr>
              <w:rPr>
                <w:rFonts w:ascii="Cambria Math" w:hAnsi="Cambria Math"/>
                <w:i/>
                <w:szCs w:val="24"/>
              </w:rPr>
            </m:ctrlPr>
          </m:dPr>
          <m:e>
            <m:r>
              <w:rPr>
                <w:rFonts w:ascii="Cambria Math" w:hAnsi="Cambria Math"/>
                <w:szCs w:val="24"/>
              </w:rPr>
              <m:t>h</m:t>
            </m:r>
            <m:d>
              <m:dPr>
                <m:ctrlPr>
                  <w:rPr>
                    <w:rFonts w:ascii="Cambria Math" w:hAnsi="Cambria Math"/>
                    <w:i/>
                    <w:szCs w:val="24"/>
                  </w:rPr>
                </m:ctrlPr>
              </m:dPr>
              <m:e>
                <m:r>
                  <w:rPr>
                    <w:rFonts w:ascii="Cambria Math" w:hAnsi="Cambria Math"/>
                    <w:szCs w:val="24"/>
                  </w:rPr>
                  <m:t>t-1</m:t>
                </m:r>
              </m:e>
            </m:d>
            <m:r>
              <w:rPr>
                <w:rFonts w:ascii="Cambria Math" w:hAnsi="Cambria Math"/>
                <w:szCs w:val="24"/>
              </w:rPr>
              <m:t>,Xt</m:t>
            </m:r>
          </m:e>
        </m:d>
        <m:r>
          <w:rPr>
            <w:rFonts w:ascii="Cambria Math" w:hAnsi="Cambria Math"/>
            <w:szCs w:val="24"/>
          </w:rPr>
          <m:t>+bo</m:t>
        </m:r>
      </m:oMath>
      <w:r w:rsidRPr="00C80CCD">
        <w:rPr>
          <w:rFonts w:eastAsiaTheme="minorEastAsia" w:cs="Times New Roman"/>
          <w:noProof/>
          <w:szCs w:val="24"/>
        </w:rPr>
        <w:t xml:space="preserve">                                                                              </w:t>
      </w:r>
      <w:r>
        <w:rPr>
          <w:rFonts w:eastAsiaTheme="minorEastAsia" w:cs="Times New Roman"/>
          <w:noProof/>
          <w:szCs w:val="24"/>
        </w:rPr>
        <w:t xml:space="preserve">        </w:t>
      </w:r>
      <w:r w:rsidRPr="00C80CCD">
        <w:rPr>
          <w:rFonts w:eastAsiaTheme="minorEastAsia" w:cs="Times New Roman"/>
          <w:noProof/>
          <w:szCs w:val="24"/>
        </w:rPr>
        <w:t xml:space="preserve">            (5)</w:t>
      </w:r>
    </w:p>
    <w:p w:rsidR="005B4A41" w:rsidRPr="00C80CCD" w:rsidRDefault="005B4A41" w:rsidP="005B4A41">
      <w:pPr>
        <w:widowControl/>
        <w:spacing w:after="160" w:line="480" w:lineRule="auto"/>
        <w:rPr>
          <w:rFonts w:eastAsiaTheme="minorEastAsia" w:cs="Times New Roman"/>
          <w:noProof/>
          <w:szCs w:val="24"/>
        </w:rPr>
      </w:pPr>
      <m:oMath>
        <m:r>
          <w:rPr>
            <w:rFonts w:ascii="Cambria Math" w:hAnsi="Cambria Math"/>
            <w:szCs w:val="24"/>
          </w:rPr>
          <m:t>ht= Ot*tanh⁡(Ct)</m:t>
        </m:r>
      </m:oMath>
      <w:r w:rsidRPr="00C80CCD">
        <w:rPr>
          <w:rFonts w:eastAsiaTheme="minorEastAsia" w:cs="Times New Roman"/>
          <w:noProof/>
          <w:szCs w:val="24"/>
        </w:rPr>
        <w:t xml:space="preserve">                                                                                         </w:t>
      </w:r>
      <w:r>
        <w:rPr>
          <w:rFonts w:eastAsiaTheme="minorEastAsia" w:cs="Times New Roman"/>
          <w:noProof/>
          <w:szCs w:val="24"/>
        </w:rPr>
        <w:t xml:space="preserve">      </w:t>
      </w:r>
      <w:r w:rsidRPr="00C80CCD">
        <w:rPr>
          <w:rFonts w:eastAsiaTheme="minorEastAsia" w:cs="Times New Roman"/>
          <w:noProof/>
          <w:szCs w:val="24"/>
        </w:rPr>
        <w:t xml:space="preserve">                     (6)</w:t>
      </w:r>
    </w:p>
    <w:p w:rsidR="005B4A41" w:rsidRPr="00CB090C" w:rsidRDefault="005B4A41" w:rsidP="005B4A41">
      <w:pPr>
        <w:widowControl/>
        <w:spacing w:after="160" w:line="480" w:lineRule="auto"/>
        <w:ind w:firstLine="360"/>
        <w:rPr>
          <w:rFonts w:eastAsiaTheme="minorEastAsia" w:cs="Times New Roman"/>
          <w:noProof/>
        </w:rPr>
      </w:pPr>
      <w:r w:rsidRPr="00C812F1">
        <w:rPr>
          <w:rFonts w:eastAsiaTheme="minorEastAsia" w:cs="Times New Roman"/>
          <w:noProof/>
        </w:rPr>
        <w:t xml:space="preserve">where </w:t>
      </w:r>
      <m:oMath>
        <m:r>
          <w:rPr>
            <w:rFonts w:ascii="Cambria Math" w:eastAsiaTheme="minorEastAsia" w:hAnsi="Cambria Math" w:cs="Times New Roman"/>
            <w:noProof/>
          </w:rPr>
          <m:t>Ct</m:t>
        </m:r>
      </m:oMath>
      <w:r w:rsidRPr="00C812F1">
        <w:rPr>
          <w:rFonts w:eastAsiaTheme="minorEastAsia" w:cs="Times New Roman"/>
          <w:noProof/>
        </w:rPr>
        <w:t xml:space="preserve"> is a cell state (memory) at time step (t), </w:t>
      </w:r>
      <m:oMath>
        <m:r>
          <m:rPr>
            <m:sty m:val="p"/>
          </m:rPr>
          <w:rPr>
            <w:rFonts w:ascii="Cambria Math" w:eastAsiaTheme="minorEastAsia" w:hAnsi="Cambria Math" w:cs="Times New Roman"/>
            <w:noProof/>
          </w:rPr>
          <m:t>O</m:t>
        </m:r>
        <m:r>
          <w:rPr>
            <w:rFonts w:ascii="Cambria Math" w:eastAsiaTheme="minorEastAsia" w:hAnsi="Cambria Math" w:cs="Times New Roman"/>
            <w:noProof/>
          </w:rPr>
          <m:t>t</m:t>
        </m:r>
      </m:oMath>
      <w:r w:rsidRPr="00C812F1">
        <w:rPr>
          <w:rFonts w:eastAsiaTheme="minorEastAsia" w:cs="Times New Roman"/>
          <w:noProof/>
        </w:rPr>
        <w:t xml:space="preserve"> represents the output gate</w:t>
      </w:r>
      <w:r>
        <w:rPr>
          <w:rFonts w:eastAsiaTheme="minorEastAsia" w:cs="Times New Roman"/>
          <w:noProof/>
        </w:rPr>
        <w:t>,</w:t>
      </w:r>
      <w:r w:rsidRPr="00C812F1">
        <w:rPr>
          <w:rFonts w:eastAsiaTheme="minorEastAsia" w:cs="Times New Roman"/>
          <w:noProof/>
        </w:rPr>
        <w:t xml:space="preserve"> and </w:t>
      </w:r>
      <m:oMath>
        <m:r>
          <m:rPr>
            <m:sty m:val="p"/>
          </m:rPr>
          <w:rPr>
            <w:rFonts w:ascii="Cambria Math" w:eastAsiaTheme="minorEastAsia" w:hAnsi="Cambria Math" w:cs="Times New Roman"/>
            <w:noProof/>
          </w:rPr>
          <m:t>h</m:t>
        </m:r>
        <m:r>
          <w:rPr>
            <w:rFonts w:ascii="Cambria Math" w:eastAsiaTheme="minorEastAsia" w:hAnsi="Cambria Math" w:cs="Times New Roman"/>
            <w:noProof/>
          </w:rPr>
          <m:t>t</m:t>
        </m:r>
      </m:oMath>
      <w:r w:rsidRPr="00C812F1">
        <w:rPr>
          <w:rFonts w:eastAsiaTheme="minorEastAsia" w:cs="Times New Roman"/>
          <w:noProof/>
        </w:rPr>
        <w:t xml:space="preserve"> represents the output of the LSTM block at time step (t).</w:t>
      </w:r>
    </w:p>
    <w:p w:rsidR="005B4A41" w:rsidRDefault="005B4A41" w:rsidP="005B4A41">
      <w:pPr>
        <w:pStyle w:val="Heading3"/>
      </w:pPr>
      <w:bookmarkStart w:id="12" w:name="_Toc40744426"/>
      <w:r>
        <w:t>Model Training</w:t>
      </w:r>
      <w:bookmarkEnd w:id="12"/>
    </w:p>
    <w:p w:rsidR="005B4A41" w:rsidRDefault="005B4A41" w:rsidP="005B4A41">
      <w:pPr>
        <w:widowControl/>
        <w:spacing w:after="160" w:line="480" w:lineRule="auto"/>
        <w:ind w:firstLine="720"/>
        <w:rPr>
          <w:rFonts w:cs="Times New Roman"/>
          <w:noProof/>
        </w:rPr>
      </w:pPr>
      <w:r w:rsidRPr="00C812F1">
        <w:rPr>
          <w:rFonts w:cs="Times New Roman"/>
          <w:noProof/>
        </w:rPr>
        <w:t>For the learning process in the LSTM algorithm, the dataset corresponding to PCC and COM pavements is divided into training (70%) and validation (30%) sets. Because the number of records in AC pavements was less than that of the two other pavement types, the database was divided into training (80%) and validation (20%) sets for AC pavements. The training dataset was used for developing the model and conducting the learning process, while the validation dataset was used for checking the accuracy of the model.</w:t>
      </w:r>
    </w:p>
    <w:p w:rsidR="005B4A41" w:rsidRDefault="005B4A41" w:rsidP="005B4A41">
      <w:pPr>
        <w:pStyle w:val="Heading3"/>
      </w:pPr>
      <w:bookmarkStart w:id="13" w:name="_Toc40744427"/>
      <w:r>
        <w:t>Validation</w:t>
      </w:r>
      <w:bookmarkEnd w:id="13"/>
    </w:p>
    <w:p w:rsidR="005B4A41" w:rsidRDefault="005B4A41" w:rsidP="005B4A41">
      <w:pPr>
        <w:widowControl/>
        <w:spacing w:after="160" w:line="480" w:lineRule="auto"/>
        <w:ind w:firstLine="720"/>
        <w:rPr>
          <w:rFonts w:cs="Times New Roman"/>
          <w:noProof/>
        </w:rPr>
      </w:pPr>
      <w:r w:rsidRPr="00C812F1">
        <w:rPr>
          <w:rFonts w:cs="Times New Roman"/>
          <w:noProof/>
        </w:rPr>
        <w:t xml:space="preserve">Model validation is performed to confirm that the output of the statistical model is acceptable with respect to the collected data (actual data). In order to evaluate any machine </w:t>
      </w:r>
      <w:r w:rsidRPr="00C812F1">
        <w:rPr>
          <w:rFonts w:cs="Times New Roman"/>
          <w:noProof/>
        </w:rPr>
        <w:lastRenderedPageBreak/>
        <w:t>learning model, it is necessary to test the model with data not used in the training set. In this study, a Train_Test split approach was used for Cross-Validation (CV), a validation technique that checks the effectiveness of the machine-learning model. After performing model training on 70% of the database (the training dataset), the validation dataset was used as a test sample to validate model performance.</w:t>
      </w:r>
    </w:p>
    <w:p w:rsidR="005B4A41" w:rsidRDefault="005B4A41" w:rsidP="005B4A41">
      <w:pPr>
        <w:pStyle w:val="Heading3"/>
      </w:pPr>
      <w:bookmarkStart w:id="14" w:name="_Toc40744428"/>
      <w:r>
        <w:t>Comparison</w:t>
      </w:r>
      <w:bookmarkEnd w:id="14"/>
    </w:p>
    <w:p w:rsidR="005B4A41" w:rsidRDefault="005B4A41" w:rsidP="005B4A41">
      <w:pPr>
        <w:widowControl/>
        <w:spacing w:after="160" w:line="480" w:lineRule="auto"/>
        <w:ind w:firstLine="720"/>
        <w:rPr>
          <w:rFonts w:cs="Times New Roman"/>
          <w:noProof/>
        </w:rPr>
      </w:pPr>
      <w:r w:rsidRPr="00C812F1">
        <w:rPr>
          <w:rFonts w:cs="Times New Roman"/>
          <w:noProof/>
        </w:rPr>
        <w:t>The LSTM model performance was compared with the sigmoidal and exponential functions used by Iowa DOT to fit deterioration models for individual sections. The accuracy of each model with respect to riding, cracking, and rutting in AC and COM pavement types, and riding, cracking, and faulting in PCC pavement types w</w:t>
      </w:r>
      <w:r>
        <w:rPr>
          <w:rFonts w:cs="Times New Roman"/>
          <w:noProof/>
        </w:rPr>
        <w:t>ere</w:t>
      </w:r>
      <w:r w:rsidRPr="00C812F1">
        <w:rPr>
          <w:rFonts w:cs="Times New Roman"/>
          <w:noProof/>
        </w:rPr>
        <w:t xml:space="preserve"> compared for both models.</w:t>
      </w:r>
    </w:p>
    <w:p w:rsidR="005B4A41" w:rsidRDefault="005B4A41" w:rsidP="005B4A41">
      <w:pPr>
        <w:pStyle w:val="Heading2"/>
      </w:pPr>
      <w:bookmarkStart w:id="15" w:name="_Toc40744429"/>
      <w:r>
        <w:t>Result and Discussion</w:t>
      </w:r>
      <w:bookmarkEnd w:id="15"/>
    </w:p>
    <w:p w:rsidR="005B4A41" w:rsidRDefault="005B4A41" w:rsidP="005B4A41">
      <w:pPr>
        <w:widowControl/>
        <w:spacing w:after="160" w:line="480" w:lineRule="auto"/>
        <w:ind w:firstLine="720"/>
        <w:rPr>
          <w:rFonts w:asciiTheme="majorBidi" w:hAnsiTheme="majorBidi" w:cstheme="majorBidi"/>
        </w:rPr>
      </w:pPr>
      <w:r w:rsidRPr="0095770F">
        <w:rPr>
          <w:rFonts w:asciiTheme="majorBidi" w:hAnsiTheme="majorBidi" w:cstheme="majorBidi"/>
        </w:rPr>
        <w:t xml:space="preserve">In the following sections, the application of each </w:t>
      </w:r>
      <w:r>
        <w:rPr>
          <w:rFonts w:asciiTheme="majorBidi" w:hAnsiTheme="majorBidi" w:cstheme="majorBidi"/>
        </w:rPr>
        <w:t>modeling</w:t>
      </w:r>
      <w:r w:rsidRPr="0095770F">
        <w:rPr>
          <w:rFonts w:asciiTheme="majorBidi" w:hAnsiTheme="majorBidi" w:cstheme="majorBidi"/>
        </w:rPr>
        <w:t xml:space="preserve"> approa</w:t>
      </w:r>
      <w:r>
        <w:rPr>
          <w:rFonts w:asciiTheme="majorBidi" w:hAnsiTheme="majorBidi" w:cstheme="majorBidi"/>
        </w:rPr>
        <w:t>ch</w:t>
      </w:r>
      <w:r w:rsidRPr="0095770F">
        <w:rPr>
          <w:rFonts w:asciiTheme="majorBidi" w:hAnsiTheme="majorBidi" w:cstheme="majorBidi"/>
        </w:rPr>
        <w:t xml:space="preserve"> in the databases of the three different pavement types is described and the results are presented and discussed. The overall results from both</w:t>
      </w:r>
      <w:r>
        <w:rPr>
          <w:rFonts w:asciiTheme="majorBidi" w:hAnsiTheme="majorBidi" w:cstheme="majorBidi"/>
        </w:rPr>
        <w:t xml:space="preserve"> models are presented in Table 4</w:t>
      </w:r>
      <w:r w:rsidRPr="0095770F">
        <w:rPr>
          <w:rFonts w:asciiTheme="majorBidi" w:hAnsiTheme="majorBidi" w:cstheme="majorBidi"/>
        </w:rPr>
        <w:t>, with the actual value of each index compared with the predicted value of the same index from the LSTM and Iowa DOT regression models.</w:t>
      </w:r>
    </w:p>
    <w:p w:rsidR="005B4A41" w:rsidRDefault="005B4A41" w:rsidP="005B4A41">
      <w:pPr>
        <w:widowControl/>
        <w:spacing w:after="160" w:line="480" w:lineRule="auto"/>
        <w:ind w:firstLine="720"/>
        <w:rPr>
          <w:rFonts w:asciiTheme="majorBidi" w:hAnsiTheme="majorBidi" w:cstheme="majorBidi"/>
        </w:rPr>
      </w:pPr>
      <w:r w:rsidRPr="0095770F">
        <w:rPr>
          <w:rFonts w:asciiTheme="majorBidi" w:hAnsiTheme="majorBidi" w:cstheme="majorBidi"/>
        </w:rPr>
        <w:t>The Iowa DOT has an individual regression model for each individual section with specific factors for predicting the future condition of the pavements based on age. While the sigmoidal transformation functions were applied to cracking, rutting, and faulting indices, the exponential function was used to fit the riding index. Based on the actual and predicted values of each index, the PCI value was calculated for each pavement ty</w:t>
      </w:r>
      <w:r>
        <w:rPr>
          <w:rFonts w:asciiTheme="majorBidi" w:hAnsiTheme="majorBidi" w:cstheme="majorBidi"/>
        </w:rPr>
        <w:t>pe. Figures (11-13</w:t>
      </w:r>
      <w:r w:rsidRPr="0095770F">
        <w:rPr>
          <w:rFonts w:asciiTheme="majorBidi" w:hAnsiTheme="majorBidi" w:cstheme="majorBidi"/>
        </w:rPr>
        <w:t>) present the comparisons between actual PCI value and predicted PCI value for each pavement type in the DOT and LSTM models.</w:t>
      </w:r>
    </w:p>
    <w:p w:rsidR="005B4A41" w:rsidRDefault="005B4A41" w:rsidP="005B4A41">
      <w:pPr>
        <w:widowControl/>
        <w:spacing w:after="160" w:line="480" w:lineRule="auto"/>
        <w:ind w:firstLine="720"/>
        <w:rPr>
          <w:rFonts w:asciiTheme="majorBidi" w:hAnsiTheme="majorBidi" w:cstheme="majorBidi"/>
        </w:rPr>
        <w:sectPr w:rsidR="005B4A41" w:rsidSect="00CB090C">
          <w:headerReference w:type="default" r:id="rId12"/>
          <w:pgSz w:w="12240" w:h="15840"/>
          <w:pgMar w:top="1440" w:right="1440" w:bottom="1440" w:left="1440" w:header="720" w:footer="720" w:gutter="0"/>
          <w:pgNumType w:start="1"/>
          <w:cols w:space="720"/>
          <w:docGrid w:linePitch="360"/>
        </w:sectPr>
      </w:pPr>
    </w:p>
    <w:p w:rsidR="005B4A41" w:rsidRPr="00CB090C" w:rsidRDefault="005B4A41" w:rsidP="005B4A41">
      <w:pPr>
        <w:pStyle w:val="Caption"/>
        <w:keepNext/>
        <w:spacing w:before="0" w:after="0"/>
        <w:rPr>
          <w:b/>
          <w:i/>
        </w:rPr>
      </w:pPr>
      <w:bookmarkStart w:id="16" w:name="_Toc40744688"/>
      <w:r w:rsidRPr="00CB090C">
        <w:rPr>
          <w:b/>
          <w:i/>
        </w:rPr>
        <w:lastRenderedPageBreak/>
        <w:t xml:space="preserve">Table </w:t>
      </w:r>
      <w:r w:rsidRPr="00CB090C">
        <w:rPr>
          <w:b/>
          <w:i/>
        </w:rPr>
        <w:fldChar w:fldCharType="begin"/>
      </w:r>
      <w:r w:rsidRPr="00CB090C">
        <w:rPr>
          <w:b/>
          <w:i/>
        </w:rPr>
        <w:instrText xml:space="preserve"> SEQ Table \* ARABIC </w:instrText>
      </w:r>
      <w:r w:rsidRPr="00CB090C">
        <w:rPr>
          <w:b/>
          <w:i/>
        </w:rPr>
        <w:fldChar w:fldCharType="separate"/>
      </w:r>
      <w:r>
        <w:rPr>
          <w:b/>
          <w:i/>
          <w:noProof/>
        </w:rPr>
        <w:t>4</w:t>
      </w:r>
      <w:r w:rsidRPr="00CB090C">
        <w:rPr>
          <w:b/>
          <w:i/>
        </w:rPr>
        <w:fldChar w:fldCharType="end"/>
      </w:r>
      <w:r w:rsidRPr="00CB090C">
        <w:rPr>
          <w:b/>
          <w:i/>
        </w:rPr>
        <w:t xml:space="preserve">: Summary statistic of each model on </w:t>
      </w:r>
      <w:r>
        <w:rPr>
          <w:b/>
          <w:i/>
        </w:rPr>
        <w:t xml:space="preserve">the </w:t>
      </w:r>
      <w:r w:rsidRPr="00CB090C">
        <w:rPr>
          <w:b/>
          <w:i/>
        </w:rPr>
        <w:t>test dataset</w:t>
      </w:r>
      <w:bookmarkEnd w:id="16"/>
    </w:p>
    <w:tbl>
      <w:tblPr>
        <w:tblStyle w:val="PlainTable1"/>
        <w:tblpPr w:leftFromText="180" w:rightFromText="180" w:vertAnchor="text" w:horzAnchor="margin" w:tblpXSpec="right" w:tblpY="777"/>
        <w:tblW w:w="13238" w:type="dxa"/>
        <w:tblLook w:val="04A0" w:firstRow="1" w:lastRow="0" w:firstColumn="1" w:lastColumn="0" w:noHBand="0" w:noVBand="1"/>
      </w:tblPr>
      <w:tblGrid>
        <w:gridCol w:w="816"/>
        <w:gridCol w:w="870"/>
        <w:gridCol w:w="815"/>
        <w:gridCol w:w="1539"/>
        <w:gridCol w:w="1851"/>
        <w:gridCol w:w="2927"/>
        <w:gridCol w:w="3239"/>
        <w:gridCol w:w="1181"/>
      </w:tblGrid>
      <w:tr w:rsidR="005B4A41" w:rsidTr="00366952">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BFBFBF" w:themeColor="background1" w:themeShade="BF"/>
              <w:right w:val="nil"/>
            </w:tcBorders>
          </w:tcPr>
          <w:p w:rsidR="005B4A41" w:rsidRDefault="005B4A41" w:rsidP="00366952">
            <w:pPr>
              <w:jc w:val="center"/>
            </w:pPr>
          </w:p>
        </w:tc>
        <w:tc>
          <w:tcPr>
            <w:tcW w:w="0" w:type="auto"/>
            <w:tcBorders>
              <w:top w:val="nil"/>
              <w:left w:val="nil"/>
              <w:bottom w:val="single" w:sz="4" w:space="0" w:color="BFBFBF" w:themeColor="background1" w:themeShade="BF"/>
              <w:right w:val="nil"/>
            </w:tcBorders>
          </w:tcPr>
          <w:p w:rsidR="005B4A41" w:rsidRPr="00C87D04" w:rsidRDefault="005B4A41" w:rsidP="00366952">
            <w:pPr>
              <w:jc w:val="center"/>
              <w:cnfStyle w:val="100000000000" w:firstRow="1" w:lastRow="0" w:firstColumn="0" w:lastColumn="0" w:oddVBand="0" w:evenVBand="0" w:oddHBand="0" w:evenHBand="0" w:firstRowFirstColumn="0" w:firstRowLastColumn="0" w:lastRowFirstColumn="0" w:lastRowLastColumn="0"/>
            </w:pPr>
          </w:p>
        </w:tc>
        <w:tc>
          <w:tcPr>
            <w:tcW w:w="0" w:type="auto"/>
            <w:tcBorders>
              <w:top w:val="nil"/>
              <w:left w:val="nil"/>
              <w:bottom w:val="single" w:sz="4" w:space="0" w:color="BFBFBF" w:themeColor="background1" w:themeShade="BF"/>
              <w:right w:val="single" w:sz="4" w:space="0" w:color="BFBFBF" w:themeColor="background1" w:themeShade="BF"/>
            </w:tcBorders>
          </w:tcPr>
          <w:p w:rsidR="005B4A41" w:rsidRPr="00C87D04" w:rsidRDefault="005B4A41" w:rsidP="00366952">
            <w:pPr>
              <w:jc w:val="center"/>
              <w:cnfStyle w:val="100000000000" w:firstRow="1" w:lastRow="0" w:firstColumn="0" w:lastColumn="0" w:oddVBand="0" w:evenVBand="0" w:oddHBand="0" w:evenHBand="0" w:firstRowFirstColumn="0" w:firstRowLastColumn="0" w:lastRowFirstColumn="0" w:lastRowLastColumn="0"/>
              <w:rPr>
                <w:i/>
                <w:iCs/>
              </w:rPr>
            </w:pPr>
          </w:p>
        </w:tc>
        <w:tc>
          <w:tcPr>
            <w:tcW w:w="0" w:type="auto"/>
            <w:tcBorders>
              <w:left w:val="single" w:sz="4" w:space="0" w:color="BFBFBF" w:themeColor="background1" w:themeShade="BF"/>
            </w:tcBorders>
          </w:tcPr>
          <w:p w:rsidR="005B4A41" w:rsidRPr="00C87D04" w:rsidRDefault="005B4A41" w:rsidP="00366952">
            <w:pPr>
              <w:jc w:val="center"/>
              <w:cnfStyle w:val="100000000000" w:firstRow="1" w:lastRow="0" w:firstColumn="0" w:lastColumn="0" w:oddVBand="0" w:evenVBand="0" w:oddHBand="0" w:evenHBand="0" w:firstRowFirstColumn="0" w:firstRowLastColumn="0" w:lastRowFirstColumn="0" w:lastRowLastColumn="0"/>
            </w:pPr>
            <w:r>
              <w:t>Actual mean</w:t>
            </w:r>
          </w:p>
        </w:tc>
        <w:tc>
          <w:tcPr>
            <w:tcW w:w="0" w:type="auto"/>
          </w:tcPr>
          <w:p w:rsidR="005B4A41" w:rsidRPr="003768A4" w:rsidRDefault="005B4A41" w:rsidP="00366952">
            <w:pPr>
              <w:jc w:val="center"/>
              <w:cnfStyle w:val="100000000000" w:firstRow="1" w:lastRow="0" w:firstColumn="0" w:lastColumn="0" w:oddVBand="0" w:evenVBand="0" w:oddHBand="0" w:evenHBand="0" w:firstRowFirstColumn="0" w:firstRowLastColumn="0" w:lastRowFirstColumn="0" w:lastRowLastColumn="0"/>
            </w:pPr>
            <w:r>
              <w:t>Predicted mean</w:t>
            </w:r>
          </w:p>
        </w:tc>
        <w:tc>
          <w:tcPr>
            <w:tcW w:w="0" w:type="auto"/>
          </w:tcPr>
          <w:p w:rsidR="005B4A41" w:rsidRPr="003768A4" w:rsidRDefault="005B4A41" w:rsidP="00366952">
            <w:pPr>
              <w:jc w:val="center"/>
              <w:cnfStyle w:val="100000000000" w:firstRow="1" w:lastRow="0" w:firstColumn="0" w:lastColumn="0" w:oddVBand="0" w:evenVBand="0" w:oddHBand="0" w:evenHBand="0" w:firstRowFirstColumn="0" w:firstRowLastColumn="0" w:lastRowFirstColumn="0" w:lastRowLastColumn="0"/>
            </w:pPr>
            <w:r>
              <w:t>Actual standard deviation</w:t>
            </w:r>
          </w:p>
        </w:tc>
        <w:tc>
          <w:tcPr>
            <w:tcW w:w="0" w:type="auto"/>
          </w:tcPr>
          <w:p w:rsidR="005B4A41" w:rsidRPr="003768A4" w:rsidRDefault="005B4A41" w:rsidP="00366952">
            <w:pPr>
              <w:jc w:val="center"/>
              <w:cnfStyle w:val="100000000000" w:firstRow="1" w:lastRow="0" w:firstColumn="0" w:lastColumn="0" w:oddVBand="0" w:evenVBand="0" w:oddHBand="0" w:evenHBand="0" w:firstRowFirstColumn="0" w:firstRowLastColumn="0" w:lastRowFirstColumn="0" w:lastRowLastColumn="0"/>
            </w:pPr>
            <w:r>
              <w:t>Predicted standard deviation</w:t>
            </w:r>
          </w:p>
        </w:tc>
        <w:tc>
          <w:tcPr>
            <w:tcW w:w="0" w:type="auto"/>
          </w:tcPr>
          <w:p w:rsidR="005B4A41" w:rsidRPr="003768A4" w:rsidRDefault="005B4A41" w:rsidP="00366952">
            <w:pPr>
              <w:jc w:val="center"/>
              <w:cnfStyle w:val="100000000000" w:firstRow="1" w:lastRow="0" w:firstColumn="0" w:lastColumn="0" w:oddVBand="0" w:evenVBand="0" w:oddHBand="0" w:evenHBand="0" w:firstRowFirstColumn="0" w:firstRowLastColumn="0" w:lastRowFirstColumn="0" w:lastRowLastColumn="0"/>
            </w:pPr>
            <w:r>
              <w:t>R-square</w:t>
            </w:r>
          </w:p>
        </w:tc>
      </w:tr>
      <w:tr w:rsidR="005B4A41" w:rsidTr="0036695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FBFBF" w:themeColor="background1" w:themeShade="BF"/>
            </w:tcBorders>
          </w:tcPr>
          <w:p w:rsidR="005B4A41" w:rsidRDefault="005B4A41" w:rsidP="00366952">
            <w:pPr>
              <w:jc w:val="center"/>
            </w:pPr>
            <w:r>
              <w:t>PCC</w:t>
            </w:r>
          </w:p>
        </w:tc>
        <w:tc>
          <w:tcPr>
            <w:tcW w:w="0" w:type="auto"/>
            <w:vMerge w:val="restart"/>
            <w:tcBorders>
              <w:top w:val="single" w:sz="4" w:space="0" w:color="BFBFBF" w:themeColor="background1" w:themeShade="BF"/>
            </w:tcBorders>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b/>
                <w:bCs/>
              </w:rPr>
            </w:pPr>
            <w:r w:rsidRPr="00C87D04">
              <w:t>DOT</w:t>
            </w:r>
          </w:p>
        </w:tc>
        <w:tc>
          <w:tcPr>
            <w:tcW w:w="0" w:type="auto"/>
            <w:tcBorders>
              <w:top w:val="single" w:sz="4" w:space="0" w:color="BFBFBF" w:themeColor="background1" w:themeShade="BF"/>
            </w:tcBorders>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b/>
                <w:bCs/>
                <w:i/>
                <w:iCs/>
              </w:rPr>
            </w:pPr>
            <w:r w:rsidRPr="00C87D04">
              <w:rPr>
                <w:i/>
                <w:iCs/>
              </w:rPr>
              <w:t>PCI</w:t>
            </w: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b/>
                <w:bCs/>
              </w:rPr>
            </w:pPr>
            <w:r w:rsidRPr="00C87D04">
              <w:t>58.06</w:t>
            </w:r>
          </w:p>
        </w:tc>
        <w:tc>
          <w:tcPr>
            <w:tcW w:w="0" w:type="auto"/>
          </w:tcPr>
          <w:p w:rsidR="005B4A41" w:rsidRPr="003768A4" w:rsidRDefault="005B4A41" w:rsidP="00366952">
            <w:pPr>
              <w:jc w:val="center"/>
              <w:cnfStyle w:val="000000100000" w:firstRow="0" w:lastRow="0" w:firstColumn="0" w:lastColumn="0" w:oddVBand="0" w:evenVBand="0" w:oddHBand="1" w:evenHBand="0" w:firstRowFirstColumn="0" w:firstRowLastColumn="0" w:lastRowFirstColumn="0" w:lastRowLastColumn="0"/>
              <w:rPr>
                <w:b/>
                <w:bCs/>
              </w:rPr>
            </w:pPr>
            <w:r w:rsidRPr="003768A4">
              <w:t>68.63</w:t>
            </w:r>
          </w:p>
        </w:tc>
        <w:tc>
          <w:tcPr>
            <w:tcW w:w="0" w:type="auto"/>
          </w:tcPr>
          <w:p w:rsidR="005B4A41" w:rsidRPr="003768A4" w:rsidRDefault="005B4A41" w:rsidP="00366952">
            <w:pPr>
              <w:jc w:val="center"/>
              <w:cnfStyle w:val="000000100000" w:firstRow="0" w:lastRow="0" w:firstColumn="0" w:lastColumn="0" w:oddVBand="0" w:evenVBand="0" w:oddHBand="1" w:evenHBand="0" w:firstRowFirstColumn="0" w:firstRowLastColumn="0" w:lastRowFirstColumn="0" w:lastRowLastColumn="0"/>
              <w:rPr>
                <w:b/>
                <w:bCs/>
              </w:rPr>
            </w:pPr>
            <w:r w:rsidRPr="003768A4">
              <w:t>23.18</w:t>
            </w:r>
          </w:p>
        </w:tc>
        <w:tc>
          <w:tcPr>
            <w:tcW w:w="0" w:type="auto"/>
          </w:tcPr>
          <w:p w:rsidR="005B4A41" w:rsidRPr="003768A4" w:rsidRDefault="005B4A41" w:rsidP="00366952">
            <w:pPr>
              <w:jc w:val="center"/>
              <w:cnfStyle w:val="000000100000" w:firstRow="0" w:lastRow="0" w:firstColumn="0" w:lastColumn="0" w:oddVBand="0" w:evenVBand="0" w:oddHBand="1" w:evenHBand="0" w:firstRowFirstColumn="0" w:firstRowLastColumn="0" w:lastRowFirstColumn="0" w:lastRowLastColumn="0"/>
              <w:rPr>
                <w:b/>
                <w:bCs/>
              </w:rPr>
            </w:pPr>
            <w:r w:rsidRPr="003768A4">
              <w:t>19.14</w:t>
            </w:r>
          </w:p>
        </w:tc>
        <w:tc>
          <w:tcPr>
            <w:tcW w:w="0" w:type="auto"/>
          </w:tcPr>
          <w:p w:rsidR="005B4A41" w:rsidRPr="003768A4" w:rsidRDefault="005B4A41" w:rsidP="00366952">
            <w:pPr>
              <w:jc w:val="center"/>
              <w:cnfStyle w:val="000000100000" w:firstRow="0" w:lastRow="0" w:firstColumn="0" w:lastColumn="0" w:oddVBand="0" w:evenVBand="0" w:oddHBand="1" w:evenHBand="0" w:firstRowFirstColumn="0" w:firstRowLastColumn="0" w:lastRowFirstColumn="0" w:lastRowLastColumn="0"/>
              <w:rPr>
                <w:b/>
                <w:bCs/>
              </w:rPr>
            </w:pPr>
            <w:r>
              <w:t>0.44</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Crack</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79.62</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83.02</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23.83</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17.56</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0.26</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Fault</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61.27</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99.74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20.04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0.21</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-3.68</w:t>
            </w:r>
          </w:p>
        </w:tc>
      </w:tr>
      <w:tr w:rsidR="005B4A41" w:rsidTr="00366952">
        <w:trPr>
          <w:trHeight w:val="294"/>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Ride</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34.89</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38.69</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39.55</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37.82</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0.66</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val="restart"/>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LSTM</w:t>
            </w: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PCI</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58.06</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54.13</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23.18</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21.12</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0.70</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Crack</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79.62</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67.67</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23.83</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20.95</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-0.26</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Fault</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61.27</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62.78</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20.04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14.30</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0.62</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Ride</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34.89</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36.27</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39.55</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40.48</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0.86</w:t>
            </w:r>
          </w:p>
        </w:tc>
      </w:tr>
      <w:tr w:rsidR="005B4A41" w:rsidTr="0036695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vMerge w:val="restart"/>
          </w:tcPr>
          <w:p w:rsidR="005B4A41" w:rsidRDefault="005B4A41" w:rsidP="00366952">
            <w:pPr>
              <w:jc w:val="center"/>
            </w:pPr>
            <w:r>
              <w:t>COM</w:t>
            </w:r>
          </w:p>
        </w:tc>
        <w:tc>
          <w:tcPr>
            <w:tcW w:w="0" w:type="auto"/>
            <w:vMerge w:val="restart"/>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DOT</w:t>
            </w: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PCI</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68.71</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78.66</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19.61</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17.9</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0.11</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Crack</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62.91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78.08</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19.74</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15.75</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-0.05</w:t>
            </w:r>
          </w:p>
        </w:tc>
      </w:tr>
      <w:tr w:rsidR="005B4A41" w:rsidTr="0036695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Rut</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60.44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98.36</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17.35</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0.57</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-4.7</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Ride</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78.64</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74.51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32.41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34.35</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-0.02</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val="restart"/>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LSTM</w:t>
            </w: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PCI</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68.71</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72.48</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19.61</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17.55</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0.50</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Crack</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62.91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66.01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19.74</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16.88</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0.39</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Rut</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60.44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61.92</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17.35</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15.35</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0.19</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Ride</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78.64</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84.23</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32.41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29.03</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0.43</w:t>
            </w:r>
          </w:p>
        </w:tc>
      </w:tr>
      <w:tr w:rsidR="005B4A41" w:rsidTr="00366952">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vMerge w:val="restart"/>
          </w:tcPr>
          <w:p w:rsidR="005B4A41" w:rsidRDefault="005B4A41" w:rsidP="00366952">
            <w:pPr>
              <w:jc w:val="center"/>
            </w:pPr>
            <w:r>
              <w:t>AC</w:t>
            </w:r>
          </w:p>
        </w:tc>
        <w:tc>
          <w:tcPr>
            <w:tcW w:w="0" w:type="auto"/>
            <w:vMerge w:val="restart"/>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DOT</w:t>
            </w: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PCI</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71.02</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82.95</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19.58</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17.73</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0.31</w:t>
            </w:r>
          </w:p>
        </w:tc>
      </w:tr>
      <w:tr w:rsidR="005B4A41" w:rsidTr="00366952">
        <w:trPr>
          <w:trHeight w:val="294"/>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Crack</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64.11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80.88</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24.52</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16.02</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0.15</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Rut</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64.05</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98.42</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15.14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0.47</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-5.11</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Ride</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81.51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77.29</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29.83</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33.73</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0.55</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val="restart"/>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LSTM</w:t>
            </w: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PCI</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71.02</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72.89</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19.58</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17.36</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0.61</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Crack</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64.11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67.08</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24.52</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21.78</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0.35</w:t>
            </w:r>
          </w:p>
        </w:tc>
      </w:tr>
      <w:tr w:rsidR="005B4A41" w:rsidTr="0036695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p>
        </w:tc>
        <w:tc>
          <w:tcPr>
            <w:tcW w:w="0" w:type="auto"/>
          </w:tcPr>
          <w:p w:rsidR="005B4A41" w:rsidRPr="00C87D04" w:rsidRDefault="005B4A41" w:rsidP="00366952">
            <w:pPr>
              <w:jc w:val="center"/>
              <w:cnfStyle w:val="000000100000" w:firstRow="0" w:lastRow="0" w:firstColumn="0" w:lastColumn="0" w:oddVBand="0" w:evenVBand="0" w:oddHBand="1" w:evenHBand="0" w:firstRowFirstColumn="0" w:firstRowLastColumn="0" w:lastRowFirstColumn="0" w:lastRowLastColumn="0"/>
              <w:rPr>
                <w:i/>
                <w:iCs/>
              </w:rPr>
            </w:pPr>
            <w:r w:rsidRPr="00C87D04">
              <w:rPr>
                <w:i/>
                <w:iCs/>
              </w:rPr>
              <w:t>Rut</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64.05</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63.74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15.14</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12.33</w:t>
            </w:r>
          </w:p>
        </w:tc>
        <w:tc>
          <w:tcPr>
            <w:tcW w:w="0" w:type="auto"/>
          </w:tcPr>
          <w:p w:rsidR="005B4A41" w:rsidRDefault="005B4A41" w:rsidP="00366952">
            <w:pPr>
              <w:jc w:val="center"/>
              <w:cnfStyle w:val="000000100000" w:firstRow="0" w:lastRow="0" w:firstColumn="0" w:lastColumn="0" w:oddVBand="0" w:evenVBand="0" w:oddHBand="1" w:evenHBand="0" w:firstRowFirstColumn="0" w:firstRowLastColumn="0" w:lastRowFirstColumn="0" w:lastRowLastColumn="0"/>
            </w:pPr>
            <w:r>
              <w:t>0.19</w:t>
            </w:r>
          </w:p>
        </w:tc>
      </w:tr>
      <w:tr w:rsidR="005B4A41" w:rsidTr="00366952">
        <w:trPr>
          <w:trHeight w:val="305"/>
        </w:trPr>
        <w:tc>
          <w:tcPr>
            <w:cnfStyle w:val="001000000000" w:firstRow="0" w:lastRow="0" w:firstColumn="1" w:lastColumn="0" w:oddVBand="0" w:evenVBand="0" w:oddHBand="0" w:evenHBand="0" w:firstRowFirstColumn="0" w:firstRowLastColumn="0" w:lastRowFirstColumn="0" w:lastRowLastColumn="0"/>
            <w:tcW w:w="0" w:type="auto"/>
            <w:vMerge/>
          </w:tcPr>
          <w:p w:rsidR="005B4A41" w:rsidRDefault="005B4A41" w:rsidP="00366952">
            <w:pPr>
              <w:jc w:val="center"/>
            </w:pPr>
          </w:p>
        </w:tc>
        <w:tc>
          <w:tcPr>
            <w:tcW w:w="0" w:type="auto"/>
            <w:vMerge/>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p>
        </w:tc>
        <w:tc>
          <w:tcPr>
            <w:tcW w:w="0" w:type="auto"/>
          </w:tcPr>
          <w:p w:rsidR="005B4A41" w:rsidRPr="00C87D04" w:rsidRDefault="005B4A41" w:rsidP="00366952">
            <w:pPr>
              <w:jc w:val="center"/>
              <w:cnfStyle w:val="000000000000" w:firstRow="0" w:lastRow="0" w:firstColumn="0" w:lastColumn="0" w:oddVBand="0" w:evenVBand="0" w:oddHBand="0" w:evenHBand="0" w:firstRowFirstColumn="0" w:firstRowLastColumn="0" w:lastRowFirstColumn="0" w:lastRowLastColumn="0"/>
              <w:rPr>
                <w:i/>
                <w:iCs/>
              </w:rPr>
            </w:pPr>
            <w:r w:rsidRPr="00C87D04">
              <w:rPr>
                <w:i/>
                <w:iCs/>
              </w:rPr>
              <w:t>Ride</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81.51</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83.28</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29.83</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27.65</w:t>
            </w:r>
          </w:p>
        </w:tc>
        <w:tc>
          <w:tcPr>
            <w:tcW w:w="0" w:type="auto"/>
          </w:tcPr>
          <w:p w:rsidR="005B4A41" w:rsidRDefault="005B4A41" w:rsidP="00366952">
            <w:pPr>
              <w:jc w:val="center"/>
              <w:cnfStyle w:val="000000000000" w:firstRow="0" w:lastRow="0" w:firstColumn="0" w:lastColumn="0" w:oddVBand="0" w:evenVBand="0" w:oddHBand="0" w:evenHBand="0" w:firstRowFirstColumn="0" w:firstRowLastColumn="0" w:lastRowFirstColumn="0" w:lastRowLastColumn="0"/>
            </w:pPr>
            <w:r>
              <w:t>0.61</w:t>
            </w:r>
          </w:p>
        </w:tc>
      </w:tr>
    </w:tbl>
    <w:p w:rsidR="005B4A41" w:rsidRDefault="005B4A41" w:rsidP="005B4A41">
      <w:pPr>
        <w:widowControl/>
        <w:spacing w:after="160" w:line="259" w:lineRule="auto"/>
        <w:rPr>
          <w:rFonts w:asciiTheme="majorBidi" w:hAnsiTheme="majorBidi" w:cstheme="majorBidi"/>
        </w:rPr>
      </w:pPr>
    </w:p>
    <w:p w:rsidR="005B4A41" w:rsidRDefault="005B4A41" w:rsidP="005B4A41">
      <w:pPr>
        <w:widowControl/>
        <w:spacing w:after="160" w:line="259" w:lineRule="auto"/>
        <w:rPr>
          <w:rFonts w:asciiTheme="majorBidi" w:hAnsiTheme="majorBidi" w:cstheme="majorBidi"/>
        </w:rPr>
      </w:pPr>
    </w:p>
    <w:p w:rsidR="005B4A41" w:rsidRDefault="005B4A41" w:rsidP="005B4A41">
      <w:pPr>
        <w:widowControl/>
        <w:spacing w:after="160" w:line="259" w:lineRule="auto"/>
        <w:rPr>
          <w:rFonts w:asciiTheme="majorBidi" w:hAnsiTheme="majorBidi" w:cstheme="majorBidi"/>
        </w:rPr>
      </w:pPr>
    </w:p>
    <w:p w:rsidR="005B4A41" w:rsidRDefault="005B4A41" w:rsidP="005B4A41">
      <w:pPr>
        <w:widowControl/>
        <w:spacing w:after="160" w:line="259" w:lineRule="auto"/>
        <w:rPr>
          <w:rFonts w:asciiTheme="majorBidi" w:hAnsiTheme="majorBidi" w:cstheme="majorBidi"/>
        </w:rPr>
        <w:sectPr w:rsidR="005B4A41" w:rsidSect="005857DA">
          <w:pgSz w:w="15840" w:h="12240" w:orient="landscape"/>
          <w:pgMar w:top="1440" w:right="1440" w:bottom="1440" w:left="1440" w:header="720" w:footer="720" w:gutter="0"/>
          <w:cols w:space="720"/>
          <w:titlePg/>
          <w:docGrid w:linePitch="360"/>
        </w:sectPr>
      </w:pPr>
    </w:p>
    <w:p w:rsidR="005B4A41" w:rsidRDefault="005B4A41" w:rsidP="005B4A41">
      <w:pPr>
        <w:keepNext/>
        <w:widowControl/>
        <w:spacing w:after="160" w:line="259" w:lineRule="auto"/>
        <w:jc w:val="center"/>
      </w:pPr>
      <w:r>
        <w:rPr>
          <w:noProof/>
        </w:rPr>
        <w:lastRenderedPageBreak/>
        <w:drawing>
          <wp:inline distT="0" distB="0" distL="0" distR="0" wp14:anchorId="266C04BA" wp14:editId="18FE2B8A">
            <wp:extent cx="3931920" cy="75338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31920" cy="7533888"/>
                    </a:xfrm>
                    <a:prstGeom prst="rect">
                      <a:avLst/>
                    </a:prstGeom>
                  </pic:spPr>
                </pic:pic>
              </a:graphicData>
            </a:graphic>
          </wp:inline>
        </w:drawing>
      </w:r>
    </w:p>
    <w:p w:rsidR="005B4A41" w:rsidRDefault="005B4A41" w:rsidP="005B4A41">
      <w:pPr>
        <w:pStyle w:val="Caption"/>
        <w:jc w:val="center"/>
        <w:rPr>
          <w:rFonts w:asciiTheme="majorBidi" w:hAnsiTheme="majorBidi" w:cstheme="majorBidi"/>
        </w:rPr>
      </w:pPr>
      <w:bookmarkStart w:id="17" w:name="_Toc40744466"/>
      <w:r>
        <w:t xml:space="preserve">Figure </w:t>
      </w:r>
      <w:r>
        <w:fldChar w:fldCharType="begin"/>
      </w:r>
      <w:r>
        <w:instrText xml:space="preserve"> SEQ Figure \* ARABIC </w:instrText>
      </w:r>
      <w:r>
        <w:fldChar w:fldCharType="separate"/>
      </w:r>
      <w:r>
        <w:rPr>
          <w:noProof/>
        </w:rPr>
        <w:t>11</w:t>
      </w:r>
      <w:r>
        <w:rPr>
          <w:noProof/>
        </w:rPr>
        <w:fldChar w:fldCharType="end"/>
      </w:r>
      <w:r>
        <w:t>: The Actual PCI over Predicted PCI in AC sections for DOT and LSTM models respectively</w:t>
      </w:r>
      <w:bookmarkEnd w:id="17"/>
    </w:p>
    <w:p w:rsidR="005B4A41" w:rsidRDefault="005B4A41" w:rsidP="005B4A41">
      <w:pPr>
        <w:keepNext/>
        <w:widowControl/>
        <w:spacing w:after="160" w:line="259" w:lineRule="auto"/>
        <w:jc w:val="center"/>
      </w:pPr>
      <w:r>
        <w:rPr>
          <w:noProof/>
        </w:rPr>
        <w:lastRenderedPageBreak/>
        <w:drawing>
          <wp:inline distT="0" distB="0" distL="0" distR="0" wp14:anchorId="69D90A0C" wp14:editId="4663620C">
            <wp:extent cx="3931920" cy="74980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1920" cy="7498080"/>
                    </a:xfrm>
                    <a:prstGeom prst="rect">
                      <a:avLst/>
                    </a:prstGeom>
                  </pic:spPr>
                </pic:pic>
              </a:graphicData>
            </a:graphic>
          </wp:inline>
        </w:drawing>
      </w:r>
    </w:p>
    <w:p w:rsidR="005B4A41" w:rsidRPr="00427FB8" w:rsidRDefault="005B4A41" w:rsidP="005B4A41">
      <w:pPr>
        <w:pStyle w:val="Caption"/>
        <w:jc w:val="center"/>
        <w:rPr>
          <w:rFonts w:asciiTheme="majorBidi" w:hAnsiTheme="majorBidi" w:cstheme="majorBidi"/>
          <w:b/>
          <w:i/>
        </w:rPr>
      </w:pPr>
      <w:bookmarkStart w:id="18" w:name="_Toc40744467"/>
      <w:r w:rsidRPr="00373FF2">
        <w:t xml:space="preserve">Figure </w:t>
      </w:r>
      <w:r>
        <w:fldChar w:fldCharType="begin"/>
      </w:r>
      <w:r>
        <w:instrText xml:space="preserve"> SEQ Figure \* ARABIC </w:instrText>
      </w:r>
      <w:r>
        <w:fldChar w:fldCharType="separate"/>
      </w:r>
      <w:r>
        <w:rPr>
          <w:noProof/>
        </w:rPr>
        <w:t>12</w:t>
      </w:r>
      <w:r>
        <w:rPr>
          <w:noProof/>
        </w:rPr>
        <w:fldChar w:fldCharType="end"/>
      </w:r>
      <w:r w:rsidRPr="00373FF2">
        <w:t>: The Actual PCI over Predicted PCI in COM sections</w:t>
      </w:r>
      <w:r>
        <w:t xml:space="preserve"> for DOT and LSTM models respectively</w:t>
      </w:r>
      <w:bookmarkEnd w:id="18"/>
    </w:p>
    <w:p w:rsidR="005B4A41" w:rsidRDefault="005B4A41" w:rsidP="005B4A41">
      <w:pPr>
        <w:keepNext/>
        <w:widowControl/>
        <w:spacing w:after="160" w:line="259" w:lineRule="auto"/>
        <w:jc w:val="center"/>
      </w:pPr>
      <w:r>
        <w:rPr>
          <w:noProof/>
        </w:rPr>
        <w:lastRenderedPageBreak/>
        <w:drawing>
          <wp:inline distT="0" distB="0" distL="0" distR="0" wp14:anchorId="6DB55194" wp14:editId="60079832">
            <wp:extent cx="3931920" cy="752629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31920" cy="7526297"/>
                    </a:xfrm>
                    <a:prstGeom prst="rect">
                      <a:avLst/>
                    </a:prstGeom>
                  </pic:spPr>
                </pic:pic>
              </a:graphicData>
            </a:graphic>
          </wp:inline>
        </w:drawing>
      </w:r>
    </w:p>
    <w:p w:rsidR="005B4A41" w:rsidRPr="00427FB8" w:rsidRDefault="005B4A41" w:rsidP="005B4A41">
      <w:pPr>
        <w:pStyle w:val="Caption"/>
        <w:jc w:val="center"/>
        <w:rPr>
          <w:rFonts w:asciiTheme="majorBidi" w:hAnsiTheme="majorBidi" w:cstheme="majorBidi"/>
          <w:b/>
          <w:i/>
        </w:rPr>
      </w:pPr>
      <w:bookmarkStart w:id="19" w:name="_Toc40744468"/>
      <w:r w:rsidRPr="00373FF2">
        <w:t xml:space="preserve">Figure </w:t>
      </w:r>
      <w:r>
        <w:fldChar w:fldCharType="begin"/>
      </w:r>
      <w:r>
        <w:instrText xml:space="preserve"> SEQ Figure \* ARABIC </w:instrText>
      </w:r>
      <w:r>
        <w:fldChar w:fldCharType="separate"/>
      </w:r>
      <w:r>
        <w:rPr>
          <w:noProof/>
        </w:rPr>
        <w:t>13</w:t>
      </w:r>
      <w:r>
        <w:rPr>
          <w:noProof/>
        </w:rPr>
        <w:fldChar w:fldCharType="end"/>
      </w:r>
      <w:r w:rsidRPr="00373FF2">
        <w:t>: The Actual PCI over Predicted PCI in PCC sections</w:t>
      </w:r>
      <w:r>
        <w:t xml:space="preserve"> for DOT and LSTM models respectively</w:t>
      </w:r>
      <w:bookmarkEnd w:id="19"/>
    </w:p>
    <w:p w:rsidR="005B4A41" w:rsidRDefault="005B4A41" w:rsidP="005B4A41">
      <w:pPr>
        <w:pStyle w:val="Body"/>
      </w:pPr>
      <w:r w:rsidRPr="0095770F">
        <w:rPr>
          <w:rFonts w:asciiTheme="majorBidi" w:hAnsiTheme="majorBidi" w:cstheme="majorBidi"/>
        </w:rPr>
        <w:lastRenderedPageBreak/>
        <w:t>It should be noted that the evaluations of the regression models are restricted to the residuals between the fitted functions and the actual readings, although the LSTM evaluation was based on its ability to predict full performance curves not included during the training stage. For validating the prediction results of the individual regression models and comparing the results of the current Iowa DOT method with LSTM models, 50 AC, 80 PCC, and 80 COM sections were tested. The results were compared with the actual value of each index.</w:t>
      </w:r>
    </w:p>
    <w:p w:rsidR="005B4A41" w:rsidRDefault="005B4A41" w:rsidP="005B4A41">
      <w:pPr>
        <w:pStyle w:val="Body"/>
        <w:rPr>
          <w:rFonts w:asciiTheme="majorBidi" w:hAnsiTheme="majorBidi" w:cstheme="majorBidi"/>
        </w:rPr>
      </w:pPr>
      <w:r w:rsidRPr="0095770F">
        <w:t xml:space="preserve">The comparison included models developed for AC, COM, and PCC pavements. </w:t>
      </w:r>
      <w:r>
        <w:t xml:space="preserve">R-square and Standard Error of Estimate (SEE) were considered to evaluate the accuracy of the models. The R-square and SEE functions are shown in </w:t>
      </w:r>
      <w:r>
        <w:rPr>
          <w:rFonts w:asciiTheme="majorBidi" w:hAnsiTheme="majorBidi" w:cstheme="majorBidi"/>
        </w:rPr>
        <w:t>equation 7 and 8:</w:t>
      </w:r>
    </w:p>
    <w:p w:rsidR="005B4A41" w:rsidRPr="00C80CCD" w:rsidRDefault="005B4A41" w:rsidP="005B4A41">
      <w:pPr>
        <w:pStyle w:val="Body"/>
        <w:ind w:firstLine="0"/>
        <w:rPr>
          <w:rFonts w:asciiTheme="majorBidi" w:hAnsiTheme="majorBidi" w:cstheme="majorBidi"/>
          <w:szCs w:val="20"/>
        </w:rPr>
      </w:pPr>
      <m:oMath>
        <m:sSup>
          <m:sSupPr>
            <m:ctrlPr>
              <w:rPr>
                <w:rFonts w:ascii="Cambria Math" w:hAnsi="Cambria Math"/>
                <w:i/>
                <w:color w:val="auto"/>
              </w:rPr>
            </m:ctrlPr>
          </m:sSupPr>
          <m:e>
            <m:r>
              <w:rPr>
                <w:rFonts w:ascii="Cambria Math" w:hAnsi="Cambria Math"/>
                <w:color w:val="auto"/>
              </w:rPr>
              <m:t>R</m:t>
            </m:r>
          </m:e>
          <m:sup>
            <m:r>
              <w:rPr>
                <w:rFonts w:ascii="Cambria Math" w:hAnsi="Cambria Math"/>
                <w:color w:val="auto"/>
              </w:rPr>
              <m:t>2</m:t>
            </m:r>
          </m:sup>
        </m:sSup>
        <m:r>
          <w:rPr>
            <w:rFonts w:ascii="Cambria Math" w:hAnsi="Cambria Math"/>
            <w:color w:val="auto"/>
          </w:rPr>
          <m:t>=1-</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SSres</m:t>
                </m:r>
              </m:num>
              <m:den>
                <m:r>
                  <w:rPr>
                    <w:rFonts w:ascii="Cambria Math" w:hAnsi="Cambria Math"/>
                    <w:color w:val="auto"/>
                  </w:rPr>
                  <m:t>SStot</m:t>
                </m:r>
              </m:den>
            </m:f>
          </m:e>
        </m:d>
        <m:r>
          <w:rPr>
            <w:rFonts w:ascii="Cambria Math" w:hAnsi="Cambria Math"/>
            <w:color w:val="auto"/>
          </w:rPr>
          <m:t>=1-(</m:t>
        </m:r>
        <m:f>
          <m:fPr>
            <m:ctrlPr>
              <w:rPr>
                <w:rFonts w:ascii="Cambria Math" w:hAnsi="Cambria Math"/>
                <w:i/>
                <w:color w:val="auto"/>
              </w:rPr>
            </m:ctrlPr>
          </m:fPr>
          <m:num>
            <m:sSup>
              <m:sSupPr>
                <m:ctrlPr>
                  <w:rPr>
                    <w:rFonts w:ascii="Cambria Math" w:hAnsi="Cambria Math"/>
                    <w:i/>
                    <w:color w:val="auto"/>
                  </w:rPr>
                </m:ctrlPr>
              </m:sSupPr>
              <m:e>
                <m:d>
                  <m:dPr>
                    <m:ctrlPr>
                      <w:rPr>
                        <w:rFonts w:ascii="Cambria Math" w:hAnsi="Cambria Math"/>
                        <w:i/>
                        <w:color w:val="auto"/>
                      </w:rPr>
                    </m:ctrlPr>
                  </m:dPr>
                  <m:e>
                    <m:nary>
                      <m:naryPr>
                        <m:chr m:val="∑"/>
                        <m:limLoc m:val="subSup"/>
                        <m:supHide m:val="1"/>
                        <m:ctrlPr>
                          <w:rPr>
                            <w:rFonts w:ascii="Cambria Math" w:hAnsi="Cambria Math"/>
                            <w:i/>
                            <w:color w:val="auto"/>
                          </w:rPr>
                        </m:ctrlPr>
                      </m:naryPr>
                      <m:sub>
                        <m:r>
                          <w:rPr>
                            <w:rFonts w:ascii="Cambria Math" w:hAnsi="Cambria Math"/>
                            <w:color w:val="auto"/>
                          </w:rPr>
                          <m:t>i</m:t>
                        </m:r>
                      </m:sub>
                      <m:sup/>
                      <m:e>
                        <m:r>
                          <w:rPr>
                            <w:rFonts w:ascii="Cambria Math" w:hAnsi="Cambria Math"/>
                            <w:color w:val="auto"/>
                          </w:rPr>
                          <m:t>(</m:t>
                        </m:r>
                        <m:sSub>
                          <m:sSubPr>
                            <m:ctrlPr>
                              <w:rPr>
                                <w:rFonts w:ascii="Cambria Math" w:hAnsi="Cambria Math"/>
                                <w:i/>
                                <w:color w:val="auto"/>
                              </w:rPr>
                            </m:ctrlPr>
                          </m:sSubPr>
                          <m:e>
                            <m:r>
                              <w:rPr>
                                <w:rFonts w:ascii="Cambria Math" w:hAnsi="Cambria Math"/>
                                <w:color w:val="auto"/>
                              </w:rPr>
                              <m:t>Y</m:t>
                            </m:r>
                          </m:e>
                          <m:sub>
                            <m:r>
                              <w:rPr>
                                <w:rFonts w:ascii="Cambria Math" w:hAnsi="Cambria Math"/>
                                <w:color w:val="auto"/>
                              </w:rPr>
                              <m:t>i</m:t>
                            </m:r>
                          </m:sub>
                        </m:sSub>
                        <m:r>
                          <w:rPr>
                            <w:rFonts w:ascii="Cambria Math" w:hAnsi="Cambria Math"/>
                            <w:color w:val="auto"/>
                          </w:rPr>
                          <m:t>-</m:t>
                        </m:r>
                      </m:e>
                    </m:nary>
                    <m:r>
                      <w:rPr>
                        <w:rFonts w:ascii="Cambria Math" w:hAnsi="Cambria Math"/>
                        <w:color w:val="auto"/>
                      </w:rPr>
                      <m:t xml:space="preserve"> </m:t>
                    </m:r>
                    <m:acc>
                      <m:accPr>
                        <m:ctrlPr>
                          <w:rPr>
                            <w:rFonts w:ascii="Cambria Math" w:hAnsi="Cambria Math"/>
                            <w:i/>
                            <w:color w:val="auto"/>
                          </w:rPr>
                        </m:ctrlPr>
                      </m:accPr>
                      <m:e>
                        <m:sSub>
                          <m:sSubPr>
                            <m:ctrlPr>
                              <w:rPr>
                                <w:rFonts w:ascii="Cambria Math" w:hAnsi="Cambria Math"/>
                                <w:i/>
                                <w:color w:val="auto"/>
                              </w:rPr>
                            </m:ctrlPr>
                          </m:sSubPr>
                          <m:e>
                            <m:r>
                              <w:rPr>
                                <w:rFonts w:ascii="Cambria Math" w:hAnsi="Cambria Math"/>
                                <w:color w:val="auto"/>
                              </w:rPr>
                              <m:t>Y</m:t>
                            </m:r>
                          </m:e>
                          <m:sub>
                            <m:r>
                              <w:rPr>
                                <w:rFonts w:ascii="Cambria Math" w:hAnsi="Cambria Math"/>
                                <w:color w:val="auto"/>
                              </w:rPr>
                              <m:t>i</m:t>
                            </m:r>
                          </m:sub>
                        </m:sSub>
                      </m:e>
                    </m:acc>
                  </m:e>
                </m:d>
              </m:e>
              <m:sup>
                <m:r>
                  <w:rPr>
                    <w:rFonts w:ascii="Cambria Math" w:hAnsi="Cambria Math"/>
                    <w:color w:val="auto"/>
                  </w:rPr>
                  <m:t>2</m:t>
                </m:r>
              </m:sup>
            </m:sSup>
            <m:r>
              <w:rPr>
                <w:rFonts w:ascii="Cambria Math" w:hAnsi="Cambria Math"/>
                <w:color w:val="auto"/>
              </w:rPr>
              <m:t>)</m:t>
            </m:r>
          </m:num>
          <m:den>
            <m:sSup>
              <m:sSupPr>
                <m:ctrlPr>
                  <w:rPr>
                    <w:rFonts w:ascii="Cambria Math" w:hAnsi="Cambria Math"/>
                    <w:i/>
                    <w:color w:val="auto"/>
                  </w:rPr>
                </m:ctrlPr>
              </m:sSupPr>
              <m:e>
                <m:nary>
                  <m:naryPr>
                    <m:chr m:val="∑"/>
                    <m:limLoc m:val="subSup"/>
                    <m:supHide m:val="1"/>
                    <m:ctrlPr>
                      <w:rPr>
                        <w:rFonts w:ascii="Cambria Math" w:hAnsi="Cambria Math"/>
                        <w:i/>
                        <w:color w:val="auto"/>
                      </w:rPr>
                    </m:ctrlPr>
                  </m:naryPr>
                  <m:sub>
                    <m:r>
                      <w:rPr>
                        <w:rFonts w:ascii="Cambria Math" w:hAnsi="Cambria Math"/>
                        <w:color w:val="auto"/>
                      </w:rPr>
                      <m:t>i</m:t>
                    </m:r>
                  </m:sub>
                  <m:sup/>
                  <m:e>
                    <m:d>
                      <m:dPr>
                        <m:ctrlPr>
                          <w:rPr>
                            <w:rFonts w:ascii="Cambria Math" w:hAnsi="Cambria Math"/>
                            <w:i/>
                            <w:color w:val="auto"/>
                          </w:rPr>
                        </m:ctrlPr>
                      </m:dPr>
                      <m:e>
                        <m:sSub>
                          <m:sSubPr>
                            <m:ctrlPr>
                              <w:rPr>
                                <w:rFonts w:ascii="Cambria Math" w:hAnsi="Cambria Math"/>
                                <w:i/>
                                <w:color w:val="auto"/>
                              </w:rPr>
                            </m:ctrlPr>
                          </m:sSubPr>
                          <m:e>
                            <m:r>
                              <w:rPr>
                                <w:rFonts w:ascii="Cambria Math" w:hAnsi="Cambria Math"/>
                                <w:color w:val="auto"/>
                              </w:rPr>
                              <m:t>Y</m:t>
                            </m:r>
                          </m:e>
                          <m:sub>
                            <m:r>
                              <w:rPr>
                                <w:rFonts w:ascii="Cambria Math" w:hAnsi="Cambria Math"/>
                                <w:color w:val="auto"/>
                              </w:rPr>
                              <m:t>i</m:t>
                            </m:r>
                          </m:sub>
                        </m:sSub>
                        <m:r>
                          <w:rPr>
                            <w:rFonts w:ascii="Cambria Math" w:hAnsi="Cambria Math"/>
                            <w:color w:val="auto"/>
                          </w:rPr>
                          <m:t>-</m:t>
                        </m:r>
                        <m:bar>
                          <m:barPr>
                            <m:pos m:val="top"/>
                            <m:ctrlPr>
                              <w:rPr>
                                <w:rFonts w:ascii="Cambria Math" w:hAnsi="Cambria Math"/>
                                <w:i/>
                                <w:color w:val="auto"/>
                              </w:rPr>
                            </m:ctrlPr>
                          </m:barPr>
                          <m:e>
                            <m:sSub>
                              <m:sSubPr>
                                <m:ctrlPr>
                                  <w:rPr>
                                    <w:rFonts w:ascii="Cambria Math" w:hAnsi="Cambria Math"/>
                                    <w:i/>
                                    <w:color w:val="auto"/>
                                  </w:rPr>
                                </m:ctrlPr>
                              </m:sSubPr>
                              <m:e>
                                <m:r>
                                  <w:rPr>
                                    <w:rFonts w:ascii="Cambria Math" w:hAnsi="Cambria Math"/>
                                    <w:color w:val="auto"/>
                                  </w:rPr>
                                  <m:t>Y</m:t>
                                </m:r>
                              </m:e>
                              <m:sub>
                                <m:r>
                                  <w:rPr>
                                    <w:rFonts w:ascii="Cambria Math" w:hAnsi="Cambria Math"/>
                                    <w:color w:val="auto"/>
                                  </w:rPr>
                                  <m:t>i</m:t>
                                </m:r>
                              </m:sub>
                            </m:sSub>
                          </m:e>
                        </m:bar>
                      </m:e>
                    </m:d>
                  </m:e>
                </m:nary>
              </m:e>
              <m:sup>
                <m:r>
                  <w:rPr>
                    <w:rFonts w:ascii="Cambria Math" w:hAnsi="Cambria Math"/>
                    <w:color w:val="auto"/>
                  </w:rPr>
                  <m:t>2</m:t>
                </m:r>
              </m:sup>
            </m:sSup>
          </m:den>
        </m:f>
        <m:r>
          <w:rPr>
            <w:rFonts w:ascii="Cambria Math" w:hAnsi="Cambria Math"/>
            <w:color w:val="auto"/>
          </w:rPr>
          <m:t>)</m:t>
        </m:r>
      </m:oMath>
      <w:r w:rsidRPr="00C80CCD">
        <w:rPr>
          <w:rFonts w:asciiTheme="majorBidi" w:eastAsiaTheme="minorEastAsia" w:hAnsiTheme="majorBidi" w:cstheme="majorBidi"/>
          <w:sz w:val="28"/>
          <w:szCs w:val="20"/>
        </w:rPr>
        <w:t xml:space="preserve">                        </w:t>
      </w:r>
      <w:r>
        <w:rPr>
          <w:rFonts w:asciiTheme="majorBidi" w:eastAsiaTheme="minorEastAsia" w:hAnsiTheme="majorBidi" w:cstheme="majorBidi"/>
          <w:sz w:val="28"/>
          <w:szCs w:val="20"/>
        </w:rPr>
        <w:t xml:space="preserve">                  </w:t>
      </w:r>
      <w:r w:rsidRPr="00C80CCD">
        <w:rPr>
          <w:rFonts w:asciiTheme="majorBidi" w:eastAsiaTheme="minorEastAsia" w:hAnsiTheme="majorBidi" w:cstheme="majorBidi"/>
          <w:sz w:val="28"/>
          <w:szCs w:val="20"/>
        </w:rPr>
        <w:t xml:space="preserve">                                   </w:t>
      </w:r>
      <w:r w:rsidRPr="00C80CCD">
        <w:rPr>
          <w:rFonts w:asciiTheme="majorBidi" w:eastAsiaTheme="minorEastAsia" w:hAnsiTheme="majorBidi" w:cstheme="majorBidi"/>
          <w:szCs w:val="18"/>
        </w:rPr>
        <w:t>(7)</w:t>
      </w:r>
    </w:p>
    <w:p w:rsidR="005B4A41" w:rsidRPr="00C80CCD" w:rsidRDefault="005B4A41" w:rsidP="005B4A41">
      <w:pPr>
        <w:pStyle w:val="Body"/>
        <w:ind w:firstLine="0"/>
        <w:rPr>
          <w:rFonts w:asciiTheme="majorBidi" w:hAnsiTheme="majorBidi" w:cstheme="majorBidi"/>
          <w:sz w:val="22"/>
          <w:szCs w:val="20"/>
        </w:rPr>
      </w:pPr>
      <m:oMath>
        <m:r>
          <w:rPr>
            <w:rFonts w:ascii="Cambria Math" w:hAnsi="Cambria Math"/>
            <w:color w:val="auto"/>
          </w:rPr>
          <m:t xml:space="preserve">SEE= </m:t>
        </m:r>
        <m:rad>
          <m:radPr>
            <m:degHide m:val="1"/>
            <m:ctrlPr>
              <w:rPr>
                <w:rFonts w:ascii="Cambria Math" w:hAnsi="Cambria Math"/>
                <w:i/>
                <w:color w:val="auto"/>
              </w:rPr>
            </m:ctrlPr>
          </m:radPr>
          <m:deg/>
          <m:e>
            <m:nary>
              <m:naryPr>
                <m:chr m:val="∑"/>
                <m:limLoc m:val="undOvr"/>
                <m:subHide m:val="1"/>
                <m:supHide m:val="1"/>
                <m:ctrlPr>
                  <w:rPr>
                    <w:rFonts w:ascii="Cambria Math" w:hAnsi="Cambria Math"/>
                    <w:i/>
                    <w:color w:val="auto"/>
                  </w:rPr>
                </m:ctrlPr>
              </m:naryPr>
              <m:sub/>
              <m:sup/>
              <m:e>
                <m:d>
                  <m:dPr>
                    <m:ctrlPr>
                      <w:rPr>
                        <w:rFonts w:ascii="Cambria Math" w:hAnsi="Cambria Math"/>
                        <w:i/>
                        <w:color w:val="auto"/>
                      </w:rPr>
                    </m:ctrlPr>
                  </m:dPr>
                  <m:e>
                    <m:sSub>
                      <m:sSubPr>
                        <m:ctrlPr>
                          <w:rPr>
                            <w:rFonts w:ascii="Cambria Math" w:hAnsi="Cambria Math"/>
                            <w:i/>
                            <w:color w:val="auto"/>
                          </w:rPr>
                        </m:ctrlPr>
                      </m:sSubPr>
                      <m:e>
                        <m:r>
                          <w:rPr>
                            <w:rFonts w:ascii="Cambria Math" w:hAnsi="Cambria Math"/>
                            <w:color w:val="auto"/>
                          </w:rPr>
                          <m:t>Y</m:t>
                        </m:r>
                      </m:e>
                      <m:sub>
                        <m:r>
                          <w:rPr>
                            <w:rFonts w:ascii="Cambria Math" w:hAnsi="Cambria Math"/>
                            <w:color w:val="auto"/>
                          </w:rPr>
                          <m:t>i</m:t>
                        </m:r>
                      </m:sub>
                    </m:sSub>
                    <m:r>
                      <w:rPr>
                        <w:rFonts w:ascii="Cambria Math" w:hAnsi="Cambria Math"/>
                        <w:color w:val="auto"/>
                      </w:rPr>
                      <m:t>-</m:t>
                    </m:r>
                    <m:acc>
                      <m:accPr>
                        <m:chr m:val="̇"/>
                        <m:ctrlPr>
                          <w:rPr>
                            <w:rFonts w:ascii="Cambria Math" w:hAnsi="Cambria Math"/>
                            <w:i/>
                            <w:color w:val="auto"/>
                          </w:rPr>
                        </m:ctrlPr>
                      </m:accPr>
                      <m:e>
                        <m:sSub>
                          <m:sSubPr>
                            <m:ctrlPr>
                              <w:rPr>
                                <w:rFonts w:ascii="Cambria Math" w:hAnsi="Cambria Math"/>
                                <w:i/>
                                <w:color w:val="auto"/>
                              </w:rPr>
                            </m:ctrlPr>
                          </m:sSubPr>
                          <m:e>
                            <m:r>
                              <w:rPr>
                                <w:rFonts w:ascii="Cambria Math" w:hAnsi="Cambria Math"/>
                                <w:color w:val="auto"/>
                              </w:rPr>
                              <m:t>Y</m:t>
                            </m:r>
                          </m:e>
                          <m:sub>
                            <m:r>
                              <w:rPr>
                                <w:rFonts w:ascii="Cambria Math" w:hAnsi="Cambria Math"/>
                                <w:color w:val="auto"/>
                              </w:rPr>
                              <m:t>i</m:t>
                            </m:r>
                          </m:sub>
                        </m:sSub>
                      </m:e>
                    </m:acc>
                  </m:e>
                </m:d>
                <m:r>
                  <w:rPr>
                    <w:rFonts w:ascii="Cambria Math" w:hAnsi="Cambria Math"/>
                    <w:color w:val="auto"/>
                  </w:rPr>
                  <m:t>/N</m:t>
                </m:r>
              </m:e>
            </m:nary>
          </m:e>
        </m:rad>
      </m:oMath>
      <w:r w:rsidRPr="00C80CCD">
        <w:rPr>
          <w:rFonts w:asciiTheme="majorBidi" w:eastAsiaTheme="minorEastAsia" w:hAnsiTheme="majorBidi" w:cstheme="majorBidi"/>
          <w:szCs w:val="20"/>
        </w:rPr>
        <w:t xml:space="preserve">                                                                    </w:t>
      </w:r>
      <w:r>
        <w:rPr>
          <w:rFonts w:asciiTheme="majorBidi" w:eastAsiaTheme="minorEastAsia" w:hAnsiTheme="majorBidi" w:cstheme="majorBidi"/>
          <w:szCs w:val="20"/>
        </w:rPr>
        <w:t xml:space="preserve">                      </w:t>
      </w:r>
      <w:r w:rsidRPr="00C80CCD">
        <w:rPr>
          <w:rFonts w:asciiTheme="majorBidi" w:eastAsiaTheme="minorEastAsia" w:hAnsiTheme="majorBidi" w:cstheme="majorBidi"/>
          <w:szCs w:val="20"/>
        </w:rPr>
        <w:t xml:space="preserve">                      (8)</w:t>
      </w:r>
    </w:p>
    <w:p w:rsidR="005B4A41" w:rsidRPr="00373FF2" w:rsidRDefault="005B4A41" w:rsidP="005B4A41">
      <w:pPr>
        <w:pStyle w:val="Body"/>
        <w:ind w:firstLine="0"/>
      </w:pPr>
      <w:r w:rsidRPr="00373FF2">
        <w:t>Where</w:t>
      </w:r>
      <w:r>
        <w:t xml:space="preserve"> </w:t>
      </w:r>
      <m:oMath>
        <m:sSub>
          <m:sSubPr>
            <m:ctrlPr>
              <w:rPr>
                <w:rFonts w:ascii="Cambria Math" w:hAnsi="Cambria Math" w:cstheme="majorBidi"/>
                <w:i/>
                <w:sz w:val="28"/>
              </w:rPr>
            </m:ctrlPr>
          </m:sSubPr>
          <m:e>
            <m:r>
              <w:rPr>
                <w:rFonts w:ascii="Cambria Math" w:hAnsi="Cambria Math" w:cstheme="majorBidi"/>
                <w:sz w:val="28"/>
              </w:rPr>
              <m:t>Y</m:t>
            </m:r>
          </m:e>
          <m:sub>
            <m:r>
              <w:rPr>
                <w:rFonts w:ascii="Cambria Math" w:hAnsi="Cambria Math" w:cstheme="majorBidi"/>
                <w:sz w:val="28"/>
              </w:rPr>
              <m:t>i</m:t>
            </m:r>
          </m:sub>
        </m:sSub>
      </m:oMath>
      <w:r>
        <w:rPr>
          <w:rFonts w:eastAsiaTheme="minorEastAsia"/>
          <w:sz w:val="28"/>
        </w:rPr>
        <w:t xml:space="preserve"> </w:t>
      </w:r>
      <w:r w:rsidRPr="00373FF2">
        <w:t>is the actual value,</w:t>
      </w:r>
      <w:r>
        <w:rPr>
          <w:rFonts w:eastAsiaTheme="minorEastAsia"/>
          <w:sz w:val="28"/>
        </w:rPr>
        <w:t xml:space="preserve"> </w:t>
      </w:r>
      <m:oMath>
        <m:acc>
          <m:accPr>
            <m:ctrlPr>
              <w:rPr>
                <w:rFonts w:ascii="Cambria Math" w:hAnsi="Cambria Math" w:cstheme="majorBidi"/>
                <w:i/>
                <w:sz w:val="28"/>
              </w:rPr>
            </m:ctrlPr>
          </m:accPr>
          <m:e>
            <m:sSub>
              <m:sSubPr>
                <m:ctrlPr>
                  <w:rPr>
                    <w:rFonts w:ascii="Cambria Math" w:hAnsi="Cambria Math" w:cstheme="majorBidi"/>
                    <w:i/>
                    <w:sz w:val="28"/>
                  </w:rPr>
                </m:ctrlPr>
              </m:sSubPr>
              <m:e>
                <m:r>
                  <w:rPr>
                    <w:rFonts w:ascii="Cambria Math" w:hAnsi="Cambria Math" w:cstheme="majorBidi"/>
                    <w:sz w:val="28"/>
                  </w:rPr>
                  <m:t>Y</m:t>
                </m:r>
              </m:e>
              <m:sub>
                <m:r>
                  <w:rPr>
                    <w:rFonts w:ascii="Cambria Math" w:hAnsi="Cambria Math" w:cstheme="majorBidi"/>
                    <w:sz w:val="28"/>
                  </w:rPr>
                  <m:t>i</m:t>
                </m:r>
              </m:sub>
            </m:sSub>
          </m:e>
        </m:acc>
      </m:oMath>
      <w:r>
        <w:rPr>
          <w:rFonts w:eastAsiaTheme="minorEastAsia"/>
          <w:sz w:val="28"/>
        </w:rPr>
        <w:t xml:space="preserve"> </w:t>
      </w:r>
      <w:r w:rsidRPr="00373FF2">
        <w:t>is the predicted value,</w:t>
      </w:r>
      <w:r>
        <w:rPr>
          <w:rFonts w:eastAsiaTheme="minorEastAsia"/>
          <w:sz w:val="28"/>
        </w:rPr>
        <w:t xml:space="preserve"> </w:t>
      </w:r>
      <m:oMath>
        <m:bar>
          <m:barPr>
            <m:pos m:val="top"/>
            <m:ctrlPr>
              <w:rPr>
                <w:rFonts w:ascii="Cambria Math" w:hAnsi="Cambria Math" w:cstheme="majorBidi"/>
                <w:i/>
                <w:sz w:val="28"/>
              </w:rPr>
            </m:ctrlPr>
          </m:barPr>
          <m:e>
            <m:sSub>
              <m:sSubPr>
                <m:ctrlPr>
                  <w:rPr>
                    <w:rFonts w:ascii="Cambria Math" w:hAnsi="Cambria Math" w:cstheme="majorBidi"/>
                    <w:i/>
                    <w:sz w:val="28"/>
                  </w:rPr>
                </m:ctrlPr>
              </m:sSubPr>
              <m:e>
                <m:r>
                  <w:rPr>
                    <w:rFonts w:ascii="Cambria Math" w:hAnsi="Cambria Math" w:cstheme="majorBidi"/>
                    <w:sz w:val="28"/>
                  </w:rPr>
                  <m:t>Y</m:t>
                </m:r>
              </m:e>
              <m:sub>
                <m:r>
                  <w:rPr>
                    <w:rFonts w:ascii="Cambria Math" w:hAnsi="Cambria Math" w:cstheme="majorBidi"/>
                    <w:sz w:val="28"/>
                  </w:rPr>
                  <m:t>i</m:t>
                </m:r>
              </m:sub>
            </m:sSub>
          </m:e>
        </m:bar>
      </m:oMath>
      <w:r>
        <w:rPr>
          <w:rFonts w:eastAsiaTheme="minorEastAsia"/>
          <w:sz w:val="28"/>
        </w:rPr>
        <w:t xml:space="preserve"> </w:t>
      </w:r>
      <w:r w:rsidRPr="00373FF2">
        <w:t>is the average of actual value</w:t>
      </w:r>
      <w:r>
        <w:t>s</w:t>
      </w:r>
      <w:r w:rsidRPr="00373FF2">
        <w:t xml:space="preserve">, </w:t>
      </w:r>
      <w:r>
        <w:t>and</w:t>
      </w:r>
      <w:r w:rsidRPr="00373FF2">
        <w:t xml:space="preserve"> N</w:t>
      </w:r>
      <w:r>
        <w:t xml:space="preserve"> represents</w:t>
      </w:r>
      <w:r w:rsidRPr="00373FF2">
        <w:t xml:space="preserve"> the number of observation.</w:t>
      </w:r>
    </w:p>
    <w:p w:rsidR="005B4A41" w:rsidRDefault="005B4A41" w:rsidP="005B4A41">
      <w:pPr>
        <w:pStyle w:val="Body"/>
      </w:pPr>
      <w:r>
        <w:t>The results for AC pavement</w:t>
      </w:r>
      <w:r w:rsidRPr="0095770F">
        <w:t xml:space="preserve">s showing that the </w:t>
      </w:r>
      <w:r>
        <w:t>LSTM model</w:t>
      </w:r>
      <w:r w:rsidRPr="0095770F">
        <w:t xml:space="preserve"> got higher prediction accuracy</w:t>
      </w:r>
      <w:r>
        <w:t>, compared to the individual DOT regression models</w:t>
      </w:r>
      <w:r w:rsidRPr="0095770F">
        <w:t xml:space="preserve">. The </w:t>
      </w:r>
      <w:r w:rsidRPr="00373FF2">
        <w:t xml:space="preserve">R-square </w:t>
      </w:r>
      <w:r w:rsidRPr="0095770F">
        <w:t>val</w:t>
      </w:r>
      <w:r>
        <w:t>ues in the LSTM models were 0.61 for the riding index, 0.19 for the rutting index, 0.35</w:t>
      </w:r>
      <w:r w:rsidRPr="0095770F">
        <w:t xml:space="preserve"> </w:t>
      </w:r>
      <w:r>
        <w:t>for the cracking index, and 0.61</w:t>
      </w:r>
      <w:r w:rsidRPr="0095770F">
        <w:t xml:space="preserve"> for the PCI. This is while the values for the DOT models</w:t>
      </w:r>
      <w:r>
        <w:t xml:space="preserve"> were 0.55, -5.11, 0.15, and 0.31</w:t>
      </w:r>
      <w:r w:rsidRPr="0095770F">
        <w:t xml:space="preserve">, respectively. </w:t>
      </w:r>
      <w:r>
        <w:t xml:space="preserve">It is worth mentioning, that, </w:t>
      </w:r>
      <w:r w:rsidRPr="00373FF2">
        <w:t>R-square is defined as the proportion of variance explained by the fit, if the fit is actually worse than just fitting a horizontal line</w:t>
      </w:r>
      <w:r>
        <w:t>,</w:t>
      </w:r>
      <w:r w:rsidRPr="00373FF2">
        <w:t xml:space="preserve"> then R-square is negative.</w:t>
      </w:r>
      <w:r>
        <w:t xml:space="preserve"> Also the result of SEEs for both models indicates that the LSTM model got less standard error of estimate, compared to DOT models. The SEE values in the LSTM models were 18.66 for the riding index, 19.74 for cracking index, 13.58 for rutting index, and 12.18 for the </w:t>
      </w:r>
      <w:r>
        <w:lastRenderedPageBreak/>
        <w:t xml:space="preserve">PCI. This is while the values for the DOT models were 20.08, 22.57, 37.40, and 16.17, respectively. </w:t>
      </w:r>
    </w:p>
    <w:p w:rsidR="005B4A41" w:rsidRDefault="005B4A41" w:rsidP="005B4A41">
      <w:pPr>
        <w:pStyle w:val="Body"/>
        <w:rPr>
          <w:rFonts w:asciiTheme="majorBidi" w:hAnsiTheme="majorBidi" w:cstheme="majorBidi"/>
        </w:rPr>
      </w:pPr>
      <w:r>
        <w:rPr>
          <w:rFonts w:asciiTheme="majorBidi" w:hAnsiTheme="majorBidi" w:cstheme="majorBidi"/>
        </w:rPr>
        <w:t>Also</w:t>
      </w:r>
      <w:r w:rsidRPr="0095770F">
        <w:rPr>
          <w:rFonts w:asciiTheme="majorBidi" w:hAnsiTheme="majorBidi" w:cstheme="majorBidi"/>
        </w:rPr>
        <w:t xml:space="preserve"> </w:t>
      </w:r>
      <w:r>
        <w:t>The results for COM pavement</w:t>
      </w:r>
      <w:r w:rsidRPr="0095770F">
        <w:t xml:space="preserve">s showing that the </w:t>
      </w:r>
      <w:r>
        <w:t>LSTM model</w:t>
      </w:r>
      <w:r w:rsidRPr="0095770F">
        <w:t xml:space="preserve"> got higher prediction accuracy.</w:t>
      </w:r>
      <w:r>
        <w:t xml:space="preserve"> </w:t>
      </w:r>
      <w:r w:rsidRPr="0095770F">
        <w:rPr>
          <w:rFonts w:asciiTheme="majorBidi" w:hAnsiTheme="majorBidi" w:cstheme="majorBidi"/>
        </w:rPr>
        <w:t>The</w:t>
      </w:r>
      <w:r>
        <w:rPr>
          <w:rFonts w:asciiTheme="majorBidi" w:hAnsiTheme="majorBidi" w:cstheme="majorBidi"/>
        </w:rPr>
        <w:t xml:space="preserve"> </w:t>
      </w:r>
      <w:r w:rsidRPr="00373FF2">
        <w:t>R-square</w:t>
      </w:r>
      <w:r>
        <w:rPr>
          <w:rFonts w:asciiTheme="majorBidi" w:hAnsiTheme="majorBidi" w:cstheme="majorBidi"/>
        </w:rPr>
        <w:t xml:space="preserve"> values were 0.43 for the riding index, 0.19 for the rutting index, 0.39</w:t>
      </w:r>
      <w:r w:rsidRPr="0095770F">
        <w:rPr>
          <w:rFonts w:asciiTheme="majorBidi" w:hAnsiTheme="majorBidi" w:cstheme="majorBidi"/>
        </w:rPr>
        <w:t xml:space="preserve"> for the cracking index, and 0.5</w:t>
      </w:r>
      <w:r>
        <w:rPr>
          <w:rFonts w:asciiTheme="majorBidi" w:hAnsiTheme="majorBidi" w:cstheme="majorBidi"/>
        </w:rPr>
        <w:t>0</w:t>
      </w:r>
      <w:r w:rsidRPr="0095770F">
        <w:rPr>
          <w:rFonts w:asciiTheme="majorBidi" w:hAnsiTheme="majorBidi" w:cstheme="majorBidi"/>
        </w:rPr>
        <w:t xml:space="preserve"> for the PCI in LSTM models, while the corresponding values for the DOT models</w:t>
      </w:r>
      <w:r>
        <w:rPr>
          <w:rFonts w:asciiTheme="majorBidi" w:hAnsiTheme="majorBidi" w:cstheme="majorBidi"/>
        </w:rPr>
        <w:t xml:space="preserve"> were -0.02, -4.7, -0.05, and 0.11</w:t>
      </w:r>
      <w:r w:rsidRPr="0095770F">
        <w:rPr>
          <w:rFonts w:asciiTheme="majorBidi" w:hAnsiTheme="majorBidi" w:cstheme="majorBidi"/>
        </w:rPr>
        <w:t>, respectively.</w:t>
      </w:r>
      <w:r>
        <w:rPr>
          <w:rFonts w:asciiTheme="majorBidi" w:hAnsiTheme="majorBidi" w:cstheme="majorBidi"/>
        </w:rPr>
        <w:t xml:space="preserve"> </w:t>
      </w:r>
      <w:r>
        <w:t>Also SEE metrics for both models indicates that the LSTM model got less standard error of estimate, compared to DOT models. The SEE values in the LSTM models were 24.5 for the riding index, 15.29 for cracking index, 15.57 for rutting index, and 13.78 for the PCI. This is while the values for the DOT models were 32.7, 19.72, 41.48, and 18.46, respectively.</w:t>
      </w:r>
    </w:p>
    <w:p w:rsidR="005B4A41" w:rsidRDefault="005B4A41" w:rsidP="005B4A41">
      <w:pPr>
        <w:pStyle w:val="Body"/>
        <w:rPr>
          <w:rFonts w:asciiTheme="majorBidi" w:hAnsiTheme="majorBidi" w:cstheme="majorBidi"/>
        </w:rPr>
      </w:pPr>
      <w:r>
        <w:rPr>
          <w:rFonts w:asciiTheme="majorBidi" w:hAnsiTheme="majorBidi" w:cstheme="majorBidi"/>
        </w:rPr>
        <w:t>Also, the</w:t>
      </w:r>
      <w:r w:rsidRPr="0095770F">
        <w:rPr>
          <w:rFonts w:asciiTheme="majorBidi" w:hAnsiTheme="majorBidi" w:cstheme="majorBidi"/>
        </w:rPr>
        <w:t xml:space="preserve"> LSTM </w:t>
      </w:r>
      <w:r>
        <w:rPr>
          <w:rFonts w:asciiTheme="majorBidi" w:hAnsiTheme="majorBidi" w:cstheme="majorBidi"/>
        </w:rPr>
        <w:t xml:space="preserve">model </w:t>
      </w:r>
      <w:r w:rsidRPr="0095770F">
        <w:rPr>
          <w:rFonts w:asciiTheme="majorBidi" w:hAnsiTheme="majorBidi" w:cstheme="majorBidi"/>
        </w:rPr>
        <w:t xml:space="preserve">outperformed DOT’s </w:t>
      </w:r>
      <w:r>
        <w:rPr>
          <w:rFonts w:asciiTheme="majorBidi" w:hAnsiTheme="majorBidi" w:cstheme="majorBidi"/>
        </w:rPr>
        <w:t xml:space="preserve">regression </w:t>
      </w:r>
      <w:r w:rsidRPr="0095770F">
        <w:rPr>
          <w:rFonts w:asciiTheme="majorBidi" w:hAnsiTheme="majorBidi" w:cstheme="majorBidi"/>
        </w:rPr>
        <w:t>model</w:t>
      </w:r>
      <w:r>
        <w:rPr>
          <w:rFonts w:asciiTheme="majorBidi" w:hAnsiTheme="majorBidi" w:cstheme="majorBidi"/>
        </w:rPr>
        <w:t>s</w:t>
      </w:r>
      <w:r w:rsidRPr="0095770F">
        <w:rPr>
          <w:rFonts w:asciiTheme="majorBidi" w:hAnsiTheme="majorBidi" w:cstheme="majorBidi"/>
        </w:rPr>
        <w:t xml:space="preserve"> wi</w:t>
      </w:r>
      <w:r>
        <w:rPr>
          <w:rFonts w:asciiTheme="majorBidi" w:hAnsiTheme="majorBidi" w:cstheme="majorBidi"/>
        </w:rPr>
        <w:t>th respect to PCC pavements</w:t>
      </w:r>
      <w:r w:rsidRPr="0095770F">
        <w:rPr>
          <w:rFonts w:asciiTheme="majorBidi" w:hAnsiTheme="majorBidi" w:cstheme="majorBidi"/>
        </w:rPr>
        <w:t>. Fluctuations in the PCC database due to maintenance activities were less than the two other pavement types. The</w:t>
      </w:r>
      <w:r>
        <w:rPr>
          <w:rFonts w:asciiTheme="majorBidi" w:hAnsiTheme="majorBidi" w:cstheme="majorBidi"/>
        </w:rPr>
        <w:t xml:space="preserve"> </w:t>
      </w:r>
      <w:r w:rsidRPr="00373FF2">
        <w:t>R-square</w:t>
      </w:r>
      <w:r>
        <w:rPr>
          <w:rFonts w:asciiTheme="majorBidi" w:hAnsiTheme="majorBidi" w:cstheme="majorBidi"/>
        </w:rPr>
        <w:t xml:space="preserve"> values were 0.86</w:t>
      </w:r>
      <w:r w:rsidRPr="0095770F">
        <w:rPr>
          <w:rFonts w:asciiTheme="majorBidi" w:hAnsiTheme="majorBidi" w:cstheme="majorBidi"/>
        </w:rPr>
        <w:t xml:space="preserve"> for the riding index, </w:t>
      </w:r>
      <w:r>
        <w:rPr>
          <w:rFonts w:asciiTheme="majorBidi" w:hAnsiTheme="majorBidi" w:cstheme="majorBidi"/>
        </w:rPr>
        <w:t>0.62 for the rutting index, -0.26</w:t>
      </w:r>
      <w:r w:rsidRPr="0095770F">
        <w:rPr>
          <w:rFonts w:asciiTheme="majorBidi" w:hAnsiTheme="majorBidi" w:cstheme="majorBidi"/>
        </w:rPr>
        <w:t xml:space="preserve"> </w:t>
      </w:r>
      <w:r>
        <w:rPr>
          <w:rFonts w:asciiTheme="majorBidi" w:hAnsiTheme="majorBidi" w:cstheme="majorBidi"/>
        </w:rPr>
        <w:t>for the cracking index, and 0.70</w:t>
      </w:r>
      <w:r w:rsidRPr="0095770F">
        <w:rPr>
          <w:rFonts w:asciiTheme="majorBidi" w:hAnsiTheme="majorBidi" w:cstheme="majorBidi"/>
        </w:rPr>
        <w:t xml:space="preserve"> for the PCI in LSTM models, and the corresponding values in the DOT models</w:t>
      </w:r>
      <w:r>
        <w:rPr>
          <w:rFonts w:asciiTheme="majorBidi" w:hAnsiTheme="majorBidi" w:cstheme="majorBidi"/>
        </w:rPr>
        <w:t xml:space="preserve"> were 0.66, -3.68, 0.26, and 0.44</w:t>
      </w:r>
      <w:r w:rsidRPr="0095770F">
        <w:rPr>
          <w:rFonts w:asciiTheme="majorBidi" w:hAnsiTheme="majorBidi" w:cstheme="majorBidi"/>
        </w:rPr>
        <w:t>, respectively.</w:t>
      </w:r>
      <w:r>
        <w:rPr>
          <w:rFonts w:asciiTheme="majorBidi" w:hAnsiTheme="majorBidi" w:cstheme="majorBidi"/>
        </w:rPr>
        <w:t xml:space="preserve"> </w:t>
      </w:r>
      <w:r>
        <w:t>Also the result of SEEs for both models indicates that the LSTM model got less standard error of estimate, compared to DOT models. The SEE values in the LSTM models were 14.71 for the riding index, 26.83 for cracking index, 12.4 for faulting index, and 12.51 for the PCI. This is while the values for the DOT models were 22.96, 20.37, 43.35, and 17.21, respectively.</w:t>
      </w:r>
    </w:p>
    <w:p w:rsidR="005B4A41" w:rsidRDefault="005B4A41" w:rsidP="005B4A41">
      <w:pPr>
        <w:pStyle w:val="Body"/>
        <w:rPr>
          <w:rFonts w:asciiTheme="majorBidi" w:hAnsiTheme="majorBidi" w:cstheme="majorBidi"/>
        </w:rPr>
      </w:pPr>
      <w:r w:rsidRPr="0095770F">
        <w:rPr>
          <w:rFonts w:asciiTheme="majorBidi" w:hAnsiTheme="majorBidi" w:cstheme="majorBidi"/>
        </w:rPr>
        <w:t>Figures (</w:t>
      </w:r>
      <w:r>
        <w:rPr>
          <w:rFonts w:asciiTheme="majorBidi" w:hAnsiTheme="majorBidi" w:cstheme="majorBidi"/>
        </w:rPr>
        <w:t>14-16</w:t>
      </w:r>
      <w:r w:rsidRPr="0095770F">
        <w:rPr>
          <w:rFonts w:asciiTheme="majorBidi" w:hAnsiTheme="majorBidi" w:cstheme="majorBidi"/>
        </w:rPr>
        <w:t>) also reflect the effect of age on the prediction residuals for each model in both the short and long term</w:t>
      </w:r>
      <w:r>
        <w:rPr>
          <w:rFonts w:asciiTheme="majorBidi" w:hAnsiTheme="majorBidi" w:cstheme="majorBidi"/>
        </w:rPr>
        <w:t xml:space="preserve"> duration</w:t>
      </w:r>
      <w:r w:rsidRPr="0095770F">
        <w:rPr>
          <w:rFonts w:asciiTheme="majorBidi" w:hAnsiTheme="majorBidi" w:cstheme="majorBidi"/>
        </w:rPr>
        <w:t>. These results show that the errors will more significantly widen and fluctuate after the first five years of pavement age</w:t>
      </w:r>
      <w:r>
        <w:rPr>
          <w:rFonts w:asciiTheme="majorBidi" w:hAnsiTheme="majorBidi" w:cstheme="majorBidi"/>
        </w:rPr>
        <w:t xml:space="preserve"> for all three pavement types</w:t>
      </w:r>
      <w:r w:rsidRPr="0095770F">
        <w:rPr>
          <w:rFonts w:asciiTheme="majorBidi" w:hAnsiTheme="majorBidi" w:cstheme="majorBidi"/>
        </w:rPr>
        <w:t>. Residuals can generally be either positive or negative; however consistent difference</w:t>
      </w:r>
      <w:r>
        <w:rPr>
          <w:rFonts w:asciiTheme="majorBidi" w:hAnsiTheme="majorBidi" w:cstheme="majorBidi"/>
        </w:rPr>
        <w:t>s</w:t>
      </w:r>
      <w:r w:rsidRPr="0095770F">
        <w:rPr>
          <w:rFonts w:asciiTheme="majorBidi" w:hAnsiTheme="majorBidi" w:cstheme="majorBidi"/>
        </w:rPr>
        <w:t xml:space="preserve"> between </w:t>
      </w:r>
      <w:r w:rsidRPr="0095770F">
        <w:rPr>
          <w:rFonts w:asciiTheme="majorBidi" w:hAnsiTheme="majorBidi" w:cstheme="majorBidi"/>
        </w:rPr>
        <w:lastRenderedPageBreak/>
        <w:t>the predicted and observed values to one side of the prediction model is referred to as bias, and the variability in the mean observed value of these residuals is referred to as variance. Bias can be formally defined as the expected value of the model r</w:t>
      </w:r>
      <w:r>
        <w:rPr>
          <w:rFonts w:asciiTheme="majorBidi" w:hAnsiTheme="majorBidi" w:cstheme="majorBidi"/>
        </w:rPr>
        <w:t>esiduals, as shown in Equation 9</w:t>
      </w:r>
      <w:r w:rsidRPr="0095770F">
        <w:rPr>
          <w:rFonts w:asciiTheme="majorBidi" w:hAnsiTheme="majorBidi" w:cstheme="majorBidi"/>
        </w:rPr>
        <w:t>.</w:t>
      </w:r>
    </w:p>
    <w:p w:rsidR="005B4A41" w:rsidRPr="00DE7B04" w:rsidRDefault="005B4A41" w:rsidP="005B4A41">
      <w:pPr>
        <w:pStyle w:val="Body"/>
        <w:ind w:firstLine="0"/>
        <w:rPr>
          <w:szCs w:val="24"/>
        </w:rPr>
      </w:pPr>
      <m:oMath>
        <m:r>
          <w:rPr>
            <w:rFonts w:ascii="Cambria Math" w:eastAsiaTheme="majorEastAsia" w:hAnsi="Cambria Math" w:cs="Times New Roman"/>
            <w:szCs w:val="24"/>
          </w:rPr>
          <m:t>Bias=E</m:t>
        </m:r>
        <m:d>
          <m:dPr>
            <m:begChr m:val="["/>
            <m:endChr m:val="]"/>
            <m:ctrlPr>
              <w:rPr>
                <w:rFonts w:ascii="Cambria Math" w:eastAsiaTheme="majorEastAsia" w:hAnsi="Cambria Math" w:cs="Times New Roman"/>
                <w:i/>
                <w:szCs w:val="24"/>
              </w:rPr>
            </m:ctrlPr>
          </m:dPr>
          <m:e>
            <m:acc>
              <m:accPr>
                <m:ctrlPr>
                  <w:rPr>
                    <w:rFonts w:ascii="Cambria Math" w:eastAsiaTheme="majorEastAsia" w:hAnsi="Cambria Math" w:cs="Times New Roman"/>
                    <w:i/>
                    <w:szCs w:val="24"/>
                  </w:rPr>
                </m:ctrlPr>
              </m:accPr>
              <m:e>
                <m:r>
                  <w:rPr>
                    <w:rFonts w:ascii="Cambria Math" w:eastAsiaTheme="majorEastAsia" w:hAnsi="Cambria Math" w:cs="Times New Roman"/>
                    <w:szCs w:val="24"/>
                  </w:rPr>
                  <m:t>y</m:t>
                </m:r>
              </m:e>
            </m:acc>
            <m:r>
              <w:rPr>
                <w:rFonts w:ascii="Cambria Math" w:eastAsiaTheme="majorEastAsia" w:hAnsi="Cambria Math" w:cs="Times New Roman"/>
                <w:szCs w:val="24"/>
              </w:rPr>
              <m:t>-y</m:t>
            </m:r>
          </m:e>
        </m:d>
        <m:r>
          <w:rPr>
            <w:rFonts w:ascii="Cambria Math" w:eastAsiaTheme="majorEastAsia" w:hAnsi="Cambria Math" w:cs="Times New Roman"/>
            <w:szCs w:val="24"/>
          </w:rPr>
          <m:t>≈</m:t>
        </m:r>
        <m:f>
          <m:fPr>
            <m:ctrlPr>
              <w:rPr>
                <w:rFonts w:ascii="Cambria Math" w:eastAsiaTheme="majorEastAsia" w:hAnsi="Cambria Math" w:cs="Times New Roman"/>
                <w:i/>
                <w:szCs w:val="24"/>
              </w:rPr>
            </m:ctrlPr>
          </m:fPr>
          <m:num>
            <m:r>
              <w:rPr>
                <w:rFonts w:ascii="Cambria Math" w:eastAsiaTheme="majorEastAsia" w:hAnsi="Cambria Math" w:cs="Times New Roman"/>
                <w:szCs w:val="24"/>
              </w:rPr>
              <m:t>1</m:t>
            </m:r>
          </m:num>
          <m:den>
            <m:r>
              <w:rPr>
                <w:rFonts w:ascii="Cambria Math" w:eastAsiaTheme="majorEastAsia" w:hAnsi="Cambria Math" w:cs="Times New Roman"/>
                <w:szCs w:val="24"/>
              </w:rPr>
              <m:t>N</m:t>
            </m:r>
          </m:den>
        </m:f>
        <m:nary>
          <m:naryPr>
            <m:chr m:val="∑"/>
            <m:limLoc m:val="undOvr"/>
            <m:ctrlPr>
              <w:rPr>
                <w:rFonts w:ascii="Cambria Math" w:eastAsiaTheme="majorEastAsia" w:hAnsi="Cambria Math" w:cs="Times New Roman"/>
                <w:i/>
                <w:szCs w:val="24"/>
              </w:rPr>
            </m:ctrlPr>
          </m:naryPr>
          <m:sub>
            <m:r>
              <w:rPr>
                <w:rFonts w:ascii="Cambria Math" w:eastAsiaTheme="majorEastAsia" w:hAnsi="Cambria Math" w:cs="Times New Roman"/>
                <w:szCs w:val="24"/>
              </w:rPr>
              <m:t>i=1</m:t>
            </m:r>
          </m:sub>
          <m:sup>
            <m:r>
              <w:rPr>
                <w:rFonts w:ascii="Cambria Math" w:eastAsiaTheme="majorEastAsia" w:hAnsi="Cambria Math" w:cs="Times New Roman"/>
                <w:szCs w:val="24"/>
              </w:rPr>
              <m:t>N</m:t>
            </m:r>
          </m:sup>
          <m:e>
            <m:r>
              <w:rPr>
                <w:rFonts w:ascii="Cambria Math" w:eastAsiaTheme="majorEastAsia" w:hAnsi="Cambria Math" w:cs="Times New Roman"/>
                <w:szCs w:val="24"/>
              </w:rPr>
              <m:t>ϵ</m:t>
            </m:r>
          </m:e>
        </m:nary>
      </m:oMath>
      <w:r w:rsidRPr="00DE7B04">
        <w:rPr>
          <w:rFonts w:eastAsiaTheme="minorEastAsia"/>
          <w:szCs w:val="24"/>
        </w:rPr>
        <w:t xml:space="preserve">    </w:t>
      </w:r>
      <w:r>
        <w:rPr>
          <w:rFonts w:eastAsiaTheme="minorEastAsia"/>
          <w:szCs w:val="24"/>
        </w:rPr>
        <w:t xml:space="preserve">                                                                                                    </w:t>
      </w:r>
      <w:r w:rsidRPr="00DE7B04">
        <w:rPr>
          <w:rFonts w:eastAsiaTheme="minorEastAsia"/>
          <w:szCs w:val="24"/>
        </w:rPr>
        <w:t xml:space="preserve">(9) </w:t>
      </w:r>
    </w:p>
    <w:p w:rsidR="005B4A41" w:rsidRDefault="005B4A41" w:rsidP="005B4A41">
      <w:pPr>
        <w:widowControl/>
        <w:spacing w:after="160" w:line="259" w:lineRule="auto"/>
        <w:rPr>
          <w:rFonts w:asciiTheme="majorBidi" w:hAnsiTheme="majorBidi" w:cstheme="majorBidi"/>
        </w:rPr>
      </w:pPr>
      <w:r w:rsidRPr="0095770F">
        <w:rPr>
          <w:rFonts w:asciiTheme="majorBidi" w:hAnsiTheme="majorBidi" w:cstheme="majorBidi"/>
        </w:rPr>
        <w:t xml:space="preserve">Where </w:t>
      </w:r>
      <m:oMath>
        <m:acc>
          <m:accPr>
            <m:ctrlPr>
              <w:rPr>
                <w:rFonts w:ascii="Cambria Math" w:hAnsi="Cambria Math" w:cstheme="majorBidi"/>
              </w:rPr>
            </m:ctrlPr>
          </m:accPr>
          <m:e>
            <m:r>
              <w:rPr>
                <w:rFonts w:ascii="Cambria Math" w:hAnsi="Cambria Math" w:cstheme="majorBidi"/>
              </w:rPr>
              <m:t>y</m:t>
            </m:r>
          </m:e>
        </m:acc>
      </m:oMath>
      <w:r w:rsidRPr="0095770F">
        <w:rPr>
          <w:rFonts w:asciiTheme="majorBidi" w:hAnsiTheme="majorBidi" w:cstheme="majorBidi"/>
        </w:rPr>
        <w:t xml:space="preserve"> is the predicted value, </w:t>
      </w:r>
      <m:oMath>
        <m:r>
          <w:rPr>
            <w:rFonts w:ascii="Cambria Math" w:hAnsi="Cambria Math" w:cstheme="majorBidi"/>
          </w:rPr>
          <m:t>y</m:t>
        </m:r>
      </m:oMath>
      <w:r w:rsidRPr="0095770F">
        <w:rPr>
          <w:rFonts w:asciiTheme="majorBidi" w:hAnsiTheme="majorBidi" w:cstheme="majorBidi"/>
        </w:rPr>
        <w:t xml:space="preserve"> is the observed value, and </w:t>
      </w:r>
      <m:oMath>
        <m:r>
          <w:rPr>
            <w:rFonts w:ascii="Cambria Math" w:hAnsi="Cambria Math" w:cstheme="majorBidi"/>
          </w:rPr>
          <m:t>ϵ</m:t>
        </m:r>
      </m:oMath>
      <w:r w:rsidRPr="0095770F">
        <w:rPr>
          <w:rFonts w:asciiTheme="majorBidi" w:hAnsiTheme="majorBidi" w:cstheme="majorBidi"/>
        </w:rPr>
        <w:t xml:space="preserve"> is the model residual</w:t>
      </w:r>
      <w:r>
        <w:rPr>
          <w:rFonts w:asciiTheme="majorBidi" w:hAnsiTheme="majorBidi" w:cstheme="majorBidi"/>
        </w:rPr>
        <w:t xml:space="preserve"> </w:t>
      </w:r>
      <m:oMath>
        <m:r>
          <w:rPr>
            <w:rFonts w:ascii="Cambria Math" w:hAnsi="Cambria Math" w:cstheme="majorBidi"/>
          </w:rPr>
          <m:t>ϵ</m:t>
        </m:r>
        <m:r>
          <m:rPr>
            <m:sty m:val="p"/>
          </m:rPr>
          <w:rPr>
            <w:rFonts w:ascii="Cambria Math" w:hAnsi="Cambria Math" w:cstheme="majorBidi"/>
          </w:rPr>
          <m:t>=</m:t>
        </m:r>
        <m:acc>
          <m:accPr>
            <m:ctrlPr>
              <w:rPr>
                <w:rFonts w:ascii="Cambria Math" w:hAnsi="Cambria Math" w:cstheme="majorBidi"/>
              </w:rPr>
            </m:ctrlPr>
          </m:accPr>
          <m:e>
            <m:r>
              <w:rPr>
                <w:rFonts w:ascii="Cambria Math" w:hAnsi="Cambria Math" w:cstheme="majorBidi"/>
              </w:rPr>
              <m:t>y</m:t>
            </m:r>
          </m:e>
        </m:acc>
        <m:r>
          <m:rPr>
            <m:sty m:val="p"/>
          </m:rPr>
          <w:rPr>
            <w:rFonts w:ascii="Cambria Math" w:hAnsi="Cambria Math" w:cstheme="majorBidi"/>
          </w:rPr>
          <m:t>-</m:t>
        </m:r>
        <m:r>
          <w:rPr>
            <w:rFonts w:ascii="Cambria Math" w:hAnsi="Cambria Math" w:cstheme="majorBidi"/>
          </w:rPr>
          <m:t>y</m:t>
        </m:r>
      </m:oMath>
      <w:r>
        <w:rPr>
          <w:rFonts w:asciiTheme="majorBidi" w:eastAsiaTheme="minorEastAsia" w:hAnsiTheme="majorBidi" w:cstheme="majorBidi"/>
        </w:rPr>
        <w:t>.</w:t>
      </w:r>
    </w:p>
    <w:p w:rsidR="005B4A41" w:rsidRDefault="005B4A41" w:rsidP="005B4A41">
      <w:pPr>
        <w:pStyle w:val="Body"/>
        <w:rPr>
          <w:rFonts w:cs="Times New Roman"/>
          <w:noProof/>
        </w:rPr>
      </w:pPr>
      <w:r>
        <w:t>As can be seen in F</w:t>
      </w:r>
      <w:r w:rsidRPr="0095770F">
        <w:t xml:space="preserve">igures </w:t>
      </w:r>
      <w:r>
        <w:t>(14-16)</w:t>
      </w:r>
      <w:r w:rsidRPr="0095770F">
        <w:t xml:space="preserve">, the </w:t>
      </w:r>
      <w:r>
        <w:t xml:space="preserve">DOT </w:t>
      </w:r>
      <w:r w:rsidRPr="0095770F">
        <w:t xml:space="preserve">regression models show a consistently higher bias as the average line deviates from the zero value. To check whether the bias of the </w:t>
      </w:r>
      <w:r>
        <w:t xml:space="preserve">DOT </w:t>
      </w:r>
      <w:r w:rsidRPr="0095770F">
        <w:t xml:space="preserve">regression model was significantly higher or lower than the LSTM model bias a hypothesis test was performed to calculate the regression and LSTM models average absolute residual values. To determine the possibly unequal residual variance between the models, the Kolmogorov-Smirnov test, a non-parametric test that allows for testing with unequal variances, was performed. Results showed that the regression model had a significantly higher bias with a negative value, meaning that the regression model will consistently overestimate the index values and result in less conservative predictions. The means of the residual of the PCI for the LSTM and DOT models were (3.93, -10.57) for PCC, (-1.87, -11.93) for AC, and (-3.77, -9.94) for COM pavement types. Even though the variance of the residuals increased in the LSTM over time, the mean of the residual in the LSTM model was still less than that of the regression models. The solid black line and dotted blue line in the figures show how the mean errors </w:t>
      </w:r>
      <w:r>
        <w:t>c</w:t>
      </w:r>
      <w:r w:rsidRPr="0095770F">
        <w:t>hanged over time.</w:t>
      </w:r>
      <w:r w:rsidRPr="00A75E6A">
        <w:rPr>
          <w:rFonts w:cs="Times New Roman"/>
          <w:noProof/>
        </w:rPr>
        <w:t xml:space="preserve"> </w:t>
      </w:r>
    </w:p>
    <w:p w:rsidR="005B4A41" w:rsidRDefault="005B4A41" w:rsidP="005B4A41">
      <w:pPr>
        <w:pStyle w:val="Body"/>
        <w:ind w:firstLine="0"/>
      </w:pPr>
      <w:r w:rsidRPr="000F07E6">
        <w:rPr>
          <w:rFonts w:cs="Times New Roman"/>
          <w:noProof/>
        </w:rPr>
        <w:lastRenderedPageBreak/>
        <w:drawing>
          <wp:inline distT="0" distB="0" distL="0" distR="0" wp14:anchorId="1E6692B4" wp14:editId="6016C361">
            <wp:extent cx="5943600" cy="2795270"/>
            <wp:effectExtent l="0" t="0" r="0"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795270"/>
                    </a:xfrm>
                    <a:prstGeom prst="rect">
                      <a:avLst/>
                    </a:prstGeom>
                  </pic:spPr>
                </pic:pic>
              </a:graphicData>
            </a:graphic>
          </wp:inline>
        </w:drawing>
      </w:r>
    </w:p>
    <w:p w:rsidR="005B4A41" w:rsidRPr="00427FB8" w:rsidRDefault="005B4A41" w:rsidP="005B4A41">
      <w:pPr>
        <w:pStyle w:val="Caption"/>
        <w:jc w:val="center"/>
        <w:rPr>
          <w:b/>
          <w:i/>
        </w:rPr>
      </w:pPr>
      <w:bookmarkStart w:id="20" w:name="_Toc40744469"/>
      <w:r w:rsidRPr="00427FB8">
        <w:rPr>
          <w:b/>
          <w:i/>
        </w:rPr>
        <w:t xml:space="preserve">Figure </w:t>
      </w:r>
      <w:r w:rsidRPr="00427FB8">
        <w:rPr>
          <w:b/>
          <w:i/>
        </w:rPr>
        <w:fldChar w:fldCharType="begin"/>
      </w:r>
      <w:r w:rsidRPr="00427FB8">
        <w:rPr>
          <w:b/>
          <w:i/>
        </w:rPr>
        <w:instrText xml:space="preserve"> SEQ Figure \* ARABIC </w:instrText>
      </w:r>
      <w:r w:rsidRPr="00427FB8">
        <w:rPr>
          <w:b/>
          <w:i/>
        </w:rPr>
        <w:fldChar w:fldCharType="separate"/>
      </w:r>
      <w:r>
        <w:rPr>
          <w:b/>
          <w:i/>
          <w:noProof/>
        </w:rPr>
        <w:t>14</w:t>
      </w:r>
      <w:r w:rsidRPr="00427FB8">
        <w:rPr>
          <w:b/>
          <w:i/>
        </w:rPr>
        <w:fldChar w:fldCharType="end"/>
      </w:r>
      <w:r w:rsidRPr="00427FB8">
        <w:rPr>
          <w:b/>
          <w:i/>
        </w:rPr>
        <w:t>: PCI Residual vs Age in AC pavements</w:t>
      </w:r>
      <w:bookmarkEnd w:id="20"/>
    </w:p>
    <w:p w:rsidR="005B4A41" w:rsidRDefault="005B4A41" w:rsidP="005B4A41">
      <w:pPr>
        <w:keepNext/>
        <w:widowControl/>
        <w:spacing w:after="160" w:line="259" w:lineRule="auto"/>
        <w:jc w:val="center"/>
      </w:pPr>
      <w:r w:rsidRPr="000F07E6">
        <w:rPr>
          <w:rFonts w:cs="Times New Roman"/>
          <w:noProof/>
        </w:rPr>
        <w:drawing>
          <wp:inline distT="0" distB="0" distL="0" distR="0" wp14:anchorId="64523EB9" wp14:editId="423D1AEB">
            <wp:extent cx="5943600" cy="27952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795270"/>
                    </a:xfrm>
                    <a:prstGeom prst="rect">
                      <a:avLst/>
                    </a:prstGeom>
                  </pic:spPr>
                </pic:pic>
              </a:graphicData>
            </a:graphic>
          </wp:inline>
        </w:drawing>
      </w:r>
    </w:p>
    <w:p w:rsidR="005B4A41" w:rsidRPr="00427FB8" w:rsidRDefault="005B4A41" w:rsidP="005B4A41">
      <w:pPr>
        <w:pStyle w:val="Caption"/>
        <w:jc w:val="center"/>
        <w:rPr>
          <w:rFonts w:asciiTheme="majorBidi" w:hAnsiTheme="majorBidi" w:cstheme="majorBidi"/>
          <w:b/>
          <w:i/>
        </w:rPr>
      </w:pPr>
      <w:bookmarkStart w:id="21" w:name="_Toc40744470"/>
      <w:r w:rsidRPr="00427FB8">
        <w:rPr>
          <w:b/>
          <w:i/>
        </w:rPr>
        <w:t xml:space="preserve">Figure </w:t>
      </w:r>
      <w:r w:rsidRPr="00427FB8">
        <w:rPr>
          <w:b/>
          <w:i/>
        </w:rPr>
        <w:fldChar w:fldCharType="begin"/>
      </w:r>
      <w:r w:rsidRPr="00427FB8">
        <w:rPr>
          <w:b/>
          <w:i/>
        </w:rPr>
        <w:instrText xml:space="preserve"> SEQ Figure \* ARABIC </w:instrText>
      </w:r>
      <w:r w:rsidRPr="00427FB8">
        <w:rPr>
          <w:b/>
          <w:i/>
        </w:rPr>
        <w:fldChar w:fldCharType="separate"/>
      </w:r>
      <w:r>
        <w:rPr>
          <w:b/>
          <w:i/>
          <w:noProof/>
        </w:rPr>
        <w:t>15</w:t>
      </w:r>
      <w:r w:rsidRPr="00427FB8">
        <w:rPr>
          <w:b/>
          <w:i/>
        </w:rPr>
        <w:fldChar w:fldCharType="end"/>
      </w:r>
      <w:r w:rsidRPr="00427FB8">
        <w:rPr>
          <w:b/>
          <w:i/>
        </w:rPr>
        <w:t>: PCI Residual vs Age in COM pavements</w:t>
      </w:r>
      <w:bookmarkEnd w:id="21"/>
    </w:p>
    <w:p w:rsidR="005B4A41" w:rsidRDefault="005B4A41" w:rsidP="005B4A41">
      <w:pPr>
        <w:keepNext/>
        <w:widowControl/>
        <w:spacing w:after="160" w:line="259" w:lineRule="auto"/>
        <w:jc w:val="center"/>
      </w:pPr>
      <w:r w:rsidRPr="000F07E6">
        <w:rPr>
          <w:rFonts w:eastAsiaTheme="majorEastAsia" w:cs="Times New Roman"/>
          <w:noProof/>
        </w:rPr>
        <w:lastRenderedPageBreak/>
        <w:drawing>
          <wp:inline distT="0" distB="0" distL="0" distR="0" wp14:anchorId="3D3E8FCC" wp14:editId="241F6A90">
            <wp:extent cx="5943600" cy="2795270"/>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795270"/>
                    </a:xfrm>
                    <a:prstGeom prst="rect">
                      <a:avLst/>
                    </a:prstGeom>
                  </pic:spPr>
                </pic:pic>
              </a:graphicData>
            </a:graphic>
          </wp:inline>
        </w:drawing>
      </w:r>
    </w:p>
    <w:p w:rsidR="005B4A41" w:rsidRPr="00427FB8" w:rsidRDefault="005B4A41" w:rsidP="005B4A41">
      <w:pPr>
        <w:pStyle w:val="Caption"/>
        <w:jc w:val="center"/>
        <w:rPr>
          <w:rFonts w:asciiTheme="majorBidi" w:hAnsiTheme="majorBidi" w:cstheme="majorBidi"/>
          <w:b/>
          <w:i/>
        </w:rPr>
      </w:pPr>
      <w:bookmarkStart w:id="22" w:name="_Toc40744471"/>
      <w:r w:rsidRPr="00427FB8">
        <w:rPr>
          <w:b/>
          <w:i/>
        </w:rPr>
        <w:t xml:space="preserve">Figure </w:t>
      </w:r>
      <w:r w:rsidRPr="00427FB8">
        <w:rPr>
          <w:b/>
          <w:i/>
        </w:rPr>
        <w:fldChar w:fldCharType="begin"/>
      </w:r>
      <w:r w:rsidRPr="00427FB8">
        <w:rPr>
          <w:b/>
          <w:i/>
        </w:rPr>
        <w:instrText xml:space="preserve"> SEQ Figure \* ARABIC </w:instrText>
      </w:r>
      <w:r w:rsidRPr="00427FB8">
        <w:rPr>
          <w:b/>
          <w:i/>
        </w:rPr>
        <w:fldChar w:fldCharType="separate"/>
      </w:r>
      <w:r>
        <w:rPr>
          <w:b/>
          <w:i/>
          <w:noProof/>
        </w:rPr>
        <w:t>16</w:t>
      </w:r>
      <w:r w:rsidRPr="00427FB8">
        <w:rPr>
          <w:b/>
          <w:i/>
        </w:rPr>
        <w:fldChar w:fldCharType="end"/>
      </w:r>
      <w:r w:rsidRPr="00427FB8">
        <w:rPr>
          <w:b/>
          <w:i/>
        </w:rPr>
        <w:t>: PCI Residual vs Age in PCC pavements</w:t>
      </w:r>
      <w:bookmarkEnd w:id="22"/>
    </w:p>
    <w:p w:rsidR="005B4A41" w:rsidRDefault="005B4A41" w:rsidP="005B4A41">
      <w:pPr>
        <w:widowControl/>
        <w:spacing w:after="160" w:line="259" w:lineRule="auto"/>
        <w:rPr>
          <w:rFonts w:asciiTheme="majorBidi" w:hAnsiTheme="majorBidi" w:cstheme="majorBidi"/>
        </w:rPr>
      </w:pPr>
    </w:p>
    <w:p w:rsidR="005B4A41" w:rsidRDefault="005B4A41" w:rsidP="005B4A41">
      <w:pPr>
        <w:pStyle w:val="Heading2"/>
      </w:pPr>
      <w:bookmarkStart w:id="23" w:name="_Toc40744430"/>
      <w:r>
        <w:t>Conclusion</w:t>
      </w:r>
      <w:bookmarkEnd w:id="23"/>
    </w:p>
    <w:p w:rsidR="005B4A41" w:rsidRDefault="005B4A41" w:rsidP="005B4A41">
      <w:pPr>
        <w:pStyle w:val="Body"/>
        <w:rPr>
          <w:rFonts w:asciiTheme="majorBidi" w:hAnsiTheme="majorBidi" w:cstheme="majorBidi"/>
        </w:rPr>
      </w:pPr>
      <w:r w:rsidRPr="0095770F">
        <w:rPr>
          <w:rFonts w:asciiTheme="majorBidi" w:hAnsiTheme="majorBidi" w:cstheme="majorBidi"/>
        </w:rPr>
        <w:t xml:space="preserve">The deterioration models of the historical pavement condition data for the state of Iowa were developed using an LSTM approach. The proposed model and current method in Iowa DOT were compared to investigate the model accuracy. The comparison between the developed model and the individual regression models used by the Iowa DOT from the three different pavement types indicates that </w:t>
      </w:r>
      <w:r>
        <w:rPr>
          <w:rFonts w:asciiTheme="majorBidi" w:hAnsiTheme="majorBidi" w:cstheme="majorBidi"/>
        </w:rPr>
        <w:t>prediction accuracy in the LSTM model is higher than individual regression models</w:t>
      </w:r>
      <w:r w:rsidRPr="0095770F">
        <w:rPr>
          <w:rFonts w:asciiTheme="majorBidi" w:hAnsiTheme="majorBidi" w:cstheme="majorBidi"/>
        </w:rPr>
        <w:t>.</w:t>
      </w:r>
    </w:p>
    <w:p w:rsidR="005B4A41" w:rsidRDefault="005B4A41" w:rsidP="005B4A41">
      <w:pPr>
        <w:pStyle w:val="Body"/>
        <w:rPr>
          <w:rFonts w:asciiTheme="majorBidi" w:hAnsiTheme="majorBidi" w:cstheme="majorBidi"/>
        </w:rPr>
      </w:pPr>
      <w:r>
        <w:rPr>
          <w:rFonts w:asciiTheme="majorBidi" w:hAnsiTheme="majorBidi" w:cstheme="majorBidi"/>
        </w:rPr>
        <w:t>T</w:t>
      </w:r>
      <w:r w:rsidRPr="0095770F">
        <w:rPr>
          <w:rFonts w:asciiTheme="majorBidi" w:hAnsiTheme="majorBidi" w:cstheme="majorBidi"/>
        </w:rPr>
        <w:t>he LSTM achieved a higher PCI prediction accuracy than the individual regression models</w:t>
      </w:r>
      <w:r>
        <w:rPr>
          <w:rFonts w:asciiTheme="majorBidi" w:hAnsiTheme="majorBidi" w:cstheme="majorBidi"/>
        </w:rPr>
        <w:t xml:space="preserve"> in all three pavement types</w:t>
      </w:r>
      <w:r w:rsidRPr="0095770F">
        <w:rPr>
          <w:rFonts w:asciiTheme="majorBidi" w:hAnsiTheme="majorBidi" w:cstheme="majorBidi"/>
        </w:rPr>
        <w:t>. A hypothesis analysis of mean was conducted for the PCI residual in both techniques and the results exhibit less LSTM bias than that of individual regression models.</w:t>
      </w:r>
    </w:p>
    <w:p w:rsidR="005B4A41" w:rsidRDefault="005B4A41" w:rsidP="005B4A41">
      <w:pPr>
        <w:pStyle w:val="Body"/>
      </w:pPr>
      <w:r w:rsidRPr="0095770F">
        <w:rPr>
          <w:rFonts w:asciiTheme="majorBidi" w:hAnsiTheme="majorBidi" w:cstheme="majorBidi"/>
        </w:rPr>
        <w:t xml:space="preserve">Overall, each of these two methods has its own advantages and disadvantages. The equation of the individual regression models requires an annual update, and each section will </w:t>
      </w:r>
      <w:r w:rsidRPr="0095770F">
        <w:rPr>
          <w:rFonts w:asciiTheme="majorBidi" w:hAnsiTheme="majorBidi" w:cstheme="majorBidi"/>
        </w:rPr>
        <w:lastRenderedPageBreak/>
        <w:t>exhibit a new year-by-year behavior, making the prediction process more complex. The LSTM is only one more consistent model compatible for all sections using a training process. The LSTM approach was sensitive to the data fluctuation resulting from unrecorded maintenance activities. While the evaluation of the regression models was restricted to residuals between the fitted functions and the actual readings, the evaluation for the LSTM was based on its ability to predict full performance curves not included during the training stage.</w:t>
      </w:r>
    </w:p>
    <w:p w:rsidR="005B4A41" w:rsidRDefault="005B4A41" w:rsidP="005B4A41">
      <w:pPr>
        <w:widowControl/>
        <w:spacing w:after="160" w:line="259" w:lineRule="auto"/>
        <w:rPr>
          <w:rFonts w:asciiTheme="majorBidi" w:hAnsiTheme="majorBidi" w:cstheme="majorBidi"/>
        </w:rPr>
      </w:pPr>
    </w:p>
    <w:p w:rsidR="005B4A41" w:rsidRDefault="005B4A41" w:rsidP="005B4A41">
      <w:pPr>
        <w:pStyle w:val="Heading2"/>
      </w:pPr>
      <w:bookmarkStart w:id="24" w:name="_Toc40744431"/>
      <w:r>
        <w:t>References</w:t>
      </w:r>
      <w:bookmarkEnd w:id="24"/>
    </w:p>
    <w:p w:rsidR="005B4A41" w:rsidRDefault="005B4A41" w:rsidP="005B4A41">
      <w:pPr>
        <w:autoSpaceDE w:val="0"/>
        <w:autoSpaceDN w:val="0"/>
        <w:adjustRightInd w:val="0"/>
        <w:ind w:left="480" w:hanging="480"/>
        <w:rPr>
          <w:rFonts w:cs="Times New Roman"/>
          <w:noProof/>
          <w:szCs w:val="24"/>
        </w:rPr>
      </w:pPr>
      <w:r w:rsidRPr="00201D63">
        <w:rPr>
          <w:rFonts w:cs="Times New Roman"/>
          <w:noProof/>
          <w:szCs w:val="24"/>
        </w:rPr>
        <w:fldChar w:fldCharType="begin" w:fldLock="1"/>
      </w:r>
      <w:r w:rsidRPr="00201D63">
        <w:rPr>
          <w:rFonts w:cs="Times New Roman"/>
          <w:noProof/>
          <w:szCs w:val="24"/>
        </w:rPr>
        <w:instrText xml:space="preserve">ADDIN Mendeley Bibliography CSL_BIBLIOGRAPHY </w:instrText>
      </w:r>
      <w:r w:rsidRPr="00201D63">
        <w:rPr>
          <w:rFonts w:cs="Times New Roman"/>
          <w:noProof/>
          <w:szCs w:val="24"/>
        </w:rPr>
        <w:fldChar w:fldCharType="separate"/>
      </w:r>
      <w:r w:rsidRPr="00201D63">
        <w:rPr>
          <w:rFonts w:cs="Times New Roman"/>
          <w:noProof/>
          <w:szCs w:val="24"/>
        </w:rPr>
        <w:t xml:space="preserve"> AASHTO. (2012). Pavement management guide. 2012. (2nd ed.). AASHTO</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Adeli, H. (2001). Neural Networks in Civil Engineering : 1989 − 2000, </w:t>
      </w:r>
      <w:r w:rsidRPr="00201D63">
        <w:rPr>
          <w:rFonts w:cs="Times New Roman"/>
          <w:i/>
          <w:noProof/>
          <w:szCs w:val="24"/>
        </w:rPr>
        <w:t>Computer-Aided Civil and Infrastructure Engineering, 16(2), 126-142</w:t>
      </w:r>
      <w:r w:rsidRPr="00201D63">
        <w:rPr>
          <w:rFonts w:cs="Times New Roman"/>
          <w:noProof/>
          <w:szCs w:val="24"/>
        </w:rPr>
        <w:t xml:space="preserve">, </w:t>
      </w:r>
      <w:r>
        <w:rPr>
          <w:rFonts w:cs="Times New Roman"/>
          <w:noProof/>
          <w:szCs w:val="24"/>
        </w:rPr>
        <w:t xml:space="preserve">                        </w:t>
      </w:r>
      <w:r w:rsidRPr="00201D63">
        <w:rPr>
          <w:rStyle w:val="Hyperlink"/>
        </w:rPr>
        <w:t>https://doi.org/10.1111/0885-9507.00219</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Alharbi, F. (2018). Predicting pavement performance utilizing artificial neural network (ANN) models. </w:t>
      </w:r>
      <w:r w:rsidRPr="00201D63">
        <w:rPr>
          <w:rFonts w:cs="Times New Roman"/>
          <w:i/>
          <w:noProof/>
          <w:szCs w:val="24"/>
        </w:rPr>
        <w:t>Graduate Theses and Dissertations at Iowa State University</w:t>
      </w:r>
      <w:r w:rsidRPr="00201D63">
        <w:rPr>
          <w:rFonts w:cs="Times New Roman"/>
          <w:noProof/>
          <w:szCs w:val="24"/>
        </w:rPr>
        <w:t xml:space="preserve">. </w:t>
      </w:r>
      <w:r w:rsidRPr="00201D63">
        <w:rPr>
          <w:rStyle w:val="Hyperlink"/>
        </w:rPr>
        <w:t>https://lib.dr.iastate.edu/etd/16703/</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noProof/>
          <w:szCs w:val="24"/>
        </w:rPr>
      </w:pPr>
      <w:r w:rsidRPr="00201D63">
        <w:rPr>
          <w:rFonts w:cs="Times New Roman"/>
          <w:noProof/>
          <w:szCs w:val="24"/>
        </w:rPr>
        <w:t xml:space="preserve">Basheer, I. A., &amp; Hajmeer, M. (2000). Artificial neural networks: Fundamentals, computing, design, and application. </w:t>
      </w:r>
      <w:r w:rsidRPr="00201D63">
        <w:rPr>
          <w:rFonts w:cs="Times New Roman"/>
          <w:i/>
          <w:noProof/>
          <w:szCs w:val="24"/>
        </w:rPr>
        <w:t>Journal of Microbiological Methods, 43(1), 3-31</w:t>
      </w:r>
      <w:r w:rsidRPr="00201D63">
        <w:rPr>
          <w:rFonts w:cs="Times New Roman"/>
          <w:noProof/>
          <w:szCs w:val="24"/>
        </w:rPr>
        <w:t>.</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Bektas, F., Smadi, O. G., &amp; Al-Zoubi, M. (2014). Pavement management performance modeling: Evaluating the existing PCI equations. </w:t>
      </w:r>
      <w:r w:rsidRPr="00201D63">
        <w:rPr>
          <w:rFonts w:cs="Times New Roman"/>
          <w:i/>
          <w:noProof/>
          <w:szCs w:val="24"/>
        </w:rPr>
        <w:t>Institute for Transportation at Iowa State University project reports</w:t>
      </w:r>
      <w:r w:rsidRPr="00201D63">
        <w:rPr>
          <w:rFonts w:cs="Times New Roman"/>
          <w:noProof/>
          <w:szCs w:val="24"/>
        </w:rPr>
        <w:t xml:space="preserve">. </w:t>
      </w:r>
      <w:hyperlink r:id="rId19" w:history="1">
        <w:r w:rsidRPr="00201D63">
          <w:rPr>
            <w:rStyle w:val="Hyperlink"/>
          </w:rPr>
          <w:t>https://lib.dr.iastate.edu/intrans reports/100/</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noProof/>
          <w:szCs w:val="24"/>
        </w:rPr>
      </w:pPr>
      <w:r w:rsidRPr="00201D63">
        <w:rPr>
          <w:rFonts w:cs="Times New Roman"/>
          <w:noProof/>
          <w:szCs w:val="24"/>
        </w:rPr>
        <w:t xml:space="preserve">Bursanescu, L., &amp; Blais, F. (1997, May). Automated pavement distress data collection and analysis: a 3-D approach. In Proceedings. </w:t>
      </w:r>
      <w:r w:rsidRPr="00201D63">
        <w:rPr>
          <w:rFonts w:cs="Times New Roman"/>
          <w:i/>
          <w:noProof/>
          <w:szCs w:val="24"/>
        </w:rPr>
        <w:t>International Conference on Recent Advances in 3-D Digital Imaging and Modeling (Cat. No. 97TB100134) (pp. 311-317). IEEE</w:t>
      </w:r>
      <w:r w:rsidRPr="00201D63">
        <w:rPr>
          <w:rFonts w:cs="Times New Roman"/>
          <w:noProof/>
          <w:szCs w:val="24"/>
        </w:rPr>
        <w:t xml:space="preserve"> </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Busseti, E., Osband, I., &amp; Wong, S. (2012). Deep Learning for Time Series Modeling</w:t>
      </w:r>
      <w:r>
        <w:rPr>
          <w:rFonts w:cs="Times New Roman"/>
          <w:noProof/>
          <w:szCs w:val="24"/>
        </w:rPr>
        <w:t>,</w:t>
      </w:r>
      <w:r w:rsidRPr="00201D63">
        <w:rPr>
          <w:rFonts w:cs="Times New Roman"/>
          <w:i/>
          <w:noProof/>
          <w:szCs w:val="24"/>
        </w:rPr>
        <w:t xml:space="preserve"> Final Project Report</w:t>
      </w:r>
      <w:r w:rsidRPr="00201D63">
        <w:rPr>
          <w:rFonts w:cs="Times New Roman"/>
          <w:noProof/>
          <w:szCs w:val="24"/>
        </w:rPr>
        <w:t xml:space="preserve">, </w:t>
      </w:r>
      <w:r w:rsidRPr="00201D63">
        <w:rPr>
          <w:rStyle w:val="Hyperlink"/>
        </w:rPr>
        <w:t>https://pdfs.semanticscholar.org/a241/a7e26d6baf2c068601813216d3cc09e845ff.pdf</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Ceylan, H., Birkan Bayrak, M., Gopalakrishnan, K., &amp; . (2014). Neural Networks Applications in Pavement Engineering: A Recent Survey. </w:t>
      </w:r>
      <w:r w:rsidRPr="00201D63">
        <w:rPr>
          <w:rFonts w:cs="Times New Roman"/>
          <w:i/>
          <w:noProof/>
          <w:szCs w:val="24"/>
        </w:rPr>
        <w:t>International Journal of Pavement Research and Technology, 7(6), 434–444</w:t>
      </w:r>
      <w:r w:rsidRPr="00201D63">
        <w:rPr>
          <w:rFonts w:cs="Times New Roman"/>
          <w:noProof/>
          <w:szCs w:val="24"/>
        </w:rPr>
        <w:t xml:space="preserve">. </w:t>
      </w:r>
      <w:hyperlink r:id="rId20" w:history="1">
        <w:r w:rsidRPr="00201D63">
          <w:rPr>
            <w:rStyle w:val="Hyperlink"/>
          </w:rPr>
          <w:t>https://doi.org/10.6135/ijprt.org.tw/2014.7(6).434</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Chris Olah. (2015). Understanding LSTM Networks -- colah’s blog. Retrieved from </w:t>
      </w:r>
      <w:r w:rsidRPr="00201D63">
        <w:rPr>
          <w:rStyle w:val="Hyperlink"/>
        </w:rPr>
        <w:t>https://colah.github.io/posts/2015-08-Understanding-LSTMs/</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Dougherty, M. (1995). A review of neural networks applied to transport. </w:t>
      </w:r>
      <w:r w:rsidRPr="00201D63">
        <w:rPr>
          <w:rFonts w:cs="Times New Roman"/>
          <w:i/>
          <w:noProof/>
          <w:szCs w:val="24"/>
        </w:rPr>
        <w:t>Transportation Research Part C</w:t>
      </w:r>
      <w:r w:rsidRPr="00201D63">
        <w:rPr>
          <w:rFonts w:cs="Times New Roman"/>
          <w:noProof/>
          <w:szCs w:val="24"/>
        </w:rPr>
        <w:t xml:space="preserve">. </w:t>
      </w:r>
      <w:r w:rsidRPr="00201D63">
        <w:rPr>
          <w:rStyle w:val="Hyperlink"/>
        </w:rPr>
        <w:t>https://doi.org/10.1016/0968-090X(95)00009-8</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Flood, I. (2008). Towards the next generation of artificial neural networks for civil engineering. </w:t>
      </w:r>
      <w:r w:rsidRPr="00201D63">
        <w:rPr>
          <w:rFonts w:cs="Times New Roman"/>
          <w:i/>
          <w:noProof/>
          <w:szCs w:val="24"/>
        </w:rPr>
        <w:t>Advanced Engineering Informatics</w:t>
      </w:r>
      <w:r w:rsidRPr="00201D63">
        <w:rPr>
          <w:rFonts w:cs="Times New Roman"/>
          <w:noProof/>
          <w:szCs w:val="24"/>
        </w:rPr>
        <w:t xml:space="preserve">. </w:t>
      </w:r>
      <w:r w:rsidRPr="00201D63">
        <w:rPr>
          <w:rStyle w:val="Hyperlink"/>
        </w:rPr>
        <w:t>https://doi.org/10.1016/j.aei.2007.07.001</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noProof/>
          <w:szCs w:val="24"/>
        </w:rPr>
      </w:pPr>
      <w:r w:rsidRPr="00201D63">
        <w:rPr>
          <w:rFonts w:cs="Times New Roman"/>
          <w:noProof/>
          <w:szCs w:val="24"/>
        </w:rPr>
        <w:t>Flood, I., &amp; Kartam, N. (1994). Neural networks in civil engineering. I: Principles and understanding. </w:t>
      </w:r>
      <w:r w:rsidRPr="00201D63">
        <w:rPr>
          <w:rFonts w:cs="Times New Roman"/>
          <w:i/>
          <w:noProof/>
          <w:szCs w:val="24"/>
        </w:rPr>
        <w:t>Journal of computing in civil engineering, 8(2), 131-148</w:t>
      </w:r>
      <w:r w:rsidRPr="00201D63">
        <w:rPr>
          <w:rFonts w:cs="Times New Roman"/>
          <w:noProof/>
          <w:szCs w:val="24"/>
        </w:rPr>
        <w:t>.</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i/>
          <w:noProof/>
          <w:szCs w:val="24"/>
        </w:rPr>
      </w:pPr>
      <w:r w:rsidRPr="00201D63">
        <w:rPr>
          <w:rFonts w:cs="Times New Roman"/>
          <w:noProof/>
          <w:szCs w:val="24"/>
        </w:rPr>
        <w:t xml:space="preserve">George, K. P. (2000). MDOT pavement management system: prediction models and feedback system (No. FHWA/MS-DOT-RD-00-119). </w:t>
      </w:r>
      <w:r w:rsidRPr="00201D63">
        <w:rPr>
          <w:rFonts w:cs="Times New Roman"/>
          <w:i/>
          <w:noProof/>
          <w:szCs w:val="24"/>
        </w:rPr>
        <w:t>Mississippi. Dept. of Transportation.</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Golroo, A., &amp; Tighe, S. L. (2012). Development of pervious concrete pavement performance models using expert opinions. </w:t>
      </w:r>
      <w:r w:rsidRPr="00201D63">
        <w:rPr>
          <w:rFonts w:cs="Times New Roman"/>
          <w:i/>
          <w:noProof/>
          <w:szCs w:val="24"/>
        </w:rPr>
        <w:t>Journal of transportation engineering, 138(5), 634-648.</w:t>
      </w:r>
      <w:r w:rsidRPr="00201D63">
        <w:rPr>
          <w:rFonts w:cs="Times New Roman"/>
          <w:noProof/>
          <w:szCs w:val="24"/>
        </w:rPr>
        <w:t xml:space="preserve"> </w:t>
      </w:r>
      <w:r w:rsidRPr="00201D63">
        <w:rPr>
          <w:rStyle w:val="Hyperlink"/>
        </w:rPr>
        <w:t>https://doi.org/10.1061/(ASCE)TE.1943-5436.0000356.</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Graves, A. 2010. Supervised Sequence Labelling with Recurrent Neural Networks. Retrieved from </w:t>
      </w:r>
      <w:r w:rsidRPr="00201D63">
        <w:rPr>
          <w:rStyle w:val="Hyperlink"/>
        </w:rPr>
        <w:t>https://www.cs.toronto.edu/~graves/preprint.pdf</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i/>
          <w:noProof/>
          <w:szCs w:val="24"/>
        </w:rPr>
      </w:pPr>
      <w:r w:rsidRPr="00201D63">
        <w:rPr>
          <w:rFonts w:cs="Times New Roman"/>
          <w:noProof/>
          <w:szCs w:val="24"/>
        </w:rPr>
        <w:t xml:space="preserve">Haas, R., Hudson, W., &amp; Zaniewski, J. (1994). Modern Pavement Management. </w:t>
      </w:r>
      <w:r w:rsidRPr="00201D63">
        <w:rPr>
          <w:rFonts w:cs="Times New Roman"/>
          <w:i/>
          <w:noProof/>
          <w:szCs w:val="24"/>
        </w:rPr>
        <w:t>In Krieger Publishing Company (Vol. 102, p. 583).</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Haas, R., &amp; Hudson, W. R. (2015). Pavement asset management. </w:t>
      </w:r>
      <w:r w:rsidRPr="00201D63">
        <w:rPr>
          <w:rFonts w:cs="Times New Roman"/>
          <w:i/>
          <w:noProof/>
          <w:szCs w:val="24"/>
        </w:rPr>
        <w:t>John Wiley &amp; Sons</w:t>
      </w:r>
      <w:r w:rsidRPr="00201D63">
        <w:rPr>
          <w:rFonts w:cs="Times New Roman"/>
          <w:noProof/>
          <w:szCs w:val="24"/>
        </w:rPr>
        <w:t xml:space="preserve">. </w:t>
      </w:r>
      <w:hyperlink r:id="rId21" w:history="1">
        <w:r w:rsidRPr="00201D63">
          <w:rPr>
            <w:rStyle w:val="Hyperlink"/>
          </w:rPr>
          <w:t>https://doi.org/10.1002/9781119038849</w:t>
        </w:r>
      </w:hyperlink>
    </w:p>
    <w:p w:rsidR="005B4A41" w:rsidRDefault="005B4A41" w:rsidP="005B4A41">
      <w:pPr>
        <w:autoSpaceDE w:val="0"/>
        <w:autoSpaceDN w:val="0"/>
        <w:adjustRightInd w:val="0"/>
        <w:ind w:left="480" w:hanging="480"/>
        <w:rPr>
          <w:rStyle w:val="Hyperlink"/>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Hassan, R., Lin, O., &amp; Thananjeyan, A. (2017). A comparison between three approaches for </w:t>
      </w:r>
      <w:r>
        <w:rPr>
          <w:rFonts w:cs="Times New Roman"/>
          <w:noProof/>
          <w:szCs w:val="24"/>
        </w:rPr>
        <w:t>modeling</w:t>
      </w:r>
      <w:r w:rsidRPr="00201D63">
        <w:rPr>
          <w:rFonts w:cs="Times New Roman"/>
          <w:noProof/>
          <w:szCs w:val="24"/>
        </w:rPr>
        <w:t xml:space="preserve"> deterioration of five pavement surfaces. </w:t>
      </w:r>
      <w:r w:rsidRPr="00201D63">
        <w:rPr>
          <w:rFonts w:cs="Times New Roman"/>
          <w:i/>
          <w:noProof/>
          <w:szCs w:val="24"/>
        </w:rPr>
        <w:t>International Journal of Pavement Engineering, 18(1), 26-35.</w:t>
      </w:r>
      <w:r w:rsidRPr="00201D63">
        <w:rPr>
          <w:rFonts w:cs="Times New Roman"/>
          <w:noProof/>
          <w:szCs w:val="24"/>
        </w:rPr>
        <w:t xml:space="preserve">, </w:t>
      </w:r>
      <w:r w:rsidRPr="00201D63">
        <w:rPr>
          <w:rStyle w:val="Hyperlink"/>
        </w:rPr>
        <w:t>https://doi.org/10.1080/10298436.2015.1030744</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Horne, J. D., &amp; Manzenreiter, W. (2004). Accounting for Mega-Events. </w:t>
      </w:r>
      <w:r w:rsidRPr="00201D63">
        <w:rPr>
          <w:rFonts w:cs="Times New Roman"/>
          <w:i/>
          <w:noProof/>
          <w:szCs w:val="24"/>
        </w:rPr>
        <w:t>International Review for the Sociology of Sport</w:t>
      </w:r>
      <w:r w:rsidRPr="00201D63">
        <w:rPr>
          <w:rFonts w:cs="Times New Roman"/>
          <w:noProof/>
          <w:szCs w:val="24"/>
        </w:rPr>
        <w:t xml:space="preserve">. </w:t>
      </w:r>
      <w:r w:rsidRPr="00201D63">
        <w:rPr>
          <w:rStyle w:val="Hyperlink"/>
        </w:rPr>
        <w:t>https://doi.org/10.1177/1012690204043462</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Hu, Y. G., Cheng, H. D., Glazier, C., Wang, J., Chen, X. W., &amp; Shi, X. J. (2007). Novel Approach to Pavement Cracking Detection Based on Neural Network. </w:t>
      </w:r>
      <w:r w:rsidRPr="00201D63">
        <w:rPr>
          <w:rFonts w:cs="Times New Roman"/>
          <w:i/>
          <w:noProof/>
          <w:szCs w:val="24"/>
        </w:rPr>
        <w:t>Transportation Research Record: Journal of the Transportation Research Board, 1764(1), 119–127.</w:t>
      </w:r>
      <w:r w:rsidRPr="00201D63">
        <w:rPr>
          <w:rFonts w:cs="Times New Roman"/>
          <w:noProof/>
          <w:szCs w:val="24"/>
        </w:rPr>
        <w:t xml:space="preserve"> </w:t>
      </w:r>
      <w:r w:rsidRPr="00201D63">
        <w:rPr>
          <w:rStyle w:val="Hyperlink"/>
        </w:rPr>
        <w:t>https://doi.org/10.3141/1764-13</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Huang, Y., &amp; Moore, R. (1997). Roughness Level Probability Prediction Using Artificial Neural Networks. Transportation Research Record: </w:t>
      </w:r>
      <w:r w:rsidRPr="000A226A">
        <w:rPr>
          <w:rFonts w:cs="Times New Roman"/>
          <w:i/>
          <w:noProof/>
          <w:szCs w:val="24"/>
        </w:rPr>
        <w:t>Journal of the Transportation Research Board, 1592, 89–97</w:t>
      </w:r>
      <w:r w:rsidRPr="00201D63">
        <w:rPr>
          <w:rFonts w:cs="Times New Roman"/>
          <w:noProof/>
          <w:szCs w:val="24"/>
        </w:rPr>
        <w:t xml:space="preserve">. </w:t>
      </w:r>
      <w:r w:rsidRPr="000A226A">
        <w:rPr>
          <w:rStyle w:val="Hyperlink"/>
        </w:rPr>
        <w:t>https://doi.org/10.3141/1592-11</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LeCun, Y., Bengio, Y., &amp; Hinton, G. (2015). </w:t>
      </w:r>
      <w:r w:rsidRPr="000A226A">
        <w:rPr>
          <w:rFonts w:cs="Times New Roman"/>
          <w:noProof/>
          <w:szCs w:val="24"/>
        </w:rPr>
        <w:t>Deep learning</w:t>
      </w:r>
      <w:r w:rsidRPr="000A226A">
        <w:rPr>
          <w:rFonts w:cs="Times New Roman"/>
          <w:i/>
          <w:noProof/>
          <w:szCs w:val="24"/>
        </w:rPr>
        <w:t>. Nature, 521(7553), 436–444</w:t>
      </w:r>
      <w:r w:rsidRPr="00201D63">
        <w:rPr>
          <w:rFonts w:cs="Times New Roman"/>
          <w:noProof/>
          <w:szCs w:val="24"/>
        </w:rPr>
        <w:t xml:space="preserve">. </w:t>
      </w:r>
      <w:r w:rsidRPr="000A226A">
        <w:rPr>
          <w:rStyle w:val="Hyperlink"/>
        </w:rPr>
        <w:t>https://doi.org/10.1038/nature14539</w:t>
      </w:r>
    </w:p>
    <w:p w:rsidR="005B4A41" w:rsidRDefault="005B4A41" w:rsidP="005B4A41">
      <w:pPr>
        <w:autoSpaceDE w:val="0"/>
        <w:autoSpaceDN w:val="0"/>
        <w:adjustRightInd w:val="0"/>
        <w:ind w:left="480" w:hanging="480"/>
        <w:rPr>
          <w:rStyle w:val="Hyperlink"/>
        </w:rPr>
      </w:pP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noProof/>
          <w:szCs w:val="24"/>
        </w:rPr>
      </w:pPr>
      <w:r w:rsidRPr="00201D63">
        <w:rPr>
          <w:rFonts w:cs="Times New Roman"/>
          <w:noProof/>
          <w:szCs w:val="24"/>
        </w:rPr>
        <w:lastRenderedPageBreak/>
        <w:t xml:space="preserve">Lin, J., Yau, J.-T., &amp; Hsiao, L.-H. (2003). Correlation Analysis Between International Roughness Index (IRI) and Pavement Distress by Neural Network. </w:t>
      </w:r>
      <w:r w:rsidRPr="000A226A">
        <w:rPr>
          <w:rFonts w:cs="Times New Roman"/>
          <w:i/>
          <w:noProof/>
          <w:szCs w:val="24"/>
        </w:rPr>
        <w:t>82nd Transportation Research Board Annual Meeting, (January 2003)</w:t>
      </w:r>
      <w:r w:rsidRPr="00201D63">
        <w:rPr>
          <w:rFonts w:cs="Times New Roman"/>
          <w:noProof/>
          <w:szCs w:val="24"/>
        </w:rPr>
        <w:t>.</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Martens, J., &amp; Sutskever, I. (2011). Learning recurrent neural networks with hessian-free optimization. </w:t>
      </w:r>
      <w:r w:rsidRPr="000A226A">
        <w:rPr>
          <w:rFonts w:cs="Times New Roman"/>
          <w:i/>
          <w:noProof/>
          <w:szCs w:val="24"/>
        </w:rPr>
        <w:t>In Proceedings of the 28th international conference on machine learning (ICML-11) (pp. 1033-1040)</w:t>
      </w:r>
      <w:r w:rsidRPr="00201D63">
        <w:rPr>
          <w:rFonts w:cs="Times New Roman"/>
          <w:noProof/>
          <w:szCs w:val="24"/>
        </w:rPr>
        <w:t xml:space="preserve">. Retrieved from </w:t>
      </w:r>
      <w:r w:rsidRPr="000A226A">
        <w:rPr>
          <w:rStyle w:val="Hyperlink"/>
        </w:rPr>
        <w:t>http://citeseerx.ist.psu.edu/viewdoc/download?doi=10.1.1.222.6736&amp;rep=rep1&amp;type=pdf</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i/>
          <w:noProof/>
          <w:szCs w:val="24"/>
        </w:rPr>
      </w:pPr>
      <w:r w:rsidRPr="00201D63">
        <w:rPr>
          <w:rFonts w:cs="Times New Roman"/>
          <w:noProof/>
          <w:szCs w:val="24"/>
        </w:rPr>
        <w:t>de Melo e Silva, F., Van Dam, T. J., Bulleit, W. M., &amp; Ylitalo, R. (2000). Proposed pavement performance models for local government agencies in Michigan. </w:t>
      </w:r>
      <w:r w:rsidRPr="000A226A">
        <w:rPr>
          <w:rFonts w:cs="Times New Roman"/>
          <w:i/>
          <w:noProof/>
          <w:szCs w:val="24"/>
        </w:rPr>
        <w:t>Transportation research record, 1699(1), 81-86.</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noProof/>
          <w:szCs w:val="24"/>
        </w:rPr>
      </w:pPr>
      <w:r w:rsidRPr="00201D63">
        <w:rPr>
          <w:rFonts w:cs="Times New Roman"/>
          <w:noProof/>
          <w:szCs w:val="24"/>
        </w:rPr>
        <w:t>Nallamothu, S., &amp; Wang, K. C. (1996). Experimenting with recognition accelerator for pavement distress identification. </w:t>
      </w:r>
      <w:r w:rsidRPr="000A226A">
        <w:rPr>
          <w:rFonts w:cs="Times New Roman"/>
          <w:i/>
          <w:noProof/>
          <w:szCs w:val="24"/>
        </w:rPr>
        <w:t>Transportation research record, 1536(1), 130-135</w:t>
      </w:r>
      <w:r w:rsidRPr="00201D63">
        <w:rPr>
          <w:rFonts w:cs="Times New Roman"/>
          <w:noProof/>
          <w:szCs w:val="24"/>
        </w:rPr>
        <w:t>.</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Mills, L. N. O., Attoh-Okine, N. O., &amp; McNeil, S. (2012). Developing pavement performance models for Delaware. </w:t>
      </w:r>
      <w:r w:rsidRPr="000A226A">
        <w:rPr>
          <w:rFonts w:cs="Times New Roman"/>
          <w:i/>
          <w:noProof/>
          <w:szCs w:val="24"/>
        </w:rPr>
        <w:t>Transportation research record, 2304(1), 97-103</w:t>
      </w:r>
      <w:r w:rsidRPr="00201D63">
        <w:rPr>
          <w:rFonts w:cs="Times New Roman"/>
          <w:noProof/>
          <w:szCs w:val="24"/>
        </w:rPr>
        <w:t xml:space="preserve">. </w:t>
      </w:r>
      <w:r w:rsidRPr="000A226A">
        <w:rPr>
          <w:rStyle w:val="Hyperlink"/>
        </w:rPr>
        <w:t>https://doi.org/10.3141/2304-11</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Laptev, N., Yosinski, J., Li, L. E., &amp; Smyl, S. (2017, August). Time-series extreme event forecasting with neural networks at uber. </w:t>
      </w:r>
      <w:r w:rsidRPr="000A226A">
        <w:rPr>
          <w:rFonts w:cs="Times New Roman"/>
          <w:i/>
          <w:noProof/>
          <w:szCs w:val="24"/>
        </w:rPr>
        <w:t>In International Conference on Machine Learning (Vol. 34, pp. 1-5).</w:t>
      </w:r>
      <w:r w:rsidRPr="00201D63">
        <w:rPr>
          <w:rFonts w:cs="Times New Roman"/>
          <w:noProof/>
          <w:szCs w:val="24"/>
        </w:rPr>
        <w:t xml:space="preserve"> </w:t>
      </w:r>
      <w:r>
        <w:rPr>
          <w:rFonts w:cs="Times New Roman"/>
          <w:noProof/>
          <w:szCs w:val="24"/>
        </w:rPr>
        <w:t xml:space="preserve">                                                                  </w:t>
      </w:r>
      <w:hyperlink r:id="rId22" w:history="1">
        <w:r w:rsidRPr="000A226A">
          <w:rPr>
            <w:rStyle w:val="Hyperlink"/>
          </w:rPr>
          <w:t>http://roseyu.com/time-series-workshop/submissions/TSW2017_paper_3.pdf</w:t>
        </w:r>
      </w:hyperlink>
    </w:p>
    <w:p w:rsidR="005B4A41" w:rsidRDefault="005B4A41" w:rsidP="005B4A41">
      <w:pPr>
        <w:autoSpaceDE w:val="0"/>
        <w:autoSpaceDN w:val="0"/>
        <w:adjustRightInd w:val="0"/>
        <w:ind w:left="480" w:hanging="480"/>
        <w:rPr>
          <w:rStyle w:val="Hyperlink"/>
        </w:rPr>
      </w:pPr>
    </w:p>
    <w:p w:rsidR="005B4A41" w:rsidRDefault="005B4A41" w:rsidP="005B4A41">
      <w:pPr>
        <w:autoSpaceDE w:val="0"/>
        <w:autoSpaceDN w:val="0"/>
        <w:adjustRightInd w:val="0"/>
        <w:ind w:left="480" w:hanging="480"/>
        <w:rPr>
          <w:rStyle w:val="Hyperlink"/>
        </w:rPr>
      </w:pPr>
      <w:r w:rsidRPr="00201D63">
        <w:rPr>
          <w:rFonts w:cs="Times New Roman"/>
          <w:noProof/>
          <w:szCs w:val="24"/>
        </w:rPr>
        <w:t>Li, N., Xie, W. C., &amp; Haas, R. (1996). Reliability-based processing of Markov chains for modeling pavement network deterioration. </w:t>
      </w:r>
      <w:r w:rsidRPr="000A226A">
        <w:rPr>
          <w:rFonts w:cs="Times New Roman"/>
          <w:i/>
          <w:noProof/>
          <w:szCs w:val="24"/>
        </w:rPr>
        <w:t>Transportation research record, 1524(1), 203-213.</w:t>
      </w:r>
      <w:r w:rsidRPr="00201D63">
        <w:rPr>
          <w:rFonts w:cs="Times New Roman"/>
          <w:noProof/>
          <w:szCs w:val="24"/>
        </w:rPr>
        <w:t xml:space="preserve"> </w:t>
      </w:r>
      <w:hyperlink r:id="rId23" w:history="1">
        <w:r w:rsidRPr="000A226A">
          <w:rPr>
            <w:rStyle w:val="Hyperlink"/>
          </w:rPr>
          <w:t>https://journals.sagepub.com/doi/abs/10.1177/0361198196152400124?journalCode=trra</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i/>
          <w:noProof/>
          <w:szCs w:val="24"/>
        </w:rPr>
      </w:pPr>
      <w:r w:rsidRPr="00201D63">
        <w:rPr>
          <w:rFonts w:cs="Times New Roman"/>
          <w:noProof/>
          <w:szCs w:val="24"/>
        </w:rPr>
        <w:t xml:space="preserve">Lytton, R. L. (1987, November). Concepts of pavement performance prediction and modeling. </w:t>
      </w:r>
      <w:r w:rsidRPr="000A226A">
        <w:rPr>
          <w:rFonts w:cs="Times New Roman"/>
          <w:i/>
          <w:noProof/>
          <w:szCs w:val="24"/>
        </w:rPr>
        <w:t>In Proc., 2nd North American Conference on Managing Pavements (Vol. 2).</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Owusu</w:t>
      </w:r>
      <w:r w:rsidRPr="00201D63">
        <w:rPr>
          <w:rFonts w:ascii="Cambria Math" w:hAnsi="Cambria Math" w:cs="Cambria Math"/>
          <w:noProof/>
          <w:szCs w:val="24"/>
        </w:rPr>
        <w:t>‐</w:t>
      </w:r>
      <w:r w:rsidRPr="00201D63">
        <w:rPr>
          <w:rFonts w:cs="Times New Roman"/>
          <w:noProof/>
          <w:szCs w:val="24"/>
        </w:rPr>
        <w:t>Ababio, S. (1998). Effect of neural network topology on flexible pavement cracking prediction. </w:t>
      </w:r>
      <w:r w:rsidRPr="000A226A">
        <w:rPr>
          <w:rFonts w:cs="Times New Roman"/>
          <w:i/>
          <w:noProof/>
          <w:szCs w:val="24"/>
        </w:rPr>
        <w:t>Computer</w:t>
      </w:r>
      <w:r w:rsidRPr="000A226A">
        <w:rPr>
          <w:rFonts w:ascii="Cambria Math" w:hAnsi="Cambria Math" w:cs="Cambria Math"/>
          <w:i/>
          <w:noProof/>
          <w:szCs w:val="24"/>
        </w:rPr>
        <w:t>‐</w:t>
      </w:r>
      <w:r w:rsidRPr="000A226A">
        <w:rPr>
          <w:rFonts w:cs="Times New Roman"/>
          <w:i/>
          <w:noProof/>
          <w:szCs w:val="24"/>
        </w:rPr>
        <w:t>Aided Civil and Infrastructure Engineering, 13(5), 349-355.</w:t>
      </w:r>
      <w:r w:rsidRPr="00201D63">
        <w:rPr>
          <w:rFonts w:cs="Times New Roman"/>
          <w:noProof/>
          <w:szCs w:val="24"/>
        </w:rPr>
        <w:t xml:space="preserve"> </w:t>
      </w:r>
      <w:r w:rsidRPr="000A226A">
        <w:rPr>
          <w:rStyle w:val="Hyperlink"/>
        </w:rPr>
        <w:t>https://doi.org/10.1111/0885-9507.00113</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Ragnoli, A., De Blasiis, M. R., &amp; Di Benedetto, A. (2018). Pavement distress detection methods: A review. </w:t>
      </w:r>
      <w:r w:rsidRPr="000A226A">
        <w:rPr>
          <w:rFonts w:cs="Times New Roman"/>
          <w:i/>
          <w:noProof/>
          <w:szCs w:val="24"/>
        </w:rPr>
        <w:t>Infrastructures, 3(4), 58</w:t>
      </w:r>
      <w:r w:rsidRPr="00201D63">
        <w:rPr>
          <w:rFonts w:cs="Times New Roman"/>
          <w:noProof/>
          <w:szCs w:val="24"/>
        </w:rPr>
        <w:t xml:space="preserve">. </w:t>
      </w:r>
      <w:r>
        <w:rPr>
          <w:rFonts w:cs="Times New Roman"/>
          <w:noProof/>
          <w:szCs w:val="24"/>
        </w:rPr>
        <w:t xml:space="preserve">                      </w:t>
      </w:r>
      <w:r w:rsidRPr="000A226A">
        <w:rPr>
          <w:rStyle w:val="Hyperlink"/>
        </w:rPr>
        <w:t>https://doi.org/10.3390/infrastructures3040058</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Saha, P., Ksaibati, K., &amp; Atadero, R. (2017). Developing pavement distress deterioration models for pavement management system using Markovian probabilistic process. </w:t>
      </w:r>
      <w:r w:rsidRPr="000A226A">
        <w:rPr>
          <w:rFonts w:cs="Times New Roman"/>
          <w:i/>
          <w:noProof/>
          <w:szCs w:val="24"/>
        </w:rPr>
        <w:t>Advances in Civil Engineering, 2017</w:t>
      </w:r>
      <w:r w:rsidRPr="00201D63">
        <w:rPr>
          <w:rFonts w:cs="Times New Roman"/>
          <w:noProof/>
          <w:szCs w:val="24"/>
        </w:rPr>
        <w:t xml:space="preserve">. </w:t>
      </w:r>
      <w:r w:rsidRPr="000A226A">
        <w:rPr>
          <w:rStyle w:val="Hyperlink"/>
        </w:rPr>
        <w:t>https://doi.org/10.1155/2017/8292056</w:t>
      </w:r>
    </w:p>
    <w:p w:rsidR="005B4A41" w:rsidRDefault="005B4A41" w:rsidP="005B4A41">
      <w:pPr>
        <w:autoSpaceDE w:val="0"/>
        <w:autoSpaceDN w:val="0"/>
        <w:adjustRightInd w:val="0"/>
        <w:ind w:left="480" w:hanging="480"/>
        <w:rPr>
          <w:rStyle w:val="Hyperlink"/>
        </w:rPr>
      </w:pP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lastRenderedPageBreak/>
        <w:t xml:space="preserve">Shabanpour, R. (2017). Pavement Performance Modeling : Literature Review and Research Agenda, </w:t>
      </w:r>
      <w:r w:rsidRPr="000A226A">
        <w:rPr>
          <w:rFonts w:cs="Times New Roman"/>
          <w:i/>
          <w:noProof/>
          <w:szCs w:val="24"/>
        </w:rPr>
        <w:t>Illinois Asphalt Pavement Association</w:t>
      </w:r>
      <w:r w:rsidRPr="00201D63">
        <w:rPr>
          <w:rFonts w:cs="Times New Roman"/>
          <w:noProof/>
          <w:szCs w:val="24"/>
        </w:rPr>
        <w:t xml:space="preserve"> </w:t>
      </w:r>
      <w:r>
        <w:rPr>
          <w:rFonts w:cs="Times New Roman"/>
          <w:noProof/>
          <w:szCs w:val="24"/>
        </w:rPr>
        <w:t xml:space="preserve">                                                         </w:t>
      </w:r>
      <w:hyperlink r:id="rId24" w:history="1">
        <w:r w:rsidRPr="000A226A">
          <w:rPr>
            <w:rStyle w:val="Hyperlink"/>
          </w:rPr>
          <w:t>https://il-asphalt.org/files/7315/1803/1691/Ramin_Shabanpour_2017_UICg.pdf</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Shahnazari, H., Tutunchian, M. A., Mashayekhi, M., &amp; Amini, A. A. (2012). Application of soft computing for prediction of pavement condition index. </w:t>
      </w:r>
      <w:r w:rsidRPr="000A226A">
        <w:rPr>
          <w:rFonts w:cs="Times New Roman"/>
          <w:i/>
          <w:noProof/>
          <w:szCs w:val="24"/>
        </w:rPr>
        <w:t>Journal of Transportation Engineering, 138(12), 1495–1506.</w:t>
      </w:r>
      <w:r w:rsidRPr="00201D63">
        <w:rPr>
          <w:rFonts w:cs="Times New Roman"/>
          <w:noProof/>
          <w:szCs w:val="24"/>
        </w:rPr>
        <w:t xml:space="preserve"> </w:t>
      </w:r>
      <w:r>
        <w:rPr>
          <w:rFonts w:cs="Times New Roman"/>
          <w:noProof/>
          <w:szCs w:val="24"/>
        </w:rPr>
        <w:t xml:space="preserve">                               </w:t>
      </w:r>
      <w:hyperlink r:id="rId25" w:history="1">
        <w:r w:rsidRPr="000A226A">
          <w:rPr>
            <w:rStyle w:val="Hyperlink"/>
          </w:rPr>
          <w:t>https://doi.org/10.1061/(ASCE)TE.1943-5436.0000454</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Sutskever, I. 2013. (n.d.). TRAINING RECURRENT NEURAL NETWORKS. </w:t>
      </w:r>
      <w:r w:rsidRPr="000A226A">
        <w:rPr>
          <w:rFonts w:cs="Times New Roman"/>
          <w:i/>
          <w:noProof/>
          <w:szCs w:val="24"/>
        </w:rPr>
        <w:t>Dissertation submitted to Graduate Department of Computer Science University of Toronto</w:t>
      </w:r>
      <w:r w:rsidRPr="00201D63">
        <w:rPr>
          <w:rFonts w:cs="Times New Roman"/>
          <w:noProof/>
          <w:szCs w:val="24"/>
        </w:rPr>
        <w:t xml:space="preserve"> Retrieved from </w:t>
      </w:r>
      <w:r w:rsidRPr="000A226A">
        <w:rPr>
          <w:rStyle w:val="Hyperlink"/>
        </w:rPr>
        <w:t>https://www.cs.utoronto.ca/~ilya/pubs/ilya_sutskever_phd_thesis.pdf</w:t>
      </w:r>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Taha, M. A., &amp; Hanna, A. S. (1995). Evolutionary neural network model for the selection of pavement maintenance strategy. </w:t>
      </w:r>
      <w:r w:rsidRPr="000A226A">
        <w:rPr>
          <w:rFonts w:cs="Times New Roman"/>
          <w:i/>
          <w:noProof/>
          <w:szCs w:val="24"/>
        </w:rPr>
        <w:t>Transportation Research Record, (1497)</w:t>
      </w:r>
      <w:r w:rsidRPr="00201D63">
        <w:rPr>
          <w:rFonts w:cs="Times New Roman"/>
          <w:noProof/>
          <w:szCs w:val="24"/>
        </w:rPr>
        <w:t xml:space="preserve">. </w:t>
      </w:r>
      <w:hyperlink r:id="rId26" w:history="1">
        <w:r w:rsidRPr="000A226A">
          <w:rPr>
            <w:rStyle w:val="Hyperlink"/>
          </w:rPr>
          <w:t>http://onlinepubs.trb.org/Onlinepubs/trr/1995/1497/1497-009.pdf</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Iowa Department of Transportation Transportation Asset Management Plan. (2018), (April), </w:t>
      </w:r>
      <w:hyperlink r:id="rId27" w:history="1">
        <w:r w:rsidRPr="000A226A">
          <w:rPr>
            <w:rStyle w:val="Hyperlink"/>
          </w:rPr>
          <w:t>https://iowadot.gov/systems_planning/fpmam/IowaDOT-TAMP-2018.pdf</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Style w:val="Hyperlink"/>
        </w:rPr>
      </w:pPr>
      <w:r w:rsidRPr="00201D63">
        <w:rPr>
          <w:rFonts w:cs="Times New Roman"/>
          <w:noProof/>
          <w:szCs w:val="24"/>
        </w:rPr>
        <w:t xml:space="preserve">Vasquez, C. A. (2011). Pavement management systems on a local level. </w:t>
      </w:r>
      <w:r w:rsidRPr="000A226A">
        <w:rPr>
          <w:rFonts w:cs="Times New Roman"/>
          <w:i/>
          <w:noProof/>
          <w:szCs w:val="24"/>
        </w:rPr>
        <w:t>Graduate Theses and Dissertations at Utah State University</w:t>
      </w:r>
      <w:r w:rsidRPr="00201D63">
        <w:rPr>
          <w:rFonts w:cs="Times New Roman"/>
          <w:noProof/>
          <w:szCs w:val="24"/>
        </w:rPr>
        <w:t xml:space="preserve"> </w:t>
      </w:r>
      <w:hyperlink r:id="rId28" w:history="1">
        <w:r w:rsidRPr="000A226A">
          <w:rPr>
            <w:rStyle w:val="Hyperlink"/>
          </w:rPr>
          <w:t>https://digitalcommons.usu.edu/cgi/viewcontent.cgi?article=1088&amp;context=gradreports</w:t>
        </w:r>
      </w:hyperlink>
    </w:p>
    <w:p w:rsidR="005B4A41" w:rsidRPr="00201D63" w:rsidRDefault="005B4A41" w:rsidP="005B4A41">
      <w:pPr>
        <w:autoSpaceDE w:val="0"/>
        <w:autoSpaceDN w:val="0"/>
        <w:adjustRightInd w:val="0"/>
        <w:ind w:left="480" w:hanging="480"/>
        <w:rPr>
          <w:rFonts w:cs="Times New Roman"/>
          <w:noProof/>
          <w:szCs w:val="24"/>
        </w:rPr>
      </w:pPr>
    </w:p>
    <w:p w:rsidR="005B4A41" w:rsidRDefault="005B4A41" w:rsidP="005B4A41">
      <w:pPr>
        <w:autoSpaceDE w:val="0"/>
        <w:autoSpaceDN w:val="0"/>
        <w:adjustRightInd w:val="0"/>
        <w:ind w:left="480" w:hanging="480"/>
        <w:rPr>
          <w:rFonts w:cs="Times New Roman"/>
          <w:noProof/>
          <w:szCs w:val="24"/>
        </w:rPr>
      </w:pPr>
      <w:r w:rsidRPr="00201D63">
        <w:rPr>
          <w:rFonts w:cs="Times New Roman"/>
          <w:noProof/>
          <w:szCs w:val="24"/>
        </w:rPr>
        <w:t>Wolters, A. S., &amp; Zimmerman, K. A. (2010). Research of Current practices in pavement performance modeling </w:t>
      </w:r>
      <w:r w:rsidRPr="000A226A">
        <w:rPr>
          <w:rFonts w:cs="Times New Roman"/>
          <w:i/>
          <w:noProof/>
          <w:szCs w:val="24"/>
        </w:rPr>
        <w:t>(No. FHWA-PA-2010-007-080307)</w:t>
      </w:r>
      <w:r w:rsidRPr="00201D63">
        <w:rPr>
          <w:rFonts w:cs="Times New Roman"/>
          <w:noProof/>
          <w:szCs w:val="24"/>
        </w:rPr>
        <w:t xml:space="preserve">. Retrieved from </w:t>
      </w:r>
      <w:hyperlink r:id="rId29" w:history="1">
        <w:r w:rsidRPr="000A226A">
          <w:rPr>
            <w:rStyle w:val="Hyperlink"/>
          </w:rPr>
          <w:t>https://trid.trb.org/view/919191</w:t>
        </w:r>
      </w:hyperlink>
      <w:r w:rsidRPr="00201D63">
        <w:rPr>
          <w:rFonts w:cs="Times New Roman"/>
          <w:noProof/>
          <w:szCs w:val="24"/>
        </w:rPr>
        <w:t xml:space="preserve"> </w:t>
      </w:r>
    </w:p>
    <w:p w:rsidR="005B4A41" w:rsidRPr="00201D63" w:rsidRDefault="005B4A41" w:rsidP="005B4A41">
      <w:pPr>
        <w:autoSpaceDE w:val="0"/>
        <w:autoSpaceDN w:val="0"/>
        <w:adjustRightInd w:val="0"/>
        <w:ind w:left="480" w:hanging="480"/>
        <w:rPr>
          <w:rFonts w:cs="Times New Roman"/>
          <w:noProof/>
          <w:szCs w:val="24"/>
        </w:rPr>
      </w:pPr>
    </w:p>
    <w:p w:rsidR="005B4A41" w:rsidRPr="00C812F1" w:rsidRDefault="005B4A41" w:rsidP="005B4A41">
      <w:pPr>
        <w:autoSpaceDE w:val="0"/>
        <w:autoSpaceDN w:val="0"/>
        <w:adjustRightInd w:val="0"/>
        <w:ind w:left="480" w:hanging="480"/>
        <w:rPr>
          <w:rFonts w:cs="Times New Roman"/>
          <w:b/>
          <w:sz w:val="28"/>
        </w:rPr>
      </w:pPr>
      <w:r w:rsidRPr="00201D63">
        <w:rPr>
          <w:rFonts w:cs="Times New Roman"/>
          <w:noProof/>
          <w:szCs w:val="24"/>
        </w:rPr>
        <w:t>Wong, W. K., Xia, M., &amp; Chu, W. C. (2010). Adaptive neural network model for time-series forecasting. </w:t>
      </w:r>
      <w:r w:rsidRPr="000A226A">
        <w:rPr>
          <w:rFonts w:cs="Times New Roman"/>
          <w:i/>
          <w:noProof/>
          <w:szCs w:val="24"/>
        </w:rPr>
        <w:t>European Journal of Operational Research, 207(2), 807-816</w:t>
      </w:r>
      <w:r w:rsidRPr="00201D63">
        <w:rPr>
          <w:rFonts w:cs="Times New Roman"/>
          <w:noProof/>
          <w:szCs w:val="24"/>
        </w:rPr>
        <w:t xml:space="preserve">. </w:t>
      </w:r>
      <w:r w:rsidRPr="000A226A">
        <w:rPr>
          <w:rStyle w:val="Hyperlink"/>
        </w:rPr>
        <w:t>https://www.sciencedirect.com/science/article/pii/S0377221710003784</w:t>
      </w:r>
      <w:r w:rsidRPr="00201D63">
        <w:rPr>
          <w:rFonts w:cs="Times New Roman"/>
          <w:noProof/>
          <w:szCs w:val="24"/>
        </w:rPr>
        <w:fldChar w:fldCharType="end"/>
      </w:r>
    </w:p>
    <w:p w:rsidR="005B4A41" w:rsidRPr="00201D63" w:rsidRDefault="005B4A41" w:rsidP="005B4A41">
      <w:pPr>
        <w:pStyle w:val="Body"/>
        <w:ind w:firstLine="0"/>
      </w:pPr>
    </w:p>
    <w:p w:rsidR="005B4A41" w:rsidRDefault="005B4A41" w:rsidP="005B4A41">
      <w:pPr>
        <w:widowControl/>
        <w:spacing w:after="160" w:line="259" w:lineRule="auto"/>
        <w:rPr>
          <w:rFonts w:asciiTheme="majorBidi" w:hAnsiTheme="majorBidi" w:cstheme="majorBidi"/>
        </w:rPr>
      </w:pPr>
    </w:p>
    <w:bookmarkEnd w:id="0"/>
    <w:p w:rsidR="007D3EAC" w:rsidRDefault="005B4A41"/>
    <w:sectPr w:rsidR="007D3E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41A" w:rsidRDefault="005B4A41" w:rsidP="00D56493">
    <w:pPr>
      <w:pStyle w:val="Header"/>
      <w:jc w:val="center"/>
    </w:pPr>
    <w:r>
      <w:rPr>
        <w:rStyle w:val="PageNumber"/>
      </w:rPr>
      <w:fldChar w:fldCharType="begin"/>
    </w:r>
    <w:r w:rsidRPr="00076861">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B4F6F046"/>
    <w:lvl w:ilvl="0">
      <w:start w:val="1"/>
      <w:numFmt w:val="decimal"/>
      <w:pStyle w:val="ListNumber2"/>
      <w:lvlText w:val="%1."/>
      <w:lvlJc w:val="left"/>
      <w:pPr>
        <w:tabs>
          <w:tab w:val="num" w:pos="720"/>
        </w:tabs>
        <w:ind w:left="720" w:hanging="360"/>
      </w:pPr>
    </w:lvl>
  </w:abstractNum>
  <w:abstractNum w:abstractNumId="1" w15:restartNumberingAfterBreak="0">
    <w:nsid w:val="09011C13"/>
    <w:multiLevelType w:val="multilevel"/>
    <w:tmpl w:val="816C8E3C"/>
    <w:lvl w:ilvl="0">
      <w:start w:val="1"/>
      <w:numFmt w:val="decimal"/>
      <w:suff w:val="space"/>
      <w:lvlText w:val="CHAPTER %1.   "/>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15:restartNumberingAfterBreak="0">
    <w:nsid w:val="0E8666C6"/>
    <w:multiLevelType w:val="hybridMultilevel"/>
    <w:tmpl w:val="26BE8B40"/>
    <w:lvl w:ilvl="0" w:tplc="01BA7CA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D30CE"/>
    <w:multiLevelType w:val="hybridMultilevel"/>
    <w:tmpl w:val="392C9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31111D"/>
    <w:multiLevelType w:val="hybridMultilevel"/>
    <w:tmpl w:val="4E7C56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4435A"/>
    <w:multiLevelType w:val="hybridMultilevel"/>
    <w:tmpl w:val="2CB2F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41163"/>
    <w:multiLevelType w:val="hybridMultilevel"/>
    <w:tmpl w:val="BFB2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F3531"/>
    <w:multiLevelType w:val="multilevel"/>
    <w:tmpl w:val="1C6CDFDA"/>
    <w:name w:val="Chapters"/>
    <w:lvl w:ilvl="0">
      <w:start w:val="1"/>
      <w:numFmt w:val="decimal"/>
      <w:pStyle w:val="Heading1"/>
      <w:suff w:val="space"/>
      <w:lvlText w:val="CHAPTER %1.   "/>
      <w:lvlJc w:val="left"/>
      <w:pPr>
        <w:ind w:left="990" w:firstLine="0"/>
      </w:pPr>
      <w:rPr>
        <w:rFonts w:hint="default"/>
        <w:caps w:val="0"/>
      </w:rPr>
    </w:lvl>
    <w:lvl w:ilvl="1">
      <w:start w:val="1"/>
      <w:numFmt w:val="none"/>
      <w:suff w:val="nothing"/>
      <w:lvlText w:val=""/>
      <w:lvlJc w:val="left"/>
      <w:pPr>
        <w:ind w:left="990" w:firstLine="0"/>
      </w:pPr>
      <w:rPr>
        <w:rFonts w:hint="default"/>
      </w:rPr>
    </w:lvl>
    <w:lvl w:ilvl="2">
      <w:start w:val="1"/>
      <w:numFmt w:val="none"/>
      <w:suff w:val="nothing"/>
      <w:lvlText w:val=""/>
      <w:lvlJc w:val="left"/>
      <w:pPr>
        <w:ind w:left="990" w:firstLine="0"/>
      </w:pPr>
      <w:rPr>
        <w:rFonts w:hint="default"/>
      </w:rPr>
    </w:lvl>
    <w:lvl w:ilvl="3">
      <w:start w:val="1"/>
      <w:numFmt w:val="none"/>
      <w:suff w:val="nothing"/>
      <w:lvlText w:val=""/>
      <w:lvlJc w:val="left"/>
      <w:pPr>
        <w:ind w:left="990" w:firstLine="0"/>
      </w:pPr>
      <w:rPr>
        <w:rFonts w:hint="default"/>
      </w:rPr>
    </w:lvl>
    <w:lvl w:ilvl="4">
      <w:start w:val="1"/>
      <w:numFmt w:val="none"/>
      <w:suff w:val="nothing"/>
      <w:lvlText w:val=""/>
      <w:lvlJc w:val="left"/>
      <w:pPr>
        <w:ind w:left="990" w:firstLine="0"/>
      </w:pPr>
      <w:rPr>
        <w:rFonts w:hint="default"/>
      </w:rPr>
    </w:lvl>
    <w:lvl w:ilvl="5">
      <w:start w:val="1"/>
      <w:numFmt w:val="none"/>
      <w:suff w:val="nothing"/>
      <w:lvlText w:val=""/>
      <w:lvlJc w:val="left"/>
      <w:pPr>
        <w:ind w:left="990" w:firstLine="0"/>
      </w:pPr>
      <w:rPr>
        <w:rFonts w:hint="default"/>
      </w:rPr>
    </w:lvl>
    <w:lvl w:ilvl="6">
      <w:start w:val="1"/>
      <w:numFmt w:val="none"/>
      <w:suff w:val="nothing"/>
      <w:lvlText w:val=""/>
      <w:lvlJc w:val="left"/>
      <w:pPr>
        <w:ind w:left="990" w:firstLine="0"/>
      </w:pPr>
      <w:rPr>
        <w:rFonts w:hint="default"/>
      </w:rPr>
    </w:lvl>
    <w:lvl w:ilvl="7">
      <w:start w:val="1"/>
      <w:numFmt w:val="none"/>
      <w:suff w:val="nothing"/>
      <w:lvlText w:val=""/>
      <w:lvlJc w:val="left"/>
      <w:pPr>
        <w:ind w:left="990" w:firstLine="0"/>
      </w:pPr>
      <w:rPr>
        <w:rFonts w:hint="default"/>
      </w:rPr>
    </w:lvl>
    <w:lvl w:ilvl="8">
      <w:start w:val="1"/>
      <w:numFmt w:val="none"/>
      <w:suff w:val="nothing"/>
      <w:lvlText w:val=""/>
      <w:lvlJc w:val="left"/>
      <w:pPr>
        <w:ind w:left="990" w:firstLine="0"/>
      </w:pPr>
      <w:rPr>
        <w:rFonts w:hint="default"/>
      </w:rPr>
    </w:lvl>
  </w:abstractNum>
  <w:abstractNum w:abstractNumId="8" w15:restartNumberingAfterBreak="0">
    <w:nsid w:val="2A8F58C4"/>
    <w:multiLevelType w:val="hybridMultilevel"/>
    <w:tmpl w:val="592A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F6575"/>
    <w:multiLevelType w:val="hybridMultilevel"/>
    <w:tmpl w:val="2B0CB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515796"/>
    <w:multiLevelType w:val="multilevel"/>
    <w:tmpl w:val="238ABB70"/>
    <w:styleLink w:val="AppendixStyle"/>
    <w:lvl w:ilvl="0">
      <w:start w:val="1"/>
      <w:numFmt w:val="upperLetter"/>
      <w:suff w:val="space"/>
      <w:lvlText w:val="APPENDIX %1   "/>
      <w:lvlJc w:val="left"/>
      <w:pPr>
        <w:ind w:left="360" w:hanging="360"/>
      </w:pPr>
      <w:rPr>
        <w:rFonts w:ascii="Times New Roman" w:hAnsi="Times New Roman" w:hint="default"/>
      </w:rPr>
    </w:lvl>
    <w:lvl w:ilvl="1">
      <w:start w:val="1"/>
      <w:numFmt w:val="none"/>
      <w:lvlText w:val=""/>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38A95C56"/>
    <w:multiLevelType w:val="hybridMultilevel"/>
    <w:tmpl w:val="194032F2"/>
    <w:lvl w:ilvl="0" w:tplc="4ECEA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DC69D9"/>
    <w:multiLevelType w:val="hybridMultilevel"/>
    <w:tmpl w:val="CAF6C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5D3BD4"/>
    <w:multiLevelType w:val="hybridMultilevel"/>
    <w:tmpl w:val="F95E0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DF0A21"/>
    <w:multiLevelType w:val="hybridMultilevel"/>
    <w:tmpl w:val="6792DA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5ABA6489"/>
    <w:multiLevelType w:val="hybridMultilevel"/>
    <w:tmpl w:val="0CDA859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5F70C11"/>
    <w:multiLevelType w:val="hybridMultilevel"/>
    <w:tmpl w:val="BC661958"/>
    <w:lvl w:ilvl="0" w:tplc="4B5ED074">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D87D32"/>
    <w:multiLevelType w:val="hybridMultilevel"/>
    <w:tmpl w:val="8EF6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596E7C"/>
    <w:multiLevelType w:val="multilevel"/>
    <w:tmpl w:val="4682408C"/>
    <w:styleLink w:val="ChapterStyle"/>
    <w:lvl w:ilvl="0">
      <w:start w:val="1"/>
      <w:numFmt w:val="decimal"/>
      <w:suff w:val="space"/>
      <w:lvlText w:val="CHAPTER %1.   "/>
      <w:lvlJc w:val="left"/>
      <w:pPr>
        <w:ind w:left="0" w:firstLine="0"/>
      </w:pPr>
      <w:rPr>
        <w:rFonts w:hint="default"/>
        <w:caps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7C3C62D0"/>
    <w:multiLevelType w:val="hybridMultilevel"/>
    <w:tmpl w:val="05BA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18118D"/>
    <w:multiLevelType w:val="hybridMultilevel"/>
    <w:tmpl w:val="D7209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18"/>
  </w:num>
  <w:num w:numId="5">
    <w:abstractNumId w:val="7"/>
  </w:num>
  <w:num w:numId="6">
    <w:abstractNumId w:val="5"/>
  </w:num>
  <w:num w:numId="7">
    <w:abstractNumId w:val="6"/>
  </w:num>
  <w:num w:numId="8">
    <w:abstractNumId w:val="15"/>
  </w:num>
  <w:num w:numId="9">
    <w:abstractNumId w:val="3"/>
  </w:num>
  <w:num w:numId="10">
    <w:abstractNumId w:val="13"/>
  </w:num>
  <w:num w:numId="11">
    <w:abstractNumId w:val="12"/>
  </w:num>
  <w:num w:numId="12">
    <w:abstractNumId w:val="2"/>
  </w:num>
  <w:num w:numId="13">
    <w:abstractNumId w:val="9"/>
  </w:num>
  <w:num w:numId="14">
    <w:abstractNumId w:val="14"/>
  </w:num>
  <w:num w:numId="15">
    <w:abstractNumId w:val="16"/>
  </w:num>
  <w:num w:numId="16">
    <w:abstractNumId w:val="20"/>
  </w:num>
  <w:num w:numId="17">
    <w:abstractNumId w:val="8"/>
  </w:num>
  <w:num w:numId="18">
    <w:abstractNumId w:val="19"/>
  </w:num>
  <w:num w:numId="19">
    <w:abstractNumId w:val="11"/>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A2MzW3MLYwtzAC8pR0lIJTi4sz8/NACgxrAdwGpawsAAAA"/>
  </w:docVars>
  <w:rsids>
    <w:rsidRoot w:val="005B4A41"/>
    <w:rsid w:val="003D4591"/>
    <w:rsid w:val="005B4A41"/>
    <w:rsid w:val="00EF3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F375"/>
  <w15:chartTrackingRefBased/>
  <w15:docId w15:val="{3A93EE23-3339-4546-BA06-02AE14C4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9"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5B4A41"/>
    <w:pPr>
      <w:widowControl w:val="0"/>
      <w:spacing w:after="0" w:line="240" w:lineRule="auto"/>
    </w:pPr>
    <w:rPr>
      <w:rFonts w:ascii="Times New Roman" w:hAnsi="Times New Roman"/>
      <w:sz w:val="24"/>
    </w:rPr>
  </w:style>
  <w:style w:type="paragraph" w:styleId="Heading1">
    <w:name w:val="heading 1"/>
    <w:basedOn w:val="Normal"/>
    <w:next w:val="Body"/>
    <w:link w:val="Heading1Char"/>
    <w:uiPriority w:val="1"/>
    <w:qFormat/>
    <w:rsid w:val="005B4A41"/>
    <w:pPr>
      <w:keepNext/>
      <w:keepLines/>
      <w:pageBreakBefore/>
      <w:numPr>
        <w:numId w:val="5"/>
      </w:numPr>
      <w:spacing w:after="480"/>
      <w:jc w:val="center"/>
      <w:outlineLvl w:val="0"/>
    </w:pPr>
    <w:rPr>
      <w:rFonts w:eastAsiaTheme="majorEastAsia" w:cstheme="majorBidi"/>
      <w:b/>
      <w:color w:val="000000" w:themeColor="text1"/>
      <w:szCs w:val="32"/>
    </w:rPr>
  </w:style>
  <w:style w:type="paragraph" w:styleId="Heading2">
    <w:name w:val="heading 2"/>
    <w:basedOn w:val="Normal"/>
    <w:next w:val="Body"/>
    <w:link w:val="Heading2Char"/>
    <w:uiPriority w:val="1"/>
    <w:unhideWhenUsed/>
    <w:qFormat/>
    <w:rsid w:val="005B4A41"/>
    <w:pPr>
      <w:keepNext/>
      <w:keepLines/>
      <w:spacing w:after="240"/>
      <w:jc w:val="center"/>
      <w:outlineLvl w:val="1"/>
    </w:pPr>
    <w:rPr>
      <w:rFonts w:eastAsiaTheme="majorEastAsia" w:cstheme="majorBidi"/>
      <w:b/>
      <w:color w:val="000000" w:themeColor="text1"/>
      <w:szCs w:val="26"/>
    </w:rPr>
  </w:style>
  <w:style w:type="paragraph" w:styleId="Heading3">
    <w:name w:val="heading 3"/>
    <w:basedOn w:val="Normal"/>
    <w:next w:val="Body"/>
    <w:link w:val="Heading3Char"/>
    <w:uiPriority w:val="1"/>
    <w:unhideWhenUsed/>
    <w:qFormat/>
    <w:rsid w:val="005B4A41"/>
    <w:pPr>
      <w:keepNext/>
      <w:keepLines/>
      <w:spacing w:after="240"/>
      <w:outlineLvl w:val="2"/>
    </w:pPr>
    <w:rPr>
      <w:rFonts w:eastAsiaTheme="majorEastAsia" w:cstheme="majorBidi"/>
      <w:b/>
      <w:color w:val="000000" w:themeColor="text1"/>
      <w:szCs w:val="24"/>
    </w:rPr>
  </w:style>
  <w:style w:type="paragraph" w:styleId="Heading4">
    <w:name w:val="heading 4"/>
    <w:basedOn w:val="Normal"/>
    <w:next w:val="Body"/>
    <w:link w:val="Heading4Char"/>
    <w:uiPriority w:val="2"/>
    <w:unhideWhenUsed/>
    <w:qFormat/>
    <w:rsid w:val="005B4A41"/>
    <w:pPr>
      <w:keepNext/>
      <w:keepLines/>
      <w:spacing w:after="240"/>
      <w:ind w:firstLine="720"/>
      <w:outlineLvl w:val="3"/>
    </w:pPr>
    <w:rPr>
      <w:rFonts w:eastAsiaTheme="majorEastAsia" w:cstheme="majorBidi"/>
      <w:b/>
      <w:iCs/>
      <w:color w:val="000000" w:themeColor="text1"/>
    </w:rPr>
  </w:style>
  <w:style w:type="paragraph" w:styleId="Heading5">
    <w:name w:val="heading 5"/>
    <w:basedOn w:val="Normal"/>
    <w:next w:val="Body"/>
    <w:link w:val="Heading5Char"/>
    <w:uiPriority w:val="2"/>
    <w:unhideWhenUsed/>
    <w:qFormat/>
    <w:rsid w:val="005B4A41"/>
    <w:pPr>
      <w:keepNext/>
      <w:keepLines/>
      <w:spacing w:after="240"/>
      <w:ind w:firstLine="720"/>
      <w:outlineLvl w:val="4"/>
    </w:pPr>
    <w:rPr>
      <w:rFonts w:eastAsiaTheme="majorEastAsia" w:cstheme="majorBidi"/>
      <w:b/>
      <w:i/>
      <w:color w:val="000000" w:themeColor="text1"/>
    </w:rPr>
  </w:style>
  <w:style w:type="paragraph" w:styleId="Heading6">
    <w:name w:val="heading 6"/>
    <w:basedOn w:val="Normal"/>
    <w:next w:val="Body"/>
    <w:link w:val="Heading6Char"/>
    <w:uiPriority w:val="2"/>
    <w:unhideWhenUsed/>
    <w:qFormat/>
    <w:rsid w:val="005B4A41"/>
    <w:pPr>
      <w:keepNext/>
      <w:keepLines/>
      <w:numPr>
        <w:ilvl w:val="5"/>
        <w:numId w:val="2"/>
      </w:numPr>
      <w:spacing w:after="240"/>
      <w:ind w:firstLine="720"/>
      <w:outlineLvl w:val="5"/>
    </w:pPr>
    <w:rPr>
      <w:rFonts w:eastAsiaTheme="majorEastAsia" w:cstheme="majorBidi"/>
      <w:i/>
      <w:color w:val="000000" w:themeColor="text1"/>
    </w:rPr>
  </w:style>
  <w:style w:type="paragraph" w:styleId="Heading7">
    <w:name w:val="heading 7"/>
    <w:basedOn w:val="Normal"/>
    <w:next w:val="Normal"/>
    <w:link w:val="Heading7Char"/>
    <w:uiPriority w:val="9"/>
    <w:semiHidden/>
    <w:unhideWhenUsed/>
    <w:rsid w:val="005B4A4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B4A4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4A4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B4A41"/>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1"/>
    <w:rsid w:val="005B4A41"/>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1"/>
    <w:rsid w:val="005B4A41"/>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2"/>
    <w:rsid w:val="005B4A41"/>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2"/>
    <w:rsid w:val="005B4A41"/>
    <w:rPr>
      <w:rFonts w:ascii="Times New Roman" w:eastAsiaTheme="majorEastAsia" w:hAnsi="Times New Roman" w:cstheme="majorBidi"/>
      <w:b/>
      <w:i/>
      <w:color w:val="000000" w:themeColor="text1"/>
      <w:sz w:val="24"/>
    </w:rPr>
  </w:style>
  <w:style w:type="character" w:customStyle="1" w:styleId="Heading6Char">
    <w:name w:val="Heading 6 Char"/>
    <w:basedOn w:val="DefaultParagraphFont"/>
    <w:link w:val="Heading6"/>
    <w:uiPriority w:val="2"/>
    <w:rsid w:val="005B4A41"/>
    <w:rPr>
      <w:rFonts w:ascii="Times New Roman" w:eastAsiaTheme="majorEastAsia" w:hAnsi="Times New Roman" w:cstheme="majorBidi"/>
      <w:i/>
      <w:color w:val="000000" w:themeColor="text1"/>
      <w:sz w:val="24"/>
    </w:rPr>
  </w:style>
  <w:style w:type="character" w:customStyle="1" w:styleId="Heading7Char">
    <w:name w:val="Heading 7 Char"/>
    <w:basedOn w:val="DefaultParagraphFont"/>
    <w:link w:val="Heading7"/>
    <w:uiPriority w:val="9"/>
    <w:semiHidden/>
    <w:rsid w:val="005B4A41"/>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5B4A4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4A4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5B4A41"/>
    <w:pPr>
      <w:tabs>
        <w:tab w:val="center" w:pos="4680"/>
        <w:tab w:val="right" w:pos="9360"/>
      </w:tabs>
    </w:pPr>
  </w:style>
  <w:style w:type="character" w:customStyle="1" w:styleId="HeaderChar">
    <w:name w:val="Header Char"/>
    <w:basedOn w:val="DefaultParagraphFont"/>
    <w:link w:val="Header"/>
    <w:uiPriority w:val="99"/>
    <w:rsid w:val="005B4A41"/>
    <w:rPr>
      <w:rFonts w:ascii="Times New Roman" w:hAnsi="Times New Roman"/>
      <w:sz w:val="24"/>
    </w:rPr>
  </w:style>
  <w:style w:type="paragraph" w:styleId="Footer">
    <w:name w:val="footer"/>
    <w:basedOn w:val="Normal"/>
    <w:link w:val="FooterChar"/>
    <w:uiPriority w:val="99"/>
    <w:unhideWhenUsed/>
    <w:rsid w:val="005B4A41"/>
    <w:pPr>
      <w:tabs>
        <w:tab w:val="center" w:pos="4680"/>
        <w:tab w:val="right" w:pos="9360"/>
      </w:tabs>
    </w:pPr>
  </w:style>
  <w:style w:type="character" w:customStyle="1" w:styleId="FooterChar">
    <w:name w:val="Footer Char"/>
    <w:basedOn w:val="DefaultParagraphFont"/>
    <w:link w:val="Footer"/>
    <w:uiPriority w:val="99"/>
    <w:rsid w:val="005B4A41"/>
    <w:rPr>
      <w:rFonts w:ascii="Times New Roman" w:hAnsi="Times New Roman"/>
      <w:sz w:val="24"/>
    </w:rPr>
  </w:style>
  <w:style w:type="character" w:styleId="PlaceholderText">
    <w:name w:val="Placeholder Text"/>
    <w:basedOn w:val="DefaultParagraphFont"/>
    <w:uiPriority w:val="99"/>
    <w:semiHidden/>
    <w:rsid w:val="005B4A41"/>
    <w:rPr>
      <w:color w:val="808080"/>
    </w:rPr>
  </w:style>
  <w:style w:type="paragraph" w:customStyle="1" w:styleId="Title1">
    <w:name w:val="Title1"/>
    <w:basedOn w:val="Normal"/>
    <w:link w:val="Title1Char"/>
    <w:uiPriority w:val="8"/>
    <w:rsid w:val="005B4A41"/>
    <w:pPr>
      <w:jc w:val="center"/>
    </w:pPr>
    <w:rPr>
      <w:b/>
      <w:color w:val="000000" w:themeColor="text1"/>
    </w:rPr>
  </w:style>
  <w:style w:type="paragraph" w:styleId="Title">
    <w:name w:val="Title"/>
    <w:basedOn w:val="Normal"/>
    <w:next w:val="Normal"/>
    <w:link w:val="TitleChar"/>
    <w:uiPriority w:val="10"/>
    <w:qFormat/>
    <w:rsid w:val="005B4A41"/>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B4A41"/>
    <w:rPr>
      <w:rFonts w:ascii="Times New Roman" w:eastAsiaTheme="majorEastAsia" w:hAnsi="Times New Roman" w:cstheme="majorBidi"/>
      <w:spacing w:val="-10"/>
      <w:kern w:val="28"/>
      <w:sz w:val="56"/>
      <w:szCs w:val="56"/>
    </w:rPr>
  </w:style>
  <w:style w:type="character" w:customStyle="1" w:styleId="Title1Char">
    <w:name w:val="Title1 Char"/>
    <w:basedOn w:val="DefaultParagraphFont"/>
    <w:link w:val="Title1"/>
    <w:uiPriority w:val="8"/>
    <w:rsid w:val="005B4A41"/>
    <w:rPr>
      <w:rFonts w:ascii="Times New Roman" w:hAnsi="Times New Roman"/>
      <w:b/>
      <w:color w:val="000000" w:themeColor="text1"/>
      <w:sz w:val="24"/>
    </w:rPr>
  </w:style>
  <w:style w:type="paragraph" w:customStyle="1" w:styleId="Title2">
    <w:name w:val="Title2"/>
    <w:basedOn w:val="Normal"/>
    <w:link w:val="Title2Char"/>
    <w:uiPriority w:val="8"/>
    <w:rsid w:val="005B4A41"/>
    <w:pPr>
      <w:spacing w:line="480" w:lineRule="auto"/>
      <w:jc w:val="center"/>
    </w:pPr>
    <w:rPr>
      <w:rFonts w:eastAsiaTheme="majorEastAsia" w:cstheme="majorBidi"/>
      <w:color w:val="000000" w:themeColor="text1"/>
      <w:spacing w:val="-10"/>
      <w:kern w:val="28"/>
      <w:szCs w:val="56"/>
    </w:rPr>
  </w:style>
  <w:style w:type="paragraph" w:customStyle="1" w:styleId="Title3">
    <w:name w:val="Title3"/>
    <w:basedOn w:val="Normal"/>
    <w:link w:val="Title3Char"/>
    <w:uiPriority w:val="8"/>
    <w:rsid w:val="005B4A41"/>
    <w:pPr>
      <w:jc w:val="center"/>
    </w:pPr>
    <w:rPr>
      <w:color w:val="000000" w:themeColor="text1"/>
    </w:rPr>
  </w:style>
  <w:style w:type="character" w:customStyle="1" w:styleId="Title2Char">
    <w:name w:val="Title2 Char"/>
    <w:basedOn w:val="TitleChar"/>
    <w:link w:val="Title2"/>
    <w:uiPriority w:val="8"/>
    <w:rsid w:val="005B4A41"/>
    <w:rPr>
      <w:rFonts w:ascii="Times New Roman" w:eastAsiaTheme="majorEastAsia" w:hAnsi="Times New Roman" w:cstheme="majorBidi"/>
      <w:color w:val="000000" w:themeColor="text1"/>
      <w:spacing w:val="-10"/>
      <w:kern w:val="28"/>
      <w:sz w:val="24"/>
      <w:szCs w:val="56"/>
    </w:rPr>
  </w:style>
  <w:style w:type="paragraph" w:customStyle="1" w:styleId="Title4">
    <w:name w:val="Title4"/>
    <w:basedOn w:val="Normal"/>
    <w:link w:val="Title4Char"/>
    <w:uiPriority w:val="98"/>
    <w:unhideWhenUsed/>
    <w:rsid w:val="005B4A41"/>
    <w:rPr>
      <w:rFonts w:eastAsiaTheme="majorEastAsia" w:cstheme="majorBidi"/>
      <w:caps/>
      <w:color w:val="000000" w:themeColor="text1"/>
      <w:spacing w:val="-10"/>
      <w:kern w:val="28"/>
      <w:szCs w:val="56"/>
    </w:rPr>
  </w:style>
  <w:style w:type="character" w:customStyle="1" w:styleId="Title3Char">
    <w:name w:val="Title3 Char"/>
    <w:basedOn w:val="DefaultParagraphFont"/>
    <w:link w:val="Title3"/>
    <w:uiPriority w:val="8"/>
    <w:rsid w:val="005B4A41"/>
    <w:rPr>
      <w:rFonts w:ascii="Times New Roman" w:hAnsi="Times New Roman"/>
      <w:color w:val="000000" w:themeColor="text1"/>
      <w:sz w:val="24"/>
    </w:rPr>
  </w:style>
  <w:style w:type="paragraph" w:customStyle="1" w:styleId="Title5">
    <w:name w:val="Title5"/>
    <w:basedOn w:val="Title2"/>
    <w:link w:val="Title5Char"/>
    <w:uiPriority w:val="98"/>
    <w:unhideWhenUsed/>
    <w:rsid w:val="005B4A41"/>
    <w:rPr>
      <w:color w:val="000000" w:themeColor="text1" w:themeShade="80"/>
    </w:rPr>
  </w:style>
  <w:style w:type="character" w:customStyle="1" w:styleId="Title4Char">
    <w:name w:val="Title4 Char"/>
    <w:basedOn w:val="Title2Char"/>
    <w:link w:val="Title4"/>
    <w:uiPriority w:val="98"/>
    <w:rsid w:val="005B4A41"/>
    <w:rPr>
      <w:rFonts w:ascii="Times New Roman" w:eastAsiaTheme="majorEastAsia" w:hAnsi="Times New Roman" w:cstheme="majorBidi"/>
      <w:caps/>
      <w:color w:val="000000" w:themeColor="text1"/>
      <w:spacing w:val="-10"/>
      <w:kern w:val="28"/>
      <w:sz w:val="24"/>
      <w:szCs w:val="56"/>
    </w:rPr>
  </w:style>
  <w:style w:type="character" w:customStyle="1" w:styleId="Title5Char">
    <w:name w:val="Title5 Char"/>
    <w:basedOn w:val="Title2Char"/>
    <w:link w:val="Title5"/>
    <w:uiPriority w:val="98"/>
    <w:rsid w:val="005B4A41"/>
    <w:rPr>
      <w:rFonts w:ascii="Times New Roman" w:eastAsiaTheme="majorEastAsia" w:hAnsi="Times New Roman" w:cstheme="majorBidi"/>
      <w:color w:val="000000" w:themeColor="text1" w:themeShade="80"/>
      <w:spacing w:val="-10"/>
      <w:kern w:val="28"/>
      <w:sz w:val="24"/>
      <w:szCs w:val="56"/>
    </w:rPr>
  </w:style>
  <w:style w:type="paragraph" w:customStyle="1" w:styleId="Heading0notinTOC">
    <w:name w:val="Heading 0 (not in TOC)"/>
    <w:basedOn w:val="Normal"/>
    <w:next w:val="Body"/>
    <w:link w:val="Heading0notinTOCChar"/>
    <w:uiPriority w:val="1"/>
    <w:qFormat/>
    <w:rsid w:val="005B4A41"/>
    <w:pPr>
      <w:keepNext/>
      <w:keepLines/>
      <w:pageBreakBefore/>
      <w:spacing w:after="480"/>
      <w:jc w:val="center"/>
      <w:outlineLvl w:val="0"/>
    </w:pPr>
    <w:rPr>
      <w:b/>
    </w:rPr>
  </w:style>
  <w:style w:type="character" w:styleId="SubtleReference">
    <w:name w:val="Subtle Reference"/>
    <w:basedOn w:val="DefaultParagraphFont"/>
    <w:uiPriority w:val="31"/>
    <w:qFormat/>
    <w:rsid w:val="005B4A41"/>
    <w:rPr>
      <w:smallCaps/>
      <w:color w:val="5A5A5A" w:themeColor="text1" w:themeTint="A5"/>
    </w:rPr>
  </w:style>
  <w:style w:type="character" w:customStyle="1" w:styleId="Heading0notinTOCChar">
    <w:name w:val="Heading 0 (not in TOC) Char"/>
    <w:basedOn w:val="HeaderChar"/>
    <w:link w:val="Heading0notinTOC"/>
    <w:uiPriority w:val="1"/>
    <w:rsid w:val="005B4A41"/>
    <w:rPr>
      <w:rFonts w:ascii="Times New Roman" w:hAnsi="Times New Roman"/>
      <w:b/>
      <w:sz w:val="24"/>
    </w:rPr>
  </w:style>
  <w:style w:type="paragraph" w:customStyle="1" w:styleId="Body">
    <w:name w:val="Body"/>
    <w:basedOn w:val="Normal"/>
    <w:link w:val="BodyChar"/>
    <w:qFormat/>
    <w:rsid w:val="005B4A41"/>
    <w:pPr>
      <w:widowControl/>
      <w:spacing w:line="480" w:lineRule="auto"/>
      <w:ind w:firstLine="720"/>
    </w:pPr>
    <w:rPr>
      <w:color w:val="000000" w:themeColor="text1"/>
    </w:rPr>
  </w:style>
  <w:style w:type="paragraph" w:styleId="TOC1">
    <w:name w:val="toc 1"/>
    <w:basedOn w:val="Normal"/>
    <w:next w:val="Normal"/>
    <w:autoRedefine/>
    <w:uiPriority w:val="39"/>
    <w:unhideWhenUsed/>
    <w:qFormat/>
    <w:rsid w:val="005B4A41"/>
    <w:pPr>
      <w:tabs>
        <w:tab w:val="right" w:leader="dot" w:pos="9360"/>
      </w:tabs>
      <w:spacing w:before="240"/>
    </w:pPr>
  </w:style>
  <w:style w:type="character" w:customStyle="1" w:styleId="BodyChar">
    <w:name w:val="Body Char"/>
    <w:basedOn w:val="DefaultParagraphFont"/>
    <w:link w:val="Body"/>
    <w:rsid w:val="005B4A41"/>
    <w:rPr>
      <w:rFonts w:ascii="Times New Roman" w:hAnsi="Times New Roman"/>
      <w:color w:val="000000" w:themeColor="text1"/>
      <w:sz w:val="24"/>
    </w:rPr>
  </w:style>
  <w:style w:type="paragraph" w:styleId="TOC2">
    <w:name w:val="toc 2"/>
    <w:basedOn w:val="Normal"/>
    <w:next w:val="Normal"/>
    <w:autoRedefine/>
    <w:uiPriority w:val="39"/>
    <w:unhideWhenUsed/>
    <w:qFormat/>
    <w:rsid w:val="005B4A41"/>
    <w:pPr>
      <w:ind w:left="317" w:right="504"/>
    </w:pPr>
  </w:style>
  <w:style w:type="paragraph" w:styleId="TOC3">
    <w:name w:val="toc 3"/>
    <w:basedOn w:val="Normal"/>
    <w:next w:val="Normal"/>
    <w:autoRedefine/>
    <w:uiPriority w:val="39"/>
    <w:unhideWhenUsed/>
    <w:qFormat/>
    <w:rsid w:val="005B4A41"/>
    <w:pPr>
      <w:ind w:left="634" w:right="504"/>
    </w:pPr>
  </w:style>
  <w:style w:type="paragraph" w:styleId="TOC4">
    <w:name w:val="toc 4"/>
    <w:basedOn w:val="Normal"/>
    <w:next w:val="Normal"/>
    <w:autoRedefine/>
    <w:uiPriority w:val="39"/>
    <w:unhideWhenUsed/>
    <w:qFormat/>
    <w:rsid w:val="005B4A41"/>
    <w:pPr>
      <w:ind w:left="950" w:right="504"/>
    </w:pPr>
  </w:style>
  <w:style w:type="paragraph" w:styleId="Caption">
    <w:name w:val="caption"/>
    <w:basedOn w:val="Normal"/>
    <w:next w:val="Body"/>
    <w:link w:val="CaptionChar"/>
    <w:uiPriority w:val="35"/>
    <w:unhideWhenUsed/>
    <w:qFormat/>
    <w:rsid w:val="005B4A41"/>
    <w:pPr>
      <w:keepLines/>
      <w:tabs>
        <w:tab w:val="left" w:pos="288"/>
        <w:tab w:val="left" w:pos="576"/>
        <w:tab w:val="left" w:pos="864"/>
        <w:tab w:val="left" w:pos="1152"/>
        <w:tab w:val="left" w:pos="1440"/>
      </w:tabs>
      <w:spacing w:before="240" w:after="240"/>
    </w:pPr>
    <w:rPr>
      <w:iCs/>
      <w:color w:val="000000" w:themeColor="text1"/>
      <w:szCs w:val="18"/>
    </w:rPr>
  </w:style>
  <w:style w:type="paragraph" w:customStyle="1" w:styleId="Figures">
    <w:name w:val="Figures"/>
    <w:basedOn w:val="Normal"/>
    <w:next w:val="Body"/>
    <w:rsid w:val="005B4A41"/>
    <w:pPr>
      <w:keepNext/>
      <w:keepLines/>
    </w:pPr>
    <w:rPr>
      <w:noProof/>
    </w:rPr>
  </w:style>
  <w:style w:type="paragraph" w:customStyle="1" w:styleId="Heading0includedinTOC">
    <w:name w:val="Heading 0 (included in TOC)"/>
    <w:basedOn w:val="Normal"/>
    <w:next w:val="Body"/>
    <w:link w:val="Heading0includedinTOCChar"/>
    <w:uiPriority w:val="1"/>
    <w:qFormat/>
    <w:rsid w:val="005B4A41"/>
    <w:pPr>
      <w:keepNext/>
      <w:keepLines/>
      <w:pageBreakBefore/>
      <w:spacing w:after="480"/>
      <w:jc w:val="center"/>
      <w:outlineLvl w:val="0"/>
    </w:pPr>
    <w:rPr>
      <w:b/>
      <w:color w:val="000000" w:themeColor="text1"/>
    </w:rPr>
  </w:style>
  <w:style w:type="character" w:customStyle="1" w:styleId="CaptionChar">
    <w:name w:val="Caption Char"/>
    <w:basedOn w:val="DefaultParagraphFont"/>
    <w:link w:val="Caption"/>
    <w:uiPriority w:val="35"/>
    <w:rsid w:val="005B4A41"/>
    <w:rPr>
      <w:rFonts w:ascii="Times New Roman" w:hAnsi="Times New Roman"/>
      <w:iCs/>
      <w:color w:val="000000" w:themeColor="text1"/>
      <w:sz w:val="24"/>
      <w:szCs w:val="18"/>
    </w:rPr>
  </w:style>
  <w:style w:type="character" w:customStyle="1" w:styleId="Heading0includedinTOCChar">
    <w:name w:val="Heading 0 (included in TOC) Char"/>
    <w:basedOn w:val="BodyChar"/>
    <w:link w:val="Heading0includedinTOC"/>
    <w:uiPriority w:val="1"/>
    <w:rsid w:val="005B4A41"/>
    <w:rPr>
      <w:rFonts w:ascii="Times New Roman" w:hAnsi="Times New Roman"/>
      <w:b/>
      <w:color w:val="000000" w:themeColor="text1"/>
      <w:sz w:val="24"/>
    </w:rPr>
  </w:style>
  <w:style w:type="character" w:styleId="Hyperlink">
    <w:name w:val="Hyperlink"/>
    <w:basedOn w:val="DefaultParagraphFont"/>
    <w:uiPriority w:val="99"/>
    <w:unhideWhenUsed/>
    <w:rsid w:val="005B4A41"/>
    <w:rPr>
      <w:color w:val="0563C1" w:themeColor="hyperlink"/>
      <w:u w:val="single"/>
    </w:rPr>
  </w:style>
  <w:style w:type="character" w:styleId="PageNumber">
    <w:name w:val="page number"/>
    <w:basedOn w:val="DefaultParagraphFont"/>
    <w:uiPriority w:val="3"/>
    <w:rsid w:val="005B4A41"/>
  </w:style>
  <w:style w:type="paragraph" w:styleId="TableofFigures">
    <w:name w:val="table of figures"/>
    <w:next w:val="Normal"/>
    <w:uiPriority w:val="99"/>
    <w:qFormat/>
    <w:rsid w:val="005B4A41"/>
    <w:pPr>
      <w:spacing w:before="240" w:after="0"/>
      <w:ind w:left="1224" w:right="504" w:hanging="1224"/>
    </w:pPr>
    <w:rPr>
      <w:rFonts w:ascii="Times New Roman" w:hAnsi="Times New Roman"/>
      <w:sz w:val="24"/>
    </w:rPr>
  </w:style>
  <w:style w:type="paragraph" w:styleId="TOC5">
    <w:name w:val="toc 5"/>
    <w:basedOn w:val="Normal"/>
    <w:next w:val="Normal"/>
    <w:autoRedefine/>
    <w:uiPriority w:val="39"/>
    <w:unhideWhenUsed/>
    <w:rsid w:val="005B4A41"/>
    <w:pPr>
      <w:ind w:left="1267" w:right="504"/>
    </w:pPr>
  </w:style>
  <w:style w:type="character" w:styleId="CommentReference">
    <w:name w:val="annotation reference"/>
    <w:basedOn w:val="DefaultParagraphFont"/>
    <w:uiPriority w:val="99"/>
    <w:semiHidden/>
    <w:unhideWhenUsed/>
    <w:rsid w:val="005B4A41"/>
    <w:rPr>
      <w:sz w:val="16"/>
      <w:szCs w:val="16"/>
    </w:rPr>
  </w:style>
  <w:style w:type="paragraph" w:styleId="CommentText">
    <w:name w:val="annotation text"/>
    <w:basedOn w:val="Normal"/>
    <w:link w:val="CommentTextChar"/>
    <w:uiPriority w:val="99"/>
    <w:semiHidden/>
    <w:unhideWhenUsed/>
    <w:rsid w:val="005B4A41"/>
    <w:rPr>
      <w:sz w:val="20"/>
      <w:szCs w:val="20"/>
    </w:rPr>
  </w:style>
  <w:style w:type="character" w:customStyle="1" w:styleId="CommentTextChar">
    <w:name w:val="Comment Text Char"/>
    <w:basedOn w:val="DefaultParagraphFont"/>
    <w:link w:val="CommentText"/>
    <w:uiPriority w:val="99"/>
    <w:semiHidden/>
    <w:rsid w:val="005B4A4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B4A41"/>
    <w:rPr>
      <w:b/>
      <w:bCs/>
    </w:rPr>
  </w:style>
  <w:style w:type="character" w:customStyle="1" w:styleId="CommentSubjectChar">
    <w:name w:val="Comment Subject Char"/>
    <w:basedOn w:val="CommentTextChar"/>
    <w:link w:val="CommentSubject"/>
    <w:uiPriority w:val="99"/>
    <w:semiHidden/>
    <w:rsid w:val="005B4A41"/>
    <w:rPr>
      <w:rFonts w:ascii="Times New Roman" w:hAnsi="Times New Roman"/>
      <w:b/>
      <w:bCs/>
      <w:sz w:val="20"/>
      <w:szCs w:val="20"/>
    </w:rPr>
  </w:style>
  <w:style w:type="paragraph" w:styleId="BalloonText">
    <w:name w:val="Balloon Text"/>
    <w:basedOn w:val="Normal"/>
    <w:link w:val="BalloonTextChar"/>
    <w:uiPriority w:val="99"/>
    <w:semiHidden/>
    <w:unhideWhenUsed/>
    <w:rsid w:val="005B4A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A41"/>
    <w:rPr>
      <w:rFonts w:ascii="Segoe UI" w:hAnsi="Segoe UI" w:cs="Segoe UI"/>
      <w:sz w:val="18"/>
      <w:szCs w:val="18"/>
    </w:rPr>
  </w:style>
  <w:style w:type="paragraph" w:customStyle="1" w:styleId="TableofTables">
    <w:name w:val="Table of Tables"/>
    <w:basedOn w:val="TableofFigures"/>
    <w:next w:val="Normal"/>
    <w:uiPriority w:val="49"/>
    <w:semiHidden/>
    <w:rsid w:val="005B4A41"/>
    <w:pPr>
      <w:tabs>
        <w:tab w:val="right" w:leader="dot" w:pos="9350"/>
      </w:tabs>
      <w:ind w:left="979" w:hanging="979"/>
    </w:pPr>
    <w:rPr>
      <w:noProof/>
    </w:rPr>
  </w:style>
  <w:style w:type="paragraph" w:styleId="ListNumber2">
    <w:name w:val="List Number 2"/>
    <w:basedOn w:val="Normal"/>
    <w:uiPriority w:val="99"/>
    <w:semiHidden/>
    <w:unhideWhenUsed/>
    <w:rsid w:val="005B4A41"/>
    <w:pPr>
      <w:numPr>
        <w:numId w:val="1"/>
      </w:numPr>
      <w:contextualSpacing/>
    </w:pPr>
  </w:style>
  <w:style w:type="paragraph" w:styleId="TOC8">
    <w:name w:val="toc 8"/>
    <w:basedOn w:val="Normal"/>
    <w:next w:val="Normal"/>
    <w:autoRedefine/>
    <w:uiPriority w:val="39"/>
    <w:semiHidden/>
    <w:unhideWhenUsed/>
    <w:rsid w:val="005B4A41"/>
    <w:pPr>
      <w:spacing w:after="240"/>
      <w:ind w:left="1008" w:right="576" w:hanging="1008"/>
    </w:pPr>
  </w:style>
  <w:style w:type="paragraph" w:styleId="FootnoteText">
    <w:name w:val="footnote text"/>
    <w:basedOn w:val="Normal"/>
    <w:link w:val="FootnoteTextChar"/>
    <w:uiPriority w:val="99"/>
    <w:semiHidden/>
    <w:unhideWhenUsed/>
    <w:rsid w:val="005B4A41"/>
    <w:rPr>
      <w:sz w:val="20"/>
      <w:szCs w:val="20"/>
    </w:rPr>
  </w:style>
  <w:style w:type="character" w:customStyle="1" w:styleId="FootnoteTextChar">
    <w:name w:val="Footnote Text Char"/>
    <w:basedOn w:val="DefaultParagraphFont"/>
    <w:link w:val="FootnoteText"/>
    <w:uiPriority w:val="99"/>
    <w:semiHidden/>
    <w:rsid w:val="005B4A41"/>
    <w:rPr>
      <w:rFonts w:ascii="Times New Roman" w:hAnsi="Times New Roman"/>
      <w:sz w:val="20"/>
      <w:szCs w:val="20"/>
    </w:rPr>
  </w:style>
  <w:style w:type="character" w:styleId="FootnoteReference">
    <w:name w:val="footnote reference"/>
    <w:basedOn w:val="DefaultParagraphFont"/>
    <w:uiPriority w:val="99"/>
    <w:semiHidden/>
    <w:unhideWhenUsed/>
    <w:rsid w:val="005B4A41"/>
    <w:rPr>
      <w:vertAlign w:val="superscript"/>
    </w:rPr>
  </w:style>
  <w:style w:type="paragraph" w:customStyle="1" w:styleId="CaptionSpecAPA">
    <w:name w:val="Caption Spec APA"/>
    <w:basedOn w:val="Caption"/>
    <w:next w:val="Body"/>
    <w:uiPriority w:val="9"/>
    <w:qFormat/>
    <w:rsid w:val="005B4A41"/>
    <w:rPr>
      <w:i/>
    </w:rPr>
  </w:style>
  <w:style w:type="numbering" w:customStyle="1" w:styleId="AppendixStyle">
    <w:name w:val="Appendix Style"/>
    <w:uiPriority w:val="99"/>
    <w:rsid w:val="005B4A41"/>
    <w:pPr>
      <w:numPr>
        <w:numId w:val="3"/>
      </w:numPr>
    </w:pPr>
  </w:style>
  <w:style w:type="numbering" w:customStyle="1" w:styleId="ChapterStyle">
    <w:name w:val="Chapter Style"/>
    <w:uiPriority w:val="99"/>
    <w:rsid w:val="005B4A41"/>
    <w:pPr>
      <w:numPr>
        <w:numId w:val="4"/>
      </w:numPr>
    </w:pPr>
  </w:style>
  <w:style w:type="paragraph" w:styleId="ListParagraph">
    <w:name w:val="List Paragraph"/>
    <w:basedOn w:val="Normal"/>
    <w:uiPriority w:val="34"/>
    <w:qFormat/>
    <w:rsid w:val="005B4A41"/>
    <w:pPr>
      <w:ind w:left="720"/>
      <w:contextualSpacing/>
    </w:pPr>
  </w:style>
  <w:style w:type="table" w:styleId="TableGrid">
    <w:name w:val="Table Grid"/>
    <w:basedOn w:val="TableNormal"/>
    <w:uiPriority w:val="39"/>
    <w:rsid w:val="005B4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nSty">
    <w:name w:val="EqnSty"/>
    <w:basedOn w:val="Body"/>
    <w:uiPriority w:val="9"/>
    <w:qFormat/>
    <w:rsid w:val="005B4A41"/>
    <w:pPr>
      <w:tabs>
        <w:tab w:val="center" w:pos="4500"/>
        <w:tab w:val="right" w:pos="8986"/>
      </w:tabs>
      <w:spacing w:line="240" w:lineRule="auto"/>
      <w:ind w:firstLine="0"/>
      <w:jc w:val="center"/>
    </w:pPr>
    <w:rPr>
      <w:rFonts w:ascii="Cambria Math" w:hAnsi="Cambria Math"/>
      <w:i/>
    </w:rPr>
  </w:style>
  <w:style w:type="character" w:customStyle="1" w:styleId="UnresolvedMention1">
    <w:name w:val="Unresolved Mention1"/>
    <w:basedOn w:val="DefaultParagraphFont"/>
    <w:uiPriority w:val="99"/>
    <w:semiHidden/>
    <w:unhideWhenUsed/>
    <w:rsid w:val="005B4A41"/>
    <w:rPr>
      <w:color w:val="605E5C"/>
      <w:shd w:val="clear" w:color="auto" w:fill="E1DFDD"/>
    </w:rPr>
  </w:style>
  <w:style w:type="character" w:styleId="FollowedHyperlink">
    <w:name w:val="FollowedHyperlink"/>
    <w:basedOn w:val="DefaultParagraphFont"/>
    <w:uiPriority w:val="99"/>
    <w:semiHidden/>
    <w:unhideWhenUsed/>
    <w:rsid w:val="005B4A41"/>
    <w:rPr>
      <w:color w:val="954F72" w:themeColor="followedHyperlink"/>
      <w:u w:val="single"/>
    </w:rPr>
  </w:style>
  <w:style w:type="character" w:styleId="Emphasis">
    <w:name w:val="Emphasis"/>
    <w:basedOn w:val="DefaultParagraphFont"/>
    <w:uiPriority w:val="20"/>
    <w:qFormat/>
    <w:rsid w:val="005B4A41"/>
    <w:rPr>
      <w:i/>
      <w:iCs/>
    </w:rPr>
  </w:style>
  <w:style w:type="table" w:styleId="PlainTable1">
    <w:name w:val="Plain Table 1"/>
    <w:basedOn w:val="TableNormal"/>
    <w:uiPriority w:val="41"/>
    <w:rsid w:val="005B4A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5B4A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5B4A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onlinepubs.trb.org/Onlinepubs/trr/1995/1497/1497-009.pdf" TargetMode="External"/><Relationship Id="rId3" Type="http://schemas.openxmlformats.org/officeDocument/2006/relationships/settings" Target="settings.xml"/><Relationship Id="rId21" Type="http://schemas.openxmlformats.org/officeDocument/2006/relationships/hyperlink" Target="https://doi.org/10.1002/9781119038849" TargetMode="External"/><Relationship Id="rId7" Type="http://schemas.openxmlformats.org/officeDocument/2006/relationships/diagramQuickStyle" Target="diagrams/quickStyle1.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doi.org/10.1061/(ASCE)TE.1943-5436.0000454"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6135/ijprt.org.tw/2014.7(6).434" TargetMode="External"/><Relationship Id="rId29" Type="http://schemas.openxmlformats.org/officeDocument/2006/relationships/hyperlink" Target="https://trid.trb.org/view/919191" TargetMode="Externa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1.png"/><Relationship Id="rId24" Type="http://schemas.openxmlformats.org/officeDocument/2006/relationships/hyperlink" Target="https://il-asphalt.org/files/7315/1803/1691/Ramin_Shabanpour_2017_UICg.pdf" TargetMode="External"/><Relationship Id="rId5" Type="http://schemas.openxmlformats.org/officeDocument/2006/relationships/diagramData" Target="diagrams/data1.xml"/><Relationship Id="rId15" Type="http://schemas.openxmlformats.org/officeDocument/2006/relationships/image" Target="media/image4.png"/><Relationship Id="rId23" Type="http://schemas.openxmlformats.org/officeDocument/2006/relationships/hyperlink" Target="https://journals.sagepub.com/doi/abs/10.1177/0361198196152400124?journalCode=trra" TargetMode="External"/><Relationship Id="rId28" Type="http://schemas.openxmlformats.org/officeDocument/2006/relationships/hyperlink" Target="https://digitalcommons.usu.edu/cgi/viewcontent.cgi?article=1088&amp;context=gradreports" TargetMode="External"/><Relationship Id="rId10" Type="http://schemas.openxmlformats.org/officeDocument/2006/relationships/chart" Target="charts/chart1.xml"/><Relationship Id="rId19" Type="http://schemas.openxmlformats.org/officeDocument/2006/relationships/hyperlink" Target="https://lib.dr.iastate.edu/intrans%20reports/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image" Target="media/image3.png"/><Relationship Id="rId22" Type="http://schemas.openxmlformats.org/officeDocument/2006/relationships/hyperlink" Target="http://roseyu.com/time-series-workshop/submissions/TSW2017_paper_3.pdf" TargetMode="External"/><Relationship Id="rId27" Type="http://schemas.openxmlformats.org/officeDocument/2006/relationships/hyperlink" Target="https://iowadot.gov/systems_planning/fpmam/IowaDOT-TAMP-2018.pdf"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irh\Desktop\DATABASE\AC%20Data\CleanAC.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511592300962384E-2"/>
          <c:y val="0.1300462962962963"/>
          <c:w val="0.85159951881014873"/>
          <c:h val="0.74403579760863225"/>
        </c:manualLayout>
      </c:layout>
      <c:bar3DChart>
        <c:barDir val="bar"/>
        <c:grouping val="clustered"/>
        <c:varyColors val="0"/>
        <c:ser>
          <c:idx val="0"/>
          <c:order val="0"/>
          <c:spPr>
            <a:solidFill>
              <a:schemeClr val="dk1">
                <a:tint val="88500"/>
              </a:schemeClr>
            </a:solidFill>
            <a:ln>
              <a:noFill/>
            </a:ln>
            <a:effectLst/>
            <a:sp3d/>
          </c:spPr>
          <c:invertIfNegative val="0"/>
          <c:dLbls>
            <c:dLbl>
              <c:idx val="0"/>
              <c:layout>
                <c:manualLayout>
                  <c:x val="2.2944550669216107E-2"/>
                  <c:y val="-1.2403098756337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7A-4817-9ECC-C3434CCBC342}"/>
                </c:ext>
              </c:extLst>
            </c:dLbl>
            <c:dLbl>
              <c:idx val="1"/>
              <c:layout>
                <c:manualLayout>
                  <c:x val="3.8240917782026672E-2"/>
                  <c:y val="-1.65374650084494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7A-4817-9ECC-C3434CCBC342}"/>
                </c:ext>
              </c:extLst>
            </c:dLbl>
            <c:dLbl>
              <c:idx val="2"/>
              <c:layout>
                <c:manualLayout>
                  <c:x val="2.5493945188017845E-2"/>
                  <c:y val="-1.653746500844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7A-4817-9ECC-C3434CCBC3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CleanAC!$AC$5:$AC$7</c:f>
              <c:strCache>
                <c:ptCount val="3"/>
                <c:pt idx="0">
                  <c:v>AC</c:v>
                </c:pt>
                <c:pt idx="1">
                  <c:v>PCC</c:v>
                </c:pt>
                <c:pt idx="2">
                  <c:v>COM</c:v>
                </c:pt>
              </c:strCache>
            </c:strRef>
          </c:cat>
          <c:val>
            <c:numRef>
              <c:f>CleanAC!$AD$5:$AD$7</c:f>
              <c:numCache>
                <c:formatCode>General</c:formatCode>
                <c:ptCount val="3"/>
                <c:pt idx="0">
                  <c:v>477</c:v>
                </c:pt>
                <c:pt idx="1">
                  <c:v>1562</c:v>
                </c:pt>
                <c:pt idx="2">
                  <c:v>1830</c:v>
                </c:pt>
              </c:numCache>
            </c:numRef>
          </c:val>
          <c:extLst>
            <c:ext xmlns:c16="http://schemas.microsoft.com/office/drawing/2014/chart" uri="{C3380CC4-5D6E-409C-BE32-E72D297353CC}">
              <c16:uniqueId val="{00000003-457A-4817-9ECC-C3434CCBC342}"/>
            </c:ext>
          </c:extLst>
        </c:ser>
        <c:dLbls>
          <c:showLegendKey val="0"/>
          <c:showVal val="0"/>
          <c:showCatName val="0"/>
          <c:showSerName val="0"/>
          <c:showPercent val="0"/>
          <c:showBubbleSize val="0"/>
        </c:dLbls>
        <c:gapWidth val="150"/>
        <c:shape val="box"/>
        <c:axId val="855264080"/>
        <c:axId val="855262832"/>
        <c:axId val="0"/>
      </c:bar3DChart>
      <c:catAx>
        <c:axId val="8552640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55262832"/>
        <c:crosses val="autoZero"/>
        <c:auto val="1"/>
        <c:lblAlgn val="ctr"/>
        <c:lblOffset val="100"/>
        <c:noMultiLvlLbl val="0"/>
      </c:catAx>
      <c:valAx>
        <c:axId val="855262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55264080"/>
        <c:crosses val="autoZero"/>
        <c:crossBetween val="between"/>
      </c:valAx>
      <c:spPr>
        <a:noFill/>
        <a:ln w="25400">
          <a:noFill/>
        </a:ln>
        <a:effectLst/>
      </c:spPr>
    </c:plotArea>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3C8EFF-F4E0-4489-BF94-3C2567E37288}" type="doc">
      <dgm:prSet loTypeId="urn:microsoft.com/office/officeart/2005/8/layout/process2" loCatId="process" qsTypeId="urn:microsoft.com/office/officeart/2005/8/quickstyle/simple3" qsCatId="simple" csTypeId="urn:microsoft.com/office/officeart/2005/8/colors/accent3_4" csCatId="accent3" phldr="1"/>
      <dgm:spPr/>
      <dgm:t>
        <a:bodyPr/>
        <a:lstStyle/>
        <a:p>
          <a:endParaRPr lang="en-US"/>
        </a:p>
      </dgm:t>
    </dgm:pt>
    <dgm:pt modelId="{305027D5-5AF0-4829-8670-2AEC8320776A}">
      <dgm:prSet phldrT="[Text]"/>
      <dgm:spPr/>
      <dgm:t>
        <a:bodyPr/>
        <a:lstStyle/>
        <a:p>
          <a:r>
            <a:rPr lang="en-US" b="1">
              <a:latin typeface="Times New Roman" panose="02020603050405020304" pitchFamily="18" charset="0"/>
              <a:cs typeface="Times New Roman" panose="02020603050405020304" pitchFamily="18" charset="0"/>
            </a:rPr>
            <a:t>Data Collection</a:t>
          </a:r>
        </a:p>
      </dgm:t>
    </dgm:pt>
    <dgm:pt modelId="{F9ED2351-94C8-4B79-B1CA-3C32C11D9416}" type="parTrans" cxnId="{8A349338-9D27-4144-B477-77952EAE4A0B}">
      <dgm:prSet/>
      <dgm:spPr/>
      <dgm:t>
        <a:bodyPr/>
        <a:lstStyle/>
        <a:p>
          <a:endParaRPr lang="en-US"/>
        </a:p>
      </dgm:t>
    </dgm:pt>
    <dgm:pt modelId="{E91DE048-97E2-4F0B-8E6A-226711E2DA3E}" type="sibTrans" cxnId="{8A349338-9D27-4144-B477-77952EAE4A0B}">
      <dgm:prSet/>
      <dgm:spPr/>
      <dgm:t>
        <a:bodyPr/>
        <a:lstStyle/>
        <a:p>
          <a:endParaRPr lang="en-US"/>
        </a:p>
      </dgm:t>
    </dgm:pt>
    <dgm:pt modelId="{C0AC024E-9710-4656-B577-3230F9D2DFD4}">
      <dgm:prSet phldrT="[Text]"/>
      <dgm:spPr/>
      <dgm:t>
        <a:bodyPr/>
        <a:lstStyle/>
        <a:p>
          <a:r>
            <a:rPr lang="en-US" b="1">
              <a:latin typeface="Times New Roman" panose="02020603050405020304" pitchFamily="18" charset="0"/>
              <a:cs typeface="Times New Roman" panose="02020603050405020304" pitchFamily="18" charset="0"/>
            </a:rPr>
            <a:t>Preprocessing</a:t>
          </a:r>
        </a:p>
      </dgm:t>
    </dgm:pt>
    <dgm:pt modelId="{2828472C-A3F0-43EF-916D-7A11D9CBA8C2}" type="parTrans" cxnId="{B7BE7A9B-1ED4-4925-839F-D802DA3F7AD2}">
      <dgm:prSet/>
      <dgm:spPr/>
      <dgm:t>
        <a:bodyPr/>
        <a:lstStyle/>
        <a:p>
          <a:endParaRPr lang="en-US"/>
        </a:p>
      </dgm:t>
    </dgm:pt>
    <dgm:pt modelId="{679684B5-F4C7-44F3-A4A0-EB65A5D7A234}" type="sibTrans" cxnId="{B7BE7A9B-1ED4-4925-839F-D802DA3F7AD2}">
      <dgm:prSet/>
      <dgm:spPr/>
      <dgm:t>
        <a:bodyPr/>
        <a:lstStyle/>
        <a:p>
          <a:endParaRPr lang="en-US"/>
        </a:p>
      </dgm:t>
    </dgm:pt>
    <dgm:pt modelId="{A79652D9-E549-4755-A083-10951EBD0E84}">
      <dgm:prSet phldrT="[Text]"/>
      <dgm:spPr/>
      <dgm:t>
        <a:bodyPr/>
        <a:lstStyle/>
        <a:p>
          <a:r>
            <a:rPr lang="en-US" b="1">
              <a:latin typeface="Times New Roman" panose="02020603050405020304" pitchFamily="18" charset="0"/>
              <a:cs typeface="Times New Roman" panose="02020603050405020304" pitchFamily="18" charset="0"/>
            </a:rPr>
            <a:t>Developing LSTM</a:t>
          </a:r>
        </a:p>
      </dgm:t>
    </dgm:pt>
    <dgm:pt modelId="{478B8043-02F9-425E-BDD6-7E35CD40873A}" type="parTrans" cxnId="{00B03162-6DCB-403C-AEF1-548923D2CCF9}">
      <dgm:prSet/>
      <dgm:spPr/>
      <dgm:t>
        <a:bodyPr/>
        <a:lstStyle/>
        <a:p>
          <a:endParaRPr lang="en-US"/>
        </a:p>
      </dgm:t>
    </dgm:pt>
    <dgm:pt modelId="{78CFCE95-BA95-4658-916D-6C71EC1B955A}" type="sibTrans" cxnId="{00B03162-6DCB-403C-AEF1-548923D2CCF9}">
      <dgm:prSet/>
      <dgm:spPr/>
      <dgm:t>
        <a:bodyPr/>
        <a:lstStyle/>
        <a:p>
          <a:endParaRPr lang="en-US"/>
        </a:p>
      </dgm:t>
    </dgm:pt>
    <dgm:pt modelId="{A1313F6C-D677-4B16-9F4D-5C8F1A33F264}">
      <dgm:prSet phldrT="[Text]"/>
      <dgm:spPr/>
      <dgm:t>
        <a:bodyPr/>
        <a:lstStyle/>
        <a:p>
          <a:r>
            <a:rPr lang="en-US" b="1">
              <a:latin typeface="Times New Roman" panose="02020603050405020304" pitchFamily="18" charset="0"/>
              <a:cs typeface="Times New Roman" panose="02020603050405020304" pitchFamily="18" charset="0"/>
            </a:rPr>
            <a:t>Model Training</a:t>
          </a:r>
        </a:p>
      </dgm:t>
    </dgm:pt>
    <dgm:pt modelId="{2200512D-C7AD-4DD1-8AB4-3572421395A9}" type="parTrans" cxnId="{78A247C2-A9E0-402F-8F9A-C06D2E682399}">
      <dgm:prSet/>
      <dgm:spPr/>
      <dgm:t>
        <a:bodyPr/>
        <a:lstStyle/>
        <a:p>
          <a:endParaRPr lang="en-US"/>
        </a:p>
      </dgm:t>
    </dgm:pt>
    <dgm:pt modelId="{2EC5367A-7C04-49C7-85EB-2FC9125730B5}" type="sibTrans" cxnId="{78A247C2-A9E0-402F-8F9A-C06D2E682399}">
      <dgm:prSet/>
      <dgm:spPr/>
      <dgm:t>
        <a:bodyPr/>
        <a:lstStyle/>
        <a:p>
          <a:endParaRPr lang="en-US"/>
        </a:p>
      </dgm:t>
    </dgm:pt>
    <dgm:pt modelId="{6211D7BF-8080-4F90-9D3D-1FBFA7E16CA2}">
      <dgm:prSet phldrT="[Text]"/>
      <dgm:spPr/>
      <dgm:t>
        <a:bodyPr/>
        <a:lstStyle/>
        <a:p>
          <a:r>
            <a:rPr lang="en-US" b="1">
              <a:latin typeface="Times New Roman" panose="02020603050405020304" pitchFamily="18" charset="0"/>
              <a:cs typeface="Times New Roman" panose="02020603050405020304" pitchFamily="18" charset="0"/>
            </a:rPr>
            <a:t>Model Validation</a:t>
          </a:r>
        </a:p>
      </dgm:t>
    </dgm:pt>
    <dgm:pt modelId="{4CAA7C51-8922-4AC4-8ABB-D92B986D7156}" type="parTrans" cxnId="{4841DD73-6FFB-44B5-AF97-00BEB2EDFD44}">
      <dgm:prSet/>
      <dgm:spPr/>
      <dgm:t>
        <a:bodyPr/>
        <a:lstStyle/>
        <a:p>
          <a:endParaRPr lang="en-US"/>
        </a:p>
      </dgm:t>
    </dgm:pt>
    <dgm:pt modelId="{045876EB-97B2-4973-8CB5-A4E10D95E55D}" type="sibTrans" cxnId="{4841DD73-6FFB-44B5-AF97-00BEB2EDFD44}">
      <dgm:prSet/>
      <dgm:spPr/>
      <dgm:t>
        <a:bodyPr/>
        <a:lstStyle/>
        <a:p>
          <a:endParaRPr lang="en-US"/>
        </a:p>
      </dgm:t>
    </dgm:pt>
    <dgm:pt modelId="{91DBBD69-D3AC-4BEE-A061-9A84E2B01D04}">
      <dgm:prSet phldrT="[Text]"/>
      <dgm:spPr/>
      <dgm:t>
        <a:bodyPr/>
        <a:lstStyle/>
        <a:p>
          <a:r>
            <a:rPr lang="en-US" b="1">
              <a:latin typeface="Times New Roman" panose="02020603050405020304" pitchFamily="18" charset="0"/>
              <a:cs typeface="Times New Roman" panose="02020603050405020304" pitchFamily="18" charset="0"/>
            </a:rPr>
            <a:t>Comparison</a:t>
          </a:r>
        </a:p>
      </dgm:t>
    </dgm:pt>
    <dgm:pt modelId="{5A098F24-F584-49BE-9F6D-E7F224727A84}" type="parTrans" cxnId="{FBCBF18B-FF45-4DCB-97F4-2BE1E2CFECEB}">
      <dgm:prSet/>
      <dgm:spPr/>
      <dgm:t>
        <a:bodyPr/>
        <a:lstStyle/>
        <a:p>
          <a:endParaRPr lang="en-US"/>
        </a:p>
      </dgm:t>
    </dgm:pt>
    <dgm:pt modelId="{C2DDC7A8-7512-41B7-8B6C-55A5D8543BB4}" type="sibTrans" cxnId="{FBCBF18B-FF45-4DCB-97F4-2BE1E2CFECEB}">
      <dgm:prSet/>
      <dgm:spPr/>
      <dgm:t>
        <a:bodyPr/>
        <a:lstStyle/>
        <a:p>
          <a:endParaRPr lang="en-US"/>
        </a:p>
      </dgm:t>
    </dgm:pt>
    <dgm:pt modelId="{CE797BDA-83A1-4818-9928-DD9CF493BDCC}" type="pres">
      <dgm:prSet presAssocID="{F83C8EFF-F4E0-4489-BF94-3C2567E37288}" presName="linearFlow" presStyleCnt="0">
        <dgm:presLayoutVars>
          <dgm:resizeHandles val="exact"/>
        </dgm:presLayoutVars>
      </dgm:prSet>
      <dgm:spPr/>
      <dgm:t>
        <a:bodyPr/>
        <a:lstStyle/>
        <a:p>
          <a:endParaRPr lang="en-US"/>
        </a:p>
      </dgm:t>
    </dgm:pt>
    <dgm:pt modelId="{62D4EA50-DF23-4000-8CF2-6E746E3445E1}" type="pres">
      <dgm:prSet presAssocID="{305027D5-5AF0-4829-8670-2AEC8320776A}" presName="node" presStyleLbl="node1" presStyleIdx="0" presStyleCnt="6">
        <dgm:presLayoutVars>
          <dgm:bulletEnabled val="1"/>
        </dgm:presLayoutVars>
      </dgm:prSet>
      <dgm:spPr/>
      <dgm:t>
        <a:bodyPr/>
        <a:lstStyle/>
        <a:p>
          <a:endParaRPr lang="en-US"/>
        </a:p>
      </dgm:t>
    </dgm:pt>
    <dgm:pt modelId="{9C1E9E14-01A6-4DAA-9887-58811D395EE4}" type="pres">
      <dgm:prSet presAssocID="{E91DE048-97E2-4F0B-8E6A-226711E2DA3E}" presName="sibTrans" presStyleLbl="sibTrans2D1" presStyleIdx="0" presStyleCnt="5"/>
      <dgm:spPr/>
      <dgm:t>
        <a:bodyPr/>
        <a:lstStyle/>
        <a:p>
          <a:endParaRPr lang="en-US"/>
        </a:p>
      </dgm:t>
    </dgm:pt>
    <dgm:pt modelId="{DA9B2B4F-719F-4080-96DF-51965EE2409D}" type="pres">
      <dgm:prSet presAssocID="{E91DE048-97E2-4F0B-8E6A-226711E2DA3E}" presName="connectorText" presStyleLbl="sibTrans2D1" presStyleIdx="0" presStyleCnt="5"/>
      <dgm:spPr/>
      <dgm:t>
        <a:bodyPr/>
        <a:lstStyle/>
        <a:p>
          <a:endParaRPr lang="en-US"/>
        </a:p>
      </dgm:t>
    </dgm:pt>
    <dgm:pt modelId="{412EB0A1-6D8E-4DB3-8C6A-0588BCE2B589}" type="pres">
      <dgm:prSet presAssocID="{C0AC024E-9710-4656-B577-3230F9D2DFD4}" presName="node" presStyleLbl="node1" presStyleIdx="1" presStyleCnt="6">
        <dgm:presLayoutVars>
          <dgm:bulletEnabled val="1"/>
        </dgm:presLayoutVars>
      </dgm:prSet>
      <dgm:spPr/>
      <dgm:t>
        <a:bodyPr/>
        <a:lstStyle/>
        <a:p>
          <a:endParaRPr lang="en-US"/>
        </a:p>
      </dgm:t>
    </dgm:pt>
    <dgm:pt modelId="{53D10B00-4FD1-42AE-9A42-8DCC95B71F12}" type="pres">
      <dgm:prSet presAssocID="{679684B5-F4C7-44F3-A4A0-EB65A5D7A234}" presName="sibTrans" presStyleLbl="sibTrans2D1" presStyleIdx="1" presStyleCnt="5"/>
      <dgm:spPr/>
      <dgm:t>
        <a:bodyPr/>
        <a:lstStyle/>
        <a:p>
          <a:endParaRPr lang="en-US"/>
        </a:p>
      </dgm:t>
    </dgm:pt>
    <dgm:pt modelId="{7B974898-3C7F-4A94-8D3B-9AB07862718E}" type="pres">
      <dgm:prSet presAssocID="{679684B5-F4C7-44F3-A4A0-EB65A5D7A234}" presName="connectorText" presStyleLbl="sibTrans2D1" presStyleIdx="1" presStyleCnt="5"/>
      <dgm:spPr/>
      <dgm:t>
        <a:bodyPr/>
        <a:lstStyle/>
        <a:p>
          <a:endParaRPr lang="en-US"/>
        </a:p>
      </dgm:t>
    </dgm:pt>
    <dgm:pt modelId="{7A22DC94-059B-4A7C-AAA0-10A34A0879D4}" type="pres">
      <dgm:prSet presAssocID="{A79652D9-E549-4755-A083-10951EBD0E84}" presName="node" presStyleLbl="node1" presStyleIdx="2" presStyleCnt="6">
        <dgm:presLayoutVars>
          <dgm:bulletEnabled val="1"/>
        </dgm:presLayoutVars>
      </dgm:prSet>
      <dgm:spPr/>
      <dgm:t>
        <a:bodyPr/>
        <a:lstStyle/>
        <a:p>
          <a:endParaRPr lang="en-US"/>
        </a:p>
      </dgm:t>
    </dgm:pt>
    <dgm:pt modelId="{6F8F82D3-D8A2-4FB0-ADBA-60747AD09CD0}" type="pres">
      <dgm:prSet presAssocID="{78CFCE95-BA95-4658-916D-6C71EC1B955A}" presName="sibTrans" presStyleLbl="sibTrans2D1" presStyleIdx="2" presStyleCnt="5"/>
      <dgm:spPr/>
      <dgm:t>
        <a:bodyPr/>
        <a:lstStyle/>
        <a:p>
          <a:endParaRPr lang="en-US"/>
        </a:p>
      </dgm:t>
    </dgm:pt>
    <dgm:pt modelId="{AEBA0866-2903-4F03-A84E-86917226C794}" type="pres">
      <dgm:prSet presAssocID="{78CFCE95-BA95-4658-916D-6C71EC1B955A}" presName="connectorText" presStyleLbl="sibTrans2D1" presStyleIdx="2" presStyleCnt="5"/>
      <dgm:spPr/>
      <dgm:t>
        <a:bodyPr/>
        <a:lstStyle/>
        <a:p>
          <a:endParaRPr lang="en-US"/>
        </a:p>
      </dgm:t>
    </dgm:pt>
    <dgm:pt modelId="{D4300C5F-904B-4BB7-911F-3E70A4850611}" type="pres">
      <dgm:prSet presAssocID="{A1313F6C-D677-4B16-9F4D-5C8F1A33F264}" presName="node" presStyleLbl="node1" presStyleIdx="3" presStyleCnt="6">
        <dgm:presLayoutVars>
          <dgm:bulletEnabled val="1"/>
        </dgm:presLayoutVars>
      </dgm:prSet>
      <dgm:spPr/>
      <dgm:t>
        <a:bodyPr/>
        <a:lstStyle/>
        <a:p>
          <a:endParaRPr lang="en-US"/>
        </a:p>
      </dgm:t>
    </dgm:pt>
    <dgm:pt modelId="{0409696C-9895-4C1F-B70D-C3561F1051D1}" type="pres">
      <dgm:prSet presAssocID="{2EC5367A-7C04-49C7-85EB-2FC9125730B5}" presName="sibTrans" presStyleLbl="sibTrans2D1" presStyleIdx="3" presStyleCnt="5"/>
      <dgm:spPr/>
      <dgm:t>
        <a:bodyPr/>
        <a:lstStyle/>
        <a:p>
          <a:endParaRPr lang="en-US"/>
        </a:p>
      </dgm:t>
    </dgm:pt>
    <dgm:pt modelId="{41AF8082-FD15-4D21-B098-8F6A99BF10FA}" type="pres">
      <dgm:prSet presAssocID="{2EC5367A-7C04-49C7-85EB-2FC9125730B5}" presName="connectorText" presStyleLbl="sibTrans2D1" presStyleIdx="3" presStyleCnt="5"/>
      <dgm:spPr/>
      <dgm:t>
        <a:bodyPr/>
        <a:lstStyle/>
        <a:p>
          <a:endParaRPr lang="en-US"/>
        </a:p>
      </dgm:t>
    </dgm:pt>
    <dgm:pt modelId="{AF8D23E0-4481-4914-8740-47D4E01AA390}" type="pres">
      <dgm:prSet presAssocID="{6211D7BF-8080-4F90-9D3D-1FBFA7E16CA2}" presName="node" presStyleLbl="node1" presStyleIdx="4" presStyleCnt="6">
        <dgm:presLayoutVars>
          <dgm:bulletEnabled val="1"/>
        </dgm:presLayoutVars>
      </dgm:prSet>
      <dgm:spPr/>
      <dgm:t>
        <a:bodyPr/>
        <a:lstStyle/>
        <a:p>
          <a:endParaRPr lang="en-US"/>
        </a:p>
      </dgm:t>
    </dgm:pt>
    <dgm:pt modelId="{1DC0A964-8E6D-4AEA-A500-5028C1687144}" type="pres">
      <dgm:prSet presAssocID="{045876EB-97B2-4973-8CB5-A4E10D95E55D}" presName="sibTrans" presStyleLbl="sibTrans2D1" presStyleIdx="4" presStyleCnt="5"/>
      <dgm:spPr/>
      <dgm:t>
        <a:bodyPr/>
        <a:lstStyle/>
        <a:p>
          <a:endParaRPr lang="en-US"/>
        </a:p>
      </dgm:t>
    </dgm:pt>
    <dgm:pt modelId="{73A6AD21-3232-4541-A4C9-C118F6127F14}" type="pres">
      <dgm:prSet presAssocID="{045876EB-97B2-4973-8CB5-A4E10D95E55D}" presName="connectorText" presStyleLbl="sibTrans2D1" presStyleIdx="4" presStyleCnt="5"/>
      <dgm:spPr/>
      <dgm:t>
        <a:bodyPr/>
        <a:lstStyle/>
        <a:p>
          <a:endParaRPr lang="en-US"/>
        </a:p>
      </dgm:t>
    </dgm:pt>
    <dgm:pt modelId="{95A2FB53-B8E9-462A-971C-0270D369BB1C}" type="pres">
      <dgm:prSet presAssocID="{91DBBD69-D3AC-4BEE-A061-9A84E2B01D04}" presName="node" presStyleLbl="node1" presStyleIdx="5" presStyleCnt="6">
        <dgm:presLayoutVars>
          <dgm:bulletEnabled val="1"/>
        </dgm:presLayoutVars>
      </dgm:prSet>
      <dgm:spPr/>
      <dgm:t>
        <a:bodyPr/>
        <a:lstStyle/>
        <a:p>
          <a:endParaRPr lang="en-US"/>
        </a:p>
      </dgm:t>
    </dgm:pt>
  </dgm:ptLst>
  <dgm:cxnLst>
    <dgm:cxn modelId="{4841DD73-6FFB-44B5-AF97-00BEB2EDFD44}" srcId="{F83C8EFF-F4E0-4489-BF94-3C2567E37288}" destId="{6211D7BF-8080-4F90-9D3D-1FBFA7E16CA2}" srcOrd="4" destOrd="0" parTransId="{4CAA7C51-8922-4AC4-8ABB-D92B986D7156}" sibTransId="{045876EB-97B2-4973-8CB5-A4E10D95E55D}"/>
    <dgm:cxn modelId="{3859030F-FF7A-42D6-9B5C-4B4FBA4D5BB3}" type="presOf" srcId="{78CFCE95-BA95-4658-916D-6C71EC1B955A}" destId="{AEBA0866-2903-4F03-A84E-86917226C794}" srcOrd="1" destOrd="0" presId="urn:microsoft.com/office/officeart/2005/8/layout/process2"/>
    <dgm:cxn modelId="{65CDA718-85E3-4162-A8B0-FB785F711A24}" type="presOf" srcId="{2EC5367A-7C04-49C7-85EB-2FC9125730B5}" destId="{41AF8082-FD15-4D21-B098-8F6A99BF10FA}" srcOrd="1" destOrd="0" presId="urn:microsoft.com/office/officeart/2005/8/layout/process2"/>
    <dgm:cxn modelId="{C72F9319-E77E-4384-B652-84B9AC092E0D}" type="presOf" srcId="{679684B5-F4C7-44F3-A4A0-EB65A5D7A234}" destId="{53D10B00-4FD1-42AE-9A42-8DCC95B71F12}" srcOrd="0" destOrd="0" presId="urn:microsoft.com/office/officeart/2005/8/layout/process2"/>
    <dgm:cxn modelId="{E218AF05-0D93-462E-A670-49FA32E6CBB4}" type="presOf" srcId="{78CFCE95-BA95-4658-916D-6C71EC1B955A}" destId="{6F8F82D3-D8A2-4FB0-ADBA-60747AD09CD0}" srcOrd="0" destOrd="0" presId="urn:microsoft.com/office/officeart/2005/8/layout/process2"/>
    <dgm:cxn modelId="{1A2B0536-5A70-431E-BF47-41D6358DE536}" type="presOf" srcId="{045876EB-97B2-4973-8CB5-A4E10D95E55D}" destId="{73A6AD21-3232-4541-A4C9-C118F6127F14}" srcOrd="1" destOrd="0" presId="urn:microsoft.com/office/officeart/2005/8/layout/process2"/>
    <dgm:cxn modelId="{FBCBF18B-FF45-4DCB-97F4-2BE1E2CFECEB}" srcId="{F83C8EFF-F4E0-4489-BF94-3C2567E37288}" destId="{91DBBD69-D3AC-4BEE-A061-9A84E2B01D04}" srcOrd="5" destOrd="0" parTransId="{5A098F24-F584-49BE-9F6D-E7F224727A84}" sibTransId="{C2DDC7A8-7512-41B7-8B6C-55A5D8543BB4}"/>
    <dgm:cxn modelId="{17B1EE05-2A80-483F-AFFB-C3D520055D83}" type="presOf" srcId="{A79652D9-E549-4755-A083-10951EBD0E84}" destId="{7A22DC94-059B-4A7C-AAA0-10A34A0879D4}" srcOrd="0" destOrd="0" presId="urn:microsoft.com/office/officeart/2005/8/layout/process2"/>
    <dgm:cxn modelId="{11D91F74-67B9-4CA3-9A9E-A73F755BA43A}" type="presOf" srcId="{E91DE048-97E2-4F0B-8E6A-226711E2DA3E}" destId="{DA9B2B4F-719F-4080-96DF-51965EE2409D}" srcOrd="1" destOrd="0" presId="urn:microsoft.com/office/officeart/2005/8/layout/process2"/>
    <dgm:cxn modelId="{E89961A1-2B8C-48EE-9334-DF0B61F2EF6F}" type="presOf" srcId="{305027D5-5AF0-4829-8670-2AEC8320776A}" destId="{62D4EA50-DF23-4000-8CF2-6E746E3445E1}" srcOrd="0" destOrd="0" presId="urn:microsoft.com/office/officeart/2005/8/layout/process2"/>
    <dgm:cxn modelId="{00B03162-6DCB-403C-AEF1-548923D2CCF9}" srcId="{F83C8EFF-F4E0-4489-BF94-3C2567E37288}" destId="{A79652D9-E549-4755-A083-10951EBD0E84}" srcOrd="2" destOrd="0" parTransId="{478B8043-02F9-425E-BDD6-7E35CD40873A}" sibTransId="{78CFCE95-BA95-4658-916D-6C71EC1B955A}"/>
    <dgm:cxn modelId="{8C065D08-38A4-4D8E-A3C5-2A12E90296D2}" type="presOf" srcId="{91DBBD69-D3AC-4BEE-A061-9A84E2B01D04}" destId="{95A2FB53-B8E9-462A-971C-0270D369BB1C}" srcOrd="0" destOrd="0" presId="urn:microsoft.com/office/officeart/2005/8/layout/process2"/>
    <dgm:cxn modelId="{E49CD9BD-45FA-4514-A068-A9D5B85869FC}" type="presOf" srcId="{6211D7BF-8080-4F90-9D3D-1FBFA7E16CA2}" destId="{AF8D23E0-4481-4914-8740-47D4E01AA390}" srcOrd="0" destOrd="0" presId="urn:microsoft.com/office/officeart/2005/8/layout/process2"/>
    <dgm:cxn modelId="{029A6384-77CE-4F2B-832B-ABFEE6BDE1BD}" type="presOf" srcId="{679684B5-F4C7-44F3-A4A0-EB65A5D7A234}" destId="{7B974898-3C7F-4A94-8D3B-9AB07862718E}" srcOrd="1" destOrd="0" presId="urn:microsoft.com/office/officeart/2005/8/layout/process2"/>
    <dgm:cxn modelId="{304602D6-3CF3-4762-A5E4-F1E74813FB22}" type="presOf" srcId="{2EC5367A-7C04-49C7-85EB-2FC9125730B5}" destId="{0409696C-9895-4C1F-B70D-C3561F1051D1}" srcOrd="0" destOrd="0" presId="urn:microsoft.com/office/officeart/2005/8/layout/process2"/>
    <dgm:cxn modelId="{851DB1A1-63AF-47DE-ABB0-C5F5B805880F}" type="presOf" srcId="{C0AC024E-9710-4656-B577-3230F9D2DFD4}" destId="{412EB0A1-6D8E-4DB3-8C6A-0588BCE2B589}" srcOrd="0" destOrd="0" presId="urn:microsoft.com/office/officeart/2005/8/layout/process2"/>
    <dgm:cxn modelId="{34FD8171-7229-4AD8-B2D1-D8181B6B7EA9}" type="presOf" srcId="{045876EB-97B2-4973-8CB5-A4E10D95E55D}" destId="{1DC0A964-8E6D-4AEA-A500-5028C1687144}" srcOrd="0" destOrd="0" presId="urn:microsoft.com/office/officeart/2005/8/layout/process2"/>
    <dgm:cxn modelId="{50430DF8-D0FE-4B5D-A76F-5099EDECDF6A}" type="presOf" srcId="{A1313F6C-D677-4B16-9F4D-5C8F1A33F264}" destId="{D4300C5F-904B-4BB7-911F-3E70A4850611}" srcOrd="0" destOrd="0" presId="urn:microsoft.com/office/officeart/2005/8/layout/process2"/>
    <dgm:cxn modelId="{B7BE7A9B-1ED4-4925-839F-D802DA3F7AD2}" srcId="{F83C8EFF-F4E0-4489-BF94-3C2567E37288}" destId="{C0AC024E-9710-4656-B577-3230F9D2DFD4}" srcOrd="1" destOrd="0" parTransId="{2828472C-A3F0-43EF-916D-7A11D9CBA8C2}" sibTransId="{679684B5-F4C7-44F3-A4A0-EB65A5D7A234}"/>
    <dgm:cxn modelId="{344B55E1-D020-4559-B6D5-22C87DBBEB55}" type="presOf" srcId="{E91DE048-97E2-4F0B-8E6A-226711E2DA3E}" destId="{9C1E9E14-01A6-4DAA-9887-58811D395EE4}" srcOrd="0" destOrd="0" presId="urn:microsoft.com/office/officeart/2005/8/layout/process2"/>
    <dgm:cxn modelId="{8A349338-9D27-4144-B477-77952EAE4A0B}" srcId="{F83C8EFF-F4E0-4489-BF94-3C2567E37288}" destId="{305027D5-5AF0-4829-8670-2AEC8320776A}" srcOrd="0" destOrd="0" parTransId="{F9ED2351-94C8-4B79-B1CA-3C32C11D9416}" sibTransId="{E91DE048-97E2-4F0B-8E6A-226711E2DA3E}"/>
    <dgm:cxn modelId="{1275C5E4-F914-45A6-8244-586D3C9E6D57}" type="presOf" srcId="{F83C8EFF-F4E0-4489-BF94-3C2567E37288}" destId="{CE797BDA-83A1-4818-9928-DD9CF493BDCC}" srcOrd="0" destOrd="0" presId="urn:microsoft.com/office/officeart/2005/8/layout/process2"/>
    <dgm:cxn modelId="{78A247C2-A9E0-402F-8F9A-C06D2E682399}" srcId="{F83C8EFF-F4E0-4489-BF94-3C2567E37288}" destId="{A1313F6C-D677-4B16-9F4D-5C8F1A33F264}" srcOrd="3" destOrd="0" parTransId="{2200512D-C7AD-4DD1-8AB4-3572421395A9}" sibTransId="{2EC5367A-7C04-49C7-85EB-2FC9125730B5}"/>
    <dgm:cxn modelId="{49526839-9A2F-4E79-938B-73404180287A}" type="presParOf" srcId="{CE797BDA-83A1-4818-9928-DD9CF493BDCC}" destId="{62D4EA50-DF23-4000-8CF2-6E746E3445E1}" srcOrd="0" destOrd="0" presId="urn:microsoft.com/office/officeart/2005/8/layout/process2"/>
    <dgm:cxn modelId="{D087A6BD-8B69-4E73-B9C4-BD5F9F7EE0D6}" type="presParOf" srcId="{CE797BDA-83A1-4818-9928-DD9CF493BDCC}" destId="{9C1E9E14-01A6-4DAA-9887-58811D395EE4}" srcOrd="1" destOrd="0" presId="urn:microsoft.com/office/officeart/2005/8/layout/process2"/>
    <dgm:cxn modelId="{78100363-E142-4F77-AAE4-FA004A6AAD86}" type="presParOf" srcId="{9C1E9E14-01A6-4DAA-9887-58811D395EE4}" destId="{DA9B2B4F-719F-4080-96DF-51965EE2409D}" srcOrd="0" destOrd="0" presId="urn:microsoft.com/office/officeart/2005/8/layout/process2"/>
    <dgm:cxn modelId="{8FAFD79A-EDB9-4D1C-B780-404EE332DA9E}" type="presParOf" srcId="{CE797BDA-83A1-4818-9928-DD9CF493BDCC}" destId="{412EB0A1-6D8E-4DB3-8C6A-0588BCE2B589}" srcOrd="2" destOrd="0" presId="urn:microsoft.com/office/officeart/2005/8/layout/process2"/>
    <dgm:cxn modelId="{3852138F-6436-4423-A931-B2A5DA990264}" type="presParOf" srcId="{CE797BDA-83A1-4818-9928-DD9CF493BDCC}" destId="{53D10B00-4FD1-42AE-9A42-8DCC95B71F12}" srcOrd="3" destOrd="0" presId="urn:microsoft.com/office/officeart/2005/8/layout/process2"/>
    <dgm:cxn modelId="{7F4DC6B3-B60C-465A-80D7-E50ABFE83479}" type="presParOf" srcId="{53D10B00-4FD1-42AE-9A42-8DCC95B71F12}" destId="{7B974898-3C7F-4A94-8D3B-9AB07862718E}" srcOrd="0" destOrd="0" presId="urn:microsoft.com/office/officeart/2005/8/layout/process2"/>
    <dgm:cxn modelId="{F3C38958-7E3A-42C1-A8D9-5FE0F32E7D44}" type="presParOf" srcId="{CE797BDA-83A1-4818-9928-DD9CF493BDCC}" destId="{7A22DC94-059B-4A7C-AAA0-10A34A0879D4}" srcOrd="4" destOrd="0" presId="urn:microsoft.com/office/officeart/2005/8/layout/process2"/>
    <dgm:cxn modelId="{7EFBA3B1-58F5-4B6A-8127-023D5F9A7B45}" type="presParOf" srcId="{CE797BDA-83A1-4818-9928-DD9CF493BDCC}" destId="{6F8F82D3-D8A2-4FB0-ADBA-60747AD09CD0}" srcOrd="5" destOrd="0" presId="urn:microsoft.com/office/officeart/2005/8/layout/process2"/>
    <dgm:cxn modelId="{4A650488-FE85-4097-A944-6826787ABD98}" type="presParOf" srcId="{6F8F82D3-D8A2-4FB0-ADBA-60747AD09CD0}" destId="{AEBA0866-2903-4F03-A84E-86917226C794}" srcOrd="0" destOrd="0" presId="urn:microsoft.com/office/officeart/2005/8/layout/process2"/>
    <dgm:cxn modelId="{FC8ADA33-21A4-4F78-80F4-6E8BEA561688}" type="presParOf" srcId="{CE797BDA-83A1-4818-9928-DD9CF493BDCC}" destId="{D4300C5F-904B-4BB7-911F-3E70A4850611}" srcOrd="6" destOrd="0" presId="urn:microsoft.com/office/officeart/2005/8/layout/process2"/>
    <dgm:cxn modelId="{A6A6E006-A3BD-457A-9085-770F5B5DA484}" type="presParOf" srcId="{CE797BDA-83A1-4818-9928-DD9CF493BDCC}" destId="{0409696C-9895-4C1F-B70D-C3561F1051D1}" srcOrd="7" destOrd="0" presId="urn:microsoft.com/office/officeart/2005/8/layout/process2"/>
    <dgm:cxn modelId="{BACD847E-D31E-4FEC-884A-B70DCCF70175}" type="presParOf" srcId="{0409696C-9895-4C1F-B70D-C3561F1051D1}" destId="{41AF8082-FD15-4D21-B098-8F6A99BF10FA}" srcOrd="0" destOrd="0" presId="urn:microsoft.com/office/officeart/2005/8/layout/process2"/>
    <dgm:cxn modelId="{0D190A77-6443-4436-9E72-4B4F92C3A0B2}" type="presParOf" srcId="{CE797BDA-83A1-4818-9928-DD9CF493BDCC}" destId="{AF8D23E0-4481-4914-8740-47D4E01AA390}" srcOrd="8" destOrd="0" presId="urn:microsoft.com/office/officeart/2005/8/layout/process2"/>
    <dgm:cxn modelId="{09D1593D-F0F5-4792-A53B-6747E62C033E}" type="presParOf" srcId="{CE797BDA-83A1-4818-9928-DD9CF493BDCC}" destId="{1DC0A964-8E6D-4AEA-A500-5028C1687144}" srcOrd="9" destOrd="0" presId="urn:microsoft.com/office/officeart/2005/8/layout/process2"/>
    <dgm:cxn modelId="{E09C9750-9A8A-4619-A7CD-1FC260B85F57}" type="presParOf" srcId="{1DC0A964-8E6D-4AEA-A500-5028C1687144}" destId="{73A6AD21-3232-4541-A4C9-C118F6127F14}" srcOrd="0" destOrd="0" presId="urn:microsoft.com/office/officeart/2005/8/layout/process2"/>
    <dgm:cxn modelId="{52D8FA90-7383-4E7C-9768-C678208AD15D}" type="presParOf" srcId="{CE797BDA-83A1-4818-9928-DD9CF493BDCC}" destId="{95A2FB53-B8E9-462A-971C-0270D369BB1C}" srcOrd="10" destOrd="0" presId="urn:microsoft.com/office/officeart/2005/8/layout/process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D4EA50-DF23-4000-8CF2-6E746E3445E1}">
      <dsp:nvSpPr>
        <dsp:cNvPr id="0" name=""/>
        <dsp:cNvSpPr/>
      </dsp:nvSpPr>
      <dsp:spPr>
        <a:xfrm>
          <a:off x="368659" y="1269"/>
          <a:ext cx="1424855" cy="376218"/>
        </a:xfrm>
        <a:prstGeom prst="roundRect">
          <a:avLst>
            <a:gd name="adj" fmla="val 10000"/>
          </a:avLst>
        </a:prstGeom>
        <a:gradFill rotWithShape="0">
          <a:gsLst>
            <a:gs pos="0">
              <a:schemeClr val="accent3">
                <a:shade val="50000"/>
                <a:hueOff val="0"/>
                <a:satOff val="0"/>
                <a:lumOff val="0"/>
                <a:alphaOff val="0"/>
                <a:lumMod val="110000"/>
                <a:satMod val="105000"/>
                <a:tint val="67000"/>
              </a:schemeClr>
            </a:gs>
            <a:gs pos="50000">
              <a:schemeClr val="accent3">
                <a:shade val="50000"/>
                <a:hueOff val="0"/>
                <a:satOff val="0"/>
                <a:lumOff val="0"/>
                <a:alphaOff val="0"/>
                <a:lumMod val="105000"/>
                <a:satMod val="103000"/>
                <a:tint val="73000"/>
              </a:schemeClr>
            </a:gs>
            <a:gs pos="100000">
              <a:schemeClr val="accent3">
                <a:shade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Data Collection</a:t>
          </a:r>
        </a:p>
      </dsp:txBody>
      <dsp:txXfrm>
        <a:off x="379678" y="12288"/>
        <a:ext cx="1402817" cy="354180"/>
      </dsp:txXfrm>
    </dsp:sp>
    <dsp:sp modelId="{9C1E9E14-01A6-4DAA-9887-58811D395EE4}">
      <dsp:nvSpPr>
        <dsp:cNvPr id="0" name=""/>
        <dsp:cNvSpPr/>
      </dsp:nvSpPr>
      <dsp:spPr>
        <a:xfrm rot="5400000">
          <a:off x="1010546" y="386894"/>
          <a:ext cx="141082" cy="169298"/>
        </a:xfrm>
        <a:prstGeom prst="rightArrow">
          <a:avLst>
            <a:gd name="adj1" fmla="val 60000"/>
            <a:gd name="adj2" fmla="val 50000"/>
          </a:avLst>
        </a:prstGeom>
        <a:gradFill rotWithShape="0">
          <a:gsLst>
            <a:gs pos="0">
              <a:schemeClr val="accent3">
                <a:shade val="90000"/>
                <a:hueOff val="0"/>
                <a:satOff val="0"/>
                <a:lumOff val="0"/>
                <a:alphaOff val="0"/>
                <a:lumMod val="110000"/>
                <a:satMod val="105000"/>
                <a:tint val="67000"/>
              </a:schemeClr>
            </a:gs>
            <a:gs pos="50000">
              <a:schemeClr val="accent3">
                <a:shade val="90000"/>
                <a:hueOff val="0"/>
                <a:satOff val="0"/>
                <a:lumOff val="0"/>
                <a:alphaOff val="0"/>
                <a:lumMod val="105000"/>
                <a:satMod val="103000"/>
                <a:tint val="73000"/>
              </a:schemeClr>
            </a:gs>
            <a:gs pos="100000">
              <a:schemeClr val="accent3">
                <a:shade val="9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030299" y="401002"/>
        <a:ext cx="101578" cy="98757"/>
      </dsp:txXfrm>
    </dsp:sp>
    <dsp:sp modelId="{412EB0A1-6D8E-4DB3-8C6A-0588BCE2B589}">
      <dsp:nvSpPr>
        <dsp:cNvPr id="0" name=""/>
        <dsp:cNvSpPr/>
      </dsp:nvSpPr>
      <dsp:spPr>
        <a:xfrm>
          <a:off x="368659" y="565598"/>
          <a:ext cx="1424855" cy="376218"/>
        </a:xfrm>
        <a:prstGeom prst="roundRect">
          <a:avLst>
            <a:gd name="adj" fmla="val 10000"/>
          </a:avLst>
        </a:prstGeom>
        <a:gradFill rotWithShape="0">
          <a:gsLst>
            <a:gs pos="0">
              <a:schemeClr val="accent3">
                <a:shade val="50000"/>
                <a:hueOff val="0"/>
                <a:satOff val="0"/>
                <a:lumOff val="11987"/>
                <a:alphaOff val="0"/>
                <a:lumMod val="110000"/>
                <a:satMod val="105000"/>
                <a:tint val="67000"/>
              </a:schemeClr>
            </a:gs>
            <a:gs pos="50000">
              <a:schemeClr val="accent3">
                <a:shade val="50000"/>
                <a:hueOff val="0"/>
                <a:satOff val="0"/>
                <a:lumOff val="11987"/>
                <a:alphaOff val="0"/>
                <a:lumMod val="105000"/>
                <a:satMod val="103000"/>
                <a:tint val="73000"/>
              </a:schemeClr>
            </a:gs>
            <a:gs pos="100000">
              <a:schemeClr val="accent3">
                <a:shade val="50000"/>
                <a:hueOff val="0"/>
                <a:satOff val="0"/>
                <a:lumOff val="1198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Preprocessing</a:t>
          </a:r>
        </a:p>
      </dsp:txBody>
      <dsp:txXfrm>
        <a:off x="379678" y="576617"/>
        <a:ext cx="1402817" cy="354180"/>
      </dsp:txXfrm>
    </dsp:sp>
    <dsp:sp modelId="{53D10B00-4FD1-42AE-9A42-8DCC95B71F12}">
      <dsp:nvSpPr>
        <dsp:cNvPr id="0" name=""/>
        <dsp:cNvSpPr/>
      </dsp:nvSpPr>
      <dsp:spPr>
        <a:xfrm rot="5400000">
          <a:off x="1010546" y="951222"/>
          <a:ext cx="141082" cy="169298"/>
        </a:xfrm>
        <a:prstGeom prst="rightArrow">
          <a:avLst>
            <a:gd name="adj1" fmla="val 60000"/>
            <a:gd name="adj2" fmla="val 50000"/>
          </a:avLst>
        </a:prstGeom>
        <a:gradFill rotWithShape="0">
          <a:gsLst>
            <a:gs pos="0">
              <a:schemeClr val="accent3">
                <a:shade val="90000"/>
                <a:hueOff val="0"/>
                <a:satOff val="0"/>
                <a:lumOff val="9238"/>
                <a:alphaOff val="0"/>
                <a:lumMod val="110000"/>
                <a:satMod val="105000"/>
                <a:tint val="67000"/>
              </a:schemeClr>
            </a:gs>
            <a:gs pos="50000">
              <a:schemeClr val="accent3">
                <a:shade val="90000"/>
                <a:hueOff val="0"/>
                <a:satOff val="0"/>
                <a:lumOff val="9238"/>
                <a:alphaOff val="0"/>
                <a:lumMod val="105000"/>
                <a:satMod val="103000"/>
                <a:tint val="73000"/>
              </a:schemeClr>
            </a:gs>
            <a:gs pos="100000">
              <a:schemeClr val="accent3">
                <a:shade val="90000"/>
                <a:hueOff val="0"/>
                <a:satOff val="0"/>
                <a:lumOff val="9238"/>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030299" y="965330"/>
        <a:ext cx="101578" cy="98757"/>
      </dsp:txXfrm>
    </dsp:sp>
    <dsp:sp modelId="{7A22DC94-059B-4A7C-AAA0-10A34A0879D4}">
      <dsp:nvSpPr>
        <dsp:cNvPr id="0" name=""/>
        <dsp:cNvSpPr/>
      </dsp:nvSpPr>
      <dsp:spPr>
        <a:xfrm>
          <a:off x="368659" y="1129926"/>
          <a:ext cx="1424855" cy="376218"/>
        </a:xfrm>
        <a:prstGeom prst="roundRect">
          <a:avLst>
            <a:gd name="adj" fmla="val 10000"/>
          </a:avLst>
        </a:prstGeom>
        <a:gradFill rotWithShape="0">
          <a:gsLst>
            <a:gs pos="0">
              <a:schemeClr val="accent3">
                <a:shade val="50000"/>
                <a:hueOff val="0"/>
                <a:satOff val="0"/>
                <a:lumOff val="23975"/>
                <a:alphaOff val="0"/>
                <a:lumMod val="110000"/>
                <a:satMod val="105000"/>
                <a:tint val="67000"/>
              </a:schemeClr>
            </a:gs>
            <a:gs pos="50000">
              <a:schemeClr val="accent3">
                <a:shade val="50000"/>
                <a:hueOff val="0"/>
                <a:satOff val="0"/>
                <a:lumOff val="23975"/>
                <a:alphaOff val="0"/>
                <a:lumMod val="105000"/>
                <a:satMod val="103000"/>
                <a:tint val="73000"/>
              </a:schemeClr>
            </a:gs>
            <a:gs pos="100000">
              <a:schemeClr val="accent3">
                <a:shade val="50000"/>
                <a:hueOff val="0"/>
                <a:satOff val="0"/>
                <a:lumOff val="2397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Developing LSTM</a:t>
          </a:r>
        </a:p>
      </dsp:txBody>
      <dsp:txXfrm>
        <a:off x="379678" y="1140945"/>
        <a:ext cx="1402817" cy="354180"/>
      </dsp:txXfrm>
    </dsp:sp>
    <dsp:sp modelId="{6F8F82D3-D8A2-4FB0-ADBA-60747AD09CD0}">
      <dsp:nvSpPr>
        <dsp:cNvPr id="0" name=""/>
        <dsp:cNvSpPr/>
      </dsp:nvSpPr>
      <dsp:spPr>
        <a:xfrm rot="5400000">
          <a:off x="1010546" y="1515550"/>
          <a:ext cx="141082" cy="169298"/>
        </a:xfrm>
        <a:prstGeom prst="rightArrow">
          <a:avLst>
            <a:gd name="adj1" fmla="val 60000"/>
            <a:gd name="adj2" fmla="val 50000"/>
          </a:avLst>
        </a:prstGeom>
        <a:gradFill rotWithShape="0">
          <a:gsLst>
            <a:gs pos="0">
              <a:schemeClr val="accent3">
                <a:shade val="90000"/>
                <a:hueOff val="0"/>
                <a:satOff val="0"/>
                <a:lumOff val="18476"/>
                <a:alphaOff val="0"/>
                <a:lumMod val="110000"/>
                <a:satMod val="105000"/>
                <a:tint val="67000"/>
              </a:schemeClr>
            </a:gs>
            <a:gs pos="50000">
              <a:schemeClr val="accent3">
                <a:shade val="90000"/>
                <a:hueOff val="0"/>
                <a:satOff val="0"/>
                <a:lumOff val="18476"/>
                <a:alphaOff val="0"/>
                <a:lumMod val="105000"/>
                <a:satMod val="103000"/>
                <a:tint val="73000"/>
              </a:schemeClr>
            </a:gs>
            <a:gs pos="100000">
              <a:schemeClr val="accent3">
                <a:shade val="90000"/>
                <a:hueOff val="0"/>
                <a:satOff val="0"/>
                <a:lumOff val="18476"/>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030299" y="1529658"/>
        <a:ext cx="101578" cy="98757"/>
      </dsp:txXfrm>
    </dsp:sp>
    <dsp:sp modelId="{D4300C5F-904B-4BB7-911F-3E70A4850611}">
      <dsp:nvSpPr>
        <dsp:cNvPr id="0" name=""/>
        <dsp:cNvSpPr/>
      </dsp:nvSpPr>
      <dsp:spPr>
        <a:xfrm>
          <a:off x="368659" y="1694254"/>
          <a:ext cx="1424855" cy="376218"/>
        </a:xfrm>
        <a:prstGeom prst="roundRect">
          <a:avLst>
            <a:gd name="adj" fmla="val 10000"/>
          </a:avLst>
        </a:prstGeom>
        <a:gradFill rotWithShape="0">
          <a:gsLst>
            <a:gs pos="0">
              <a:schemeClr val="accent3">
                <a:shade val="50000"/>
                <a:hueOff val="0"/>
                <a:satOff val="0"/>
                <a:lumOff val="35962"/>
                <a:alphaOff val="0"/>
                <a:lumMod val="110000"/>
                <a:satMod val="105000"/>
                <a:tint val="67000"/>
              </a:schemeClr>
            </a:gs>
            <a:gs pos="50000">
              <a:schemeClr val="accent3">
                <a:shade val="50000"/>
                <a:hueOff val="0"/>
                <a:satOff val="0"/>
                <a:lumOff val="35962"/>
                <a:alphaOff val="0"/>
                <a:lumMod val="105000"/>
                <a:satMod val="103000"/>
                <a:tint val="73000"/>
              </a:schemeClr>
            </a:gs>
            <a:gs pos="100000">
              <a:schemeClr val="accent3">
                <a:shade val="50000"/>
                <a:hueOff val="0"/>
                <a:satOff val="0"/>
                <a:lumOff val="3596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Model Training</a:t>
          </a:r>
        </a:p>
      </dsp:txBody>
      <dsp:txXfrm>
        <a:off x="379678" y="1705273"/>
        <a:ext cx="1402817" cy="354180"/>
      </dsp:txXfrm>
    </dsp:sp>
    <dsp:sp modelId="{0409696C-9895-4C1F-B70D-C3561F1051D1}">
      <dsp:nvSpPr>
        <dsp:cNvPr id="0" name=""/>
        <dsp:cNvSpPr/>
      </dsp:nvSpPr>
      <dsp:spPr>
        <a:xfrm rot="5400000">
          <a:off x="1010546" y="2079879"/>
          <a:ext cx="141082" cy="169298"/>
        </a:xfrm>
        <a:prstGeom prst="rightArrow">
          <a:avLst>
            <a:gd name="adj1" fmla="val 60000"/>
            <a:gd name="adj2" fmla="val 50000"/>
          </a:avLst>
        </a:prstGeom>
        <a:gradFill rotWithShape="0">
          <a:gsLst>
            <a:gs pos="0">
              <a:schemeClr val="accent3">
                <a:shade val="90000"/>
                <a:hueOff val="0"/>
                <a:satOff val="0"/>
                <a:lumOff val="18476"/>
                <a:alphaOff val="0"/>
                <a:lumMod val="110000"/>
                <a:satMod val="105000"/>
                <a:tint val="67000"/>
              </a:schemeClr>
            </a:gs>
            <a:gs pos="50000">
              <a:schemeClr val="accent3">
                <a:shade val="90000"/>
                <a:hueOff val="0"/>
                <a:satOff val="0"/>
                <a:lumOff val="18476"/>
                <a:alphaOff val="0"/>
                <a:lumMod val="105000"/>
                <a:satMod val="103000"/>
                <a:tint val="73000"/>
              </a:schemeClr>
            </a:gs>
            <a:gs pos="100000">
              <a:schemeClr val="accent3">
                <a:shade val="90000"/>
                <a:hueOff val="0"/>
                <a:satOff val="0"/>
                <a:lumOff val="18476"/>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030299" y="2093987"/>
        <a:ext cx="101578" cy="98757"/>
      </dsp:txXfrm>
    </dsp:sp>
    <dsp:sp modelId="{AF8D23E0-4481-4914-8740-47D4E01AA390}">
      <dsp:nvSpPr>
        <dsp:cNvPr id="0" name=""/>
        <dsp:cNvSpPr/>
      </dsp:nvSpPr>
      <dsp:spPr>
        <a:xfrm>
          <a:off x="368659" y="2258583"/>
          <a:ext cx="1424855" cy="376218"/>
        </a:xfrm>
        <a:prstGeom prst="roundRect">
          <a:avLst>
            <a:gd name="adj" fmla="val 10000"/>
          </a:avLst>
        </a:prstGeom>
        <a:gradFill rotWithShape="0">
          <a:gsLst>
            <a:gs pos="0">
              <a:schemeClr val="accent3">
                <a:shade val="50000"/>
                <a:hueOff val="0"/>
                <a:satOff val="0"/>
                <a:lumOff val="23975"/>
                <a:alphaOff val="0"/>
                <a:lumMod val="110000"/>
                <a:satMod val="105000"/>
                <a:tint val="67000"/>
              </a:schemeClr>
            </a:gs>
            <a:gs pos="50000">
              <a:schemeClr val="accent3">
                <a:shade val="50000"/>
                <a:hueOff val="0"/>
                <a:satOff val="0"/>
                <a:lumOff val="23975"/>
                <a:alphaOff val="0"/>
                <a:lumMod val="105000"/>
                <a:satMod val="103000"/>
                <a:tint val="73000"/>
              </a:schemeClr>
            </a:gs>
            <a:gs pos="100000">
              <a:schemeClr val="accent3">
                <a:shade val="50000"/>
                <a:hueOff val="0"/>
                <a:satOff val="0"/>
                <a:lumOff val="2397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Model Validation</a:t>
          </a:r>
        </a:p>
      </dsp:txBody>
      <dsp:txXfrm>
        <a:off x="379678" y="2269602"/>
        <a:ext cx="1402817" cy="354180"/>
      </dsp:txXfrm>
    </dsp:sp>
    <dsp:sp modelId="{1DC0A964-8E6D-4AEA-A500-5028C1687144}">
      <dsp:nvSpPr>
        <dsp:cNvPr id="0" name=""/>
        <dsp:cNvSpPr/>
      </dsp:nvSpPr>
      <dsp:spPr>
        <a:xfrm rot="5400000">
          <a:off x="1010546" y="2644207"/>
          <a:ext cx="141082" cy="169298"/>
        </a:xfrm>
        <a:prstGeom prst="rightArrow">
          <a:avLst>
            <a:gd name="adj1" fmla="val 60000"/>
            <a:gd name="adj2" fmla="val 50000"/>
          </a:avLst>
        </a:prstGeom>
        <a:gradFill rotWithShape="0">
          <a:gsLst>
            <a:gs pos="0">
              <a:schemeClr val="accent3">
                <a:shade val="90000"/>
                <a:hueOff val="0"/>
                <a:satOff val="0"/>
                <a:lumOff val="9238"/>
                <a:alphaOff val="0"/>
                <a:lumMod val="110000"/>
                <a:satMod val="105000"/>
                <a:tint val="67000"/>
              </a:schemeClr>
            </a:gs>
            <a:gs pos="50000">
              <a:schemeClr val="accent3">
                <a:shade val="90000"/>
                <a:hueOff val="0"/>
                <a:satOff val="0"/>
                <a:lumOff val="9238"/>
                <a:alphaOff val="0"/>
                <a:lumMod val="105000"/>
                <a:satMod val="103000"/>
                <a:tint val="73000"/>
              </a:schemeClr>
            </a:gs>
            <a:gs pos="100000">
              <a:schemeClr val="accent3">
                <a:shade val="90000"/>
                <a:hueOff val="0"/>
                <a:satOff val="0"/>
                <a:lumOff val="9238"/>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5400000">
        <a:off x="1030299" y="2658315"/>
        <a:ext cx="101578" cy="98757"/>
      </dsp:txXfrm>
    </dsp:sp>
    <dsp:sp modelId="{95A2FB53-B8E9-462A-971C-0270D369BB1C}">
      <dsp:nvSpPr>
        <dsp:cNvPr id="0" name=""/>
        <dsp:cNvSpPr/>
      </dsp:nvSpPr>
      <dsp:spPr>
        <a:xfrm>
          <a:off x="368659" y="2822911"/>
          <a:ext cx="1424855" cy="376218"/>
        </a:xfrm>
        <a:prstGeom prst="roundRect">
          <a:avLst>
            <a:gd name="adj" fmla="val 10000"/>
          </a:avLst>
        </a:prstGeom>
        <a:gradFill rotWithShape="0">
          <a:gsLst>
            <a:gs pos="0">
              <a:schemeClr val="accent3">
                <a:shade val="50000"/>
                <a:hueOff val="0"/>
                <a:satOff val="0"/>
                <a:lumOff val="11987"/>
                <a:alphaOff val="0"/>
                <a:lumMod val="110000"/>
                <a:satMod val="105000"/>
                <a:tint val="67000"/>
              </a:schemeClr>
            </a:gs>
            <a:gs pos="50000">
              <a:schemeClr val="accent3">
                <a:shade val="50000"/>
                <a:hueOff val="0"/>
                <a:satOff val="0"/>
                <a:lumOff val="11987"/>
                <a:alphaOff val="0"/>
                <a:lumMod val="105000"/>
                <a:satMod val="103000"/>
                <a:tint val="73000"/>
              </a:schemeClr>
            </a:gs>
            <a:gs pos="100000">
              <a:schemeClr val="accent3">
                <a:shade val="50000"/>
                <a:hueOff val="0"/>
                <a:satOff val="0"/>
                <a:lumOff val="1198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anose="02020603050405020304" pitchFamily="18" charset="0"/>
              <a:cs typeface="Times New Roman" panose="02020603050405020304" pitchFamily="18" charset="0"/>
            </a:rPr>
            <a:t>Comparison</a:t>
          </a:r>
        </a:p>
      </dsp:txBody>
      <dsp:txXfrm>
        <a:off x="379678" y="2833930"/>
        <a:ext cx="1402817" cy="3541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16771</Words>
  <Characters>95596</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Hosseini, Seyed Amirhossein [ITRNS]</dc:creator>
  <cp:keywords/>
  <dc:description/>
  <cp:lastModifiedBy>Hosseini, Seyed Amirhossein [ITRNS]</cp:lastModifiedBy>
  <cp:revision>1</cp:revision>
  <dcterms:created xsi:type="dcterms:W3CDTF">2020-07-27T23:23:00Z</dcterms:created>
  <dcterms:modified xsi:type="dcterms:W3CDTF">2020-07-27T23:29:00Z</dcterms:modified>
</cp:coreProperties>
</file>