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B32F06" w14:textId="3C1FDDCF" w:rsidR="00927F7A" w:rsidRDefault="00927F7A" w:rsidP="00927F7A">
      <w:pPr>
        <w:pStyle w:val="Heading1"/>
        <w:spacing w:line="276" w:lineRule="auto"/>
      </w:pPr>
      <w:r>
        <w:t>Design and utilization of homemade wastewater samplers during the COVID-19 pandemic</w:t>
      </w:r>
    </w:p>
    <w:p w14:paraId="2D8D25F1" w14:textId="737A2A05" w:rsidR="00927F7A" w:rsidRDefault="00927F7A" w:rsidP="00927F7A">
      <w:proofErr w:type="spellStart"/>
      <w:r>
        <w:t>Pruthvi</w:t>
      </w:r>
      <w:proofErr w:type="spellEnd"/>
      <w:r>
        <w:t xml:space="preserve"> Kilaru</w:t>
      </w:r>
      <w:r>
        <w:rPr>
          <w:vertAlign w:val="superscript"/>
        </w:rPr>
        <w:t>1</w:t>
      </w:r>
      <w:r>
        <w:t>, Dave Monk</w:t>
      </w:r>
      <w:r>
        <w:rPr>
          <w:vertAlign w:val="superscript"/>
        </w:rPr>
        <w:t>2</w:t>
      </w:r>
      <w:r>
        <w:t>, and David A. Larsen</w:t>
      </w:r>
      <w:r>
        <w:rPr>
          <w:vertAlign w:val="superscript"/>
        </w:rPr>
        <w:t>1</w:t>
      </w:r>
    </w:p>
    <w:p w14:paraId="4082F485" w14:textId="030411D9" w:rsidR="00927F7A" w:rsidRDefault="00927F7A" w:rsidP="00927F7A">
      <w:r>
        <w:t>1. Syracuse University Department of Public Health, Syracuse, NY, USA</w:t>
      </w:r>
    </w:p>
    <w:p w14:paraId="4E2D6588" w14:textId="51557431" w:rsidR="00927F7A" w:rsidRPr="00927F7A" w:rsidRDefault="00927F7A" w:rsidP="002A604D">
      <w:r>
        <w:t>2. Arcadis</w:t>
      </w:r>
    </w:p>
    <w:p w14:paraId="02B6C00D" w14:textId="37F26AEB" w:rsidR="00DA60FB" w:rsidRDefault="00DA60FB" w:rsidP="0075129B">
      <w:pPr>
        <w:pStyle w:val="Heading1"/>
        <w:spacing w:line="276" w:lineRule="auto"/>
      </w:pPr>
      <w:r>
        <w:t>Abstract</w:t>
      </w:r>
    </w:p>
    <w:p w14:paraId="69FC9C0D" w14:textId="73A104ED" w:rsidR="00DA60FB" w:rsidRPr="00DA60FB" w:rsidRDefault="00DA60FB" w:rsidP="00DA60FB">
      <w:r>
        <w:tab/>
        <w:t xml:space="preserve">With recent interest in wastewater surveillance for SARS-CoV-2, commercial composite samplers are on backorder. </w:t>
      </w:r>
      <w:r w:rsidR="00D2469F">
        <w:t xml:space="preserve">Further, their high cost can be prohibitive. </w:t>
      </w:r>
      <w:r>
        <w:t xml:space="preserve">Herein we present plans for a homemade wastewater sampler constructed from parts found routinely at hardware stores. </w:t>
      </w:r>
    </w:p>
    <w:p w14:paraId="77551977" w14:textId="0517F24A" w:rsidR="003757A0" w:rsidRDefault="003757A0" w:rsidP="0075129B">
      <w:pPr>
        <w:pStyle w:val="Heading1"/>
        <w:spacing w:line="276" w:lineRule="auto"/>
      </w:pPr>
      <w:r>
        <w:t>Introduction</w:t>
      </w:r>
    </w:p>
    <w:p w14:paraId="6682328F" w14:textId="6F91B65D" w:rsidR="003757A0" w:rsidRDefault="003757A0" w:rsidP="0075129B">
      <w:pPr>
        <w:spacing w:line="276" w:lineRule="auto"/>
      </w:pPr>
      <w:r>
        <w:tab/>
      </w:r>
      <w:r w:rsidR="00F768BB">
        <w:t>Monitoring</w:t>
      </w:r>
      <w:r>
        <w:t xml:space="preserve"> </w:t>
      </w:r>
      <w:r w:rsidR="00F768BB">
        <w:t>community-level</w:t>
      </w:r>
      <w:r>
        <w:t xml:space="preserve"> </w:t>
      </w:r>
      <w:r w:rsidR="00F768BB">
        <w:t xml:space="preserve">transmission </w:t>
      </w:r>
      <w:r>
        <w:t>of SARS-CoV-2 through the use of wastewater</w:t>
      </w:r>
      <w:r w:rsidR="00F768BB">
        <w:t xml:space="preserve"> surveillance is a potential </w:t>
      </w:r>
      <w:r w:rsidR="00E73952">
        <w:t>turning point</w:t>
      </w:r>
      <w:r w:rsidR="00F768BB">
        <w:t xml:space="preserve"> for the pandemic</w:t>
      </w:r>
      <w:r>
        <w:t>.</w:t>
      </w:r>
      <w:r w:rsidR="009E38C1">
        <w:fldChar w:fldCharType="begin" w:fldLock="1"/>
      </w:r>
      <w:r w:rsidR="003D4693">
        <w:instrText>ADDIN CSL_CITATION {"citationItems":[{"id":"ITEM-1","itemData":{"DOI":"10.1101/2020.05.21.20109181","abstract":"Wastewater surveillance of SARS-CoV-2 has become an attractive tool for combating the spread of COVID-19 by assessing the presence or levels of the virus shed in a population. However, the methods to quantify viral RNA and to link those quantities to the level of infection within the community vary. In this study, we sought to identify and optimize scalable methods for recovery of viral nucleic acids from wastewater and attempted to use a constitutive member of the gut virome, human-specific crAssphage, to help account for unknown levels of SARS-CoV-2 decay and dilution in the wastewater infrastructure. Results suggest that ultracentrifugation of a small volume of wastewater through a 50% sucrose cushion followed by total nucleic acid extraction yielded quantifiable virus in an area with a modest number of COVID-19 cases. Further, the ratio of log10(SARS-CoV-2):log10(crAssphage) appears to be associated with the cumulative incidence of COVID-19 in the Syracuse, NY area. In areas where ultracentrifuges are available, these methods may be used to link SARS-CoV-2 quantities in wastewater to levels of transmission within communities with sewer service. ### Competing Interest Statement The authors have declared no competing interest. ### Funding Statement This work would not have been possible with seed funding from Syracuse University, the Environmental Data Science Initiative at SUNY-ESF, and the SUNY Discovery Fund. ### Author Declarations I confirm all relevant ethical guidelines have been followed, and any necessary IRB and/or ethics committee approvals have been obtained. Yes The details of the IRB/oversight body that provided approval or exemption for the research described are given below: Public health surveillance of wastewater is exempt from IRB requirements. All necessary patient/participant consent has been obtained and the appropriate institutional forms have been archived. Yes 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 Yes I have followed all appropriate research reporting guidelines and uploaded the relevant EQUATOR Network research re…","author":[{"dropping-particle":"","family":"Green","given":"Hyatt","non-dropping-particle":"","parse-names":false,"suffix":""},{"dropping-particle":"","family":"Wilder","given":"Maxwell","non-dropping-particle":"","parse-names":false,"suffix":""},{"dropping-particle":"","family":"Middleton","given":"Frank A.","non-dropping-particle":"","parse-names":false,"suffix":""},{"dropping-particle":"","family":"Collins","given":"Mary","non-dropping-particle":"","parse-names":false,"suffix":""},{"dropping-particle":"","family":"Fenty","given":"Ariana","non-dropping-particle":"","parse-names":false,"suffix":""},{"dropping-particle":"","family":"Gentile","given":"Karen","non-dropping-particle":"","parse-names":false,"suffix":""},{"dropping-particle":"","family":"Kmush","given":"Brittany","non-dropping-particle":"","parse-names":false,"suffix":""},{"dropping-particle":"","family":"Zeng","given":"Teng","non-dropping-particle":"","parse-names":false,"suffix":""},{"dropping-particle":"","family":"Larsen","given":"David Aaron","non-dropping-particle":"","parse-names":false,"suffix":""}],"container-title":"medRxiv","id":"ITEM-1","issued":{"date-parts":[["2020"]]},"page":"2020.05.21.20109181","title":"Quantification of SARS-CoV-2 and cross-assembly phage (crAssphage) from wastewater to monitor coronavirus transmission within communities","type":"article-journal","volume":"2"},"uris":["http://www.mendeley.com/documents/?uuid=f6d3ce3b-a134-42ee-a9ba-dfa6cd4311c9"]},{"id":"ITEM-2","itemData":{"DOI":"10.1101/2020.04.22.20075200","abstract":"Severe acute respiratory syndrome coronavirus 2 (SARS-CoV-2) has caused more than 200,000 reported COVID-19 cases in Spain resulting in more than 20,800 deaths as of April 21, 2020. Faecal shedding of SARS-CoV-2 RNA from COVID-19 patients has extensively been reported. Therefore, we investigated the occurrence of SARS-CoV-2 RNA in six wastewater treatments plants (WWTPs) serving the major municipalities within the Region of Murcia (Spain), a low prevalence area. Firstly, an aluminum hydroxide adsorption-precipitation concentration method was tested using a porcine coronavirus (Porcine Epidemic Diarrhea Virus, PEDV) and mengovirus (MgV). The procedure resulted in average recoveries of 10.90% and 10.85% in influent water and 3.29% and 6.19% in effluent water samples for PEDV and MgV, respectively. Then, the method was used to monitor the occurrence of SARS-CoV-2 from March 12 to April 14, 2020 in influent, secondary and tertiary effluent water samples. By using the real-time RT-PCR (RT-qPCR) Diagnostic Panel validated by US CDC that targets three regions of the virus nucleocapsid (N) gene, we estimated quantification of SARS-CoV-2 RNA titers in untreated wastewater waters of 5.29 log genomic copies/L on average. Moreover, we tested as negative all secondary and tertiary treated water samples, highlighting that current water disinfection treatments applied in the analyzed WWTP are able to remove SARS-CoV-2 RNA. This environmental surveillance data were compared to declared COVID-19 cases at municipality level, revealing that SARS-CoV-2 was circulating among the population even before the first cases were reported by local or national authorities in many of the cities where wastewaters have been sampled. The detection of SARS-CoV-2 in wastewater in early stages of the spread of COVID-19 highlights the relevance of this strategy as an early indicator of the infection within a specific population. At this point, this environmental surveillance could be implemented by municipalities right away as a tool, designed to help authorities to coordinate the exit strategy to gradually lift its coronavirus lockdown. ### Competing Interest Statement The authors have declared no competing interest. ### Funding Statement The study was funded by the projects 20180705 of ESAMUR and 202070E101 of CSIC. WR is supported by APOSTD/2018/150 postdoctoral fellowship and EC-F by APOTIP/2018/007 PhD student grant, both funded by the Generalitat Valenciana. PT is holder of the RYC201…","author":[{"dropping-particle":"","family":"Randazzo","given":"Walter","non-dropping-particle":"","parse-names":false,"suffix":""},{"dropping-particle":"","family":"Truchado","given":"Pilar","non-dropping-particle":"","parse-names":false,"suffix":""},{"dropping-particle":"","family":"Ferrando","given":"Enric Cuevas","non-dropping-particle":"","parse-names":false,"suffix":""},{"dropping-particle":"","family":"Simón","given":"Pedro","non-dropping-particle":"","parse-names":false,"suffix":""},{"dropping-particle":"","family":"Allende","given":"Ana","non-dropping-particle":"","parse-names":false,"suffix":""},{"dropping-particle":"","family":"Sánchez","given":"Gloria","non-dropping-particle":"","parse-names":false,"suffix":""}],"container-title":"Water Research","id":"ITEM-2","issued":{"date-parts":[["2020"]]},"page":"115942","title":"SARS-CoV-2 RNA titers in wastewater anticipated COVID-19 occurrence in a low prevalence area","type":"article-journal","volume":"181"},"uris":["http://www.mendeley.com/documents/?uuid=0f7f0f2e-cf2e-4405-9c03-0229cf50a489"]},{"id":"ITEM-3","itemData":{"DOI":"10.1016/j.scitotenv.2020.138764","ISSN":"00489697","abstract":"Infection with SARS-CoV-2, the etiologic agent of the ongoing COVID-19 pandemic, is accompanied by the shedding of the virus in stool. Therefore, the quantification of SARS-CoV-2 in wastewater affords the ability to monitor the prevalence of infections among the population via wastewater-based epidemiology (WBE). In the current work, SARS-CoV-2 RNA was concentrated from wastewater in a catchment in Australia and viral RNA copies were enumerated using reverse transcriptase quantitative polymerase chain reaction (RT-qPCR) resulting in two positive detections within a six day period from the same wastewater treatment plant (WWTP). The estimated RNA copy numbers observed in the wastewater were then used to estimate the number of infected individuals in the catchment via Monte Carlo simulation. Given the uncertainty and variation in the input parameters, the model estimated a median range of 171 to 1090 infected persons in the catchment, which is in reasonable agreement with clinical observations. This work highlights the viability of WBE for monitoring infectious diseases, such as COVID-19, in communities. The work also draws attention to the need for further methodological and molecular assay validation for enveloped viruses in wastewater.","author":[{"dropping-particle":"","family":"Ahmed","given":"Warish","non-dropping-particle":"","parse-names":false,"suffix":""},{"dropping-particle":"","family":"Angel","given":"Nicola","non-dropping-particle":"","parse-names":false,"suffix":""},{"dropping-particle":"","family":"Edson","given":"Janette","non-dropping-particle":"","parse-names":false,"suffix":""},{"dropping-particle":"","family":"Bibby","given":"Kyle","non-dropping-particle":"","parse-names":false,"suffix":""},{"dropping-particle":"","family":"Bivins","given":"Aaron","non-dropping-particle":"","parse-names":false,"suffix":""},{"dropping-particle":"","family":"O'Brien","given":"Jake W.","non-dropping-particle":"","parse-names":false,"suffix":""},{"dropping-particle":"","family":"Choi","given":"Phil M.","non-dropping-particle":"","parse-names":false,"suffix":""},{"dropping-particle":"","family":"Kitajima","given":"Masaaki","non-dropping-particle":"","parse-names":false,"suffix":""},{"dropping-particle":"","family":"Simpson","given":"Stuart L.","non-dropping-particle":"","parse-names":false,"suffix":""},{"dropping-particle":"","family":"Li","given":"Jiaying","non-dropping-particle":"","parse-names":false,"suffix":""},{"dropping-particle":"","family":"Tscharke","given":"Ben","non-dropping-particle":"","parse-names":false,"suffix":""},{"dropping-particle":"","family":"Verhagen","given":"Rory","non-dropping-particle":"","parse-names":false,"suffix":""},{"dropping-particle":"","family":"Smith","given":"Wendy J.M.","non-dropping-particle":"","parse-names":false,"suffix":""},{"dropping-particle":"","family":"Zaugg","given":"Julian","non-dropping-particle":"","parse-names":false,"suffix":""},{"dropping-particle":"","family":"Dierens","given":"Leanne","non-dropping-particle":"","parse-names":false,"suffix":""},{"dropping-particle":"","family":"Hugenholtz","given":"Philip","non-dropping-particle":"","parse-names":false,"suffix":""},{"dropping-particle":"V.","family":"Thomas","given":"Kevin","non-dropping-particle":"","parse-names":false,"suffix":""},{"dropping-particle":"","family":"Mueller","given":"Jochen F.","non-dropping-particle":"","parse-names":false,"suffix":""}],"container-title":"Science of The Total Environment","id":"ITEM-3","issued":{"date-parts":[["2020"]]},"page":"138764","publisher":"Elsevier B.V.","title":"First confirmed detection of SARS-CoV-2 in untreated wastewater in Australia: A proof of concept for the wastewater surveillance of COVID-19 in the community","type":"article-journal","volume":"728"},"uris":["http://www.mendeley.com/documents/?uuid=8f2f2a62-36f3-4bee-af4b-f7a717ae4fbf"]},{"id":"ITEM-4","itemData":{"author":[{"dropping-particle":"","family":"Medema","given":"Gertjan","non-dropping-particle":"","parse-names":false,"suffix":""},{"dropping-particle":"","family":"Heijnen","given":"Leo","non-dropping-particle":"","parse-names":false,"suffix":""},{"dropping-particle":"","family":"Elsinga","given":"Goffe","non-dropping-particle":"","parse-names":false,"suffix":""},{"dropping-particle":"","family":"Italiaander","given":"Ronald","non-dropping-particle":"","parse-names":false,"suffix":""},{"dropping-particle":"","family":"Medema","given":"Gertjan","non-dropping-particle":"","parse-names":false,"suffix":""}],"container-title":"medRxiv","id":"ITEM-4","issued":{"date-parts":[["2020"]]},"title":"Presence of SARS-Coronavirus-2 in sewage","type":"article-journal"},"uris":["http://www.mendeley.com/documents/?uuid=460363b2-457a-4bc9-a0f2-1ba3132f8a6e"]}],"mendeley":{"formattedCitation":"&lt;sup&gt;1–4&lt;/sup&gt;","plainTextFormattedCitation":"1–4","previouslyFormattedCitation":"&lt;sup&gt;1–4&lt;/sup&gt;"},"properties":{"noteIndex":0},"schema":"https://github.com/citation-style-language/schema/raw/master/csl-citation.json"}</w:instrText>
      </w:r>
      <w:r w:rsidR="009E38C1">
        <w:fldChar w:fldCharType="separate"/>
      </w:r>
      <w:r w:rsidR="009E38C1" w:rsidRPr="009E38C1">
        <w:rPr>
          <w:noProof/>
          <w:vertAlign w:val="superscript"/>
        </w:rPr>
        <w:t>1–4</w:t>
      </w:r>
      <w:r w:rsidR="009E38C1">
        <w:fldChar w:fldCharType="end"/>
      </w:r>
      <w:r>
        <w:t xml:space="preserve"> </w:t>
      </w:r>
      <w:r w:rsidR="00F768BB">
        <w:t xml:space="preserve">Initially used in </w:t>
      </w:r>
      <w:r w:rsidR="00E73952">
        <w:t xml:space="preserve">the 1990s </w:t>
      </w:r>
      <w:r w:rsidR="00F768BB">
        <w:t>lower income countries for</w:t>
      </w:r>
      <w:r>
        <w:t xml:space="preserve"> polio surveillance,</w:t>
      </w:r>
      <w:r w:rsidR="009E38C1">
        <w:fldChar w:fldCharType="begin" w:fldLock="1"/>
      </w:r>
      <w:r w:rsidR="003D4693">
        <w:instrText>ADDIN CSL_CITATION {"citationItems":[{"id":"ITEM-1","itemData":{"author":[{"dropping-particle":"","family":"Vaccines and Biologicals","given":"","non-dropping-particle":"","parse-names":false,"suffix":""},{"dropping-particle":"","family":"World Health Organization","given":"","non-dropping-particle":"","parse-names":false,"suffix":""}],"id":"ITEM-1","issued":{"date-parts":[["2003"]]},"title":"Guidelines for environmental surveillance of poliovirus circulation","type":"report"},"uris":["http://www.mendeley.com/documents/?uuid=966e2809-378c-4eb5-8a22-6a8ba2d75317"]}],"mendeley":{"formattedCitation":"&lt;sup&gt;5&lt;/sup&gt;","plainTextFormattedCitation":"5","previouslyFormattedCitation":"&lt;sup&gt;5&lt;/sup&gt;"},"properties":{"noteIndex":0},"schema":"https://github.com/citation-style-language/schema/raw/master/csl-citation.json"}</w:instrText>
      </w:r>
      <w:r w:rsidR="009E38C1">
        <w:fldChar w:fldCharType="separate"/>
      </w:r>
      <w:r w:rsidR="009E38C1" w:rsidRPr="009E38C1">
        <w:rPr>
          <w:noProof/>
          <w:vertAlign w:val="superscript"/>
        </w:rPr>
        <w:t>5</w:t>
      </w:r>
      <w:r w:rsidR="009E38C1">
        <w:fldChar w:fldCharType="end"/>
      </w:r>
      <w:r>
        <w:t xml:space="preserve"> </w:t>
      </w:r>
      <w:r w:rsidR="00E73952">
        <w:t>wastewater surveillance</w:t>
      </w:r>
      <w:r>
        <w:t xml:space="preserve"> involves the collection and analysis of untreated sewage to detect SARS-CoV-2 RNA, leading to a measure of </w:t>
      </w:r>
      <w:r w:rsidR="00F768BB">
        <w:t xml:space="preserve">transmission </w:t>
      </w:r>
      <w:r>
        <w:t xml:space="preserve">amongst a population. </w:t>
      </w:r>
      <w:r w:rsidR="00F768BB">
        <w:t>Multiple groups have</w:t>
      </w:r>
      <w:r>
        <w:t xml:space="preserve"> </w:t>
      </w:r>
      <w:r w:rsidR="00F768BB">
        <w:t xml:space="preserve">already confirmed </w:t>
      </w:r>
      <w:r>
        <w:t>the efficacy of use of wastewater</w:t>
      </w:r>
      <w:r w:rsidR="00F768BB">
        <w:t xml:space="preserve"> surveillance</w:t>
      </w:r>
      <w:r>
        <w:t xml:space="preserve"> for COVID-19</w:t>
      </w:r>
      <w:r w:rsidR="00F768BB">
        <w:t xml:space="preserve"> and </w:t>
      </w:r>
      <w:r>
        <w:t>decision makers from the state, municipal, and local level have begun to use the method to monitor the health of their constituents within the United States.</w:t>
      </w:r>
      <w:r w:rsidR="003D4693">
        <w:fldChar w:fldCharType="begin" w:fldLock="1"/>
      </w:r>
      <w:r w:rsidR="003D4693">
        <w:instrText>ADDIN CSL_CITATION {"citationItems":[{"id":"ITEM-1","itemData":{"author":[{"dropping-particle":"","family":"Governor's Press Office","given":"","non-dropping-particle":"","parse-names":false,"suffix":""}],"id":"ITEM-1","issued":{"date-parts":[["2020","8","14"]]},"publisher-place":"Albany, NY","title":"Governor Cuomo Announces New Testing Initiatives to Improve COVID-19 Detection &amp; Control Across New York State Contact the Governor ' s Press O ffi ce","type":"article-newspaper"},"uris":["http://www.mendeley.com/documents/?uuid=ddbdd86b-939b-45af-8d9e-222d9c083b7e"]},{"id":"ITEM-2","itemData":{"container-title":"Localsyr.com","id":"ITEM-2","issued":{"date-parts":[["2020","8","7"]]},"page":"2020","publisher-place":"Wampsville, NY","title":"Madison County tracking COVID-19 through wastewater surveillance","type":"article-newspaper"},"uris":["http://www.mendeley.com/documents/?uuid=c7b4bc55-32b9-4c44-adc3-9f3aa71f9bef"]},{"id":"ITEM-3","itemData":{"author":[{"dropping-particle":"","family":"Spectrum News Staff","given":"","non-dropping-particle":"","parse-names":false,"suffix":""}],"container-title":"Spectrum News","id":"ITEM-3","issued":{"date-parts":[["2020","8","3"]]},"page":"2020","publisher-place":"Monroe County","title":"Waste ​ water in Monroe County Being Tested for COVID-19","type":"article-newspaper"},"uris":["http://www.mendeley.com/documents/?uuid=256a95e1-9559-42f1-a136-317f89675f6d"]}],"mendeley":{"formattedCitation":"&lt;sup&gt;6–8&lt;/sup&gt;","plainTextFormattedCitation":"6–8","previouslyFormattedCitation":"&lt;sup&gt;6–8&lt;/sup&gt;"},"properties":{"noteIndex":0},"schema":"https://github.com/citation-style-language/schema/raw/master/csl-citation.json"}</w:instrText>
      </w:r>
      <w:r w:rsidR="003D4693">
        <w:fldChar w:fldCharType="separate"/>
      </w:r>
      <w:r w:rsidR="003D4693" w:rsidRPr="003D4693">
        <w:rPr>
          <w:noProof/>
          <w:vertAlign w:val="superscript"/>
        </w:rPr>
        <w:t>6–8</w:t>
      </w:r>
      <w:r w:rsidR="003D4693">
        <w:fldChar w:fldCharType="end"/>
      </w:r>
      <w:r>
        <w:t xml:space="preserve"> In addition to governmental entities, colleges and universities across the </w:t>
      </w:r>
      <w:r w:rsidR="00F768BB">
        <w:t xml:space="preserve">US </w:t>
      </w:r>
      <w:r>
        <w:t xml:space="preserve">have </w:t>
      </w:r>
      <w:r w:rsidR="00A95F21">
        <w:t xml:space="preserve">also </w:t>
      </w:r>
      <w:r>
        <w:t>announced the use of wastewater</w:t>
      </w:r>
      <w:r w:rsidR="00F768BB">
        <w:t xml:space="preserve"> surveillance</w:t>
      </w:r>
      <w:r>
        <w:t xml:space="preserve"> at the dormitory or residence halls level in order to quickly detect and respond to cases within their student populations.</w:t>
      </w:r>
      <w:r w:rsidR="003D4693">
        <w:fldChar w:fldCharType="begin" w:fldLock="1"/>
      </w:r>
      <w:r w:rsidR="003D4693">
        <w:instrText>ADDIN CSL_CITATION {"citationItems":[{"id":"ITEM-1","itemData":{"author":[{"dropping-particle":"","family":"Auburn","given":"Luke","non-dropping-particle":"","parse-names":false,"suffix":""}],"container-title":"RIT News","id":"ITEM-1","issued":{"date-parts":[["2020","7","30"]]},"publisher-place":"Rochester, NY","title":"Rochester Institute of Technology RIT to monitor wastewater for signs of surges in coronavirus cases before symptoms set in","type":"article-newspaper"},"uris":["http://www.mendeley.com/documents/?uuid=844defec-3e1e-452a-9734-497ec68e47d2"]},{"id":"ITEM-2","itemData":{"author":[{"dropping-particle":"","family":"Coin","given":"Glenn","non-dropping-particle":"","parse-names":false,"suffix":""}],"container-title":"Syracuse.com","id":"ITEM-2","issued":{"date-parts":[["2020","6","4"]]},"publisher-place":"Syracuse, NY","title":"Syracuse University , ESF will test sewage dorm- by-dorm to track coronavirus spread","type":"article-newspaper"},"uris":["http://www.mendeley.com/documents/?uuid=7bd97e99-7234-4630-b588-3ce15c97ea96"]}],"mendeley":{"formattedCitation":"&lt;sup&gt;9,10&lt;/sup&gt;","plainTextFormattedCitation":"9,10","previouslyFormattedCitation":"&lt;sup&gt;9,10&lt;/sup&gt;"},"properties":{"noteIndex":0},"schema":"https://github.com/citation-style-language/schema/raw/master/csl-citation.json"}</w:instrText>
      </w:r>
      <w:r w:rsidR="003D4693">
        <w:fldChar w:fldCharType="separate"/>
      </w:r>
      <w:r w:rsidR="003D4693" w:rsidRPr="003D4693">
        <w:rPr>
          <w:noProof/>
          <w:vertAlign w:val="superscript"/>
        </w:rPr>
        <w:t>9,10</w:t>
      </w:r>
      <w:r w:rsidR="003D4693">
        <w:fldChar w:fldCharType="end"/>
      </w:r>
      <w:r>
        <w:t xml:space="preserve"> </w:t>
      </w:r>
      <w:r w:rsidR="00F768BB">
        <w:t>With increased</w:t>
      </w:r>
      <w:r>
        <w:t xml:space="preserve"> interest in the use of wastewater</w:t>
      </w:r>
      <w:r w:rsidR="00F768BB">
        <w:t xml:space="preserve"> surveillance</w:t>
      </w:r>
      <w:r>
        <w:t xml:space="preserve"> to monitor </w:t>
      </w:r>
      <w:r w:rsidR="00F768BB">
        <w:t>SARS-CoV-2 transmission</w:t>
      </w:r>
      <w:r>
        <w:t>, the resources and equipment needed in order to conduct this form of population health monitoring have become scarce.</w:t>
      </w:r>
    </w:p>
    <w:p w14:paraId="23CA9994" w14:textId="2BDCBC79" w:rsidR="00E73952" w:rsidRDefault="003757A0" w:rsidP="0075129B">
      <w:pPr>
        <w:spacing w:line="276" w:lineRule="auto"/>
      </w:pPr>
      <w:r>
        <w:tab/>
        <w:t xml:space="preserve">One of these </w:t>
      </w:r>
      <w:r w:rsidR="00F768BB">
        <w:t xml:space="preserve">essential </w:t>
      </w:r>
      <w:r>
        <w:t xml:space="preserve">pieces of equipment that has become hard to procure in the United States has been the </w:t>
      </w:r>
      <w:r w:rsidR="00A95F21">
        <w:t xml:space="preserve">portable </w:t>
      </w:r>
      <w:r>
        <w:t xml:space="preserve">composite sampler. </w:t>
      </w:r>
      <w:r w:rsidR="00E73952">
        <w:t>This type of sampler allows multiple discrete samples to be collected at programmed intervals over a selected timeframe, often 24 hours. Numerous studies have shown that composite sampling is superior to grab sampling for a temporally variable sampling source such as wastewater and for parameters not affected by this sampling collection method and holding time.</w:t>
      </w:r>
      <w:r w:rsidR="003469EB">
        <w:fldChar w:fldCharType="begin" w:fldLock="1"/>
      </w:r>
      <w:r w:rsidR="003469EB">
        <w:instrText>ADDIN CSL_CITATION {"citationItems":[{"id":"ITEM-1","itemData":{"DOI":"10.7717/peerj.5871","ISSN":"21678359","abstract":"Use of environmental DNA (eDNA) to assess distributions of aquatic and semi-aquatic macroorganisms is promising, but sampling schemes may need to be tailored to specific objectives. Given the potentially high variance in aquatic eDNA among replicate grab samples, compositing smaller water volumes collected over a period of time may be more effective for some applications. In this study, we compared eDNA profiles from composite water samples aggregated over three hours with grab water samples. Both sampling patterns were performed with identical autosamplers paired at two different sites in a headwater stream environment, augmented with exogenous fish eDNA from an upstream rearing facility. Samples were filtered through 0.8 mm cellulose nitrate filters and DNA was extracted with a cetyl trimethylammonium bromide procedure. Eukaryotic and bacterial community profiles were derived by amplicon sequencing of 12S ribosomal, 16S ribosomal, and cytochrome oxidase I loci. Operational taxa were assigned to genus with a lowest common ancestor approach for eukaryotes and to family with the RDP Classifier software for prokaryotes. Eukaryotic community profiles were more consistent with composite sampling than grab sampling. Downstream, rarefaction curves suggested faster taxon accumulation for composite samples, and estimated richness was higher for composite samples as a set than for grab samples. Upstream, composite sampling produced lower estimated richness than grab samples, but with overlapping standard errors. Furthermore, a bimodal pattern of richness as a function of sequence counts suggested the impact of clumped particles on upstream samples. Bacterial profiles were insensitive to sample method, consistent with the more even dispersion expected for bacteria compared with eukaryotic eDNA. Overall, samples composited over 3 h performed equal to or better than triplicate grab sampling for quantitative community metrics, despite the higher total sequencing effort provided to grab replicates. On the other hand, taxon-specific detection rates did not differ appreciably and the two methods gave similar estimates of the ratio of the common fish genera Salmo and Coregonus at each site. Unexpectedly, Salmo eDNA dropped out substantially faster than Coregonus eDNA between the two sites regardless of sampling method, suggesting that differential settling affects the estimation of relative abundance. We identified bacterial patterns that were associated with eukaryotic…","author":[{"dropping-particle":"","family":"Cornman","given":"Robert S.","non-dropping-particle":"","parse-names":false,"suffix":""},{"dropping-particle":"","family":"McKenna","given":"James E.","non-dropping-particle":"","parse-names":false,"suffix":""},{"dropping-particle":"","family":"Fike","given":"Jennifer","non-dropping-particle":"","parse-names":false,"suffix":""},{"dropping-particle":"","family":"Oyler-McCance","given":"Sara J.","non-dropping-particle":"","parse-names":false,"suffix":""},{"dropping-particle":"","family":"Johnson","given":"Robin","non-dropping-particle":"","parse-names":false,"suffix":""}],"container-title":"PeerJ","id":"ITEM-1","issue":"12","issued":{"date-parts":[["2018"]]},"page":"1-28","title":"An experimental comparison of composite and grab sampling of stream water for metagenetic analysis of environmental DNA","type":"article-journal","volume":"2018"},"uris":["http://www.mendeley.com/documents/?uuid=ef41aa0b-6dc6-48cb-9423-ab0f3a899f6b"]},{"id":"ITEM-2","itemData":{"DOI":"10.1007/BF01866512","ISSN":"0364152X","abstract":"Effluent subsamples are usually aggregated into flow or time proportional samples before analysis. Although this provides information on average process conditions, that on process variability is lost by compositing. Fisher's information is defined and used to estimate the loss due to compositing. The results of simulations based on parameters derived from actual waste streams support the fact that random grabs serve as well as composite samples for monitoring purposes. These findings favor changes in regulatory practice to allow compliance to be demonstrated by grab sample averages. Reporting requirements based on moving averages are shown to be inferior to those based on averages taken over nonoverlapping time periods. © 1980 Springer-Verlag New York Inc.","author":[{"dropping-particle":"","family":"Schaeffer","given":"David J.","non-dropping-particle":"","parse-names":false,"suffix":""},{"dropping-particle":"","family":"Kerster","given":"Harold W.","non-dropping-particle":"","parse-names":false,"suffix":""},{"dropping-particle":"","family":"Janardan","given":"Konanur G.","non-dropping-particle":"","parse-names":false,"suffix":""}],"container-title":"Environmental Management","id":"ITEM-2","issue":"2","issued":{"date-parts":[["1980"]]},"page":"157-163","title":"Grab versus composite sampling: A primer for the manager and engineer","type":"article-journal","volume":"4"},"uris":["http://www.mendeley.com/documents/?uuid=d43026a2-6fb5-4e26-bc08-d51f3f918c7a"]},{"id":"ITEM-3","itemData":{"author":[{"dropping-particle":"","family":"Brumelle","given":"S.","non-dropping-particle":"","parse-names":false,"suffix":""},{"dropping-particle":"","family":"Nemetz","given":"P.","non-dropping-particle":"","parse-names":false,"suffix":""},{"dropping-particle":"","family":"Casey","given":"D.","non-dropping-particle":"","parse-names":false,"suffix":""}],"container-title":"Environmental Monitoring and Assessment","id":"ITEM-3","issued":{"date-parts":[["1984"]]},"page":"81-84","title":"Estimating means and variances: the comparative efficiency of composite and grab samples","type":"article-journal","volume":"4"},"uris":["http://www.mendeley.com/documents/?uuid=a8d7ed0c-6e3f-42d3-bdb2-18381f95a88b"]}],"mendeley":{"formattedCitation":"&lt;sup&gt;11–13&lt;/sup&gt;","plainTextFormattedCitation":"11–13","previouslyFormattedCitation":"&lt;sup&gt;11&lt;/sup&gt;"},"properties":{"noteIndex":0},"schema":"https://github.com/citation-style-language/schema/raw/master/csl-citation.json"}</w:instrText>
      </w:r>
      <w:r w:rsidR="003469EB">
        <w:fldChar w:fldCharType="separate"/>
      </w:r>
      <w:r w:rsidR="003469EB" w:rsidRPr="003469EB">
        <w:rPr>
          <w:noProof/>
          <w:vertAlign w:val="superscript"/>
        </w:rPr>
        <w:t>11–13</w:t>
      </w:r>
      <w:r w:rsidR="003469EB">
        <w:fldChar w:fldCharType="end"/>
      </w:r>
      <w:r w:rsidR="00E73952">
        <w:t xml:space="preserve"> A composite 24-hour sample is the preferred sample method for SARS-CoV-2 monitoring,</w:t>
      </w:r>
      <w:r w:rsidR="003332B9">
        <w:fldChar w:fldCharType="begin" w:fldLock="1"/>
      </w:r>
      <w:r w:rsidR="003469EB">
        <w:instrText>ADDIN CSL_CITATION {"citationItems":[{"id":"ITEM-1","itemData":{"author":[{"dropping-particle":"","family":"The Water Research Foundation","given":"","non-dropping-particle":"","parse-names":false,"suffix":""}],"container-title":"International Water Research Summit on Environmental Surveillance of COVID-19 Indicators in Sewersheds","id":"ITEM-1","issued":{"date-parts":[["2020"]]},"number-of-pages":"1-27","title":"Wastewater Surveillance of the COVID-19 Genetic Signal in Sewersheds: Recommendations from Global Experts","type":"report"},"uris":["http://www.mendeley.com/documents/?uuid=ec6e671a-d131-47eb-9606-3b96cd7e449a"]}],"mendeley":{"formattedCitation":"&lt;sup&gt;14&lt;/sup&gt;","plainTextFormattedCitation":"14","previouslyFormattedCitation":"&lt;sup&gt;12&lt;/sup&gt;"},"properties":{"noteIndex":0},"schema":"https://github.com/citation-style-language/schema/raw/master/csl-citation.json"}</w:instrText>
      </w:r>
      <w:r w:rsidR="003332B9">
        <w:fldChar w:fldCharType="separate"/>
      </w:r>
      <w:r w:rsidR="003469EB" w:rsidRPr="003469EB">
        <w:rPr>
          <w:noProof/>
          <w:vertAlign w:val="superscript"/>
        </w:rPr>
        <w:t>14</w:t>
      </w:r>
      <w:r w:rsidR="003332B9">
        <w:fldChar w:fldCharType="end"/>
      </w:r>
      <w:r w:rsidR="00E73952">
        <w:t xml:space="preserve"> and recent research suggests that composite sampling is superior to grab sampling for quantification of SARS-CoV-2 concentrations.</w:t>
      </w:r>
      <w:r w:rsidR="003332B9">
        <w:fldChar w:fldCharType="begin" w:fldLock="1"/>
      </w:r>
      <w:r w:rsidR="003469EB">
        <w:instrText>ADDIN CSL_CITATION {"citationItems":[{"id":"ITEM-1","itemData":{"DOI":"10.1101/2020.07.10.20150607","abstract":"The ongoing COVID-19 pandemic caused by severe acute respiratory syndrome coronavirus 2 (SARS-CoV-2) requires a significant, coordinated public health response. Assessing case density and spread of infection is critical and relies largely on clinical testing data. However, clinical testing suffers from known limitations, including test availability and a bias towards enumerating only symptomatic individuals. Wastewater-based epidemiology (WBE) has gained widespread support as a potential complement to clinical testing for assessing COVID-19 infections at the community scale. The efficacy of WBE hinges on the ability to accurately characterize SARS-CoV-2 concentrations in wastewater. To date, a variety of sampling schemes have been used without consensus around the appropriateness of grab or composite sampling. Here we address a key WBE knowledge gap by examining the variability of SARS-CoV-2 concentrations in wastewater grab samples collected every 2 hours for 72 hours compared with corresponding 24-hour flow-weighted composite samples. Results show relatively low variability (mean for all assays = 741 copies 100 mL-1, standard deviation = 508 copies 100 mL-1) for grab sample concentrations, and good agreement between most grab samples and their respective composite (mean deviation from composite = 159 copies 100 mL-1). When SARS-CoV-2 concentrations are used to calculate viral load, the discrepancy between grabs (log10 difference = 12.0) or a grab and its associated composite (log10 difference = 11.8) are amplified. A similar effect is seen when estimating carrier prevalence in a catchment population with median estimates based on grabs ranging 62-1853 carriers. Findings suggest that grab samples may be sufficient to characterize SARS-CoV-2 concentrations, but additional calculations using these data may be sensitive to grab sample variability and warrant the use of flow-weighted composite sampling. These data inform future WBE work by helping determine the most appropriate sampling scheme and facilitate sharing of datasets between studies via consistent methodology.Competing Interest StatementThe authors have declared no competing interest.Funding StatementAll funding for this work was provided by Hampton Roads Sanitation DistrictAuthor DeclarationsI confirm all relevant ethical guidelines have been followed, and any necessary IRB and/or ethics committee approvals have been obtained.YesThe details of the IRB/oversight body that provided approval or ex…","author":[{"dropping-particle":"","family":"Curtis","given":"Kyle","non-dropping-particle":"","parse-names":false,"suffix":""},{"dropping-particle":"","family":"Keeling","given":"David","non-dropping-particle":"","parse-names":false,"suffix":""},{"dropping-particle":"","family":"Yetka","given":"Kathleen","non-dropping-particle":"","parse-names":false,"suffix":""},{"dropping-particle":"","family":"Larson","given":"Allison","non-dropping-particle":"","parse-names":false,"suffix":""},{"dropping-particle":"","family":"Gonzalez","given":"Raul","non-dropping-particle":"","parse-names":false,"suffix":""}],"container-title":"medRxiv","id":"ITEM-1","issued":{"date-parts":[["2020"]]},"page":"2020.07.10.20150607","title":"Wastewater SARS-CoV-2 Concentration and Loading Variability from Grab and 24-Hour Composite Samples","type":"article-journal"},"uris":["http://www.mendeley.com/documents/?uuid=65987090-6de3-447e-99d4-ed2f835eba00"]}],"mendeley":{"formattedCitation":"&lt;sup&gt;15&lt;/sup&gt;","plainTextFormattedCitation":"15","previouslyFormattedCitation":"&lt;sup&gt;13&lt;/sup&gt;"},"properties":{"noteIndex":0},"schema":"https://github.com/citation-style-language/schema/raw/master/csl-citation.json"}</w:instrText>
      </w:r>
      <w:r w:rsidR="003332B9">
        <w:fldChar w:fldCharType="separate"/>
      </w:r>
      <w:r w:rsidR="003469EB" w:rsidRPr="003469EB">
        <w:rPr>
          <w:noProof/>
          <w:vertAlign w:val="superscript"/>
        </w:rPr>
        <w:t>15</w:t>
      </w:r>
      <w:r w:rsidR="003332B9">
        <w:fldChar w:fldCharType="end"/>
      </w:r>
      <w:r w:rsidR="00E73952">
        <w:t xml:space="preserve"> </w:t>
      </w:r>
    </w:p>
    <w:p w14:paraId="3B084D9E" w14:textId="59524A40" w:rsidR="003757A0" w:rsidRDefault="003757A0" w:rsidP="00E73952">
      <w:pPr>
        <w:spacing w:line="276" w:lineRule="auto"/>
        <w:ind w:firstLine="720"/>
      </w:pPr>
      <w:r>
        <w:t>As the popularity of wastewater</w:t>
      </w:r>
      <w:r w:rsidR="00F768BB">
        <w:t xml:space="preserve"> surveillance</w:t>
      </w:r>
      <w:r>
        <w:t xml:space="preserve"> to monitor </w:t>
      </w:r>
      <w:r w:rsidR="00F768BB">
        <w:t xml:space="preserve">SARS-CoV-2 </w:t>
      </w:r>
      <w:r>
        <w:t xml:space="preserve">transmission increases, the national backorder of commercial </w:t>
      </w:r>
      <w:r w:rsidR="00A95F21">
        <w:t xml:space="preserve">portable </w:t>
      </w:r>
      <w:r>
        <w:t>composite samplers</w:t>
      </w:r>
      <w:r w:rsidR="005463B6">
        <w:t xml:space="preserve"> from the country’s top producers</w:t>
      </w:r>
      <w:r>
        <w:t xml:space="preserve"> has increased to over 3 weeks. In addition to the wait time, the cost of </w:t>
      </w:r>
      <w:r w:rsidR="00A95F21">
        <w:t xml:space="preserve">portable </w:t>
      </w:r>
      <w:r>
        <w:t>composite samplers, which can exceed $</w:t>
      </w:r>
      <w:r w:rsidR="003332B9">
        <w:t>7</w:t>
      </w:r>
      <w:r>
        <w:t xml:space="preserve">,000, has been prohibitive for some looking to implement the practice. These barriers </w:t>
      </w:r>
      <w:r w:rsidR="003332B9">
        <w:t>make</w:t>
      </w:r>
      <w:r>
        <w:t xml:space="preserve"> it difficult for </w:t>
      </w:r>
      <w:r w:rsidR="00F768BB">
        <w:t>wastewater surveillance</w:t>
      </w:r>
      <w:r>
        <w:t xml:space="preserve"> to be adopted in a larger scale.</w:t>
      </w:r>
    </w:p>
    <w:p w14:paraId="598C8473" w14:textId="680B6183" w:rsidR="00A95F21" w:rsidRDefault="003757A0" w:rsidP="0075129B">
      <w:pPr>
        <w:spacing w:line="276" w:lineRule="auto"/>
        <w:ind w:firstLine="720"/>
      </w:pPr>
      <w:r>
        <w:lastRenderedPageBreak/>
        <w:t xml:space="preserve">In response to the scarcity of and financial barrier imposed by commercial </w:t>
      </w:r>
      <w:r w:rsidR="00A95F21">
        <w:t xml:space="preserve">portable </w:t>
      </w:r>
      <w:r>
        <w:t xml:space="preserve">composite samplers, we have designed and created a low-cost DIY </w:t>
      </w:r>
      <w:r w:rsidR="00A95F21">
        <w:t xml:space="preserve">portable </w:t>
      </w:r>
      <w:r>
        <w:t>composite sampler constructed from items whose supply chain</w:t>
      </w:r>
      <w:r w:rsidR="00A95F21">
        <w:t>s</w:t>
      </w:r>
      <w:r>
        <w:t xml:space="preserve"> have not </w:t>
      </w:r>
      <w:r w:rsidR="00F768BB">
        <w:t xml:space="preserve">yet </w:t>
      </w:r>
      <w:r>
        <w:t xml:space="preserve">been disrupted by the COVID-19 pandemic. </w:t>
      </w:r>
      <w:r w:rsidR="00A95F21">
        <w:t>Though DIY water samplers have been constructed before, these samplers have not had the capability to collect 24-hour composite samplers and have not been used for the application of collecting wastewater.</w:t>
      </w:r>
      <w:r w:rsidR="003D4693">
        <w:fldChar w:fldCharType="begin" w:fldLock="1"/>
      </w:r>
      <w:r w:rsidR="003469EB">
        <w:instrText>ADDIN CSL_CITATION {"citationItems":[{"id":"ITEM-1","itemData":{"DOI":"10.3390/w9080578","ISSN":"20734441","abstract":"The cost of high-resolution water sampling devices for ecological studies and water quality analyses can be prohibitive. Moreover, the potential for operator error in the use of complicated sampling equipment can lead to inaccuracies. Here we describe the construction and operation of an inexpensive and easy-to-use water sampler that achieves a water column sampling resolution of approximately 1 cm. The device is driven by a peristaltic pump and is constructed entirely of non-corrosive and non-reactive materials. The sampler has no moving parts and was completely reliable in fieldwork on temperate and Antarctic lakes. The device is especially suited for the collection of water samples from calm or stagnant surface waters, such as lakes, ponds, reservoirs, and deep swamps or other wetlands. In addition, because its components are unaffected by corrosive salts and sulfides, the device is suitable for sampling calm inlet waters, including shallow bays and estuaries. Because of its low cost, simple construction, compact design, and precision performance, this water sampler is an excellent option for studying and monitoring shallow to moderately deep (&lt;50 m) natural waters.","author":[{"dropping-particle":"","family":"Sattley","given":"W. Matthew","non-dropping-particle":"","parse-names":false,"suffix":""},{"dropping-particle":"","family":"Burchell","given":"Brad M.","non-dropping-particle":"","parse-names":false,"suffix":""},{"dropping-particle":"","family":"Conrad","given":"Stephen D.","non-dropping-particle":"","parse-names":false,"suffix":""},{"dropping-particle":"","family":"Madigan","given":"Michael T.","non-dropping-particle":"","parse-names":false,"suffix":""}],"container-title":"Water","id":"ITEM-1","issue":"578","issued":{"date-parts":[["2017"]]},"title":"Design, construction, and application of an inexpensive, high-resolution water sampler","type":"article-journal","volume":"9"},"uris":["http://www.mendeley.com/documents/?uuid=b3e6a031-063b-48d9-9502-26479d781c82"]}],"mendeley":{"formattedCitation":"&lt;sup&gt;16&lt;/sup&gt;","plainTextFormattedCitation":"16","previouslyFormattedCitation":"&lt;sup&gt;14&lt;/sup&gt;"},"properties":{"noteIndex":0},"schema":"https://github.com/citation-style-language/schema/raw/master/csl-citation.json"}</w:instrText>
      </w:r>
      <w:r w:rsidR="003D4693">
        <w:fldChar w:fldCharType="separate"/>
      </w:r>
      <w:r w:rsidR="003469EB" w:rsidRPr="003469EB">
        <w:rPr>
          <w:noProof/>
          <w:vertAlign w:val="superscript"/>
        </w:rPr>
        <w:t>16</w:t>
      </w:r>
      <w:r w:rsidR="003D4693">
        <w:fldChar w:fldCharType="end"/>
      </w:r>
      <w:r w:rsidR="00A95F21">
        <w:t xml:space="preserve"> Our</w:t>
      </w:r>
      <w:r>
        <w:t xml:space="preserve"> </w:t>
      </w:r>
      <w:r w:rsidR="00F768BB">
        <w:t xml:space="preserve">DIY </w:t>
      </w:r>
      <w:r>
        <w:t xml:space="preserve">alternative </w:t>
      </w:r>
      <w:r w:rsidR="00A95F21">
        <w:t xml:space="preserve">to commercial portable composite samplers </w:t>
      </w:r>
      <w:r>
        <w:t>can be created for less than $1,200</w:t>
      </w:r>
      <w:r w:rsidR="0075129B">
        <w:t>, as shown in table 1,</w:t>
      </w:r>
      <w:r>
        <w:t xml:space="preserve"> and can obtain a 24-hour composite sample</w:t>
      </w:r>
      <w:r w:rsidR="00A95F21">
        <w:t>, thus showing to be a useful tool in implementing wastewater</w:t>
      </w:r>
      <w:r w:rsidR="00F768BB">
        <w:t xml:space="preserve"> surveillance</w:t>
      </w:r>
      <w:r w:rsidR="00A95F21">
        <w:t>.</w:t>
      </w:r>
      <w:r>
        <w:t xml:space="preserve"> </w:t>
      </w:r>
    </w:p>
    <w:p w14:paraId="19954983" w14:textId="0F31D92B" w:rsidR="00A95F21" w:rsidRDefault="00A95F21" w:rsidP="00A95F21">
      <w:pPr>
        <w:ind w:firstLine="720"/>
      </w:pPr>
    </w:p>
    <w:p w14:paraId="49E8EBCC" w14:textId="74F3037F" w:rsidR="00A95F21" w:rsidRPr="00A95F21" w:rsidRDefault="00A95F21" w:rsidP="00A95F21">
      <w:pPr>
        <w:pStyle w:val="Caption"/>
        <w:keepNext/>
        <w:jc w:val="center"/>
        <w:rPr>
          <w:i w:val="0"/>
          <w:iCs w:val="0"/>
          <w:color w:val="auto"/>
          <w:sz w:val="24"/>
          <w:szCs w:val="24"/>
        </w:rPr>
      </w:pPr>
      <w:r w:rsidRPr="00A95F21">
        <w:rPr>
          <w:b/>
          <w:bCs/>
          <w:i w:val="0"/>
          <w:iCs w:val="0"/>
          <w:color w:val="auto"/>
          <w:sz w:val="24"/>
          <w:szCs w:val="24"/>
        </w:rPr>
        <w:t xml:space="preserve">Table </w:t>
      </w:r>
      <w:r w:rsidRPr="00A95F21">
        <w:rPr>
          <w:b/>
          <w:bCs/>
          <w:i w:val="0"/>
          <w:iCs w:val="0"/>
          <w:color w:val="auto"/>
          <w:sz w:val="24"/>
          <w:szCs w:val="24"/>
        </w:rPr>
        <w:fldChar w:fldCharType="begin"/>
      </w:r>
      <w:r w:rsidRPr="00A95F21">
        <w:rPr>
          <w:b/>
          <w:bCs/>
          <w:i w:val="0"/>
          <w:iCs w:val="0"/>
          <w:color w:val="auto"/>
          <w:sz w:val="24"/>
          <w:szCs w:val="24"/>
        </w:rPr>
        <w:instrText xml:space="preserve"> SEQ Table \* ARABIC </w:instrText>
      </w:r>
      <w:r w:rsidRPr="00A95F21">
        <w:rPr>
          <w:b/>
          <w:bCs/>
          <w:i w:val="0"/>
          <w:iCs w:val="0"/>
          <w:color w:val="auto"/>
          <w:sz w:val="24"/>
          <w:szCs w:val="24"/>
        </w:rPr>
        <w:fldChar w:fldCharType="separate"/>
      </w:r>
      <w:r w:rsidRPr="00A95F21">
        <w:rPr>
          <w:b/>
          <w:bCs/>
          <w:i w:val="0"/>
          <w:iCs w:val="0"/>
          <w:color w:val="auto"/>
          <w:sz w:val="24"/>
          <w:szCs w:val="24"/>
        </w:rPr>
        <w:t>1</w:t>
      </w:r>
      <w:r w:rsidRPr="00A95F21">
        <w:rPr>
          <w:b/>
          <w:bCs/>
          <w:i w:val="0"/>
          <w:iCs w:val="0"/>
          <w:color w:val="auto"/>
          <w:sz w:val="24"/>
          <w:szCs w:val="24"/>
        </w:rPr>
        <w:fldChar w:fldCharType="end"/>
      </w:r>
      <w:r w:rsidRPr="00A95F21">
        <w:rPr>
          <w:b/>
          <w:bCs/>
          <w:i w:val="0"/>
          <w:iCs w:val="0"/>
          <w:color w:val="auto"/>
          <w:sz w:val="24"/>
          <w:szCs w:val="24"/>
        </w:rPr>
        <w:t>.</w:t>
      </w:r>
      <w:r w:rsidRPr="00A95F21">
        <w:rPr>
          <w:i w:val="0"/>
          <w:iCs w:val="0"/>
          <w:color w:val="auto"/>
          <w:sz w:val="24"/>
          <w:szCs w:val="24"/>
        </w:rPr>
        <w:t xml:space="preserve"> Cost (in USD) of necessary materials to build low-cost DIY composite sampler</w:t>
      </w:r>
    </w:p>
    <w:tbl>
      <w:tblPr>
        <w:tblW w:w="9159" w:type="dxa"/>
        <w:jc w:val="center"/>
        <w:tblLook w:val="04A0" w:firstRow="1" w:lastRow="0" w:firstColumn="1" w:lastColumn="0" w:noHBand="0" w:noVBand="1"/>
      </w:tblPr>
      <w:tblGrid>
        <w:gridCol w:w="6030"/>
        <w:gridCol w:w="1620"/>
        <w:gridCol w:w="1509"/>
      </w:tblGrid>
      <w:tr w:rsidR="00A95F21" w14:paraId="6E4A5EEA" w14:textId="77777777" w:rsidTr="00A95F21">
        <w:trPr>
          <w:trHeight w:val="340"/>
          <w:jc w:val="center"/>
        </w:trPr>
        <w:tc>
          <w:tcPr>
            <w:tcW w:w="6030" w:type="dxa"/>
            <w:tcBorders>
              <w:top w:val="single" w:sz="4" w:space="0" w:color="auto"/>
              <w:left w:val="nil"/>
              <w:bottom w:val="single" w:sz="8" w:space="0" w:color="auto"/>
              <w:right w:val="nil"/>
            </w:tcBorders>
            <w:shd w:val="clear" w:color="auto" w:fill="auto"/>
            <w:noWrap/>
            <w:vAlign w:val="bottom"/>
            <w:hideMark/>
          </w:tcPr>
          <w:p w14:paraId="458D3F69" w14:textId="77777777" w:rsidR="00A95F21" w:rsidRDefault="00A95F21">
            <w:pPr>
              <w:rPr>
                <w:rFonts w:ascii="Calibri" w:hAnsi="Calibri" w:cs="Calibri"/>
                <w:b/>
                <w:bCs/>
                <w:color w:val="000000"/>
              </w:rPr>
            </w:pPr>
            <w:r>
              <w:rPr>
                <w:rFonts w:ascii="Calibri" w:hAnsi="Calibri" w:cs="Calibri"/>
                <w:b/>
                <w:bCs/>
                <w:color w:val="000000"/>
              </w:rPr>
              <w:t xml:space="preserve">Item </w:t>
            </w:r>
          </w:p>
        </w:tc>
        <w:tc>
          <w:tcPr>
            <w:tcW w:w="1620" w:type="dxa"/>
            <w:tcBorders>
              <w:top w:val="single" w:sz="4" w:space="0" w:color="auto"/>
              <w:left w:val="nil"/>
              <w:bottom w:val="single" w:sz="8" w:space="0" w:color="auto"/>
              <w:right w:val="nil"/>
            </w:tcBorders>
            <w:shd w:val="clear" w:color="auto" w:fill="auto"/>
            <w:noWrap/>
            <w:vAlign w:val="bottom"/>
            <w:hideMark/>
          </w:tcPr>
          <w:p w14:paraId="56C66DE5" w14:textId="77777777" w:rsidR="00A95F21" w:rsidRDefault="00A95F21" w:rsidP="00A95F21">
            <w:pPr>
              <w:jc w:val="center"/>
              <w:rPr>
                <w:rFonts w:ascii="Calibri" w:hAnsi="Calibri" w:cs="Calibri"/>
                <w:b/>
                <w:bCs/>
                <w:color w:val="000000"/>
              </w:rPr>
            </w:pPr>
            <w:r>
              <w:rPr>
                <w:rFonts w:ascii="Calibri" w:hAnsi="Calibri" w:cs="Calibri"/>
                <w:b/>
                <w:bCs/>
                <w:color w:val="000000"/>
              </w:rPr>
              <w:t>Quantity</w:t>
            </w:r>
          </w:p>
        </w:tc>
        <w:tc>
          <w:tcPr>
            <w:tcW w:w="1509" w:type="dxa"/>
            <w:tcBorders>
              <w:top w:val="single" w:sz="4" w:space="0" w:color="auto"/>
              <w:left w:val="nil"/>
              <w:bottom w:val="single" w:sz="8" w:space="0" w:color="auto"/>
              <w:right w:val="nil"/>
            </w:tcBorders>
            <w:shd w:val="clear" w:color="auto" w:fill="auto"/>
            <w:noWrap/>
            <w:vAlign w:val="bottom"/>
            <w:hideMark/>
          </w:tcPr>
          <w:p w14:paraId="1572C05D" w14:textId="6B50EA94" w:rsidR="00A95F21" w:rsidRDefault="00A95F21" w:rsidP="00A95F21">
            <w:pPr>
              <w:jc w:val="center"/>
              <w:rPr>
                <w:rFonts w:ascii="Calibri" w:hAnsi="Calibri" w:cs="Calibri"/>
                <w:b/>
                <w:bCs/>
                <w:color w:val="000000"/>
              </w:rPr>
            </w:pPr>
            <w:r>
              <w:rPr>
                <w:rFonts w:ascii="Calibri" w:hAnsi="Calibri" w:cs="Calibri"/>
                <w:b/>
                <w:bCs/>
                <w:color w:val="000000"/>
              </w:rPr>
              <w:t>Price (USD)</w:t>
            </w:r>
          </w:p>
        </w:tc>
      </w:tr>
      <w:tr w:rsidR="00A95F21" w14:paraId="298F6500" w14:textId="77777777" w:rsidTr="00A95F21">
        <w:trPr>
          <w:trHeight w:val="320"/>
          <w:jc w:val="center"/>
        </w:trPr>
        <w:tc>
          <w:tcPr>
            <w:tcW w:w="6030" w:type="dxa"/>
            <w:tcBorders>
              <w:top w:val="nil"/>
              <w:left w:val="nil"/>
              <w:bottom w:val="nil"/>
              <w:right w:val="nil"/>
            </w:tcBorders>
            <w:shd w:val="clear" w:color="auto" w:fill="auto"/>
            <w:noWrap/>
            <w:vAlign w:val="bottom"/>
          </w:tcPr>
          <w:p w14:paraId="4AF5ED10" w14:textId="716E49A1" w:rsidR="00A95F21" w:rsidRDefault="00A95F21" w:rsidP="00A95F21">
            <w:pPr>
              <w:rPr>
                <w:rFonts w:ascii="Inherit" w:hAnsi="Inherit" w:cs="Calibri"/>
                <w:color w:val="000000"/>
              </w:rPr>
            </w:pPr>
            <w:r>
              <w:rPr>
                <w:rFonts w:ascii="Inherit" w:hAnsi="Inherit" w:cs="Calibri"/>
                <w:color w:val="000000"/>
              </w:rPr>
              <w:t>Peristaltic Pump </w:t>
            </w:r>
          </w:p>
        </w:tc>
        <w:tc>
          <w:tcPr>
            <w:tcW w:w="1620" w:type="dxa"/>
            <w:tcBorders>
              <w:top w:val="nil"/>
              <w:left w:val="nil"/>
              <w:bottom w:val="nil"/>
              <w:right w:val="nil"/>
            </w:tcBorders>
            <w:shd w:val="clear" w:color="auto" w:fill="auto"/>
            <w:noWrap/>
            <w:vAlign w:val="bottom"/>
          </w:tcPr>
          <w:p w14:paraId="5794623E" w14:textId="2F0B968E" w:rsidR="00A95F21" w:rsidRDefault="00A95F21" w:rsidP="00A95F21">
            <w:pPr>
              <w:jc w:val="center"/>
              <w:rPr>
                <w:rFonts w:ascii="Calibri" w:hAnsi="Calibri" w:cs="Calibri"/>
                <w:color w:val="000000"/>
              </w:rPr>
            </w:pPr>
            <w:r>
              <w:rPr>
                <w:rFonts w:ascii="Calibri" w:hAnsi="Calibri" w:cs="Calibri"/>
                <w:color w:val="000000"/>
              </w:rPr>
              <w:t>1</w:t>
            </w:r>
          </w:p>
        </w:tc>
        <w:tc>
          <w:tcPr>
            <w:tcW w:w="1509" w:type="dxa"/>
            <w:tcBorders>
              <w:top w:val="nil"/>
              <w:left w:val="nil"/>
              <w:bottom w:val="nil"/>
              <w:right w:val="nil"/>
            </w:tcBorders>
            <w:shd w:val="clear" w:color="auto" w:fill="auto"/>
            <w:noWrap/>
            <w:vAlign w:val="bottom"/>
          </w:tcPr>
          <w:p w14:paraId="7289BFC9" w14:textId="6A9BA32B" w:rsidR="00A95F21" w:rsidRDefault="00A95F21" w:rsidP="00A95F21">
            <w:pPr>
              <w:jc w:val="center"/>
              <w:rPr>
                <w:rFonts w:ascii="Calibri" w:hAnsi="Calibri" w:cs="Calibri"/>
                <w:color w:val="000000"/>
              </w:rPr>
            </w:pPr>
            <w:r>
              <w:rPr>
                <w:rFonts w:ascii="Inherit" w:hAnsi="Inherit" w:cs="Calibri"/>
                <w:color w:val="000000"/>
              </w:rPr>
              <w:t>$515</w:t>
            </w:r>
          </w:p>
        </w:tc>
      </w:tr>
      <w:tr w:rsidR="00A95F21" w14:paraId="6A6E81FE" w14:textId="77777777" w:rsidTr="00A95F21">
        <w:trPr>
          <w:trHeight w:val="320"/>
          <w:jc w:val="center"/>
        </w:trPr>
        <w:tc>
          <w:tcPr>
            <w:tcW w:w="6030" w:type="dxa"/>
            <w:tcBorders>
              <w:top w:val="nil"/>
              <w:left w:val="nil"/>
              <w:bottom w:val="nil"/>
              <w:right w:val="nil"/>
            </w:tcBorders>
            <w:shd w:val="clear" w:color="auto" w:fill="auto"/>
            <w:noWrap/>
            <w:vAlign w:val="bottom"/>
            <w:hideMark/>
          </w:tcPr>
          <w:p w14:paraId="36281A83" w14:textId="75FD0BC9" w:rsidR="00A95F21" w:rsidRDefault="0075129B" w:rsidP="00A95F21">
            <w:pPr>
              <w:rPr>
                <w:rFonts w:ascii="Inherit" w:hAnsi="Inherit" w:cs="Calibri"/>
                <w:color w:val="000000"/>
              </w:rPr>
            </w:pPr>
            <w:r>
              <w:t>12 Volt 650 CCA Car Battery</w:t>
            </w:r>
          </w:p>
        </w:tc>
        <w:tc>
          <w:tcPr>
            <w:tcW w:w="1620" w:type="dxa"/>
            <w:tcBorders>
              <w:top w:val="nil"/>
              <w:left w:val="nil"/>
              <w:bottom w:val="nil"/>
              <w:right w:val="nil"/>
            </w:tcBorders>
            <w:shd w:val="clear" w:color="auto" w:fill="auto"/>
            <w:noWrap/>
            <w:vAlign w:val="bottom"/>
            <w:hideMark/>
          </w:tcPr>
          <w:p w14:paraId="3B8DF5D2" w14:textId="77777777" w:rsidR="00A95F21" w:rsidRDefault="00A95F21" w:rsidP="00A95F21">
            <w:pPr>
              <w:jc w:val="center"/>
              <w:rPr>
                <w:rFonts w:ascii="Calibri" w:hAnsi="Calibri" w:cs="Calibri"/>
                <w:color w:val="000000"/>
              </w:rPr>
            </w:pPr>
            <w:r>
              <w:rPr>
                <w:rFonts w:ascii="Calibri" w:hAnsi="Calibri" w:cs="Calibri"/>
                <w:color w:val="000000"/>
              </w:rPr>
              <w:t>1</w:t>
            </w:r>
          </w:p>
        </w:tc>
        <w:tc>
          <w:tcPr>
            <w:tcW w:w="1509" w:type="dxa"/>
            <w:tcBorders>
              <w:top w:val="nil"/>
              <w:left w:val="nil"/>
              <w:bottom w:val="nil"/>
              <w:right w:val="nil"/>
            </w:tcBorders>
            <w:shd w:val="clear" w:color="auto" w:fill="auto"/>
            <w:noWrap/>
            <w:vAlign w:val="bottom"/>
            <w:hideMark/>
          </w:tcPr>
          <w:p w14:paraId="501C5826" w14:textId="4AE3FC31" w:rsidR="00A95F21" w:rsidRDefault="00A95F21" w:rsidP="00A95F21">
            <w:pPr>
              <w:jc w:val="center"/>
              <w:rPr>
                <w:rFonts w:ascii="Calibri" w:hAnsi="Calibri" w:cs="Calibri"/>
                <w:color w:val="000000"/>
              </w:rPr>
            </w:pPr>
            <w:r>
              <w:rPr>
                <w:rFonts w:ascii="Calibri" w:hAnsi="Calibri" w:cs="Calibri"/>
                <w:color w:val="000000"/>
              </w:rPr>
              <w:t>$180</w:t>
            </w:r>
          </w:p>
        </w:tc>
      </w:tr>
      <w:tr w:rsidR="00A95F21" w14:paraId="28D2A970" w14:textId="77777777" w:rsidTr="00A95F21">
        <w:trPr>
          <w:trHeight w:val="320"/>
          <w:jc w:val="center"/>
        </w:trPr>
        <w:tc>
          <w:tcPr>
            <w:tcW w:w="6030" w:type="dxa"/>
            <w:tcBorders>
              <w:top w:val="nil"/>
              <w:left w:val="nil"/>
              <w:bottom w:val="nil"/>
              <w:right w:val="nil"/>
            </w:tcBorders>
            <w:shd w:val="clear" w:color="auto" w:fill="auto"/>
            <w:noWrap/>
            <w:vAlign w:val="bottom"/>
            <w:hideMark/>
          </w:tcPr>
          <w:p w14:paraId="2C7DE576" w14:textId="77777777" w:rsidR="00A95F21" w:rsidRDefault="00A95F21" w:rsidP="00A95F21">
            <w:pPr>
              <w:rPr>
                <w:rFonts w:ascii="Inherit" w:hAnsi="Inherit" w:cs="Calibri"/>
                <w:color w:val="000000"/>
              </w:rPr>
            </w:pPr>
            <w:r>
              <w:rPr>
                <w:rFonts w:ascii="Inherit" w:hAnsi="Inherit" w:cs="Calibri"/>
                <w:color w:val="000000"/>
              </w:rPr>
              <w:t>Manual Battery Charger</w:t>
            </w:r>
          </w:p>
        </w:tc>
        <w:tc>
          <w:tcPr>
            <w:tcW w:w="1620" w:type="dxa"/>
            <w:tcBorders>
              <w:top w:val="nil"/>
              <w:left w:val="nil"/>
              <w:bottom w:val="nil"/>
              <w:right w:val="nil"/>
            </w:tcBorders>
            <w:shd w:val="clear" w:color="auto" w:fill="auto"/>
            <w:noWrap/>
            <w:vAlign w:val="bottom"/>
            <w:hideMark/>
          </w:tcPr>
          <w:p w14:paraId="74D8A0D4" w14:textId="77777777" w:rsidR="00A95F21" w:rsidRDefault="00A95F21" w:rsidP="00A95F21">
            <w:pPr>
              <w:jc w:val="center"/>
              <w:rPr>
                <w:rFonts w:ascii="Calibri" w:hAnsi="Calibri" w:cs="Calibri"/>
                <w:color w:val="000000"/>
              </w:rPr>
            </w:pPr>
            <w:r>
              <w:rPr>
                <w:rFonts w:ascii="Calibri" w:hAnsi="Calibri" w:cs="Calibri"/>
                <w:color w:val="000000"/>
              </w:rPr>
              <w:t>1</w:t>
            </w:r>
          </w:p>
        </w:tc>
        <w:tc>
          <w:tcPr>
            <w:tcW w:w="1509" w:type="dxa"/>
            <w:tcBorders>
              <w:top w:val="nil"/>
              <w:left w:val="nil"/>
              <w:bottom w:val="nil"/>
              <w:right w:val="nil"/>
            </w:tcBorders>
            <w:shd w:val="clear" w:color="auto" w:fill="auto"/>
            <w:noWrap/>
            <w:vAlign w:val="bottom"/>
            <w:hideMark/>
          </w:tcPr>
          <w:p w14:paraId="359ED15D" w14:textId="79E17F9D" w:rsidR="00A95F21" w:rsidRDefault="00A95F21" w:rsidP="00A95F21">
            <w:pPr>
              <w:jc w:val="center"/>
              <w:rPr>
                <w:rFonts w:ascii="Inherit" w:hAnsi="Inherit" w:cs="Calibri"/>
                <w:color w:val="000000"/>
              </w:rPr>
            </w:pPr>
            <w:r>
              <w:rPr>
                <w:rFonts w:ascii="Inherit" w:hAnsi="Inherit" w:cs="Calibri"/>
                <w:color w:val="000000"/>
              </w:rPr>
              <w:t>$30</w:t>
            </w:r>
          </w:p>
        </w:tc>
      </w:tr>
      <w:tr w:rsidR="00A95F21" w14:paraId="5141B661" w14:textId="77777777" w:rsidTr="00A95F21">
        <w:trPr>
          <w:trHeight w:val="320"/>
          <w:jc w:val="center"/>
        </w:trPr>
        <w:tc>
          <w:tcPr>
            <w:tcW w:w="6030" w:type="dxa"/>
            <w:tcBorders>
              <w:top w:val="nil"/>
              <w:left w:val="nil"/>
              <w:bottom w:val="nil"/>
              <w:right w:val="nil"/>
            </w:tcBorders>
            <w:shd w:val="clear" w:color="auto" w:fill="auto"/>
            <w:noWrap/>
            <w:vAlign w:val="bottom"/>
            <w:hideMark/>
          </w:tcPr>
          <w:p w14:paraId="34BB008F" w14:textId="77777777" w:rsidR="00A95F21" w:rsidRDefault="00A95F21" w:rsidP="00A95F21">
            <w:pPr>
              <w:rPr>
                <w:rFonts w:ascii="Inherit" w:hAnsi="Inherit" w:cs="Calibri"/>
                <w:color w:val="000000"/>
              </w:rPr>
            </w:pPr>
            <w:r>
              <w:rPr>
                <w:rFonts w:ascii="Inherit" w:hAnsi="Inherit" w:cs="Calibri"/>
                <w:color w:val="000000"/>
              </w:rPr>
              <w:t xml:space="preserve">Marine Battery Terminals </w:t>
            </w:r>
          </w:p>
        </w:tc>
        <w:tc>
          <w:tcPr>
            <w:tcW w:w="1620" w:type="dxa"/>
            <w:tcBorders>
              <w:top w:val="nil"/>
              <w:left w:val="nil"/>
              <w:bottom w:val="nil"/>
              <w:right w:val="nil"/>
            </w:tcBorders>
            <w:shd w:val="clear" w:color="auto" w:fill="auto"/>
            <w:noWrap/>
            <w:vAlign w:val="bottom"/>
            <w:hideMark/>
          </w:tcPr>
          <w:p w14:paraId="051143BF" w14:textId="77777777" w:rsidR="00A95F21" w:rsidRDefault="00A95F21" w:rsidP="00A95F21">
            <w:pPr>
              <w:jc w:val="center"/>
              <w:rPr>
                <w:rFonts w:ascii="Calibri" w:hAnsi="Calibri" w:cs="Calibri"/>
                <w:color w:val="000000"/>
              </w:rPr>
            </w:pPr>
            <w:r>
              <w:rPr>
                <w:rFonts w:ascii="Calibri" w:hAnsi="Calibri" w:cs="Calibri"/>
                <w:color w:val="000000"/>
              </w:rPr>
              <w:t>1</w:t>
            </w:r>
          </w:p>
        </w:tc>
        <w:tc>
          <w:tcPr>
            <w:tcW w:w="1509" w:type="dxa"/>
            <w:tcBorders>
              <w:top w:val="nil"/>
              <w:left w:val="nil"/>
              <w:bottom w:val="nil"/>
              <w:right w:val="nil"/>
            </w:tcBorders>
            <w:shd w:val="clear" w:color="auto" w:fill="auto"/>
            <w:noWrap/>
            <w:vAlign w:val="bottom"/>
            <w:hideMark/>
          </w:tcPr>
          <w:p w14:paraId="0260A90B" w14:textId="53852F4B" w:rsidR="00A95F21" w:rsidRDefault="00A95F21" w:rsidP="00A95F21">
            <w:pPr>
              <w:jc w:val="center"/>
              <w:rPr>
                <w:rFonts w:ascii="Calibri" w:hAnsi="Calibri" w:cs="Calibri"/>
                <w:color w:val="000000"/>
              </w:rPr>
            </w:pPr>
            <w:r>
              <w:rPr>
                <w:rFonts w:ascii="Calibri" w:hAnsi="Calibri" w:cs="Calibri"/>
                <w:color w:val="000000"/>
              </w:rPr>
              <w:t>$10</w:t>
            </w:r>
          </w:p>
        </w:tc>
      </w:tr>
      <w:tr w:rsidR="00A95F21" w14:paraId="40D99F11" w14:textId="77777777" w:rsidTr="00A95F21">
        <w:trPr>
          <w:trHeight w:val="320"/>
          <w:jc w:val="center"/>
        </w:trPr>
        <w:tc>
          <w:tcPr>
            <w:tcW w:w="6030" w:type="dxa"/>
            <w:tcBorders>
              <w:top w:val="nil"/>
              <w:left w:val="nil"/>
              <w:bottom w:val="nil"/>
              <w:right w:val="nil"/>
            </w:tcBorders>
            <w:shd w:val="clear" w:color="auto" w:fill="auto"/>
            <w:noWrap/>
            <w:vAlign w:val="bottom"/>
            <w:hideMark/>
          </w:tcPr>
          <w:p w14:paraId="60FE8799" w14:textId="553231B5" w:rsidR="00A95F21" w:rsidRDefault="00A95F21" w:rsidP="00A95F21">
            <w:pPr>
              <w:rPr>
                <w:rFonts w:ascii="Inherit" w:hAnsi="Inherit" w:cs="Calibri"/>
                <w:color w:val="000000"/>
              </w:rPr>
            </w:pPr>
            <w:r>
              <w:rPr>
                <w:rFonts w:ascii="Inherit" w:hAnsi="Inherit" w:cs="Calibri"/>
                <w:color w:val="000000"/>
              </w:rPr>
              <w:t>12v DC to 120 V AC Inverter</w:t>
            </w:r>
          </w:p>
        </w:tc>
        <w:tc>
          <w:tcPr>
            <w:tcW w:w="1620" w:type="dxa"/>
            <w:tcBorders>
              <w:top w:val="nil"/>
              <w:left w:val="nil"/>
              <w:bottom w:val="nil"/>
              <w:right w:val="nil"/>
            </w:tcBorders>
            <w:shd w:val="clear" w:color="auto" w:fill="auto"/>
            <w:noWrap/>
            <w:vAlign w:val="bottom"/>
            <w:hideMark/>
          </w:tcPr>
          <w:p w14:paraId="1FA4D9B1" w14:textId="77777777" w:rsidR="00A95F21" w:rsidRDefault="00A95F21" w:rsidP="00A95F21">
            <w:pPr>
              <w:jc w:val="center"/>
              <w:rPr>
                <w:rFonts w:ascii="Calibri" w:hAnsi="Calibri" w:cs="Calibri"/>
                <w:color w:val="000000"/>
              </w:rPr>
            </w:pPr>
            <w:r>
              <w:rPr>
                <w:rFonts w:ascii="Calibri" w:hAnsi="Calibri" w:cs="Calibri"/>
                <w:color w:val="000000"/>
              </w:rPr>
              <w:t>1</w:t>
            </w:r>
          </w:p>
        </w:tc>
        <w:tc>
          <w:tcPr>
            <w:tcW w:w="1509" w:type="dxa"/>
            <w:tcBorders>
              <w:top w:val="nil"/>
              <w:left w:val="nil"/>
              <w:bottom w:val="nil"/>
              <w:right w:val="nil"/>
            </w:tcBorders>
            <w:shd w:val="clear" w:color="auto" w:fill="auto"/>
            <w:noWrap/>
            <w:vAlign w:val="bottom"/>
            <w:hideMark/>
          </w:tcPr>
          <w:p w14:paraId="12401E5D" w14:textId="7CFC481F" w:rsidR="00A95F21" w:rsidRDefault="00A95F21" w:rsidP="00A95F21">
            <w:pPr>
              <w:jc w:val="center"/>
              <w:rPr>
                <w:rFonts w:ascii="Inherit" w:hAnsi="Inherit" w:cs="Calibri"/>
                <w:color w:val="000000"/>
              </w:rPr>
            </w:pPr>
            <w:r>
              <w:rPr>
                <w:rFonts w:ascii="Inherit" w:hAnsi="Inherit" w:cs="Calibri"/>
                <w:color w:val="000000"/>
              </w:rPr>
              <w:t>$110</w:t>
            </w:r>
          </w:p>
        </w:tc>
      </w:tr>
      <w:tr w:rsidR="00A95F21" w14:paraId="32DC23DA" w14:textId="77777777" w:rsidTr="00A95F21">
        <w:trPr>
          <w:trHeight w:val="320"/>
          <w:jc w:val="center"/>
        </w:trPr>
        <w:tc>
          <w:tcPr>
            <w:tcW w:w="6030" w:type="dxa"/>
            <w:tcBorders>
              <w:top w:val="nil"/>
              <w:left w:val="nil"/>
              <w:bottom w:val="nil"/>
              <w:right w:val="nil"/>
            </w:tcBorders>
            <w:shd w:val="clear" w:color="auto" w:fill="auto"/>
            <w:noWrap/>
            <w:vAlign w:val="bottom"/>
            <w:hideMark/>
          </w:tcPr>
          <w:p w14:paraId="77B81B60" w14:textId="77777777" w:rsidR="00A95F21" w:rsidRDefault="00A95F21" w:rsidP="00A95F21">
            <w:pPr>
              <w:rPr>
                <w:rFonts w:ascii="Inherit" w:hAnsi="Inherit" w:cs="Calibri"/>
                <w:color w:val="000000"/>
              </w:rPr>
            </w:pPr>
            <w:r>
              <w:rPr>
                <w:rFonts w:ascii="Inherit" w:hAnsi="Inherit" w:cs="Calibri"/>
                <w:color w:val="000000"/>
              </w:rPr>
              <w:t xml:space="preserve">Interval Timing Outlet/Plug </w:t>
            </w:r>
          </w:p>
        </w:tc>
        <w:tc>
          <w:tcPr>
            <w:tcW w:w="1620" w:type="dxa"/>
            <w:tcBorders>
              <w:top w:val="nil"/>
              <w:left w:val="nil"/>
              <w:bottom w:val="nil"/>
              <w:right w:val="nil"/>
            </w:tcBorders>
            <w:shd w:val="clear" w:color="auto" w:fill="auto"/>
            <w:noWrap/>
            <w:vAlign w:val="bottom"/>
            <w:hideMark/>
          </w:tcPr>
          <w:p w14:paraId="6CFF27A9" w14:textId="77777777" w:rsidR="00A95F21" w:rsidRDefault="00A95F21" w:rsidP="00A95F21">
            <w:pPr>
              <w:jc w:val="center"/>
              <w:rPr>
                <w:rFonts w:ascii="Calibri" w:hAnsi="Calibri" w:cs="Calibri"/>
                <w:color w:val="000000"/>
              </w:rPr>
            </w:pPr>
            <w:r>
              <w:rPr>
                <w:rFonts w:ascii="Calibri" w:hAnsi="Calibri" w:cs="Calibri"/>
                <w:color w:val="000000"/>
              </w:rPr>
              <w:t>1</w:t>
            </w:r>
          </w:p>
        </w:tc>
        <w:tc>
          <w:tcPr>
            <w:tcW w:w="1509" w:type="dxa"/>
            <w:tcBorders>
              <w:top w:val="nil"/>
              <w:left w:val="nil"/>
              <w:bottom w:val="nil"/>
              <w:right w:val="nil"/>
            </w:tcBorders>
            <w:shd w:val="clear" w:color="auto" w:fill="auto"/>
            <w:noWrap/>
            <w:vAlign w:val="bottom"/>
            <w:hideMark/>
          </w:tcPr>
          <w:p w14:paraId="13A16CEB" w14:textId="048FF344" w:rsidR="00A95F21" w:rsidRDefault="00A95F21" w:rsidP="00A95F21">
            <w:pPr>
              <w:jc w:val="center"/>
              <w:rPr>
                <w:rFonts w:ascii="Calibri" w:hAnsi="Calibri" w:cs="Calibri"/>
                <w:color w:val="000000"/>
              </w:rPr>
            </w:pPr>
            <w:r>
              <w:rPr>
                <w:rFonts w:ascii="Calibri" w:hAnsi="Calibri" w:cs="Calibri"/>
                <w:color w:val="000000"/>
              </w:rPr>
              <w:t>$25</w:t>
            </w:r>
          </w:p>
        </w:tc>
      </w:tr>
      <w:tr w:rsidR="00A95F21" w14:paraId="287FB330" w14:textId="77777777" w:rsidTr="00A95F21">
        <w:trPr>
          <w:trHeight w:val="320"/>
          <w:jc w:val="center"/>
        </w:trPr>
        <w:tc>
          <w:tcPr>
            <w:tcW w:w="6030" w:type="dxa"/>
            <w:tcBorders>
              <w:top w:val="nil"/>
              <w:left w:val="nil"/>
              <w:bottom w:val="nil"/>
              <w:right w:val="nil"/>
            </w:tcBorders>
            <w:shd w:val="clear" w:color="auto" w:fill="auto"/>
            <w:noWrap/>
            <w:vAlign w:val="bottom"/>
            <w:hideMark/>
          </w:tcPr>
          <w:p w14:paraId="5036D3B7" w14:textId="77777777" w:rsidR="00A95F21" w:rsidRDefault="00A95F21" w:rsidP="00A95F21">
            <w:pPr>
              <w:rPr>
                <w:rFonts w:ascii="Inherit" w:hAnsi="Inherit" w:cs="Calibri"/>
                <w:color w:val="000000"/>
              </w:rPr>
            </w:pPr>
            <w:r>
              <w:rPr>
                <w:rFonts w:ascii="Inherit" w:hAnsi="Inherit" w:cs="Calibri"/>
                <w:color w:val="000000"/>
              </w:rPr>
              <w:t>Collection Jar/Jug with Rubber Plug</w:t>
            </w:r>
          </w:p>
        </w:tc>
        <w:tc>
          <w:tcPr>
            <w:tcW w:w="1620" w:type="dxa"/>
            <w:tcBorders>
              <w:top w:val="nil"/>
              <w:left w:val="nil"/>
              <w:bottom w:val="nil"/>
              <w:right w:val="nil"/>
            </w:tcBorders>
            <w:shd w:val="clear" w:color="auto" w:fill="auto"/>
            <w:noWrap/>
            <w:vAlign w:val="bottom"/>
            <w:hideMark/>
          </w:tcPr>
          <w:p w14:paraId="6264FD21" w14:textId="77777777" w:rsidR="00A95F21" w:rsidRDefault="00A95F21" w:rsidP="00A95F21">
            <w:pPr>
              <w:jc w:val="center"/>
              <w:rPr>
                <w:rFonts w:ascii="Calibri" w:hAnsi="Calibri" w:cs="Calibri"/>
                <w:color w:val="000000"/>
              </w:rPr>
            </w:pPr>
            <w:r>
              <w:rPr>
                <w:rFonts w:ascii="Calibri" w:hAnsi="Calibri" w:cs="Calibri"/>
                <w:color w:val="000000"/>
              </w:rPr>
              <w:t>1</w:t>
            </w:r>
          </w:p>
        </w:tc>
        <w:tc>
          <w:tcPr>
            <w:tcW w:w="1509" w:type="dxa"/>
            <w:tcBorders>
              <w:top w:val="nil"/>
              <w:left w:val="nil"/>
              <w:bottom w:val="nil"/>
              <w:right w:val="nil"/>
            </w:tcBorders>
            <w:shd w:val="clear" w:color="auto" w:fill="auto"/>
            <w:noWrap/>
            <w:vAlign w:val="bottom"/>
            <w:hideMark/>
          </w:tcPr>
          <w:p w14:paraId="574FB92C" w14:textId="630182A6" w:rsidR="00A95F21" w:rsidRDefault="00A95F21" w:rsidP="00A95F21">
            <w:pPr>
              <w:jc w:val="center"/>
              <w:rPr>
                <w:rFonts w:ascii="Inherit" w:hAnsi="Inherit" w:cs="Calibri"/>
                <w:color w:val="000000"/>
              </w:rPr>
            </w:pPr>
            <w:r>
              <w:rPr>
                <w:rFonts w:ascii="Inherit" w:hAnsi="Inherit" w:cs="Calibri"/>
                <w:color w:val="000000"/>
              </w:rPr>
              <w:t>$20</w:t>
            </w:r>
          </w:p>
        </w:tc>
      </w:tr>
      <w:tr w:rsidR="00A95F21" w14:paraId="5E3535D8" w14:textId="77777777" w:rsidTr="00A95F21">
        <w:trPr>
          <w:trHeight w:val="320"/>
          <w:jc w:val="center"/>
        </w:trPr>
        <w:tc>
          <w:tcPr>
            <w:tcW w:w="6030" w:type="dxa"/>
            <w:tcBorders>
              <w:top w:val="nil"/>
              <w:left w:val="nil"/>
              <w:bottom w:val="nil"/>
              <w:right w:val="nil"/>
            </w:tcBorders>
            <w:shd w:val="clear" w:color="auto" w:fill="auto"/>
            <w:noWrap/>
            <w:vAlign w:val="bottom"/>
            <w:hideMark/>
          </w:tcPr>
          <w:p w14:paraId="460A08FC" w14:textId="01B505EA" w:rsidR="00A95F21" w:rsidRDefault="00A95F21" w:rsidP="00A95F21">
            <w:pPr>
              <w:rPr>
                <w:rFonts w:ascii="Inherit" w:hAnsi="Inherit" w:cs="Calibri"/>
                <w:color w:val="000000"/>
              </w:rPr>
            </w:pPr>
            <w:r>
              <w:rPr>
                <w:rFonts w:ascii="Inherit" w:hAnsi="Inherit" w:cs="Calibri"/>
                <w:color w:val="000000"/>
              </w:rPr>
              <w:t xml:space="preserve">Heavily Insulated Cooler </w:t>
            </w:r>
          </w:p>
        </w:tc>
        <w:tc>
          <w:tcPr>
            <w:tcW w:w="1620" w:type="dxa"/>
            <w:tcBorders>
              <w:top w:val="nil"/>
              <w:left w:val="nil"/>
              <w:bottom w:val="nil"/>
              <w:right w:val="nil"/>
            </w:tcBorders>
            <w:shd w:val="clear" w:color="auto" w:fill="auto"/>
            <w:noWrap/>
            <w:vAlign w:val="bottom"/>
            <w:hideMark/>
          </w:tcPr>
          <w:p w14:paraId="0A078F81" w14:textId="77777777" w:rsidR="00A95F21" w:rsidRDefault="00A95F21" w:rsidP="00A95F21">
            <w:pPr>
              <w:jc w:val="center"/>
              <w:rPr>
                <w:rFonts w:ascii="Calibri" w:hAnsi="Calibri" w:cs="Calibri"/>
                <w:color w:val="000000"/>
              </w:rPr>
            </w:pPr>
            <w:r>
              <w:rPr>
                <w:rFonts w:ascii="Calibri" w:hAnsi="Calibri" w:cs="Calibri"/>
                <w:color w:val="000000"/>
              </w:rPr>
              <w:t>1</w:t>
            </w:r>
          </w:p>
        </w:tc>
        <w:tc>
          <w:tcPr>
            <w:tcW w:w="1509" w:type="dxa"/>
            <w:tcBorders>
              <w:top w:val="nil"/>
              <w:left w:val="nil"/>
              <w:bottom w:val="nil"/>
              <w:right w:val="nil"/>
            </w:tcBorders>
            <w:shd w:val="clear" w:color="auto" w:fill="auto"/>
            <w:noWrap/>
            <w:vAlign w:val="bottom"/>
            <w:hideMark/>
          </w:tcPr>
          <w:p w14:paraId="5F19072D" w14:textId="1EC8C6BF" w:rsidR="00A95F21" w:rsidRDefault="00A95F21" w:rsidP="00A95F21">
            <w:pPr>
              <w:jc w:val="center"/>
              <w:rPr>
                <w:rFonts w:ascii="Calibri" w:hAnsi="Calibri" w:cs="Calibri"/>
                <w:color w:val="000000"/>
              </w:rPr>
            </w:pPr>
            <w:r>
              <w:rPr>
                <w:rFonts w:ascii="Calibri" w:hAnsi="Calibri" w:cs="Calibri"/>
                <w:color w:val="000000"/>
              </w:rPr>
              <w:t>$75</w:t>
            </w:r>
          </w:p>
        </w:tc>
      </w:tr>
      <w:tr w:rsidR="00A95F21" w14:paraId="5B4FD3D7" w14:textId="77777777" w:rsidTr="00A95F21">
        <w:trPr>
          <w:trHeight w:val="320"/>
          <w:jc w:val="center"/>
        </w:trPr>
        <w:tc>
          <w:tcPr>
            <w:tcW w:w="6030" w:type="dxa"/>
            <w:tcBorders>
              <w:top w:val="nil"/>
              <w:left w:val="nil"/>
              <w:bottom w:val="nil"/>
              <w:right w:val="nil"/>
            </w:tcBorders>
            <w:shd w:val="clear" w:color="auto" w:fill="auto"/>
            <w:noWrap/>
            <w:vAlign w:val="bottom"/>
            <w:hideMark/>
          </w:tcPr>
          <w:p w14:paraId="3A5F79E8" w14:textId="48949108" w:rsidR="00A95F21" w:rsidRDefault="00A95F21" w:rsidP="00A95F21">
            <w:pPr>
              <w:rPr>
                <w:rFonts w:ascii="Inherit" w:hAnsi="Inherit" w:cs="Calibri"/>
                <w:color w:val="000000"/>
              </w:rPr>
            </w:pPr>
            <w:r>
              <w:rPr>
                <w:rFonts w:ascii="Inherit" w:hAnsi="Inherit" w:cs="Calibri"/>
                <w:color w:val="000000"/>
              </w:rPr>
              <w:t>Supply Storage Shed or Deck Box</w:t>
            </w:r>
          </w:p>
        </w:tc>
        <w:tc>
          <w:tcPr>
            <w:tcW w:w="1620" w:type="dxa"/>
            <w:tcBorders>
              <w:top w:val="nil"/>
              <w:left w:val="nil"/>
              <w:bottom w:val="nil"/>
              <w:right w:val="nil"/>
            </w:tcBorders>
            <w:shd w:val="clear" w:color="auto" w:fill="auto"/>
            <w:noWrap/>
            <w:vAlign w:val="bottom"/>
            <w:hideMark/>
          </w:tcPr>
          <w:p w14:paraId="7BD49C55" w14:textId="77777777" w:rsidR="00A95F21" w:rsidRDefault="00A95F21" w:rsidP="00A95F21">
            <w:pPr>
              <w:jc w:val="center"/>
              <w:rPr>
                <w:rFonts w:ascii="Calibri" w:hAnsi="Calibri" w:cs="Calibri"/>
                <w:color w:val="000000"/>
              </w:rPr>
            </w:pPr>
            <w:r>
              <w:rPr>
                <w:rFonts w:ascii="Calibri" w:hAnsi="Calibri" w:cs="Calibri"/>
                <w:color w:val="000000"/>
              </w:rPr>
              <w:t>1</w:t>
            </w:r>
          </w:p>
        </w:tc>
        <w:tc>
          <w:tcPr>
            <w:tcW w:w="1509" w:type="dxa"/>
            <w:tcBorders>
              <w:top w:val="nil"/>
              <w:left w:val="nil"/>
              <w:bottom w:val="nil"/>
              <w:right w:val="nil"/>
            </w:tcBorders>
            <w:shd w:val="clear" w:color="auto" w:fill="auto"/>
            <w:noWrap/>
            <w:vAlign w:val="bottom"/>
            <w:hideMark/>
          </w:tcPr>
          <w:p w14:paraId="267E6E07" w14:textId="6806D569" w:rsidR="00A95F21" w:rsidRDefault="00A95F21" w:rsidP="00A95F21">
            <w:pPr>
              <w:jc w:val="center"/>
              <w:rPr>
                <w:rFonts w:ascii="Inherit" w:hAnsi="Inherit" w:cs="Calibri"/>
                <w:color w:val="000000"/>
              </w:rPr>
            </w:pPr>
            <w:r>
              <w:rPr>
                <w:rFonts w:ascii="Inherit" w:hAnsi="Inherit" w:cs="Calibri"/>
                <w:color w:val="000000"/>
              </w:rPr>
              <w:t>$165</w:t>
            </w:r>
          </w:p>
        </w:tc>
      </w:tr>
      <w:tr w:rsidR="00A95F21" w14:paraId="47D2C0A4" w14:textId="77777777" w:rsidTr="00A95F21">
        <w:trPr>
          <w:trHeight w:val="320"/>
          <w:jc w:val="center"/>
        </w:trPr>
        <w:tc>
          <w:tcPr>
            <w:tcW w:w="6030" w:type="dxa"/>
            <w:tcBorders>
              <w:top w:val="nil"/>
              <w:left w:val="nil"/>
              <w:bottom w:val="nil"/>
              <w:right w:val="nil"/>
            </w:tcBorders>
            <w:shd w:val="clear" w:color="auto" w:fill="auto"/>
            <w:noWrap/>
            <w:vAlign w:val="bottom"/>
            <w:hideMark/>
          </w:tcPr>
          <w:p w14:paraId="207EBC05" w14:textId="600A3E2C" w:rsidR="00A95F21" w:rsidRDefault="00A95F21" w:rsidP="00A95F21">
            <w:pPr>
              <w:rPr>
                <w:rFonts w:ascii="Inherit" w:hAnsi="Inherit" w:cs="Calibri"/>
                <w:color w:val="000000"/>
              </w:rPr>
            </w:pPr>
            <w:r>
              <w:rPr>
                <w:rFonts w:ascii="Inherit" w:hAnsi="Inherit" w:cs="Calibri"/>
                <w:color w:val="000000"/>
              </w:rPr>
              <w:t>Small Roll of Insulation to Line Shed or Deck Box </w:t>
            </w:r>
          </w:p>
        </w:tc>
        <w:tc>
          <w:tcPr>
            <w:tcW w:w="1620" w:type="dxa"/>
            <w:tcBorders>
              <w:top w:val="nil"/>
              <w:left w:val="nil"/>
              <w:bottom w:val="nil"/>
              <w:right w:val="nil"/>
            </w:tcBorders>
            <w:shd w:val="clear" w:color="auto" w:fill="auto"/>
            <w:noWrap/>
            <w:vAlign w:val="bottom"/>
            <w:hideMark/>
          </w:tcPr>
          <w:p w14:paraId="38FFC849" w14:textId="77777777" w:rsidR="00A95F21" w:rsidRDefault="00A95F21" w:rsidP="00A95F21">
            <w:pPr>
              <w:jc w:val="center"/>
              <w:rPr>
                <w:rFonts w:ascii="Calibri" w:hAnsi="Calibri" w:cs="Calibri"/>
                <w:color w:val="000000"/>
              </w:rPr>
            </w:pPr>
            <w:r>
              <w:rPr>
                <w:rFonts w:ascii="Calibri" w:hAnsi="Calibri" w:cs="Calibri"/>
                <w:color w:val="000000"/>
              </w:rPr>
              <w:t>1</w:t>
            </w:r>
          </w:p>
        </w:tc>
        <w:tc>
          <w:tcPr>
            <w:tcW w:w="1509" w:type="dxa"/>
            <w:tcBorders>
              <w:top w:val="nil"/>
              <w:left w:val="nil"/>
              <w:bottom w:val="nil"/>
              <w:right w:val="nil"/>
            </w:tcBorders>
            <w:shd w:val="clear" w:color="auto" w:fill="auto"/>
            <w:noWrap/>
            <w:vAlign w:val="bottom"/>
            <w:hideMark/>
          </w:tcPr>
          <w:p w14:paraId="47B36266" w14:textId="705261C5" w:rsidR="00A95F21" w:rsidRDefault="00A95F21" w:rsidP="00A95F21">
            <w:pPr>
              <w:jc w:val="center"/>
              <w:rPr>
                <w:rFonts w:ascii="Inherit" w:hAnsi="Inherit" w:cs="Calibri"/>
                <w:color w:val="000000"/>
              </w:rPr>
            </w:pPr>
            <w:r>
              <w:rPr>
                <w:rFonts w:ascii="Inherit" w:hAnsi="Inherit" w:cs="Calibri"/>
                <w:color w:val="000000"/>
              </w:rPr>
              <w:t>$20</w:t>
            </w:r>
          </w:p>
        </w:tc>
      </w:tr>
      <w:tr w:rsidR="00A95F21" w14:paraId="5FED98F9" w14:textId="77777777" w:rsidTr="00A95F21">
        <w:trPr>
          <w:trHeight w:val="320"/>
          <w:jc w:val="center"/>
        </w:trPr>
        <w:tc>
          <w:tcPr>
            <w:tcW w:w="6030" w:type="dxa"/>
            <w:tcBorders>
              <w:top w:val="nil"/>
              <w:left w:val="nil"/>
              <w:bottom w:val="single" w:sz="4" w:space="0" w:color="auto"/>
              <w:right w:val="nil"/>
            </w:tcBorders>
            <w:shd w:val="clear" w:color="auto" w:fill="auto"/>
            <w:noWrap/>
            <w:vAlign w:val="bottom"/>
            <w:hideMark/>
          </w:tcPr>
          <w:p w14:paraId="7B352865" w14:textId="77777777" w:rsidR="00A95F21" w:rsidRDefault="00A95F21" w:rsidP="00A95F21">
            <w:pPr>
              <w:rPr>
                <w:rFonts w:ascii="Inherit" w:hAnsi="Inherit" w:cs="Calibri"/>
                <w:color w:val="000000"/>
              </w:rPr>
            </w:pPr>
            <w:r>
              <w:rPr>
                <w:rFonts w:ascii="Inherit" w:hAnsi="Inherit" w:cs="Calibri"/>
                <w:color w:val="000000"/>
              </w:rPr>
              <w:t>Pad Lock </w:t>
            </w:r>
          </w:p>
        </w:tc>
        <w:tc>
          <w:tcPr>
            <w:tcW w:w="1620" w:type="dxa"/>
            <w:tcBorders>
              <w:top w:val="nil"/>
              <w:left w:val="nil"/>
              <w:bottom w:val="single" w:sz="4" w:space="0" w:color="auto"/>
              <w:right w:val="nil"/>
            </w:tcBorders>
            <w:shd w:val="clear" w:color="auto" w:fill="auto"/>
            <w:noWrap/>
            <w:vAlign w:val="bottom"/>
            <w:hideMark/>
          </w:tcPr>
          <w:p w14:paraId="415B9C35" w14:textId="77777777" w:rsidR="00A95F21" w:rsidRDefault="00A95F21" w:rsidP="00A95F21">
            <w:pPr>
              <w:jc w:val="center"/>
              <w:rPr>
                <w:rFonts w:ascii="Calibri" w:hAnsi="Calibri" w:cs="Calibri"/>
                <w:color w:val="000000"/>
              </w:rPr>
            </w:pPr>
            <w:r>
              <w:rPr>
                <w:rFonts w:ascii="Calibri" w:hAnsi="Calibri" w:cs="Calibri"/>
                <w:color w:val="000000"/>
              </w:rPr>
              <w:t>1</w:t>
            </w:r>
          </w:p>
        </w:tc>
        <w:tc>
          <w:tcPr>
            <w:tcW w:w="1509" w:type="dxa"/>
            <w:tcBorders>
              <w:top w:val="nil"/>
              <w:left w:val="nil"/>
              <w:bottom w:val="single" w:sz="4" w:space="0" w:color="auto"/>
              <w:right w:val="nil"/>
            </w:tcBorders>
            <w:shd w:val="clear" w:color="auto" w:fill="auto"/>
            <w:noWrap/>
            <w:vAlign w:val="bottom"/>
            <w:hideMark/>
          </w:tcPr>
          <w:p w14:paraId="72847E49" w14:textId="24E34E66" w:rsidR="00A95F21" w:rsidRDefault="00A95F21" w:rsidP="00A95F21">
            <w:pPr>
              <w:jc w:val="center"/>
              <w:rPr>
                <w:rFonts w:ascii="Inherit" w:hAnsi="Inherit" w:cs="Calibri"/>
                <w:color w:val="000000"/>
              </w:rPr>
            </w:pPr>
            <w:r>
              <w:rPr>
                <w:rFonts w:ascii="Inherit" w:hAnsi="Inherit" w:cs="Calibri"/>
                <w:color w:val="000000"/>
              </w:rPr>
              <w:t>$10</w:t>
            </w:r>
          </w:p>
        </w:tc>
      </w:tr>
      <w:tr w:rsidR="00A95F21" w14:paraId="60B58DA5" w14:textId="77777777" w:rsidTr="00A95F21">
        <w:trPr>
          <w:trHeight w:val="340"/>
          <w:jc w:val="center"/>
        </w:trPr>
        <w:tc>
          <w:tcPr>
            <w:tcW w:w="6030" w:type="dxa"/>
            <w:tcBorders>
              <w:top w:val="single" w:sz="4" w:space="0" w:color="auto"/>
              <w:left w:val="nil"/>
              <w:bottom w:val="single" w:sz="8" w:space="0" w:color="auto"/>
              <w:right w:val="nil"/>
            </w:tcBorders>
            <w:shd w:val="clear" w:color="auto" w:fill="auto"/>
            <w:noWrap/>
            <w:vAlign w:val="bottom"/>
            <w:hideMark/>
          </w:tcPr>
          <w:p w14:paraId="39127C5F" w14:textId="77777777" w:rsidR="00A95F21" w:rsidRDefault="00A95F21" w:rsidP="00A95F21">
            <w:pPr>
              <w:rPr>
                <w:rFonts w:ascii="Inherit" w:hAnsi="Inherit" w:cs="Calibri"/>
                <w:color w:val="000000"/>
              </w:rPr>
            </w:pPr>
            <w:r>
              <w:rPr>
                <w:rFonts w:ascii="Inherit" w:hAnsi="Inherit" w:cs="Calibri"/>
                <w:color w:val="000000"/>
              </w:rPr>
              <w:t xml:space="preserve">Total Cost </w:t>
            </w:r>
          </w:p>
        </w:tc>
        <w:tc>
          <w:tcPr>
            <w:tcW w:w="1620" w:type="dxa"/>
            <w:tcBorders>
              <w:top w:val="single" w:sz="4" w:space="0" w:color="auto"/>
              <w:left w:val="nil"/>
              <w:bottom w:val="single" w:sz="8" w:space="0" w:color="auto"/>
              <w:right w:val="nil"/>
            </w:tcBorders>
            <w:shd w:val="clear" w:color="auto" w:fill="auto"/>
            <w:noWrap/>
            <w:vAlign w:val="bottom"/>
            <w:hideMark/>
          </w:tcPr>
          <w:p w14:paraId="153A2247" w14:textId="211874FD" w:rsidR="00A95F21" w:rsidRDefault="00A95F21" w:rsidP="00A95F21">
            <w:pPr>
              <w:jc w:val="center"/>
              <w:rPr>
                <w:rFonts w:ascii="Calibri" w:hAnsi="Calibri" w:cs="Calibri"/>
                <w:color w:val="000000"/>
              </w:rPr>
            </w:pPr>
          </w:p>
        </w:tc>
        <w:tc>
          <w:tcPr>
            <w:tcW w:w="1509" w:type="dxa"/>
            <w:tcBorders>
              <w:top w:val="single" w:sz="4" w:space="0" w:color="auto"/>
              <w:left w:val="nil"/>
              <w:bottom w:val="single" w:sz="8" w:space="0" w:color="auto"/>
              <w:right w:val="nil"/>
            </w:tcBorders>
            <w:shd w:val="clear" w:color="auto" w:fill="auto"/>
            <w:noWrap/>
            <w:vAlign w:val="bottom"/>
            <w:hideMark/>
          </w:tcPr>
          <w:p w14:paraId="7241C87E" w14:textId="0C71E932" w:rsidR="00A95F21" w:rsidRDefault="00A95F21" w:rsidP="00A95F21">
            <w:pPr>
              <w:jc w:val="center"/>
              <w:rPr>
                <w:rFonts w:ascii="Calibri" w:hAnsi="Calibri" w:cs="Calibri"/>
                <w:color w:val="000000"/>
              </w:rPr>
            </w:pPr>
            <w:r>
              <w:rPr>
                <w:rFonts w:ascii="Calibri" w:hAnsi="Calibri" w:cs="Calibri"/>
                <w:color w:val="000000"/>
              </w:rPr>
              <w:t>$1,160</w:t>
            </w:r>
          </w:p>
        </w:tc>
      </w:tr>
    </w:tbl>
    <w:p w14:paraId="00497930" w14:textId="40AE8935" w:rsidR="001E4B51" w:rsidRDefault="00A95F21" w:rsidP="0075129B">
      <w:pPr>
        <w:pStyle w:val="Heading1"/>
        <w:spacing w:line="276" w:lineRule="auto"/>
      </w:pPr>
      <w:r>
        <w:t>Materials</w:t>
      </w:r>
    </w:p>
    <w:p w14:paraId="4219F398" w14:textId="5B05959C" w:rsidR="00A95F21" w:rsidRDefault="00A95F21" w:rsidP="0075129B">
      <w:pPr>
        <w:pStyle w:val="Heading2"/>
        <w:spacing w:line="276" w:lineRule="auto"/>
      </w:pPr>
      <w:r>
        <w:t xml:space="preserve">Constructing the Pump </w:t>
      </w:r>
    </w:p>
    <w:p w14:paraId="4760C4B8" w14:textId="567BD6AB" w:rsidR="00A95F21" w:rsidRDefault="00A95F21" w:rsidP="0075129B">
      <w:pPr>
        <w:spacing w:line="276" w:lineRule="auto"/>
      </w:pPr>
      <w:r>
        <w:tab/>
        <w:t xml:space="preserve">The main component of any composite sampler is the pump that is used to draw the sample from the source to the collection container. Our design uses a peristaltic pump, as these are the types of pumps found in commercial composite samplers and are typically used in applications related to sampling sewage or other slurries. </w:t>
      </w:r>
      <w:r w:rsidR="00F768BB">
        <w:t xml:space="preserve">The peristaltic pump is so popular </w:t>
      </w:r>
      <w:r>
        <w:t xml:space="preserve">due </w:t>
      </w:r>
      <w:r w:rsidR="00F768BB">
        <w:t>its</w:t>
      </w:r>
      <w:r>
        <w:t xml:space="preserve"> design</w:t>
      </w:r>
      <w:r w:rsidR="00F768BB">
        <w:t>,</w:t>
      </w:r>
      <w:r>
        <w:t xml:space="preserve"> which relies on applied pressure differentials to drive samples up a tube and thus prevents the sample from coming into direct contact with the pump</w:t>
      </w:r>
      <w:r w:rsidR="009E38C1">
        <w:t>.</w:t>
      </w:r>
      <w:r>
        <w:t xml:space="preserve"> For our construction we used a variable speed Stenner Metering Pump (Model #: 85MJH1A1STG1)</w:t>
      </w:r>
      <w:r w:rsidR="003854F0">
        <w:t>, Figure 1</w:t>
      </w:r>
      <w:r>
        <w:t>.</w:t>
      </w:r>
    </w:p>
    <w:p w14:paraId="2B1AD1AD" w14:textId="77777777" w:rsidR="002A604D" w:rsidRDefault="002A604D" w:rsidP="0075129B">
      <w:pPr>
        <w:spacing w:line="276" w:lineRule="auto"/>
      </w:pPr>
    </w:p>
    <w:p w14:paraId="54841910" w14:textId="77777777" w:rsidR="003854F0" w:rsidRDefault="002A604D" w:rsidP="003854F0">
      <w:pPr>
        <w:keepNext/>
        <w:spacing w:line="276" w:lineRule="auto"/>
        <w:jc w:val="center"/>
      </w:pPr>
      <w:r>
        <w:rPr>
          <w:noProof/>
        </w:rPr>
        <w:lastRenderedPageBreak/>
        <w:drawing>
          <wp:inline distT="0" distB="0" distL="0" distR="0" wp14:anchorId="5FFCB38A" wp14:editId="6D3DE376">
            <wp:extent cx="3988906" cy="2991678"/>
            <wp:effectExtent l="0" t="0" r="0" b="5715"/>
            <wp:docPr id="2" name="Picture 2" descr="A close up of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1EBF435-562B-4D80-8DAF-0C6168355B78_1_105_c.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89874" cy="2992404"/>
                    </a:xfrm>
                    <a:prstGeom prst="rect">
                      <a:avLst/>
                    </a:prstGeom>
                  </pic:spPr>
                </pic:pic>
              </a:graphicData>
            </a:graphic>
          </wp:inline>
        </w:drawing>
      </w:r>
    </w:p>
    <w:p w14:paraId="7F693767" w14:textId="548EE685" w:rsidR="002A604D" w:rsidRPr="003854F0" w:rsidRDefault="003854F0" w:rsidP="003854F0">
      <w:pPr>
        <w:pStyle w:val="Caption"/>
        <w:jc w:val="center"/>
        <w:rPr>
          <w:i w:val="0"/>
          <w:iCs w:val="0"/>
          <w:color w:val="000000" w:themeColor="text1"/>
          <w:sz w:val="24"/>
          <w:szCs w:val="24"/>
        </w:rPr>
      </w:pPr>
      <w:r w:rsidRPr="003854F0">
        <w:rPr>
          <w:b/>
          <w:bCs/>
          <w:i w:val="0"/>
          <w:iCs w:val="0"/>
          <w:color w:val="000000" w:themeColor="text1"/>
          <w:sz w:val="24"/>
          <w:szCs w:val="24"/>
        </w:rPr>
        <w:t xml:space="preserve">Figure </w:t>
      </w:r>
      <w:r w:rsidRPr="003854F0">
        <w:rPr>
          <w:b/>
          <w:bCs/>
          <w:i w:val="0"/>
          <w:iCs w:val="0"/>
          <w:color w:val="000000" w:themeColor="text1"/>
          <w:sz w:val="24"/>
          <w:szCs w:val="24"/>
        </w:rPr>
        <w:fldChar w:fldCharType="begin"/>
      </w:r>
      <w:r w:rsidRPr="003854F0">
        <w:rPr>
          <w:b/>
          <w:bCs/>
          <w:i w:val="0"/>
          <w:iCs w:val="0"/>
          <w:color w:val="000000" w:themeColor="text1"/>
          <w:sz w:val="24"/>
          <w:szCs w:val="24"/>
        </w:rPr>
        <w:instrText xml:space="preserve"> SEQ Figure \* ARABIC </w:instrText>
      </w:r>
      <w:r w:rsidRPr="003854F0">
        <w:rPr>
          <w:b/>
          <w:bCs/>
          <w:i w:val="0"/>
          <w:iCs w:val="0"/>
          <w:color w:val="000000" w:themeColor="text1"/>
          <w:sz w:val="24"/>
          <w:szCs w:val="24"/>
        </w:rPr>
        <w:fldChar w:fldCharType="separate"/>
      </w:r>
      <w:r>
        <w:rPr>
          <w:b/>
          <w:bCs/>
          <w:i w:val="0"/>
          <w:iCs w:val="0"/>
          <w:noProof/>
          <w:color w:val="000000" w:themeColor="text1"/>
          <w:sz w:val="24"/>
          <w:szCs w:val="24"/>
        </w:rPr>
        <w:t>1</w:t>
      </w:r>
      <w:r w:rsidRPr="003854F0">
        <w:rPr>
          <w:b/>
          <w:bCs/>
          <w:i w:val="0"/>
          <w:iCs w:val="0"/>
          <w:color w:val="000000" w:themeColor="text1"/>
          <w:sz w:val="24"/>
          <w:szCs w:val="24"/>
        </w:rPr>
        <w:fldChar w:fldCharType="end"/>
      </w:r>
      <w:r w:rsidRPr="003854F0">
        <w:rPr>
          <w:b/>
          <w:bCs/>
          <w:i w:val="0"/>
          <w:iCs w:val="0"/>
          <w:color w:val="000000" w:themeColor="text1"/>
          <w:sz w:val="24"/>
          <w:szCs w:val="24"/>
        </w:rPr>
        <w:t>.</w:t>
      </w:r>
      <w:r w:rsidRPr="003854F0">
        <w:rPr>
          <w:i w:val="0"/>
          <w:iCs w:val="0"/>
          <w:color w:val="000000" w:themeColor="text1"/>
          <w:sz w:val="24"/>
          <w:szCs w:val="24"/>
        </w:rPr>
        <w:t xml:space="preserve"> The variable speed Stenner Metering Pump used to pull wastewater. The dial at the neck of the pump sets the speed at which the sample is pulled with 5 gallons per day (GPD) being the max speed.</w:t>
      </w:r>
    </w:p>
    <w:p w14:paraId="4A501763" w14:textId="77777777" w:rsidR="002A604D" w:rsidRDefault="00A95F21" w:rsidP="0075129B">
      <w:pPr>
        <w:spacing w:line="276" w:lineRule="auto"/>
      </w:pPr>
      <w:r>
        <w:tab/>
      </w:r>
    </w:p>
    <w:p w14:paraId="1690A8C3" w14:textId="008EF7C9" w:rsidR="00A95F21" w:rsidRDefault="00F768BB" w:rsidP="002A604D">
      <w:pPr>
        <w:spacing w:line="276" w:lineRule="auto"/>
        <w:ind w:firstLine="720"/>
      </w:pPr>
      <w:r>
        <w:t>When deploying the sampler to locations where a power outlet is not available and running an extension cord is not viable</w:t>
      </w:r>
      <w:r w:rsidR="00A95F21">
        <w:t xml:space="preserve">, a power supply </w:t>
      </w:r>
      <w:r>
        <w:t>is needed</w:t>
      </w:r>
      <w:r w:rsidR="00A95F21">
        <w:t xml:space="preserve">. </w:t>
      </w:r>
      <w:r>
        <w:t>We used</w:t>
      </w:r>
      <w:r w:rsidR="00A95F21">
        <w:t xml:space="preserve"> a 12 Volt </w:t>
      </w:r>
      <w:r w:rsidR="0075129B">
        <w:t>6</w:t>
      </w:r>
      <w:r w:rsidR="00A95F21">
        <w:t>50 Cold Cranking Amps</w:t>
      </w:r>
      <w:r w:rsidR="00EC57ED">
        <w:t xml:space="preserve"> (CCA)</w:t>
      </w:r>
      <w:r w:rsidR="00A95F21">
        <w:t xml:space="preserve"> Car Battery connected to a 12 Volt Direct Current </w:t>
      </w:r>
      <w:r w:rsidR="00EC57ED">
        <w:t xml:space="preserve">(DC) </w:t>
      </w:r>
      <w:r w:rsidR="00A95F21">
        <w:t>to 120 Volt Alternating Current</w:t>
      </w:r>
      <w:r w:rsidR="00EC57ED">
        <w:t xml:space="preserve"> (AC)</w:t>
      </w:r>
      <w:r w:rsidR="00A95F21">
        <w:t xml:space="preserve"> Inverter using marine battery terminals to connect the eyelet terminals of the converter to the car battery ends</w:t>
      </w:r>
      <w:r w:rsidR="003854F0">
        <w:t>, Figure 2</w:t>
      </w:r>
      <w:r w:rsidR="00A95F21">
        <w:t xml:space="preserve">. </w:t>
      </w:r>
      <w:r w:rsidR="00DE75D3">
        <w:t xml:space="preserve">This </w:t>
      </w:r>
      <w:r w:rsidR="00A95F21">
        <w:t xml:space="preserve">power supply could then be used to power the peristaltic pump by plugging the peristaltic pump into the grounded outlets found on the </w:t>
      </w:r>
      <w:r w:rsidR="00EC57ED">
        <w:t>inverter</w:t>
      </w:r>
      <w:r w:rsidR="00A95F21">
        <w:t xml:space="preserve">. </w:t>
      </w:r>
    </w:p>
    <w:p w14:paraId="3641ADC8" w14:textId="10B497B8" w:rsidR="002A604D" w:rsidRDefault="002A604D" w:rsidP="002A604D">
      <w:pPr>
        <w:spacing w:line="276" w:lineRule="auto"/>
      </w:pPr>
    </w:p>
    <w:p w14:paraId="3C9864AB" w14:textId="77777777" w:rsidR="003854F0" w:rsidRDefault="002A604D" w:rsidP="003854F0">
      <w:pPr>
        <w:keepNext/>
        <w:spacing w:line="276" w:lineRule="auto"/>
        <w:jc w:val="center"/>
      </w:pPr>
      <w:r>
        <w:rPr>
          <w:noProof/>
        </w:rPr>
        <w:lastRenderedPageBreak/>
        <w:drawing>
          <wp:inline distT="0" distB="0" distL="0" distR="0" wp14:anchorId="118C7475" wp14:editId="20F49189">
            <wp:extent cx="5061809" cy="4512365"/>
            <wp:effectExtent l="0" t="0" r="5715" b="0"/>
            <wp:docPr id="4" name="Picture 4" descr="A close up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966B2FA-1C16-49B2-8E66-306522344AF3_1_201_a.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61809" cy="4512365"/>
                    </a:xfrm>
                    <a:prstGeom prst="rect">
                      <a:avLst/>
                    </a:prstGeom>
                  </pic:spPr>
                </pic:pic>
              </a:graphicData>
            </a:graphic>
          </wp:inline>
        </w:drawing>
      </w:r>
    </w:p>
    <w:p w14:paraId="7B2D1AF3" w14:textId="16E4A185" w:rsidR="002A604D" w:rsidRPr="003854F0" w:rsidRDefault="003854F0" w:rsidP="003854F0">
      <w:pPr>
        <w:pStyle w:val="Caption"/>
        <w:jc w:val="center"/>
        <w:rPr>
          <w:i w:val="0"/>
          <w:iCs w:val="0"/>
          <w:color w:val="000000" w:themeColor="text1"/>
          <w:sz w:val="24"/>
          <w:szCs w:val="24"/>
        </w:rPr>
      </w:pPr>
      <w:r w:rsidRPr="003854F0">
        <w:rPr>
          <w:b/>
          <w:bCs/>
          <w:i w:val="0"/>
          <w:iCs w:val="0"/>
          <w:color w:val="000000" w:themeColor="text1"/>
          <w:sz w:val="24"/>
          <w:szCs w:val="24"/>
        </w:rPr>
        <w:t xml:space="preserve">Figure </w:t>
      </w:r>
      <w:r w:rsidRPr="003854F0">
        <w:rPr>
          <w:b/>
          <w:bCs/>
          <w:i w:val="0"/>
          <w:iCs w:val="0"/>
          <w:color w:val="000000" w:themeColor="text1"/>
          <w:sz w:val="24"/>
          <w:szCs w:val="24"/>
        </w:rPr>
        <w:fldChar w:fldCharType="begin"/>
      </w:r>
      <w:r w:rsidRPr="003854F0">
        <w:rPr>
          <w:b/>
          <w:bCs/>
          <w:i w:val="0"/>
          <w:iCs w:val="0"/>
          <w:color w:val="000000" w:themeColor="text1"/>
          <w:sz w:val="24"/>
          <w:szCs w:val="24"/>
        </w:rPr>
        <w:instrText xml:space="preserve"> SEQ Figure \* ARABIC </w:instrText>
      </w:r>
      <w:r w:rsidRPr="003854F0">
        <w:rPr>
          <w:b/>
          <w:bCs/>
          <w:i w:val="0"/>
          <w:iCs w:val="0"/>
          <w:color w:val="000000" w:themeColor="text1"/>
          <w:sz w:val="24"/>
          <w:szCs w:val="24"/>
        </w:rPr>
        <w:fldChar w:fldCharType="separate"/>
      </w:r>
      <w:r>
        <w:rPr>
          <w:b/>
          <w:bCs/>
          <w:i w:val="0"/>
          <w:iCs w:val="0"/>
          <w:noProof/>
          <w:color w:val="000000" w:themeColor="text1"/>
          <w:sz w:val="24"/>
          <w:szCs w:val="24"/>
        </w:rPr>
        <w:t>2</w:t>
      </w:r>
      <w:r w:rsidRPr="003854F0">
        <w:rPr>
          <w:b/>
          <w:bCs/>
          <w:i w:val="0"/>
          <w:iCs w:val="0"/>
          <w:color w:val="000000" w:themeColor="text1"/>
          <w:sz w:val="24"/>
          <w:szCs w:val="24"/>
        </w:rPr>
        <w:fldChar w:fldCharType="end"/>
      </w:r>
      <w:r w:rsidRPr="003854F0">
        <w:rPr>
          <w:b/>
          <w:bCs/>
          <w:i w:val="0"/>
          <w:iCs w:val="0"/>
          <w:color w:val="000000" w:themeColor="text1"/>
          <w:sz w:val="24"/>
          <w:szCs w:val="24"/>
        </w:rPr>
        <w:t>.</w:t>
      </w:r>
      <w:r w:rsidRPr="003854F0">
        <w:rPr>
          <w:i w:val="0"/>
          <w:iCs w:val="0"/>
          <w:color w:val="000000" w:themeColor="text1"/>
          <w:sz w:val="24"/>
          <w:szCs w:val="24"/>
        </w:rPr>
        <w:t xml:space="preserve"> 12 Volt 650 CCA Car Battery connected to a 12v DC to 120v AC inverter using eyelet to navy clip converters.</w:t>
      </w:r>
    </w:p>
    <w:p w14:paraId="213D5719" w14:textId="77777777" w:rsidR="002A604D" w:rsidRDefault="002A604D" w:rsidP="002A604D">
      <w:pPr>
        <w:spacing w:line="276" w:lineRule="auto"/>
      </w:pPr>
    </w:p>
    <w:p w14:paraId="5CCC92B2" w14:textId="67AB3EEE" w:rsidR="00A95F21" w:rsidRDefault="00A95F21" w:rsidP="0075129B">
      <w:pPr>
        <w:spacing w:line="276" w:lineRule="auto"/>
        <w:ind w:firstLine="720"/>
      </w:pPr>
      <w:r>
        <w:t xml:space="preserve">Unfortunately, the 12 Volt </w:t>
      </w:r>
      <w:r w:rsidR="0075129B">
        <w:t>6</w:t>
      </w:r>
      <w:r>
        <w:t xml:space="preserve">50 </w:t>
      </w:r>
      <w:r w:rsidR="00EC57ED">
        <w:t>CCA</w:t>
      </w:r>
      <w:r>
        <w:t xml:space="preserve"> Car Battery could not support the continuous sampling functionality of the peristaltic pump for 24-hours. Before devising a solution to the power consumption issue, we calculated the theoretical </w:t>
      </w:r>
      <w:r w:rsidR="00DE75D3">
        <w:t xml:space="preserve">continuous </w:t>
      </w:r>
      <w:r>
        <w:t xml:space="preserve">run time of the device to be around </w:t>
      </w:r>
      <w:r w:rsidR="0075129B">
        <w:t>4.75</w:t>
      </w:r>
      <w:r>
        <w:t xml:space="preserve"> hours, using equations 1 though 3.</w:t>
      </w:r>
      <w:r w:rsidR="00DE75D3">
        <w:t xml:space="preserve"> (Indeed, during our first overnight trial run the battery was drained, the alarm on the inverter was activated, and a bomb threat was called in. Be sure to coordinate with public safety on the locations and specifications of DIY wastewater samplers.)</w:t>
      </w:r>
    </w:p>
    <w:p w14:paraId="257596F6" w14:textId="77777777" w:rsidR="00A61C0A" w:rsidRDefault="00A61C0A" w:rsidP="0075129B">
      <w:pPr>
        <w:spacing w:line="276" w:lineRule="auto"/>
        <w:ind w:firstLine="720"/>
      </w:pPr>
    </w:p>
    <w:tbl>
      <w:tblPr>
        <w:tblStyle w:val="TableGrid"/>
        <w:tblW w:w="0" w:type="auto"/>
        <w:tblLook w:val="04A0" w:firstRow="1" w:lastRow="0" w:firstColumn="1" w:lastColumn="0" w:noHBand="0" w:noVBand="1"/>
      </w:tblPr>
      <w:tblGrid>
        <w:gridCol w:w="9350"/>
      </w:tblGrid>
      <w:tr w:rsidR="00A61C0A" w14:paraId="5F1CAC07" w14:textId="77777777" w:rsidTr="00A61C0A">
        <w:tc>
          <w:tcPr>
            <w:tcW w:w="9350" w:type="dxa"/>
          </w:tcPr>
          <w:p w14:paraId="48526E55" w14:textId="77777777" w:rsidR="00A61C0A" w:rsidRPr="00A95F21" w:rsidRDefault="00A61C0A" w:rsidP="00A61C0A">
            <w:pPr>
              <w:pStyle w:val="Caption"/>
              <w:jc w:val="center"/>
              <w:rPr>
                <w:i w:val="0"/>
                <w:iCs w:val="0"/>
                <w:color w:val="auto"/>
                <w:sz w:val="24"/>
                <w:szCs w:val="24"/>
              </w:rPr>
            </w:pPr>
            <w:r w:rsidRPr="00A95F21">
              <w:rPr>
                <w:b/>
                <w:bCs/>
                <w:i w:val="0"/>
                <w:iCs w:val="0"/>
                <w:color w:val="auto"/>
                <w:sz w:val="24"/>
                <w:szCs w:val="24"/>
              </w:rPr>
              <w:t xml:space="preserve">Equation </w:t>
            </w:r>
            <w:r w:rsidRPr="00A95F21">
              <w:rPr>
                <w:b/>
                <w:bCs/>
                <w:i w:val="0"/>
                <w:iCs w:val="0"/>
                <w:color w:val="auto"/>
                <w:sz w:val="24"/>
                <w:szCs w:val="24"/>
              </w:rPr>
              <w:fldChar w:fldCharType="begin"/>
            </w:r>
            <w:r w:rsidRPr="00A95F21">
              <w:rPr>
                <w:b/>
                <w:bCs/>
                <w:i w:val="0"/>
                <w:iCs w:val="0"/>
                <w:color w:val="auto"/>
                <w:sz w:val="24"/>
                <w:szCs w:val="24"/>
              </w:rPr>
              <w:instrText xml:space="preserve"> SEQ Equation \* ARABIC </w:instrText>
            </w:r>
            <w:r w:rsidRPr="00A95F21">
              <w:rPr>
                <w:b/>
                <w:bCs/>
                <w:i w:val="0"/>
                <w:iCs w:val="0"/>
                <w:color w:val="auto"/>
                <w:sz w:val="24"/>
                <w:szCs w:val="24"/>
              </w:rPr>
              <w:fldChar w:fldCharType="separate"/>
            </w:r>
            <w:r>
              <w:rPr>
                <w:b/>
                <w:bCs/>
                <w:i w:val="0"/>
                <w:iCs w:val="0"/>
                <w:noProof/>
                <w:color w:val="auto"/>
                <w:sz w:val="24"/>
                <w:szCs w:val="24"/>
              </w:rPr>
              <w:t>1</w:t>
            </w:r>
            <w:r w:rsidRPr="00A95F21">
              <w:rPr>
                <w:b/>
                <w:bCs/>
                <w:i w:val="0"/>
                <w:iCs w:val="0"/>
                <w:color w:val="auto"/>
                <w:sz w:val="24"/>
                <w:szCs w:val="24"/>
              </w:rPr>
              <w:fldChar w:fldCharType="end"/>
            </w:r>
            <w:r w:rsidRPr="00A95F21">
              <w:rPr>
                <w:b/>
                <w:bCs/>
                <w:i w:val="0"/>
                <w:iCs w:val="0"/>
                <w:color w:val="auto"/>
                <w:sz w:val="24"/>
                <w:szCs w:val="24"/>
              </w:rPr>
              <w:t>.</w:t>
            </w:r>
            <w:r w:rsidRPr="00A95F21">
              <w:rPr>
                <w:i w:val="0"/>
                <w:iCs w:val="0"/>
                <w:color w:val="auto"/>
                <w:sz w:val="24"/>
                <w:szCs w:val="24"/>
              </w:rPr>
              <w:t xml:space="preserve"> Calculating theoretical run time of DIY portable composite sampler</w:t>
            </w:r>
          </w:p>
          <w:p w14:paraId="1D5F829B" w14:textId="77777777" w:rsidR="00A61C0A" w:rsidRPr="00A95F21" w:rsidRDefault="00A61C0A" w:rsidP="00A61C0A">
            <w:pPr>
              <w:ind w:firstLine="720"/>
              <w:jc w:val="center"/>
            </w:pPr>
            <m:oMathPara>
              <m:oMath>
                <m:r>
                  <w:rPr>
                    <w:rFonts w:ascii="Cambria Math" w:hAnsi="Cambria Math"/>
                  </w:rPr>
                  <m:t xml:space="preserve">Run Time= </m:t>
                </m:r>
                <m:f>
                  <m:fPr>
                    <m:ctrlPr>
                      <w:rPr>
                        <w:rFonts w:ascii="Cambria Math" w:hAnsi="Cambria Math"/>
                        <w:i/>
                      </w:rPr>
                    </m:ctrlPr>
                  </m:fPr>
                  <m:num>
                    <m:r>
                      <w:rPr>
                        <w:rFonts w:ascii="Cambria Math" w:hAnsi="Cambria Math"/>
                      </w:rPr>
                      <m:t xml:space="preserve">Battery Amp Hours </m:t>
                    </m:r>
                  </m:num>
                  <m:den>
                    <m:r>
                      <w:rPr>
                        <w:rFonts w:ascii="Cambria Math" w:hAnsi="Cambria Math"/>
                      </w:rPr>
                      <m:t>DC Amperage</m:t>
                    </m:r>
                  </m:den>
                </m:f>
              </m:oMath>
            </m:oMathPara>
          </w:p>
          <w:p w14:paraId="0242FE26" w14:textId="77777777" w:rsidR="00A61C0A" w:rsidRDefault="00A61C0A" w:rsidP="00A95F21"/>
        </w:tc>
      </w:tr>
    </w:tbl>
    <w:p w14:paraId="5EE40A1A" w14:textId="6D646FF8" w:rsidR="00A61C0A" w:rsidRDefault="00A61C0A" w:rsidP="00A61C0A"/>
    <w:tbl>
      <w:tblPr>
        <w:tblStyle w:val="TableGrid"/>
        <w:tblW w:w="0" w:type="auto"/>
        <w:tblLook w:val="04A0" w:firstRow="1" w:lastRow="0" w:firstColumn="1" w:lastColumn="0" w:noHBand="0" w:noVBand="1"/>
      </w:tblPr>
      <w:tblGrid>
        <w:gridCol w:w="9350"/>
      </w:tblGrid>
      <w:tr w:rsidR="00A61C0A" w14:paraId="67BDD266" w14:textId="77777777" w:rsidTr="00A61C0A">
        <w:tc>
          <w:tcPr>
            <w:tcW w:w="9350" w:type="dxa"/>
          </w:tcPr>
          <w:p w14:paraId="2B7E9A36" w14:textId="2C6349A7" w:rsidR="00A61C0A" w:rsidRPr="00A95F21" w:rsidRDefault="00A61C0A" w:rsidP="00A61C0A">
            <w:pPr>
              <w:pStyle w:val="Caption"/>
              <w:jc w:val="center"/>
              <w:rPr>
                <w:b/>
                <w:bCs/>
                <w:i w:val="0"/>
                <w:iCs w:val="0"/>
                <w:color w:val="auto"/>
                <w:sz w:val="24"/>
                <w:szCs w:val="24"/>
              </w:rPr>
            </w:pPr>
            <w:r w:rsidRPr="00A95F21">
              <w:rPr>
                <w:b/>
                <w:bCs/>
                <w:i w:val="0"/>
                <w:iCs w:val="0"/>
                <w:color w:val="auto"/>
                <w:sz w:val="24"/>
                <w:szCs w:val="24"/>
              </w:rPr>
              <w:t xml:space="preserve">Equation </w:t>
            </w:r>
            <w:r w:rsidRPr="00A95F21">
              <w:rPr>
                <w:b/>
                <w:bCs/>
                <w:i w:val="0"/>
                <w:iCs w:val="0"/>
                <w:color w:val="auto"/>
                <w:sz w:val="24"/>
                <w:szCs w:val="24"/>
              </w:rPr>
              <w:fldChar w:fldCharType="begin"/>
            </w:r>
            <w:r w:rsidRPr="00A95F21">
              <w:rPr>
                <w:b/>
                <w:bCs/>
                <w:i w:val="0"/>
                <w:iCs w:val="0"/>
                <w:color w:val="auto"/>
                <w:sz w:val="24"/>
                <w:szCs w:val="24"/>
              </w:rPr>
              <w:instrText xml:space="preserve"> SEQ Equation \* ARABIC </w:instrText>
            </w:r>
            <w:r w:rsidRPr="00A95F21">
              <w:rPr>
                <w:b/>
                <w:bCs/>
                <w:i w:val="0"/>
                <w:iCs w:val="0"/>
                <w:color w:val="auto"/>
                <w:sz w:val="24"/>
                <w:szCs w:val="24"/>
              </w:rPr>
              <w:fldChar w:fldCharType="separate"/>
            </w:r>
            <w:r>
              <w:rPr>
                <w:b/>
                <w:bCs/>
                <w:i w:val="0"/>
                <w:iCs w:val="0"/>
                <w:noProof/>
                <w:color w:val="auto"/>
                <w:sz w:val="24"/>
                <w:szCs w:val="24"/>
              </w:rPr>
              <w:t>2</w:t>
            </w:r>
            <w:r w:rsidRPr="00A95F21">
              <w:rPr>
                <w:b/>
                <w:bCs/>
                <w:i w:val="0"/>
                <w:iCs w:val="0"/>
                <w:color w:val="auto"/>
                <w:sz w:val="24"/>
                <w:szCs w:val="24"/>
              </w:rPr>
              <w:fldChar w:fldCharType="end"/>
            </w:r>
            <w:r w:rsidRPr="00A95F21">
              <w:rPr>
                <w:b/>
                <w:bCs/>
                <w:i w:val="0"/>
                <w:iCs w:val="0"/>
                <w:color w:val="auto"/>
                <w:sz w:val="24"/>
                <w:szCs w:val="24"/>
              </w:rPr>
              <w:t xml:space="preserve">. </w:t>
            </w:r>
            <w:r w:rsidRPr="00A95F21">
              <w:rPr>
                <w:i w:val="0"/>
                <w:iCs w:val="0"/>
                <w:color w:val="auto"/>
                <w:sz w:val="24"/>
                <w:szCs w:val="24"/>
              </w:rPr>
              <w:t>Calculating Amp Hours of 12 V 850 CCA Car Battery</w:t>
            </w:r>
          </w:p>
          <w:p w14:paraId="32EEDBE4" w14:textId="77777777" w:rsidR="00A61C0A" w:rsidRPr="00A61C0A" w:rsidRDefault="00A61C0A" w:rsidP="00A61C0A">
            <m:oMathPara>
              <m:oMath>
                <m:r>
                  <w:rPr>
                    <w:rFonts w:ascii="Cambria Math" w:hAnsi="Cambria Math"/>
                  </w:rPr>
                  <w:lastRenderedPageBreak/>
                  <m:t>Battery Amp Hours=</m:t>
                </m:r>
                <m:f>
                  <m:fPr>
                    <m:ctrlPr>
                      <w:rPr>
                        <w:rFonts w:ascii="Cambria Math" w:hAnsi="Cambria Math"/>
                        <w:i/>
                      </w:rPr>
                    </m:ctrlPr>
                  </m:fPr>
                  <m:num>
                    <m:r>
                      <w:rPr>
                        <w:rFonts w:ascii="Cambria Math" w:hAnsi="Cambria Math"/>
                      </w:rPr>
                      <m:t>Battery Cold Cranking Amps</m:t>
                    </m:r>
                  </m:num>
                  <m:den>
                    <m:r>
                      <w:rPr>
                        <w:rFonts w:ascii="Cambria Math" w:hAnsi="Cambria Math"/>
                      </w:rPr>
                      <m:t>7.25</m:t>
                    </m:r>
                  </m:den>
                </m:f>
              </m:oMath>
            </m:oMathPara>
          </w:p>
          <w:p w14:paraId="06C25183" w14:textId="77777777" w:rsidR="00A61C0A" w:rsidRDefault="00A61C0A" w:rsidP="00A61C0A"/>
        </w:tc>
      </w:tr>
    </w:tbl>
    <w:p w14:paraId="412865D8" w14:textId="77777777" w:rsidR="00A61C0A" w:rsidRDefault="00A61C0A" w:rsidP="00A61C0A"/>
    <w:tbl>
      <w:tblPr>
        <w:tblStyle w:val="TableGrid"/>
        <w:tblW w:w="0" w:type="auto"/>
        <w:tblLook w:val="04A0" w:firstRow="1" w:lastRow="0" w:firstColumn="1" w:lastColumn="0" w:noHBand="0" w:noVBand="1"/>
      </w:tblPr>
      <w:tblGrid>
        <w:gridCol w:w="9350"/>
      </w:tblGrid>
      <w:tr w:rsidR="00A61C0A" w14:paraId="526F74A4" w14:textId="77777777" w:rsidTr="00A61C0A">
        <w:tc>
          <w:tcPr>
            <w:tcW w:w="9350" w:type="dxa"/>
          </w:tcPr>
          <w:p w14:paraId="5F0B38F1" w14:textId="33107404" w:rsidR="00A61C0A" w:rsidRPr="00A95F21" w:rsidRDefault="00A61C0A" w:rsidP="00A61C0A">
            <w:pPr>
              <w:pStyle w:val="Caption"/>
              <w:jc w:val="center"/>
              <w:rPr>
                <w:i w:val="0"/>
                <w:iCs w:val="0"/>
                <w:color w:val="auto"/>
                <w:sz w:val="24"/>
                <w:szCs w:val="24"/>
              </w:rPr>
            </w:pPr>
            <w:r w:rsidRPr="00A95F21">
              <w:rPr>
                <w:b/>
                <w:bCs/>
                <w:i w:val="0"/>
                <w:iCs w:val="0"/>
                <w:color w:val="auto"/>
                <w:sz w:val="24"/>
                <w:szCs w:val="24"/>
              </w:rPr>
              <w:t xml:space="preserve">Equation </w:t>
            </w:r>
            <w:r w:rsidRPr="00A95F21">
              <w:rPr>
                <w:b/>
                <w:bCs/>
                <w:i w:val="0"/>
                <w:iCs w:val="0"/>
                <w:color w:val="auto"/>
                <w:sz w:val="24"/>
                <w:szCs w:val="24"/>
              </w:rPr>
              <w:fldChar w:fldCharType="begin"/>
            </w:r>
            <w:r w:rsidRPr="00A95F21">
              <w:rPr>
                <w:b/>
                <w:bCs/>
                <w:i w:val="0"/>
                <w:iCs w:val="0"/>
                <w:color w:val="auto"/>
                <w:sz w:val="24"/>
                <w:szCs w:val="24"/>
              </w:rPr>
              <w:instrText xml:space="preserve"> SEQ Equation \* ARABIC </w:instrText>
            </w:r>
            <w:r w:rsidRPr="00A95F21">
              <w:rPr>
                <w:b/>
                <w:bCs/>
                <w:i w:val="0"/>
                <w:iCs w:val="0"/>
                <w:color w:val="auto"/>
                <w:sz w:val="24"/>
                <w:szCs w:val="24"/>
              </w:rPr>
              <w:fldChar w:fldCharType="separate"/>
            </w:r>
            <w:r w:rsidRPr="00A95F21">
              <w:rPr>
                <w:b/>
                <w:bCs/>
                <w:i w:val="0"/>
                <w:iCs w:val="0"/>
                <w:color w:val="auto"/>
                <w:sz w:val="24"/>
                <w:szCs w:val="24"/>
              </w:rPr>
              <w:t>3</w:t>
            </w:r>
            <w:r w:rsidRPr="00A95F21">
              <w:rPr>
                <w:b/>
                <w:bCs/>
                <w:i w:val="0"/>
                <w:iCs w:val="0"/>
                <w:color w:val="auto"/>
                <w:sz w:val="24"/>
                <w:szCs w:val="24"/>
              </w:rPr>
              <w:fldChar w:fldCharType="end"/>
            </w:r>
            <w:r w:rsidRPr="00A95F21">
              <w:rPr>
                <w:b/>
                <w:bCs/>
                <w:i w:val="0"/>
                <w:iCs w:val="0"/>
                <w:color w:val="auto"/>
                <w:sz w:val="24"/>
                <w:szCs w:val="24"/>
              </w:rPr>
              <w:t>.</w:t>
            </w:r>
            <w:r w:rsidRPr="00A95F21">
              <w:rPr>
                <w:i w:val="0"/>
                <w:iCs w:val="0"/>
                <w:color w:val="auto"/>
                <w:sz w:val="24"/>
                <w:szCs w:val="24"/>
              </w:rPr>
              <w:t xml:space="preserve"> Conver</w:t>
            </w:r>
            <w:r>
              <w:rPr>
                <w:i w:val="0"/>
                <w:iCs w:val="0"/>
                <w:color w:val="auto"/>
                <w:sz w:val="24"/>
                <w:szCs w:val="24"/>
              </w:rPr>
              <w:t>t</w:t>
            </w:r>
            <w:r w:rsidRPr="00A95F21">
              <w:rPr>
                <w:i w:val="0"/>
                <w:iCs w:val="0"/>
                <w:color w:val="auto"/>
                <w:sz w:val="24"/>
                <w:szCs w:val="24"/>
              </w:rPr>
              <w:t>ing AC Amperage of peristaltic pump to DC Amperage</w:t>
            </w:r>
          </w:p>
          <w:p w14:paraId="4C94547C" w14:textId="77777777" w:rsidR="00A61C0A" w:rsidRDefault="00A61C0A" w:rsidP="00A61C0A">
            <w:pPr>
              <w:ind w:firstLine="720"/>
              <w:jc w:val="center"/>
              <w:rPr>
                <w:vertAlign w:val="superscript"/>
              </w:rPr>
            </w:pPr>
            <m:oMath>
              <m:r>
                <w:rPr>
                  <w:rFonts w:ascii="Cambria Math" w:hAnsi="Cambria Math"/>
                </w:rPr>
                <m:t xml:space="preserve">DC Amperage= </m:t>
              </m:r>
              <m:f>
                <m:fPr>
                  <m:ctrlPr>
                    <w:rPr>
                      <w:rFonts w:ascii="Cambria Math" w:hAnsi="Cambria Math"/>
                      <w:i/>
                    </w:rPr>
                  </m:ctrlPr>
                </m:fPr>
                <m:num>
                  <m:r>
                    <w:rPr>
                      <w:rFonts w:ascii="Cambria Math" w:hAnsi="Cambria Math"/>
                    </w:rPr>
                    <m:t>AC Voltage × AC Amperage</m:t>
                  </m:r>
                </m:num>
                <m:den>
                  <m:r>
                    <w:rPr>
                      <w:rFonts w:ascii="Cambria Math" w:hAnsi="Cambria Math"/>
                    </w:rPr>
                    <m:t>DC Voltage</m:t>
                  </m:r>
                </m:den>
              </m:f>
              <m:r>
                <w:rPr>
                  <w:rFonts w:ascii="Cambria Math" w:hAnsi="Cambria Math"/>
                </w:rPr>
                <m:t xml:space="preserve"> × </m:t>
              </m:r>
              <m:d>
                <m:dPr>
                  <m:ctrlPr>
                    <w:rPr>
                      <w:rFonts w:ascii="Cambria Math" w:hAnsi="Cambria Math"/>
                      <w:i/>
                    </w:rPr>
                  </m:ctrlPr>
                </m:dPr>
                <m:e>
                  <m:f>
                    <m:fPr>
                      <m:ctrlPr>
                        <w:rPr>
                          <w:rFonts w:ascii="Cambria Math" w:hAnsi="Cambria Math"/>
                          <w:i/>
                        </w:rPr>
                      </m:ctrlPr>
                    </m:fPr>
                    <m:num>
                      <m:r>
                        <w:rPr>
                          <w:rFonts w:ascii="Cambria Math" w:hAnsi="Cambria Math"/>
                        </w:rPr>
                        <m:t>Power Factor</m:t>
                      </m:r>
                    </m:num>
                    <m:den>
                      <m:r>
                        <w:rPr>
                          <w:rFonts w:ascii="Cambria Math" w:hAnsi="Cambria Math"/>
                        </w:rPr>
                        <m:t>Efficiency</m:t>
                      </m:r>
                    </m:den>
                  </m:f>
                </m:e>
              </m:d>
            </m:oMath>
            <w:r>
              <w:rPr>
                <w:vertAlign w:val="superscript"/>
              </w:rPr>
              <w:t>*</w:t>
            </w:r>
          </w:p>
          <w:p w14:paraId="7179F834" w14:textId="77777777" w:rsidR="00A61C0A" w:rsidRDefault="00A61C0A" w:rsidP="00A61C0A">
            <w:pPr>
              <w:ind w:firstLine="720"/>
              <w:jc w:val="center"/>
              <w:rPr>
                <w:vertAlign w:val="superscript"/>
              </w:rPr>
            </w:pPr>
          </w:p>
          <w:p w14:paraId="3F4EF08F" w14:textId="32CA366B" w:rsidR="00A61C0A" w:rsidRPr="00A61C0A" w:rsidRDefault="00A61C0A" w:rsidP="00A61C0A">
            <w:pPr>
              <w:jc w:val="center"/>
              <w:rPr>
                <w:vertAlign w:val="superscript"/>
              </w:rPr>
            </w:pPr>
            <w:r>
              <w:rPr>
                <w:vertAlign w:val="superscript"/>
              </w:rPr>
              <w:t>*Power Factor / Efficiency was given the constant of 1.1</w:t>
            </w:r>
          </w:p>
        </w:tc>
      </w:tr>
    </w:tbl>
    <w:p w14:paraId="39A44F52" w14:textId="77777777" w:rsidR="00A61C0A" w:rsidRDefault="00A61C0A" w:rsidP="00A61C0A"/>
    <w:p w14:paraId="057E77C8" w14:textId="33ED1456" w:rsidR="002A604D" w:rsidRDefault="00A95F21" w:rsidP="0075129B">
      <w:pPr>
        <w:spacing w:line="276" w:lineRule="auto"/>
        <w:ind w:firstLine="720"/>
      </w:pPr>
      <w:r>
        <w:t xml:space="preserve">Once the theoretical run time of the DIY portable composite sampler was calculated, two solutions were devised to extend the life of the power supply to conduct 24-hour composite sampling. The first solution was to create a power bank by connecting four 12 Volt </w:t>
      </w:r>
      <w:r w:rsidR="0075129B">
        <w:t>6</w:t>
      </w:r>
      <w:r>
        <w:t xml:space="preserve">50 </w:t>
      </w:r>
      <w:r w:rsidR="00EC57ED">
        <w:t>CCA</w:t>
      </w:r>
      <w:r>
        <w:t xml:space="preserve"> Car Batteries in parallel and allowing the pump to run continuously for the 24-hour sampling period. This solution was ultimately dropped as utilizing a power bank made of 4 batteries no longer allowed for the composite sampler to be portable. Other drawback</w:t>
      </w:r>
      <w:r w:rsidR="00EC57ED">
        <w:t>s</w:t>
      </w:r>
      <w:r>
        <w:t xml:space="preserve"> included long recharge time for the power bank</w:t>
      </w:r>
      <w:r w:rsidR="00DE75D3">
        <w:t>, the cost of the power bank,</w:t>
      </w:r>
      <w:r>
        <w:t xml:space="preserve"> </w:t>
      </w:r>
      <w:r w:rsidR="00DE75D3">
        <w:t xml:space="preserve">as well as </w:t>
      </w:r>
      <w:r>
        <w:t>deviation from commercial portable composite samplers which sample in timed intervals</w:t>
      </w:r>
      <w:r w:rsidR="00DE75D3">
        <w:t xml:space="preserve"> rather than continuously</w:t>
      </w:r>
      <w:r>
        <w:t>. The second solution was to add a continuous interval timing outlet in between the inverter and peristaltic pump</w:t>
      </w:r>
      <w:r w:rsidR="003854F0">
        <w:t>, Figure 3</w:t>
      </w:r>
      <w:r>
        <w:t xml:space="preserve">. The outlet </w:t>
      </w:r>
      <w:r w:rsidR="0075129B">
        <w:t>was set to</w:t>
      </w:r>
      <w:r>
        <w:t xml:space="preserve"> supply power to the pump for 5 minutes every half hour cutting down the run time of the peristaltic pump to 4 hours while collecting samples over a 24-hour period.</w:t>
      </w:r>
      <w:r w:rsidR="00EC57ED">
        <w:t xml:space="preserve"> </w:t>
      </w:r>
      <w:r>
        <w:t>This solution was ultimately chosen as part of the final design as it allowed the design to remain portable</w:t>
      </w:r>
      <w:r w:rsidR="00DE75D3">
        <w:t xml:space="preserve"> and costed less, </w:t>
      </w:r>
      <w:r>
        <w:t>while functioning in a similar manner to commercial peristaltic pumps.</w:t>
      </w:r>
      <w:r w:rsidR="006A3F21">
        <w:t xml:space="preserve"> </w:t>
      </w:r>
      <w:r>
        <w:t xml:space="preserve">After a 24-hour collection, the battery would have 2 hours of battery life left and could then be recharged to </w:t>
      </w:r>
      <w:r w:rsidR="0075129B">
        <w:t>full</w:t>
      </w:r>
      <w:r>
        <w:t xml:space="preserve"> capacity using a manual battery charger. </w:t>
      </w:r>
    </w:p>
    <w:p w14:paraId="468715B2" w14:textId="475838E3" w:rsidR="002A604D" w:rsidRDefault="002A604D" w:rsidP="0075129B">
      <w:pPr>
        <w:spacing w:line="276" w:lineRule="auto"/>
        <w:ind w:firstLine="720"/>
      </w:pPr>
    </w:p>
    <w:p w14:paraId="0883A757" w14:textId="77777777" w:rsidR="003854F0" w:rsidRDefault="002A604D" w:rsidP="003854F0">
      <w:pPr>
        <w:keepNext/>
        <w:spacing w:line="276" w:lineRule="auto"/>
        <w:jc w:val="center"/>
      </w:pPr>
      <w:r>
        <w:rPr>
          <w:noProof/>
        </w:rPr>
        <w:lastRenderedPageBreak/>
        <w:drawing>
          <wp:inline distT="0" distB="0" distL="0" distR="0" wp14:anchorId="2194A3A0" wp14:editId="402F0326">
            <wp:extent cx="2422663" cy="3230217"/>
            <wp:effectExtent l="0" t="0" r="3175" b="0"/>
            <wp:docPr id="5" name="Picture 5" descr="A picture containing indoor, clock, monitor,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030F790-FFED-43BD-AFA3-2E2EA20B9158_1_105_c.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23143" cy="3230857"/>
                    </a:xfrm>
                    <a:prstGeom prst="rect">
                      <a:avLst/>
                    </a:prstGeom>
                  </pic:spPr>
                </pic:pic>
              </a:graphicData>
            </a:graphic>
          </wp:inline>
        </w:drawing>
      </w:r>
    </w:p>
    <w:p w14:paraId="1E8B3389" w14:textId="7D71450C" w:rsidR="002A604D" w:rsidRPr="003854F0" w:rsidRDefault="003854F0" w:rsidP="003854F0">
      <w:pPr>
        <w:pStyle w:val="Caption"/>
        <w:jc w:val="center"/>
        <w:rPr>
          <w:i w:val="0"/>
          <w:iCs w:val="0"/>
          <w:color w:val="000000" w:themeColor="text1"/>
          <w:sz w:val="24"/>
          <w:szCs w:val="24"/>
        </w:rPr>
      </w:pPr>
      <w:r w:rsidRPr="003854F0">
        <w:rPr>
          <w:b/>
          <w:bCs/>
          <w:i w:val="0"/>
          <w:iCs w:val="0"/>
          <w:color w:val="000000" w:themeColor="text1"/>
          <w:sz w:val="24"/>
          <w:szCs w:val="24"/>
        </w:rPr>
        <w:t xml:space="preserve">Figure </w:t>
      </w:r>
      <w:r w:rsidRPr="003854F0">
        <w:rPr>
          <w:b/>
          <w:bCs/>
          <w:i w:val="0"/>
          <w:iCs w:val="0"/>
          <w:color w:val="000000" w:themeColor="text1"/>
          <w:sz w:val="24"/>
          <w:szCs w:val="24"/>
        </w:rPr>
        <w:fldChar w:fldCharType="begin"/>
      </w:r>
      <w:r w:rsidRPr="003854F0">
        <w:rPr>
          <w:b/>
          <w:bCs/>
          <w:i w:val="0"/>
          <w:iCs w:val="0"/>
          <w:color w:val="000000" w:themeColor="text1"/>
          <w:sz w:val="24"/>
          <w:szCs w:val="24"/>
        </w:rPr>
        <w:instrText xml:space="preserve"> SEQ Figure \* ARABIC </w:instrText>
      </w:r>
      <w:r w:rsidRPr="003854F0">
        <w:rPr>
          <w:b/>
          <w:bCs/>
          <w:i w:val="0"/>
          <w:iCs w:val="0"/>
          <w:color w:val="000000" w:themeColor="text1"/>
          <w:sz w:val="24"/>
          <w:szCs w:val="24"/>
        </w:rPr>
        <w:fldChar w:fldCharType="separate"/>
      </w:r>
      <w:r>
        <w:rPr>
          <w:b/>
          <w:bCs/>
          <w:i w:val="0"/>
          <w:iCs w:val="0"/>
          <w:noProof/>
          <w:color w:val="000000" w:themeColor="text1"/>
          <w:sz w:val="24"/>
          <w:szCs w:val="24"/>
        </w:rPr>
        <w:t>3</w:t>
      </w:r>
      <w:r w:rsidRPr="003854F0">
        <w:rPr>
          <w:b/>
          <w:bCs/>
          <w:i w:val="0"/>
          <w:iCs w:val="0"/>
          <w:color w:val="000000" w:themeColor="text1"/>
          <w:sz w:val="24"/>
          <w:szCs w:val="24"/>
        </w:rPr>
        <w:fldChar w:fldCharType="end"/>
      </w:r>
      <w:r w:rsidRPr="003854F0">
        <w:rPr>
          <w:b/>
          <w:bCs/>
          <w:i w:val="0"/>
          <w:iCs w:val="0"/>
          <w:color w:val="000000" w:themeColor="text1"/>
          <w:sz w:val="24"/>
          <w:szCs w:val="24"/>
        </w:rPr>
        <w:t>.</w:t>
      </w:r>
      <w:r w:rsidRPr="003854F0">
        <w:rPr>
          <w:i w:val="0"/>
          <w:iCs w:val="0"/>
          <w:color w:val="000000" w:themeColor="text1"/>
          <w:sz w:val="24"/>
          <w:szCs w:val="24"/>
        </w:rPr>
        <w:t xml:space="preserve"> Continuous interval timing outlet, found on Amazon, set to supply power to the pump for 5 minutes then stop for 25 minutes, totaling to a 30-minute period.</w:t>
      </w:r>
    </w:p>
    <w:p w14:paraId="43F38F89" w14:textId="77777777" w:rsidR="002A604D" w:rsidRDefault="002A604D" w:rsidP="0075129B">
      <w:pPr>
        <w:spacing w:line="276" w:lineRule="auto"/>
        <w:ind w:firstLine="720"/>
      </w:pPr>
    </w:p>
    <w:p w14:paraId="1C996BAB" w14:textId="5FC5D7C5" w:rsidR="00A95F21" w:rsidRDefault="00EC57ED" w:rsidP="0075129B">
      <w:pPr>
        <w:spacing w:line="276" w:lineRule="auto"/>
        <w:ind w:firstLine="720"/>
      </w:pPr>
      <w:r>
        <w:t>Alternatively, if a continuous interval timing outlet cannot be found, a relay outlet connected to an Arduino Uno with the positive end connected to pin 12 and the negative end connected to ground can be used</w:t>
      </w:r>
      <w:r w:rsidR="0075129B">
        <w:t>,</w:t>
      </w:r>
      <w:r>
        <w:t xml:space="preserve"> utilizing the code found in </w:t>
      </w:r>
      <w:r w:rsidR="002A604D">
        <w:t>script</w:t>
      </w:r>
      <w:r>
        <w:t xml:space="preserve"> 1.</w:t>
      </w:r>
    </w:p>
    <w:p w14:paraId="31F3646E" w14:textId="6160AAD9" w:rsidR="00EC57ED" w:rsidRDefault="00EC57ED" w:rsidP="0075129B">
      <w:pPr>
        <w:spacing w:line="276" w:lineRule="auto"/>
        <w:ind w:firstLine="720"/>
      </w:pPr>
    </w:p>
    <w:p w14:paraId="5EBD2B3A" w14:textId="77777777" w:rsidR="00EC57ED" w:rsidRDefault="00EC57ED" w:rsidP="0075129B">
      <w:pPr>
        <w:spacing w:line="276" w:lineRule="auto"/>
        <w:ind w:firstLine="720"/>
      </w:pPr>
    </w:p>
    <w:tbl>
      <w:tblPr>
        <w:tblStyle w:val="TableGrid"/>
        <w:tblW w:w="0" w:type="auto"/>
        <w:tblLook w:val="04A0" w:firstRow="1" w:lastRow="0" w:firstColumn="1" w:lastColumn="0" w:noHBand="0" w:noVBand="1"/>
      </w:tblPr>
      <w:tblGrid>
        <w:gridCol w:w="9350"/>
      </w:tblGrid>
      <w:tr w:rsidR="00EC57ED" w14:paraId="3976C19D" w14:textId="77777777" w:rsidTr="00EC57ED">
        <w:tc>
          <w:tcPr>
            <w:tcW w:w="9350" w:type="dxa"/>
          </w:tcPr>
          <w:p w14:paraId="561DBDA6" w14:textId="77777777" w:rsidR="00EC57ED" w:rsidRDefault="00EC57ED" w:rsidP="00EC57ED">
            <w:pPr>
              <w:spacing w:line="276" w:lineRule="auto"/>
            </w:pPr>
            <w:r>
              <w:t>void setup() {</w:t>
            </w:r>
          </w:p>
          <w:p w14:paraId="73209D28" w14:textId="77777777" w:rsidR="00EC57ED" w:rsidRDefault="00EC57ED" w:rsidP="00EC57ED">
            <w:pPr>
              <w:spacing w:line="276" w:lineRule="auto"/>
            </w:pPr>
            <w:r>
              <w:t xml:space="preserve">     // initialize digital pin 12 as an output</w:t>
            </w:r>
          </w:p>
          <w:p w14:paraId="67FF72CA" w14:textId="77777777" w:rsidR="00EC57ED" w:rsidRDefault="00EC57ED" w:rsidP="00EC57ED">
            <w:pPr>
              <w:spacing w:line="276" w:lineRule="auto"/>
            </w:pPr>
            <w:r>
              <w:t xml:space="preserve">     </w:t>
            </w:r>
            <w:proofErr w:type="spellStart"/>
            <w:r>
              <w:t>pinMode</w:t>
            </w:r>
            <w:proofErr w:type="spellEnd"/>
            <w:r>
              <w:t>(12, OUTPUT);</w:t>
            </w:r>
          </w:p>
          <w:p w14:paraId="054444C2" w14:textId="77777777" w:rsidR="00EC57ED" w:rsidRDefault="00EC57ED" w:rsidP="00EC57ED">
            <w:pPr>
              <w:spacing w:line="276" w:lineRule="auto"/>
            </w:pPr>
            <w:r>
              <w:t>}</w:t>
            </w:r>
          </w:p>
          <w:p w14:paraId="4F488862" w14:textId="77777777" w:rsidR="00EC57ED" w:rsidRDefault="00EC57ED" w:rsidP="00EC57ED">
            <w:pPr>
              <w:spacing w:line="276" w:lineRule="auto"/>
            </w:pPr>
            <w:r>
              <w:t>Void loop() {</w:t>
            </w:r>
          </w:p>
          <w:p w14:paraId="4817AD27" w14:textId="77777777" w:rsidR="00EC57ED" w:rsidRDefault="00EC57ED" w:rsidP="00EC57ED">
            <w:pPr>
              <w:spacing w:line="276" w:lineRule="auto"/>
            </w:pPr>
            <w:r>
              <w:t xml:space="preserve">     </w:t>
            </w:r>
            <w:proofErr w:type="spellStart"/>
            <w:r>
              <w:t>digitalWrite</w:t>
            </w:r>
            <w:proofErr w:type="spellEnd"/>
            <w:r>
              <w:t>(LED_BUILTIN, HIGH);     // Turn on pin 12 to high current output</w:t>
            </w:r>
          </w:p>
          <w:p w14:paraId="46E4B4A9" w14:textId="037A645E" w:rsidR="00EC57ED" w:rsidRDefault="00EC57ED" w:rsidP="00EC57ED">
            <w:pPr>
              <w:spacing w:line="276" w:lineRule="auto"/>
            </w:pPr>
            <w:r>
              <w:t xml:space="preserve">     delay(300000);                                         // Remain on for 300000 milliseconds (5 min)</w:t>
            </w:r>
          </w:p>
          <w:p w14:paraId="03D21D6F" w14:textId="77777777" w:rsidR="00EC57ED" w:rsidRDefault="00EC57ED" w:rsidP="00EC57ED">
            <w:pPr>
              <w:spacing w:line="276" w:lineRule="auto"/>
            </w:pPr>
            <w:r>
              <w:t xml:space="preserve">     </w:t>
            </w:r>
            <w:proofErr w:type="spellStart"/>
            <w:r>
              <w:t>digitalWrite</w:t>
            </w:r>
            <w:proofErr w:type="spellEnd"/>
            <w:r>
              <w:t>(LED_BUILTIN, HIGH);     // Turn off pin 12 to no current output</w:t>
            </w:r>
          </w:p>
          <w:p w14:paraId="20AAF469" w14:textId="77777777" w:rsidR="00EC57ED" w:rsidRDefault="00EC57ED" w:rsidP="00EC57ED">
            <w:pPr>
              <w:spacing w:line="276" w:lineRule="auto"/>
            </w:pPr>
            <w:r>
              <w:t xml:space="preserve">     delay(1500000);                                       // Remain off for 1500000 milliseconds (25 min)</w:t>
            </w:r>
          </w:p>
          <w:p w14:paraId="57C847C9" w14:textId="596F2D2B" w:rsidR="00EC57ED" w:rsidRDefault="00EC57ED" w:rsidP="00EC57ED">
            <w:pPr>
              <w:keepNext/>
              <w:spacing w:line="276" w:lineRule="auto"/>
            </w:pPr>
            <w:r>
              <w:t>}</w:t>
            </w:r>
          </w:p>
        </w:tc>
      </w:tr>
    </w:tbl>
    <w:p w14:paraId="1FC836DD" w14:textId="30DF8E1E" w:rsidR="00EC57ED" w:rsidRPr="00EC57ED" w:rsidRDefault="002A604D" w:rsidP="003854F0">
      <w:pPr>
        <w:pStyle w:val="Caption"/>
        <w:jc w:val="center"/>
        <w:rPr>
          <w:i w:val="0"/>
          <w:iCs w:val="0"/>
          <w:color w:val="auto"/>
          <w:sz w:val="24"/>
          <w:szCs w:val="24"/>
        </w:rPr>
      </w:pPr>
      <w:r>
        <w:rPr>
          <w:b/>
          <w:bCs/>
          <w:i w:val="0"/>
          <w:iCs w:val="0"/>
          <w:color w:val="auto"/>
          <w:sz w:val="24"/>
          <w:szCs w:val="24"/>
        </w:rPr>
        <w:t>Script</w:t>
      </w:r>
      <w:r w:rsidR="003854F0">
        <w:rPr>
          <w:b/>
          <w:bCs/>
          <w:i w:val="0"/>
          <w:iCs w:val="0"/>
          <w:color w:val="auto"/>
          <w:sz w:val="24"/>
          <w:szCs w:val="24"/>
        </w:rPr>
        <w:t xml:space="preserve"> 1</w:t>
      </w:r>
      <w:r w:rsidR="00EC57ED" w:rsidRPr="00EC57ED">
        <w:rPr>
          <w:b/>
          <w:bCs/>
          <w:i w:val="0"/>
          <w:iCs w:val="0"/>
          <w:color w:val="auto"/>
          <w:sz w:val="24"/>
          <w:szCs w:val="24"/>
        </w:rPr>
        <w:t>.</w:t>
      </w:r>
      <w:r w:rsidR="00EC57ED" w:rsidRPr="00EC57ED">
        <w:rPr>
          <w:i w:val="0"/>
          <w:iCs w:val="0"/>
          <w:color w:val="auto"/>
          <w:sz w:val="24"/>
          <w:szCs w:val="24"/>
        </w:rPr>
        <w:t xml:space="preserve"> Arduino code to program the Arduino Uno to turn the relay on for 5</w:t>
      </w:r>
      <w:r w:rsidR="00977EA7">
        <w:rPr>
          <w:i w:val="0"/>
          <w:iCs w:val="0"/>
          <w:color w:val="auto"/>
          <w:sz w:val="24"/>
          <w:szCs w:val="24"/>
        </w:rPr>
        <w:t>-</w:t>
      </w:r>
      <w:r w:rsidR="00EC57ED" w:rsidRPr="00EC57ED">
        <w:rPr>
          <w:i w:val="0"/>
          <w:iCs w:val="0"/>
          <w:color w:val="auto"/>
          <w:sz w:val="24"/>
          <w:szCs w:val="24"/>
        </w:rPr>
        <w:t>minute intervals every half hour</w:t>
      </w:r>
    </w:p>
    <w:p w14:paraId="5FE6A013" w14:textId="0148E82F" w:rsidR="001E4B51" w:rsidRDefault="00A95F21" w:rsidP="0075129B">
      <w:pPr>
        <w:spacing w:line="276" w:lineRule="auto"/>
        <w:ind w:firstLine="720"/>
      </w:pPr>
      <w:r>
        <w:t>After addressing the electrical components of the portable composite sampler’s design, we focused on the sample collection portion. Using the 25-foot long 1/4</w:t>
      </w:r>
      <w:r w:rsidRPr="00A95F21">
        <w:rPr>
          <w:vertAlign w:val="superscript"/>
        </w:rPr>
        <w:t>th</w:t>
      </w:r>
      <w:r>
        <w:t xml:space="preserve"> inch tubing provided with the peristaltic pump, we cut the tubing to into a 3-foot tube and a 22-foot tube. The 3-foot tube was connected to the peristaltic pump’s outlet and attached to a glass jug using a rubber </w:t>
      </w:r>
      <w:r>
        <w:lastRenderedPageBreak/>
        <w:t xml:space="preserve">stopper for the composite sample to be collected in. The 22-foot tube was connected to the pump’s inlet with a weight and filter attached to the end so it could be dropped into a manhole or sewage trap for wastewater sampling. </w:t>
      </w:r>
      <w:r w:rsidR="002A604D">
        <w:t xml:space="preserve"> A complete design of the pump construction can be seen in </w:t>
      </w:r>
      <w:r w:rsidR="003854F0">
        <w:t>F</w:t>
      </w:r>
      <w:r w:rsidR="002A604D">
        <w:t xml:space="preserve">igure </w:t>
      </w:r>
      <w:r w:rsidR="003854F0">
        <w:t>4</w:t>
      </w:r>
      <w:r w:rsidR="002A604D">
        <w:t>.</w:t>
      </w:r>
    </w:p>
    <w:p w14:paraId="1410EC26" w14:textId="77777777" w:rsidR="002A604D" w:rsidRDefault="002A604D" w:rsidP="0075129B">
      <w:pPr>
        <w:spacing w:line="276" w:lineRule="auto"/>
        <w:ind w:firstLine="720"/>
      </w:pPr>
    </w:p>
    <w:p w14:paraId="36C820B9" w14:textId="77777777" w:rsidR="003854F0" w:rsidRDefault="002A604D" w:rsidP="003854F0">
      <w:pPr>
        <w:keepNext/>
        <w:spacing w:line="276" w:lineRule="auto"/>
        <w:jc w:val="center"/>
      </w:pPr>
      <w:r>
        <w:rPr>
          <w:noProof/>
        </w:rPr>
        <w:drawing>
          <wp:inline distT="0" distB="0" distL="0" distR="0" wp14:anchorId="50412D51" wp14:editId="1F51519F">
            <wp:extent cx="5459896" cy="4094922"/>
            <wp:effectExtent l="0" t="0" r="1270" b="0"/>
            <wp:docPr id="1" name="Picture 1" descr="A desk with a computer sitting on top of a woode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4F7BDF-1100-440E-A0AB-CFBA59A5B0E6_1_105_c.jpeg"/>
                    <pic:cNvPicPr/>
                  </pic:nvPicPr>
                  <pic:blipFill>
                    <a:blip r:embed="rId9">
                      <a:extLst>
                        <a:ext uri="{28A0092B-C50C-407E-A947-70E740481C1C}">
                          <a14:useLocalDpi xmlns:a14="http://schemas.microsoft.com/office/drawing/2010/main" val="0"/>
                        </a:ext>
                      </a:extLst>
                    </a:blip>
                    <a:stretch>
                      <a:fillRect/>
                    </a:stretch>
                  </pic:blipFill>
                  <pic:spPr>
                    <a:xfrm>
                      <a:off x="0" y="0"/>
                      <a:ext cx="5459896" cy="4094922"/>
                    </a:xfrm>
                    <a:prstGeom prst="rect">
                      <a:avLst/>
                    </a:prstGeom>
                  </pic:spPr>
                </pic:pic>
              </a:graphicData>
            </a:graphic>
          </wp:inline>
        </w:drawing>
      </w:r>
    </w:p>
    <w:p w14:paraId="021BA84A" w14:textId="7263440C" w:rsidR="002A604D" w:rsidRPr="003854F0" w:rsidRDefault="003854F0" w:rsidP="003854F0">
      <w:pPr>
        <w:pStyle w:val="Caption"/>
        <w:jc w:val="center"/>
        <w:rPr>
          <w:i w:val="0"/>
          <w:iCs w:val="0"/>
          <w:color w:val="000000" w:themeColor="text1"/>
          <w:sz w:val="24"/>
          <w:szCs w:val="24"/>
        </w:rPr>
      </w:pPr>
      <w:r w:rsidRPr="003854F0">
        <w:rPr>
          <w:b/>
          <w:bCs/>
          <w:i w:val="0"/>
          <w:iCs w:val="0"/>
          <w:color w:val="000000" w:themeColor="text1"/>
          <w:sz w:val="24"/>
          <w:szCs w:val="24"/>
        </w:rPr>
        <w:t xml:space="preserve">Figure </w:t>
      </w:r>
      <w:r w:rsidRPr="003854F0">
        <w:rPr>
          <w:b/>
          <w:bCs/>
          <w:i w:val="0"/>
          <w:iCs w:val="0"/>
          <w:color w:val="000000" w:themeColor="text1"/>
          <w:sz w:val="24"/>
          <w:szCs w:val="24"/>
        </w:rPr>
        <w:fldChar w:fldCharType="begin"/>
      </w:r>
      <w:r w:rsidRPr="003854F0">
        <w:rPr>
          <w:b/>
          <w:bCs/>
          <w:i w:val="0"/>
          <w:iCs w:val="0"/>
          <w:color w:val="000000" w:themeColor="text1"/>
          <w:sz w:val="24"/>
          <w:szCs w:val="24"/>
        </w:rPr>
        <w:instrText xml:space="preserve"> SEQ Figure \* ARABIC </w:instrText>
      </w:r>
      <w:r w:rsidRPr="003854F0">
        <w:rPr>
          <w:b/>
          <w:bCs/>
          <w:i w:val="0"/>
          <w:iCs w:val="0"/>
          <w:color w:val="000000" w:themeColor="text1"/>
          <w:sz w:val="24"/>
          <w:szCs w:val="24"/>
        </w:rPr>
        <w:fldChar w:fldCharType="separate"/>
      </w:r>
      <w:r>
        <w:rPr>
          <w:b/>
          <w:bCs/>
          <w:i w:val="0"/>
          <w:iCs w:val="0"/>
          <w:noProof/>
          <w:color w:val="000000" w:themeColor="text1"/>
          <w:sz w:val="24"/>
          <w:szCs w:val="24"/>
        </w:rPr>
        <w:t>4</w:t>
      </w:r>
      <w:r w:rsidRPr="003854F0">
        <w:rPr>
          <w:b/>
          <w:bCs/>
          <w:i w:val="0"/>
          <w:iCs w:val="0"/>
          <w:color w:val="000000" w:themeColor="text1"/>
          <w:sz w:val="24"/>
          <w:szCs w:val="24"/>
        </w:rPr>
        <w:fldChar w:fldCharType="end"/>
      </w:r>
      <w:r w:rsidRPr="003854F0">
        <w:rPr>
          <w:b/>
          <w:bCs/>
          <w:i w:val="0"/>
          <w:iCs w:val="0"/>
          <w:color w:val="000000" w:themeColor="text1"/>
          <w:sz w:val="24"/>
          <w:szCs w:val="24"/>
        </w:rPr>
        <w:t>.</w:t>
      </w:r>
      <w:r w:rsidRPr="003854F0">
        <w:rPr>
          <w:i w:val="0"/>
          <w:iCs w:val="0"/>
          <w:color w:val="000000" w:themeColor="text1"/>
          <w:sz w:val="24"/>
          <w:szCs w:val="24"/>
        </w:rPr>
        <w:t xml:space="preserve"> The full build of the pump and the power supply containing the continuous interval timing outlet in between.</w:t>
      </w:r>
    </w:p>
    <w:p w14:paraId="05871703" w14:textId="77777777" w:rsidR="0075129B" w:rsidRDefault="0075129B" w:rsidP="0075129B">
      <w:pPr>
        <w:spacing w:line="276" w:lineRule="auto"/>
        <w:ind w:firstLine="720"/>
      </w:pPr>
    </w:p>
    <w:p w14:paraId="1CDE32A2" w14:textId="4604491F" w:rsidR="003757A0" w:rsidRDefault="00A61C0A" w:rsidP="0075129B">
      <w:pPr>
        <w:pStyle w:val="Heading2"/>
        <w:spacing w:line="276" w:lineRule="auto"/>
      </w:pPr>
      <w:r>
        <w:t xml:space="preserve">Housing and Temperature Control </w:t>
      </w:r>
    </w:p>
    <w:p w14:paraId="4CCFD800" w14:textId="0FB29996" w:rsidR="00A61C0A" w:rsidRDefault="00A61C0A" w:rsidP="0075129B">
      <w:pPr>
        <w:spacing w:line="276" w:lineRule="auto"/>
      </w:pPr>
      <w:r>
        <w:tab/>
        <w:t xml:space="preserve">In addition to the pump, other important elements of composite samplers are </w:t>
      </w:r>
      <w:r w:rsidR="00DE75D3">
        <w:t>a secure pump housing</w:t>
      </w:r>
      <w:r>
        <w:t xml:space="preserve"> and a temperature-controlled climate </w:t>
      </w:r>
      <w:r w:rsidR="00DE75D3">
        <w:t>to hold the pump and the sample</w:t>
      </w:r>
      <w:r>
        <w:t xml:space="preserve"> </w:t>
      </w:r>
      <w:r w:rsidR="0075129B">
        <w:t>around 4 degrees Celsius</w:t>
      </w:r>
      <w:r>
        <w:t xml:space="preserve"> to prevent </w:t>
      </w:r>
      <w:r w:rsidR="003332B9">
        <w:t xml:space="preserve">the pump freezing in cold weather and to prevent </w:t>
      </w:r>
      <w:r>
        <w:t>sample degradation</w:t>
      </w:r>
      <w:r w:rsidR="003332B9">
        <w:t xml:space="preserve"> in warm weather</w:t>
      </w:r>
      <w:r>
        <w:t xml:space="preserve">. To house our DIY portable composite sampler, our design used a deck box often found by the side of a pool or next to a patio space to store outdoor equipment. This was used to provide enough space to insulate the housing with fiberglass insulation to prevent </w:t>
      </w:r>
      <w:r w:rsidR="00DE75D3">
        <w:t>freezing</w:t>
      </w:r>
      <w:r>
        <w:t xml:space="preserve"> during </w:t>
      </w:r>
      <w:r w:rsidR="00DE75D3">
        <w:t xml:space="preserve">subzero temperatures </w:t>
      </w:r>
      <w:r>
        <w:t>and to house a cooler on the inside in which the collection jar sits in order to keep the collected sample cool throughout the sampling process</w:t>
      </w:r>
      <w:r w:rsidR="003854F0">
        <w:t>, Figure 5</w:t>
      </w:r>
      <w:r>
        <w:t xml:space="preserve">. </w:t>
      </w:r>
    </w:p>
    <w:p w14:paraId="093A397B" w14:textId="77777777" w:rsidR="003854F0" w:rsidRDefault="002A604D" w:rsidP="003854F0">
      <w:pPr>
        <w:keepNext/>
        <w:spacing w:line="276" w:lineRule="auto"/>
        <w:jc w:val="center"/>
      </w:pPr>
      <w:r>
        <w:rPr>
          <w:noProof/>
        </w:rPr>
        <w:lastRenderedPageBreak/>
        <w:drawing>
          <wp:inline distT="0" distB="0" distL="0" distR="0" wp14:anchorId="5F8923FC" wp14:editId="3662AD6A">
            <wp:extent cx="5181602" cy="3886200"/>
            <wp:effectExtent l="0" t="0" r="0" b="0"/>
            <wp:docPr id="6" name="Picture 6" descr="A picture containing indoor, sitting, table,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BA55804-7850-4A88-8411-2906A29CDAE7_1_105_c.jpeg"/>
                    <pic:cNvPicPr/>
                  </pic:nvPicPr>
                  <pic:blipFill>
                    <a:blip r:embed="rId10">
                      <a:extLst>
                        <a:ext uri="{28A0092B-C50C-407E-A947-70E740481C1C}">
                          <a14:useLocalDpi xmlns:a14="http://schemas.microsoft.com/office/drawing/2010/main" val="0"/>
                        </a:ext>
                      </a:extLst>
                    </a:blip>
                    <a:stretch>
                      <a:fillRect/>
                    </a:stretch>
                  </pic:blipFill>
                  <pic:spPr>
                    <a:xfrm>
                      <a:off x="0" y="0"/>
                      <a:ext cx="5182589" cy="3886940"/>
                    </a:xfrm>
                    <a:prstGeom prst="rect">
                      <a:avLst/>
                    </a:prstGeom>
                  </pic:spPr>
                </pic:pic>
              </a:graphicData>
            </a:graphic>
          </wp:inline>
        </w:drawing>
      </w:r>
    </w:p>
    <w:p w14:paraId="7DAB4CBA" w14:textId="4E723D77" w:rsidR="002A604D" w:rsidRPr="003854F0" w:rsidRDefault="003854F0" w:rsidP="003854F0">
      <w:pPr>
        <w:pStyle w:val="Caption"/>
        <w:jc w:val="center"/>
        <w:rPr>
          <w:i w:val="0"/>
          <w:iCs w:val="0"/>
          <w:color w:val="000000" w:themeColor="text1"/>
          <w:sz w:val="24"/>
          <w:szCs w:val="24"/>
        </w:rPr>
      </w:pPr>
      <w:r w:rsidRPr="003854F0">
        <w:rPr>
          <w:b/>
          <w:bCs/>
          <w:i w:val="0"/>
          <w:iCs w:val="0"/>
          <w:color w:val="000000" w:themeColor="text1"/>
          <w:sz w:val="24"/>
          <w:szCs w:val="24"/>
        </w:rPr>
        <w:t xml:space="preserve">Figure </w:t>
      </w:r>
      <w:r w:rsidRPr="003854F0">
        <w:rPr>
          <w:b/>
          <w:bCs/>
          <w:i w:val="0"/>
          <w:iCs w:val="0"/>
          <w:color w:val="000000" w:themeColor="text1"/>
          <w:sz w:val="24"/>
          <w:szCs w:val="24"/>
        </w:rPr>
        <w:fldChar w:fldCharType="begin"/>
      </w:r>
      <w:r w:rsidRPr="003854F0">
        <w:rPr>
          <w:b/>
          <w:bCs/>
          <w:i w:val="0"/>
          <w:iCs w:val="0"/>
          <w:color w:val="000000" w:themeColor="text1"/>
          <w:sz w:val="24"/>
          <w:szCs w:val="24"/>
        </w:rPr>
        <w:instrText xml:space="preserve"> SEQ Figure \* ARABIC </w:instrText>
      </w:r>
      <w:r w:rsidRPr="003854F0">
        <w:rPr>
          <w:b/>
          <w:bCs/>
          <w:i w:val="0"/>
          <w:iCs w:val="0"/>
          <w:color w:val="000000" w:themeColor="text1"/>
          <w:sz w:val="24"/>
          <w:szCs w:val="24"/>
        </w:rPr>
        <w:fldChar w:fldCharType="separate"/>
      </w:r>
      <w:r>
        <w:rPr>
          <w:b/>
          <w:bCs/>
          <w:i w:val="0"/>
          <w:iCs w:val="0"/>
          <w:noProof/>
          <w:color w:val="000000" w:themeColor="text1"/>
          <w:sz w:val="24"/>
          <w:szCs w:val="24"/>
        </w:rPr>
        <w:t>5</w:t>
      </w:r>
      <w:r w:rsidRPr="003854F0">
        <w:rPr>
          <w:b/>
          <w:bCs/>
          <w:i w:val="0"/>
          <w:iCs w:val="0"/>
          <w:color w:val="000000" w:themeColor="text1"/>
          <w:sz w:val="24"/>
          <w:szCs w:val="24"/>
        </w:rPr>
        <w:fldChar w:fldCharType="end"/>
      </w:r>
      <w:r w:rsidRPr="003854F0">
        <w:rPr>
          <w:b/>
          <w:bCs/>
          <w:i w:val="0"/>
          <w:iCs w:val="0"/>
          <w:color w:val="000000" w:themeColor="text1"/>
          <w:sz w:val="24"/>
          <w:szCs w:val="24"/>
        </w:rPr>
        <w:t>.</w:t>
      </w:r>
      <w:r w:rsidRPr="003854F0">
        <w:rPr>
          <w:i w:val="0"/>
          <w:iCs w:val="0"/>
          <w:color w:val="000000" w:themeColor="text1"/>
          <w:sz w:val="24"/>
          <w:szCs w:val="24"/>
        </w:rPr>
        <w:t xml:space="preserve"> The deck box containing fiberglass insulation to keep the deck box climate controlled and a cooler to hold the sample in to keep it cool.</w:t>
      </w:r>
    </w:p>
    <w:p w14:paraId="2D7601A1" w14:textId="4F98DA1F" w:rsidR="00A61C0A" w:rsidRDefault="00A61C0A" w:rsidP="0075129B">
      <w:pPr>
        <w:spacing w:line="276" w:lineRule="auto"/>
        <w:ind w:firstLine="720"/>
      </w:pPr>
      <w:r>
        <w:t>Before sampling begins, the collection jug is inserted into the cooler, the pump</w:t>
      </w:r>
      <w:r w:rsidR="00DE75D3">
        <w:t>’</w:t>
      </w:r>
      <w:r>
        <w:t xml:space="preserve">s outlet tube is inserted into the jug through </w:t>
      </w:r>
      <w:r w:rsidR="002A604D">
        <w:t>a hole drilled into the cooler</w:t>
      </w:r>
      <w:r>
        <w:t>, and the cooler is filled with ice</w:t>
      </w:r>
      <w:r w:rsidR="00F16AB3">
        <w:t>, similar to commercial samplers</w:t>
      </w:r>
      <w:r w:rsidR="003854F0">
        <w:t>, Figure 6</w:t>
      </w:r>
      <w:r>
        <w:t xml:space="preserve">. Due to the heavily insulated nature of the cooler, the sample is kept </w:t>
      </w:r>
      <w:r w:rsidR="0075129B">
        <w:t>at the requisite temperature</w:t>
      </w:r>
      <w:r>
        <w:t xml:space="preserve"> throughout the 24-hour collection period and sample degradation </w:t>
      </w:r>
      <w:r w:rsidR="0075129B">
        <w:t xml:space="preserve">is kept </w:t>
      </w:r>
      <w:r>
        <w:t xml:space="preserve">to a minimum. The cooler is then placed within the insulated deck box to contain the entire build within a single housing. </w:t>
      </w:r>
    </w:p>
    <w:p w14:paraId="147C4D93" w14:textId="7FB8B167" w:rsidR="002A604D" w:rsidRDefault="002A604D" w:rsidP="002A604D">
      <w:pPr>
        <w:spacing w:line="276" w:lineRule="auto"/>
      </w:pPr>
    </w:p>
    <w:p w14:paraId="20D42B67" w14:textId="77777777" w:rsidR="003854F0" w:rsidRDefault="002A604D" w:rsidP="003854F0">
      <w:pPr>
        <w:keepNext/>
        <w:spacing w:line="276" w:lineRule="auto"/>
      </w:pPr>
      <w:r>
        <w:rPr>
          <w:noProof/>
        </w:rPr>
        <w:lastRenderedPageBreak/>
        <w:drawing>
          <wp:inline distT="0" distB="0" distL="0" distR="0" wp14:anchorId="4EAC36F9" wp14:editId="728DA5F8">
            <wp:extent cx="5943600" cy="4457700"/>
            <wp:effectExtent l="0" t="0" r="0" b="0"/>
            <wp:docPr id="7" name="Picture 7" descr="A picture containing indoor, sitting, small,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339D29E-AF59-41A3-B1A6-9E2368F93677_1_105_c.jpeg"/>
                    <pic:cNvPicPr/>
                  </pic:nvPicPr>
                  <pic:blipFill>
                    <a:blip r:embed="rId11">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B7AB4AD" w14:textId="33BCB4B1" w:rsidR="002A604D" w:rsidRPr="003854F0" w:rsidRDefault="003854F0" w:rsidP="003854F0">
      <w:pPr>
        <w:pStyle w:val="Caption"/>
        <w:jc w:val="center"/>
        <w:rPr>
          <w:i w:val="0"/>
          <w:iCs w:val="0"/>
          <w:color w:val="000000" w:themeColor="text1"/>
          <w:sz w:val="24"/>
          <w:szCs w:val="24"/>
        </w:rPr>
      </w:pPr>
      <w:r w:rsidRPr="003854F0">
        <w:rPr>
          <w:b/>
          <w:bCs/>
          <w:i w:val="0"/>
          <w:iCs w:val="0"/>
          <w:color w:val="000000" w:themeColor="text1"/>
          <w:sz w:val="24"/>
          <w:szCs w:val="24"/>
        </w:rPr>
        <w:t xml:space="preserve">Figure </w:t>
      </w:r>
      <w:r w:rsidRPr="003854F0">
        <w:rPr>
          <w:b/>
          <w:bCs/>
          <w:i w:val="0"/>
          <w:iCs w:val="0"/>
          <w:color w:val="000000" w:themeColor="text1"/>
          <w:sz w:val="24"/>
          <w:szCs w:val="24"/>
        </w:rPr>
        <w:fldChar w:fldCharType="begin"/>
      </w:r>
      <w:r w:rsidRPr="003854F0">
        <w:rPr>
          <w:b/>
          <w:bCs/>
          <w:i w:val="0"/>
          <w:iCs w:val="0"/>
          <w:color w:val="000000" w:themeColor="text1"/>
          <w:sz w:val="24"/>
          <w:szCs w:val="24"/>
        </w:rPr>
        <w:instrText xml:space="preserve"> SEQ Figure \* ARABIC </w:instrText>
      </w:r>
      <w:r w:rsidRPr="003854F0">
        <w:rPr>
          <w:b/>
          <w:bCs/>
          <w:i w:val="0"/>
          <w:iCs w:val="0"/>
          <w:color w:val="000000" w:themeColor="text1"/>
          <w:sz w:val="24"/>
          <w:szCs w:val="24"/>
        </w:rPr>
        <w:fldChar w:fldCharType="separate"/>
      </w:r>
      <w:r>
        <w:rPr>
          <w:b/>
          <w:bCs/>
          <w:i w:val="0"/>
          <w:iCs w:val="0"/>
          <w:noProof/>
          <w:color w:val="000000" w:themeColor="text1"/>
          <w:sz w:val="24"/>
          <w:szCs w:val="24"/>
        </w:rPr>
        <w:t>6</w:t>
      </w:r>
      <w:r w:rsidRPr="003854F0">
        <w:rPr>
          <w:b/>
          <w:bCs/>
          <w:i w:val="0"/>
          <w:iCs w:val="0"/>
          <w:color w:val="000000" w:themeColor="text1"/>
          <w:sz w:val="24"/>
          <w:szCs w:val="24"/>
        </w:rPr>
        <w:fldChar w:fldCharType="end"/>
      </w:r>
      <w:r w:rsidRPr="003854F0">
        <w:rPr>
          <w:b/>
          <w:bCs/>
          <w:i w:val="0"/>
          <w:iCs w:val="0"/>
          <w:color w:val="000000" w:themeColor="text1"/>
          <w:sz w:val="24"/>
          <w:szCs w:val="24"/>
        </w:rPr>
        <w:t>.</w:t>
      </w:r>
      <w:r w:rsidRPr="003854F0">
        <w:rPr>
          <w:i w:val="0"/>
          <w:iCs w:val="0"/>
          <w:color w:val="000000" w:themeColor="text1"/>
          <w:sz w:val="24"/>
          <w:szCs w:val="24"/>
        </w:rPr>
        <w:t xml:space="preserve"> Tubing going through a hole drilled into the cooler and then into the collection jar.</w:t>
      </w:r>
    </w:p>
    <w:p w14:paraId="0DDA0141" w14:textId="77777777" w:rsidR="002A604D" w:rsidRDefault="002A604D" w:rsidP="002A604D">
      <w:pPr>
        <w:spacing w:line="276" w:lineRule="auto"/>
      </w:pPr>
    </w:p>
    <w:p w14:paraId="45174483" w14:textId="3ACF80C3" w:rsidR="001E4B51" w:rsidRDefault="00DE75D3" w:rsidP="0075129B">
      <w:pPr>
        <w:spacing w:line="276" w:lineRule="auto"/>
        <w:ind w:firstLine="720"/>
      </w:pPr>
      <w:r>
        <w:t>We then drilled a</w:t>
      </w:r>
      <w:r w:rsidR="001E4B51">
        <w:t xml:space="preserve"> </w:t>
      </w:r>
      <w:r w:rsidR="002A604D">
        <w:t xml:space="preserve">¼ </w:t>
      </w:r>
      <w:r w:rsidR="001E4B51">
        <w:t xml:space="preserve"> inch hole into the deck </w:t>
      </w:r>
      <w:r>
        <w:t>and</w:t>
      </w:r>
      <w:r w:rsidR="001E4B51">
        <w:t xml:space="preserve"> cut </w:t>
      </w:r>
      <w:r>
        <w:t xml:space="preserve">a slit </w:t>
      </w:r>
      <w:r w:rsidR="001E4B51">
        <w:t>into the fiberglass insulation to allow the outlet tube, with a weight and filter attached to it, to come out of the housing so it can be dropped into a manhole or sewage trap to collect a 24-hour composite</w:t>
      </w:r>
      <w:r w:rsidR="005463B6">
        <w:t xml:space="preserve"> </w:t>
      </w:r>
      <w:r w:rsidR="001E4B51">
        <w:t>sample</w:t>
      </w:r>
      <w:r w:rsidR="005463B6">
        <w:t xml:space="preserve"> of wastewater</w:t>
      </w:r>
      <w:r w:rsidR="001E4B51">
        <w:t>.</w:t>
      </w:r>
      <w:r w:rsidR="003854F0" w:rsidRPr="003854F0">
        <w:t xml:space="preserve"> </w:t>
      </w:r>
      <w:r w:rsidR="003854F0">
        <w:t>The deck box is then secured using a padlock.</w:t>
      </w:r>
    </w:p>
    <w:p w14:paraId="7BFFF577" w14:textId="77777777" w:rsidR="002A604D" w:rsidRDefault="002A604D" w:rsidP="0075129B">
      <w:pPr>
        <w:spacing w:line="276" w:lineRule="auto"/>
        <w:ind w:firstLine="720"/>
      </w:pPr>
    </w:p>
    <w:p w14:paraId="4B24D159" w14:textId="77777777" w:rsidR="003854F0" w:rsidRDefault="002A604D" w:rsidP="003854F0">
      <w:pPr>
        <w:keepNext/>
        <w:spacing w:line="276" w:lineRule="auto"/>
        <w:ind w:firstLine="720"/>
      </w:pPr>
      <w:r>
        <w:rPr>
          <w:noProof/>
        </w:rPr>
        <w:lastRenderedPageBreak/>
        <w:drawing>
          <wp:inline distT="0" distB="0" distL="0" distR="0" wp14:anchorId="10185884" wp14:editId="11088318">
            <wp:extent cx="3047365" cy="2593582"/>
            <wp:effectExtent l="0" t="0" r="635" b="0"/>
            <wp:docPr id="9" name="Picture 9" descr="A close up of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7911425-4821-4BB4-95B1-B6C493756AC3_1_105_c.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9325" cy="2595250"/>
                    </a:xfrm>
                    <a:prstGeom prst="rect">
                      <a:avLst/>
                    </a:prstGeom>
                  </pic:spPr>
                </pic:pic>
              </a:graphicData>
            </a:graphic>
          </wp:inline>
        </w:drawing>
      </w:r>
      <w:r>
        <w:rPr>
          <w:noProof/>
        </w:rPr>
        <w:drawing>
          <wp:inline distT="0" distB="0" distL="0" distR="0" wp14:anchorId="630BA155" wp14:editId="5F5D96F7">
            <wp:extent cx="1902893" cy="2596896"/>
            <wp:effectExtent l="0" t="0" r="2540" b="0"/>
            <wp:docPr id="8" name="Picture 8" descr="A dining room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F256CB0-367A-41AF-85F5-7D6722F9349C_1_105_c.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02893" cy="2596896"/>
                    </a:xfrm>
                    <a:prstGeom prst="rect">
                      <a:avLst/>
                    </a:prstGeom>
                  </pic:spPr>
                </pic:pic>
              </a:graphicData>
            </a:graphic>
          </wp:inline>
        </w:drawing>
      </w:r>
    </w:p>
    <w:p w14:paraId="2270DF08" w14:textId="4A1E69CC" w:rsidR="002A604D" w:rsidRPr="003854F0" w:rsidRDefault="003854F0" w:rsidP="003854F0">
      <w:pPr>
        <w:pStyle w:val="Caption"/>
        <w:jc w:val="center"/>
        <w:rPr>
          <w:i w:val="0"/>
          <w:iCs w:val="0"/>
          <w:color w:val="000000" w:themeColor="text1"/>
          <w:sz w:val="24"/>
          <w:szCs w:val="24"/>
        </w:rPr>
      </w:pPr>
      <w:r w:rsidRPr="003854F0">
        <w:rPr>
          <w:b/>
          <w:bCs/>
          <w:i w:val="0"/>
          <w:iCs w:val="0"/>
          <w:color w:val="000000" w:themeColor="text1"/>
          <w:sz w:val="24"/>
          <w:szCs w:val="24"/>
        </w:rPr>
        <w:t xml:space="preserve">Figure </w:t>
      </w:r>
      <w:r w:rsidRPr="003854F0">
        <w:rPr>
          <w:b/>
          <w:bCs/>
          <w:i w:val="0"/>
          <w:iCs w:val="0"/>
          <w:color w:val="000000" w:themeColor="text1"/>
          <w:sz w:val="24"/>
          <w:szCs w:val="24"/>
        </w:rPr>
        <w:fldChar w:fldCharType="begin"/>
      </w:r>
      <w:r w:rsidRPr="003854F0">
        <w:rPr>
          <w:b/>
          <w:bCs/>
          <w:i w:val="0"/>
          <w:iCs w:val="0"/>
          <w:color w:val="000000" w:themeColor="text1"/>
          <w:sz w:val="24"/>
          <w:szCs w:val="24"/>
        </w:rPr>
        <w:instrText xml:space="preserve"> SEQ Figure \* ARABIC </w:instrText>
      </w:r>
      <w:r w:rsidRPr="003854F0">
        <w:rPr>
          <w:b/>
          <w:bCs/>
          <w:i w:val="0"/>
          <w:iCs w:val="0"/>
          <w:color w:val="000000" w:themeColor="text1"/>
          <w:sz w:val="24"/>
          <w:szCs w:val="24"/>
        </w:rPr>
        <w:fldChar w:fldCharType="separate"/>
      </w:r>
      <w:r>
        <w:rPr>
          <w:b/>
          <w:bCs/>
          <w:i w:val="0"/>
          <w:iCs w:val="0"/>
          <w:noProof/>
          <w:color w:val="000000" w:themeColor="text1"/>
          <w:sz w:val="24"/>
          <w:szCs w:val="24"/>
        </w:rPr>
        <w:t>7</w:t>
      </w:r>
      <w:r w:rsidRPr="003854F0">
        <w:rPr>
          <w:b/>
          <w:bCs/>
          <w:i w:val="0"/>
          <w:iCs w:val="0"/>
          <w:color w:val="000000" w:themeColor="text1"/>
          <w:sz w:val="24"/>
          <w:szCs w:val="24"/>
        </w:rPr>
        <w:fldChar w:fldCharType="end"/>
      </w:r>
      <w:r w:rsidRPr="003854F0">
        <w:rPr>
          <w:b/>
          <w:bCs/>
          <w:i w:val="0"/>
          <w:iCs w:val="0"/>
          <w:color w:val="000000" w:themeColor="text1"/>
          <w:sz w:val="24"/>
          <w:szCs w:val="24"/>
        </w:rPr>
        <w:t>.</w:t>
      </w:r>
      <w:r w:rsidRPr="003854F0">
        <w:rPr>
          <w:i w:val="0"/>
          <w:iCs w:val="0"/>
          <w:color w:val="000000" w:themeColor="text1"/>
          <w:sz w:val="24"/>
          <w:szCs w:val="24"/>
        </w:rPr>
        <w:t xml:space="preserve"> (Left) Locked deck box with tubing coming out of the bottom of the deck box. (Right) Full length of the</w:t>
      </w:r>
      <w:r w:rsidRPr="003854F0">
        <w:rPr>
          <w:i w:val="0"/>
          <w:iCs w:val="0"/>
          <w:noProof/>
          <w:color w:val="000000" w:themeColor="text1"/>
          <w:sz w:val="24"/>
          <w:szCs w:val="24"/>
        </w:rPr>
        <w:t xml:space="preserve"> tubing coming out of the bottom of the deckbox through a 1/4 inch hole.</w:t>
      </w:r>
    </w:p>
    <w:p w14:paraId="033B40C4" w14:textId="235364C7" w:rsidR="0075129B" w:rsidRDefault="0075129B" w:rsidP="0075129B">
      <w:pPr>
        <w:spacing w:line="276" w:lineRule="auto"/>
        <w:ind w:firstLine="720"/>
      </w:pPr>
      <w:r>
        <w:t xml:space="preserve">If sampling is being done in an interior location within a building that is temperature controlled, the housing is unnecessary, and the pump assembly and cooler can be stored in a 2’ x 4’ box or wooden crate. </w:t>
      </w:r>
    </w:p>
    <w:p w14:paraId="6235D56B" w14:textId="458F0B14" w:rsidR="00A61C0A" w:rsidRDefault="00A61C0A" w:rsidP="0075129B">
      <w:pPr>
        <w:spacing w:line="276" w:lineRule="auto"/>
      </w:pPr>
    </w:p>
    <w:p w14:paraId="1BA8CE71" w14:textId="5439F374" w:rsidR="005463B6" w:rsidRDefault="0075129B" w:rsidP="0075129B">
      <w:pPr>
        <w:pStyle w:val="Heading2"/>
        <w:spacing w:line="276" w:lineRule="auto"/>
      </w:pPr>
      <w:r>
        <w:t xml:space="preserve">Standard Operating Procedure </w:t>
      </w:r>
    </w:p>
    <w:p w14:paraId="572EA30F" w14:textId="665AF3CC" w:rsidR="005463B6" w:rsidRDefault="0075129B" w:rsidP="0075129B">
      <w:pPr>
        <w:spacing w:line="276" w:lineRule="auto"/>
      </w:pPr>
      <w:r>
        <w:tab/>
        <w:t xml:space="preserve">After the sampler is placed at the sampling location, day to day operations begin by attaching a fully charged battery to the inverter and adding ice to the cooler containing the collection jar. The variable speed Stenner Metering Pump is set at 75% sampling capacity to prevent overflow of the sample in the collection bottle. This should yield a sample of approximately 0.625 gallons, or 2.37 liters. The continuous interval timing outlet is set to turn on for 5 minutes and to turn off for 25 minutes continuously until the sampler was turned off at the end of the collection period. Once these measures are taken, the inverter is turned on and the system is left to sample for 24-hours. </w:t>
      </w:r>
    </w:p>
    <w:p w14:paraId="723B43DD" w14:textId="47BF69F9" w:rsidR="0075129B" w:rsidRDefault="0075129B" w:rsidP="0075129B">
      <w:pPr>
        <w:spacing w:line="276" w:lineRule="auto"/>
      </w:pPr>
      <w:r>
        <w:tab/>
        <w:t xml:space="preserve">At the completion of the 24-hour sampling cycle, the battery is removed from the sampler to recharge using a manual battery charger plugged into an outlet, the collection container is removed from the cooler, and the cooler is drained and emptied. The collection container is then taken to </w:t>
      </w:r>
      <w:r w:rsidR="003469EB">
        <w:t>the lab</w:t>
      </w:r>
      <w:r>
        <w:t xml:space="preserve"> to be tested for the presence of SARS-CoV-2 </w:t>
      </w:r>
      <w:r w:rsidR="00DE75D3">
        <w:t xml:space="preserve">viral </w:t>
      </w:r>
      <w:r>
        <w:t xml:space="preserve">RNA. </w:t>
      </w:r>
    </w:p>
    <w:p w14:paraId="4194FE7F" w14:textId="77777777" w:rsidR="0075129B" w:rsidRDefault="0075129B" w:rsidP="0075129B">
      <w:pPr>
        <w:spacing w:line="276" w:lineRule="auto"/>
      </w:pPr>
    </w:p>
    <w:p w14:paraId="01C36BDC" w14:textId="5D4E3A8F" w:rsidR="0075129B" w:rsidRDefault="0075129B" w:rsidP="0075129B">
      <w:pPr>
        <w:pStyle w:val="Heading2"/>
        <w:spacing w:line="276" w:lineRule="auto"/>
      </w:pPr>
      <w:r>
        <w:t>Testing the Sampler</w:t>
      </w:r>
    </w:p>
    <w:p w14:paraId="1D296CAC" w14:textId="76328386" w:rsidR="0075129B" w:rsidRDefault="0075129B" w:rsidP="0075129B">
      <w:pPr>
        <w:spacing w:line="276" w:lineRule="auto"/>
      </w:pPr>
      <w:r>
        <w:tab/>
        <w:t xml:space="preserve">Two tests were conducted to test the feasibility of the DIY sampler. The first test was conducted to test the peristaltic pumps ability to sample from the sampling locations we identified. As our primary objective was to test wastewater at the dormitory level of </w:t>
      </w:r>
      <w:r w:rsidR="00DE75D3">
        <w:t xml:space="preserve">a </w:t>
      </w:r>
      <w:r>
        <w:t>mid</w:t>
      </w:r>
      <w:r w:rsidR="00DE75D3">
        <w:t>-</w:t>
      </w:r>
      <w:r>
        <w:t>sized university</w:t>
      </w:r>
      <w:r w:rsidR="00DE75D3">
        <w:t xml:space="preserve"> (approximately 17,000 students)</w:t>
      </w:r>
      <w:r>
        <w:t xml:space="preserve">, we ran the pump to sample from the effluent of a dormitory through an interior location containing a fluid ejector. The location was selected as it did not require the pump to be in a housing and because it could allow the pump to be connected </w:t>
      </w:r>
      <w:r>
        <w:lastRenderedPageBreak/>
        <w:t>to a standard 120v AC outlet. The decision to plug the pump into an outlet rather than using the power supply was made as the purpose of the test was to look at the efficacy of the pump and see if it could sample at our chosen locations without running into issues such as pump clogging or pump failure. The pump was set to 10% flow, to prevent overflow of the collection container, and left on to continuously sample from 11:30 am to 11:30 am the next day, for a 24-hour sample</w:t>
      </w:r>
      <w:r w:rsidR="003854F0">
        <w:t>, Figure 8</w:t>
      </w:r>
      <w:r>
        <w:t xml:space="preserve">. </w:t>
      </w:r>
    </w:p>
    <w:p w14:paraId="04ACB72A" w14:textId="21D074A2" w:rsidR="002A604D" w:rsidRDefault="002A604D" w:rsidP="0075129B">
      <w:pPr>
        <w:spacing w:line="276" w:lineRule="auto"/>
      </w:pPr>
    </w:p>
    <w:p w14:paraId="4B4328CC" w14:textId="77777777" w:rsidR="003854F0" w:rsidRDefault="002A604D" w:rsidP="003854F0">
      <w:pPr>
        <w:keepNext/>
        <w:spacing w:line="276" w:lineRule="auto"/>
        <w:jc w:val="center"/>
      </w:pPr>
      <w:r>
        <w:rPr>
          <w:noProof/>
        </w:rPr>
        <w:drawing>
          <wp:inline distT="0" distB="0" distL="0" distR="0" wp14:anchorId="6154A0BC" wp14:editId="58D3F13E">
            <wp:extent cx="5108713" cy="3831535"/>
            <wp:effectExtent l="0" t="0" r="0" b="4445"/>
            <wp:docPr id="10" name="Picture 1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20F5DBC-3BC1-439B-8ADB-BD7D1F296E7C_1_105_c.jpeg"/>
                    <pic:cNvPicPr/>
                  </pic:nvPicPr>
                  <pic:blipFill>
                    <a:blip r:embed="rId14">
                      <a:extLst>
                        <a:ext uri="{28A0092B-C50C-407E-A947-70E740481C1C}">
                          <a14:useLocalDpi xmlns:a14="http://schemas.microsoft.com/office/drawing/2010/main" val="0"/>
                        </a:ext>
                      </a:extLst>
                    </a:blip>
                    <a:stretch>
                      <a:fillRect/>
                    </a:stretch>
                  </pic:blipFill>
                  <pic:spPr>
                    <a:xfrm>
                      <a:off x="0" y="0"/>
                      <a:ext cx="5108713" cy="3831535"/>
                    </a:xfrm>
                    <a:prstGeom prst="rect">
                      <a:avLst/>
                    </a:prstGeom>
                  </pic:spPr>
                </pic:pic>
              </a:graphicData>
            </a:graphic>
          </wp:inline>
        </w:drawing>
      </w:r>
    </w:p>
    <w:p w14:paraId="55172F1C" w14:textId="5A9765E5" w:rsidR="002A604D" w:rsidRPr="003854F0" w:rsidRDefault="003854F0" w:rsidP="003854F0">
      <w:pPr>
        <w:pStyle w:val="Caption"/>
        <w:jc w:val="center"/>
        <w:rPr>
          <w:i w:val="0"/>
          <w:iCs w:val="0"/>
          <w:color w:val="000000" w:themeColor="text1"/>
          <w:sz w:val="24"/>
          <w:szCs w:val="24"/>
        </w:rPr>
      </w:pPr>
      <w:r w:rsidRPr="003854F0">
        <w:rPr>
          <w:b/>
          <w:bCs/>
          <w:i w:val="0"/>
          <w:iCs w:val="0"/>
          <w:color w:val="000000" w:themeColor="text1"/>
          <w:sz w:val="24"/>
          <w:szCs w:val="24"/>
        </w:rPr>
        <w:t xml:space="preserve">Figure </w:t>
      </w:r>
      <w:r w:rsidRPr="003854F0">
        <w:rPr>
          <w:b/>
          <w:bCs/>
          <w:i w:val="0"/>
          <w:iCs w:val="0"/>
          <w:color w:val="000000" w:themeColor="text1"/>
          <w:sz w:val="24"/>
          <w:szCs w:val="24"/>
        </w:rPr>
        <w:fldChar w:fldCharType="begin"/>
      </w:r>
      <w:r w:rsidRPr="003854F0">
        <w:rPr>
          <w:b/>
          <w:bCs/>
          <w:i w:val="0"/>
          <w:iCs w:val="0"/>
          <w:color w:val="000000" w:themeColor="text1"/>
          <w:sz w:val="24"/>
          <w:szCs w:val="24"/>
        </w:rPr>
        <w:instrText xml:space="preserve"> SEQ Figure \* ARABIC </w:instrText>
      </w:r>
      <w:r w:rsidRPr="003854F0">
        <w:rPr>
          <w:b/>
          <w:bCs/>
          <w:i w:val="0"/>
          <w:iCs w:val="0"/>
          <w:color w:val="000000" w:themeColor="text1"/>
          <w:sz w:val="24"/>
          <w:szCs w:val="24"/>
        </w:rPr>
        <w:fldChar w:fldCharType="separate"/>
      </w:r>
      <w:r>
        <w:rPr>
          <w:b/>
          <w:bCs/>
          <w:i w:val="0"/>
          <w:iCs w:val="0"/>
          <w:noProof/>
          <w:color w:val="000000" w:themeColor="text1"/>
          <w:sz w:val="24"/>
          <w:szCs w:val="24"/>
        </w:rPr>
        <w:t>8</w:t>
      </w:r>
      <w:r w:rsidRPr="003854F0">
        <w:rPr>
          <w:b/>
          <w:bCs/>
          <w:i w:val="0"/>
          <w:iCs w:val="0"/>
          <w:color w:val="000000" w:themeColor="text1"/>
          <w:sz w:val="24"/>
          <w:szCs w:val="24"/>
        </w:rPr>
        <w:fldChar w:fldCharType="end"/>
      </w:r>
      <w:r w:rsidRPr="003854F0">
        <w:rPr>
          <w:b/>
          <w:bCs/>
          <w:i w:val="0"/>
          <w:iCs w:val="0"/>
          <w:color w:val="000000" w:themeColor="text1"/>
          <w:sz w:val="24"/>
          <w:szCs w:val="24"/>
        </w:rPr>
        <w:t>.</w:t>
      </w:r>
      <w:r w:rsidRPr="003854F0">
        <w:rPr>
          <w:i w:val="0"/>
          <w:iCs w:val="0"/>
          <w:color w:val="000000" w:themeColor="text1"/>
          <w:sz w:val="24"/>
          <w:szCs w:val="24"/>
        </w:rPr>
        <w:t xml:space="preserve"> Set up for the first test of the sampler.</w:t>
      </w:r>
    </w:p>
    <w:p w14:paraId="79C1FB3E" w14:textId="77777777" w:rsidR="002A604D" w:rsidRDefault="002A604D" w:rsidP="0075129B">
      <w:pPr>
        <w:spacing w:line="276" w:lineRule="auto"/>
      </w:pPr>
    </w:p>
    <w:p w14:paraId="3720565B" w14:textId="4AEBE833" w:rsidR="0075129B" w:rsidRDefault="0075129B" w:rsidP="002A604D">
      <w:pPr>
        <w:spacing w:line="276" w:lineRule="auto"/>
      </w:pPr>
      <w:r>
        <w:tab/>
        <w:t>The second test was conducted to test the run time and sample volume collection of the sampler. For this test, the sampler was run using the constructed power supply. The variable speed Stenner Metering Pump is set at 75% sampling capacity and the continuous interval timing outlet is set to turn on for 5 minutes and to turn off for 25 minutes as specified in the operating procedure. The inlet tubing was dropped into a bucket containing freshwater, the outlet tubing was connected to the collection container, and the device was allowed to run from 9:30 am until 9:30 am the next day or until the sampler stopped sampling. This was done to test the power supply’s ability to run throughout the 24-hour collection period as well as to see how much of a sample was yielded during the collection period</w:t>
      </w:r>
      <w:r w:rsidR="003854F0">
        <w:t>, Figure 9</w:t>
      </w:r>
      <w:r>
        <w:t>.</w:t>
      </w:r>
    </w:p>
    <w:p w14:paraId="44E0EB48" w14:textId="52405AFD" w:rsidR="002A604D" w:rsidRDefault="002A604D" w:rsidP="002A604D">
      <w:pPr>
        <w:spacing w:line="276" w:lineRule="auto"/>
      </w:pPr>
    </w:p>
    <w:p w14:paraId="517066C0" w14:textId="77777777" w:rsidR="003854F0" w:rsidRDefault="002A604D" w:rsidP="003854F0">
      <w:pPr>
        <w:keepNext/>
        <w:spacing w:line="276" w:lineRule="auto"/>
        <w:jc w:val="center"/>
      </w:pPr>
      <w:r>
        <w:rPr>
          <w:noProof/>
        </w:rPr>
        <w:lastRenderedPageBreak/>
        <w:drawing>
          <wp:inline distT="0" distB="0" distL="0" distR="0" wp14:anchorId="4143F0EC" wp14:editId="1F9B971E">
            <wp:extent cx="3518452" cy="4691270"/>
            <wp:effectExtent l="0" t="0" r="0" b="0"/>
            <wp:docPr id="11" name="Picture 11" descr="A computer sitting on top of a woode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96A1E41B-93A0-46C6-916A-AEEA75FDCACE_1_105_c.jpeg"/>
                    <pic:cNvPicPr/>
                  </pic:nvPicPr>
                  <pic:blipFill>
                    <a:blip r:embed="rId15">
                      <a:extLst>
                        <a:ext uri="{28A0092B-C50C-407E-A947-70E740481C1C}">
                          <a14:useLocalDpi xmlns:a14="http://schemas.microsoft.com/office/drawing/2010/main" val="0"/>
                        </a:ext>
                      </a:extLst>
                    </a:blip>
                    <a:stretch>
                      <a:fillRect/>
                    </a:stretch>
                  </pic:blipFill>
                  <pic:spPr>
                    <a:xfrm>
                      <a:off x="0" y="0"/>
                      <a:ext cx="3518732" cy="4691643"/>
                    </a:xfrm>
                    <a:prstGeom prst="rect">
                      <a:avLst/>
                    </a:prstGeom>
                  </pic:spPr>
                </pic:pic>
              </a:graphicData>
            </a:graphic>
          </wp:inline>
        </w:drawing>
      </w:r>
    </w:p>
    <w:p w14:paraId="09EF8AA8" w14:textId="77787634" w:rsidR="002A604D" w:rsidRPr="003854F0" w:rsidRDefault="003854F0" w:rsidP="003854F0">
      <w:pPr>
        <w:pStyle w:val="Caption"/>
        <w:jc w:val="center"/>
        <w:rPr>
          <w:i w:val="0"/>
          <w:iCs w:val="0"/>
          <w:color w:val="000000" w:themeColor="text1"/>
          <w:sz w:val="24"/>
          <w:szCs w:val="24"/>
        </w:rPr>
      </w:pPr>
      <w:r w:rsidRPr="003854F0">
        <w:rPr>
          <w:b/>
          <w:bCs/>
          <w:i w:val="0"/>
          <w:iCs w:val="0"/>
          <w:color w:val="000000" w:themeColor="text1"/>
          <w:sz w:val="24"/>
          <w:szCs w:val="24"/>
        </w:rPr>
        <w:t xml:space="preserve">Figure </w:t>
      </w:r>
      <w:r w:rsidRPr="003854F0">
        <w:rPr>
          <w:b/>
          <w:bCs/>
          <w:i w:val="0"/>
          <w:iCs w:val="0"/>
          <w:color w:val="000000" w:themeColor="text1"/>
          <w:sz w:val="24"/>
          <w:szCs w:val="24"/>
        </w:rPr>
        <w:fldChar w:fldCharType="begin"/>
      </w:r>
      <w:r w:rsidRPr="003854F0">
        <w:rPr>
          <w:b/>
          <w:bCs/>
          <w:i w:val="0"/>
          <w:iCs w:val="0"/>
          <w:color w:val="000000" w:themeColor="text1"/>
          <w:sz w:val="24"/>
          <w:szCs w:val="24"/>
        </w:rPr>
        <w:instrText xml:space="preserve"> SEQ Figure \* ARABIC </w:instrText>
      </w:r>
      <w:r w:rsidRPr="003854F0">
        <w:rPr>
          <w:b/>
          <w:bCs/>
          <w:i w:val="0"/>
          <w:iCs w:val="0"/>
          <w:color w:val="000000" w:themeColor="text1"/>
          <w:sz w:val="24"/>
          <w:szCs w:val="24"/>
        </w:rPr>
        <w:fldChar w:fldCharType="separate"/>
      </w:r>
      <w:r>
        <w:rPr>
          <w:b/>
          <w:bCs/>
          <w:i w:val="0"/>
          <w:iCs w:val="0"/>
          <w:noProof/>
          <w:color w:val="000000" w:themeColor="text1"/>
          <w:sz w:val="24"/>
          <w:szCs w:val="24"/>
        </w:rPr>
        <w:t>9</w:t>
      </w:r>
      <w:r w:rsidRPr="003854F0">
        <w:rPr>
          <w:b/>
          <w:bCs/>
          <w:i w:val="0"/>
          <w:iCs w:val="0"/>
          <w:color w:val="000000" w:themeColor="text1"/>
          <w:sz w:val="24"/>
          <w:szCs w:val="24"/>
        </w:rPr>
        <w:fldChar w:fldCharType="end"/>
      </w:r>
      <w:r w:rsidRPr="003854F0">
        <w:rPr>
          <w:b/>
          <w:bCs/>
          <w:i w:val="0"/>
          <w:iCs w:val="0"/>
          <w:color w:val="000000" w:themeColor="text1"/>
          <w:sz w:val="24"/>
          <w:szCs w:val="24"/>
        </w:rPr>
        <w:t>.</w:t>
      </w:r>
      <w:r w:rsidRPr="003854F0">
        <w:rPr>
          <w:i w:val="0"/>
          <w:iCs w:val="0"/>
          <w:color w:val="000000" w:themeColor="text1"/>
          <w:sz w:val="24"/>
          <w:szCs w:val="24"/>
        </w:rPr>
        <w:t xml:space="preserve"> Set up for the second test of the sampler.</w:t>
      </w:r>
    </w:p>
    <w:p w14:paraId="6ABF9191" w14:textId="77777777" w:rsidR="002A604D" w:rsidRDefault="002A604D" w:rsidP="002A604D">
      <w:pPr>
        <w:spacing w:line="276" w:lineRule="auto"/>
      </w:pPr>
    </w:p>
    <w:p w14:paraId="1A134726" w14:textId="259CDCE2" w:rsidR="0075129B" w:rsidRDefault="0075129B" w:rsidP="0075129B">
      <w:pPr>
        <w:spacing w:line="276" w:lineRule="auto"/>
      </w:pPr>
      <w:r>
        <w:tab/>
        <w:t xml:space="preserve">The first test conducted using a fluid ejector in a dormitory was successful in that the pump was able to sample continuously for 24 hours without succumbing to any issues regarding clogging or pump failure. The theoretical yield of the 24-hour sample was 0.5 gallons, or about 1.9 liters, as the pump was set at 10% sampling capacity. The actual yield was </w:t>
      </w:r>
      <w:r w:rsidR="002A604D">
        <w:t xml:space="preserve">0.38 gallons, or </w:t>
      </w:r>
      <w:r w:rsidR="002A604D" w:rsidRPr="002A604D">
        <w:t xml:space="preserve">1.44 liters, </w:t>
      </w:r>
      <w:r w:rsidRPr="002A604D">
        <w:t xml:space="preserve">giving a percent yield of </w:t>
      </w:r>
      <w:r w:rsidR="002A604D" w:rsidRPr="002A604D">
        <w:t>75.8%</w:t>
      </w:r>
      <w:r w:rsidRPr="002A604D">
        <w:t>.</w:t>
      </w:r>
    </w:p>
    <w:p w14:paraId="6E682F05" w14:textId="61B72DA7" w:rsidR="0075129B" w:rsidRDefault="0075129B" w:rsidP="0075129B">
      <w:pPr>
        <w:spacing w:line="276" w:lineRule="auto"/>
      </w:pPr>
      <w:r>
        <w:tab/>
        <w:t xml:space="preserve">The second test looking at the runtime of and volume collection of the sampler showed that the sampler could run for a 24-hour period and collect the required 24-hour composite sample. The sampler had run from 9:30 am the day it was set up to 9:30 am the following day when we returned to the setup location. We removed the outlet from the collection jar and allowed the sampler to run until it stopped 2 hours later, giving it a total run time of ~4.5 hours. The theoretical yield for the 24-hour composite sample was 0.625 gallons, or 2.37 liters, as the pump was set at 75% sampling capacity and ran for a total period of 4 hours (48 cycles of 5 minutes). The actual yield </w:t>
      </w:r>
      <w:r w:rsidRPr="002A604D">
        <w:t xml:space="preserve">was </w:t>
      </w:r>
      <w:r w:rsidR="002A604D" w:rsidRPr="002A604D">
        <w:t>0.46 gallons, or 1.75 liters,</w:t>
      </w:r>
      <w:r w:rsidRPr="002A604D">
        <w:t xml:space="preserve"> giving a percent yield of</w:t>
      </w:r>
      <w:r w:rsidR="002A604D" w:rsidRPr="002A604D">
        <w:t xml:space="preserve"> 73.8%</w:t>
      </w:r>
      <w:r w:rsidRPr="002A604D">
        <w:t>.</w:t>
      </w:r>
    </w:p>
    <w:p w14:paraId="203DEFEB" w14:textId="7080963B" w:rsidR="0075129B" w:rsidRDefault="0075129B" w:rsidP="0075129B">
      <w:pPr>
        <w:pStyle w:val="Heading1"/>
        <w:spacing w:line="276" w:lineRule="auto"/>
      </w:pPr>
      <w:r>
        <w:lastRenderedPageBreak/>
        <w:t xml:space="preserve">Discussion </w:t>
      </w:r>
    </w:p>
    <w:p w14:paraId="6D59B685" w14:textId="26A19C73" w:rsidR="0075129B" w:rsidRDefault="0075129B" w:rsidP="002A604D">
      <w:pPr>
        <w:spacing w:line="276" w:lineRule="auto"/>
      </w:pPr>
      <w:r>
        <w:tab/>
        <w:t xml:space="preserve">From initial testing the proposed DIY composite sampler could be a potential alternative to commercial composite samplers for use in 24-hour wastewater composite sampling to test for SARS-CoV-2 viral RNA. </w:t>
      </w:r>
      <w:r w:rsidR="002A604D">
        <w:t>Unfortunately, the yields of each test were lower than expected at ~75% of the theoretical yield. This could be due to human error stemming from the design of the pump which relies on someone to manually adjust the settings by turning a large dial on the pump. Additionally, as the second test relied on the pump to stop and start multiple times, there may have been a loss in sampling as the pump started up each time. Though theoretical yields were not achieved, e</w:t>
      </w:r>
      <w:r>
        <w:t xml:space="preserve">arly testing has shown that the DIY sampler is able to sample from wastewater sources. </w:t>
      </w:r>
      <w:r w:rsidR="002A604D">
        <w:t>F</w:t>
      </w:r>
      <w:r>
        <w:t xml:space="preserve">urther testing in the full housing and in external environments </w:t>
      </w:r>
      <w:r w:rsidR="003469EB">
        <w:t>is</w:t>
      </w:r>
      <w:r>
        <w:t xml:space="preserve"> needed to verify the sampler’s ability to operate in the local climate and the feasibility of using it as a long-term solution. </w:t>
      </w:r>
    </w:p>
    <w:p w14:paraId="3870C441" w14:textId="5F7CF90A" w:rsidR="002A604D" w:rsidRDefault="0075129B" w:rsidP="0075129B">
      <w:pPr>
        <w:spacing w:line="276" w:lineRule="auto"/>
        <w:ind w:firstLine="720"/>
      </w:pPr>
      <w:r>
        <w:t xml:space="preserve">One of the drawbacks of </w:t>
      </w:r>
      <w:r w:rsidR="003469EB">
        <w:t>our first</w:t>
      </w:r>
      <w:r>
        <w:t xml:space="preserve"> design </w:t>
      </w:r>
      <w:r w:rsidR="003469EB">
        <w:t>was</w:t>
      </w:r>
      <w:r>
        <w:t xml:space="preserve"> the use of a car battery for the power supply. Though the 12 Volt 650 CCA Car Battery is able to supply the sampler with enough power to sample for the 24-hour period, there is not much reserve power left in the battery at the end of sampling. This can be detrimental when using car batteries as constantly discharging the battery will reduce the battery’s ability to hold a charge and can potentially eliminate the battery’s ability to sample for the 24-hour period in the future. There are two potential solutions to this issue. The first is to use a higher rated car battery such as a 12 Volt 850 CCA Car Battery which should have a theoretical run time of 6.5 hours, allowing for a higher amount of reserve power once sampling is complete. This solution, however, runs into the same issue as car batteries are not meant to be discharged and recharged significantly and this battery will still run into issues regarding its ability to hold a charge in the future. The second solution is to use a 12v 210 RC deep cycle battery, often found in solar panel setups and mobile/off-grid homes. These batteries are better suited to be discharged completely and recharged to full capacity. In addition, their main application is to run DC to AC setups, which make them a better choice for future designs of the DIY sampler. Another benefit of using this type of </w:t>
      </w:r>
      <w:r w:rsidRPr="006B46A5">
        <w:t xml:space="preserve">battery includes the ability to add solar power to the system in the future. If the sampler is meant to stay in one sampling location, a solar panel can be added to it, so batteries do not have to be swapped out and recharged every time a sample is taken. </w:t>
      </w:r>
      <w:r w:rsidR="002A604D">
        <w:t xml:space="preserve">Theoretically, as deep cycle batteries allow for a 25 Amps pull for 210 minutes, the sampler, pulling 18.77 amps, could run for 280 minutes, or ~4.67 hours. </w:t>
      </w:r>
      <w:r w:rsidRPr="006B46A5">
        <w:t xml:space="preserve">A drawback of using a 12v 210 RC deep cycle battery is the weight. On average 12v 210 RC deep cycle batteries are 10 to 20 pounds heavier than car batteries which could reduce portability of the sampler. </w:t>
      </w:r>
      <w:r w:rsidR="002A604D">
        <w:t>This solution is currently being tested and has been promising in the field as it has pulled the expected yield, lasted the full sampling period with a greater sampling frequency, and has been able to recharge to full capacity</w:t>
      </w:r>
      <w:r w:rsidR="003854F0">
        <w:t>, Figure 10</w:t>
      </w:r>
      <w:r w:rsidR="002A604D">
        <w:t>.</w:t>
      </w:r>
    </w:p>
    <w:p w14:paraId="59173548" w14:textId="6A63F793" w:rsidR="002A604D" w:rsidRDefault="002A604D" w:rsidP="0075129B">
      <w:pPr>
        <w:spacing w:line="276" w:lineRule="auto"/>
        <w:ind w:firstLine="720"/>
      </w:pPr>
    </w:p>
    <w:p w14:paraId="51EB9703" w14:textId="77777777" w:rsidR="003854F0" w:rsidRDefault="002A604D" w:rsidP="003854F0">
      <w:pPr>
        <w:keepNext/>
        <w:spacing w:line="276" w:lineRule="auto"/>
      </w:pPr>
      <w:r>
        <w:rPr>
          <w:noProof/>
        </w:rPr>
        <w:lastRenderedPageBreak/>
        <w:drawing>
          <wp:inline distT="0" distB="0" distL="0" distR="0" wp14:anchorId="20357F65" wp14:editId="3FFC7055">
            <wp:extent cx="2874570" cy="2175786"/>
            <wp:effectExtent l="0" t="0" r="0" b="0"/>
            <wp:docPr id="12" name="Picture 12" descr="A picture containing computer, person, table,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89F3917A-F6B4-412E-95DE-1E991C5C8A3C_1_105_c.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1020" cy="2180668"/>
                    </a:xfrm>
                    <a:prstGeom prst="rect">
                      <a:avLst/>
                    </a:prstGeom>
                  </pic:spPr>
                </pic:pic>
              </a:graphicData>
            </a:graphic>
          </wp:inline>
        </w:drawing>
      </w:r>
      <w:r>
        <w:rPr>
          <w:noProof/>
        </w:rPr>
        <w:drawing>
          <wp:inline distT="0" distB="0" distL="0" distR="0" wp14:anchorId="1347C4C1" wp14:editId="1D2C5FAD">
            <wp:extent cx="2902226" cy="2176670"/>
            <wp:effectExtent l="0" t="0" r="0" b="0"/>
            <wp:docPr id="13" name="Picture 13" descr="A desk with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7E47996-E47D-437B-9B2E-219AD1784A77_1_105_c.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04116" cy="2178087"/>
                    </a:xfrm>
                    <a:prstGeom prst="rect">
                      <a:avLst/>
                    </a:prstGeom>
                  </pic:spPr>
                </pic:pic>
              </a:graphicData>
            </a:graphic>
          </wp:inline>
        </w:drawing>
      </w:r>
    </w:p>
    <w:p w14:paraId="184046BB" w14:textId="7391DC88" w:rsidR="002A604D" w:rsidRPr="003854F0" w:rsidRDefault="003854F0" w:rsidP="003854F0">
      <w:pPr>
        <w:pStyle w:val="Caption"/>
        <w:jc w:val="center"/>
        <w:rPr>
          <w:i w:val="0"/>
          <w:iCs w:val="0"/>
          <w:color w:val="000000" w:themeColor="text1"/>
          <w:sz w:val="24"/>
          <w:szCs w:val="24"/>
        </w:rPr>
      </w:pPr>
      <w:r w:rsidRPr="003854F0">
        <w:rPr>
          <w:b/>
          <w:bCs/>
          <w:i w:val="0"/>
          <w:iCs w:val="0"/>
          <w:color w:val="000000" w:themeColor="text1"/>
          <w:sz w:val="24"/>
          <w:szCs w:val="24"/>
        </w:rPr>
        <w:t xml:space="preserve">Figure </w:t>
      </w:r>
      <w:r w:rsidRPr="003854F0">
        <w:rPr>
          <w:b/>
          <w:bCs/>
          <w:i w:val="0"/>
          <w:iCs w:val="0"/>
          <w:color w:val="000000" w:themeColor="text1"/>
          <w:sz w:val="24"/>
          <w:szCs w:val="24"/>
        </w:rPr>
        <w:fldChar w:fldCharType="begin"/>
      </w:r>
      <w:r w:rsidRPr="003854F0">
        <w:rPr>
          <w:b/>
          <w:bCs/>
          <w:i w:val="0"/>
          <w:iCs w:val="0"/>
          <w:color w:val="000000" w:themeColor="text1"/>
          <w:sz w:val="24"/>
          <w:szCs w:val="24"/>
        </w:rPr>
        <w:instrText xml:space="preserve"> SEQ Figure \* ARABIC </w:instrText>
      </w:r>
      <w:r w:rsidRPr="003854F0">
        <w:rPr>
          <w:b/>
          <w:bCs/>
          <w:i w:val="0"/>
          <w:iCs w:val="0"/>
          <w:color w:val="000000" w:themeColor="text1"/>
          <w:sz w:val="24"/>
          <w:szCs w:val="24"/>
        </w:rPr>
        <w:fldChar w:fldCharType="separate"/>
      </w:r>
      <w:r w:rsidRPr="003854F0">
        <w:rPr>
          <w:b/>
          <w:bCs/>
          <w:i w:val="0"/>
          <w:iCs w:val="0"/>
          <w:noProof/>
          <w:color w:val="000000" w:themeColor="text1"/>
          <w:sz w:val="24"/>
          <w:szCs w:val="24"/>
        </w:rPr>
        <w:t>10</w:t>
      </w:r>
      <w:r w:rsidRPr="003854F0">
        <w:rPr>
          <w:b/>
          <w:bCs/>
          <w:i w:val="0"/>
          <w:iCs w:val="0"/>
          <w:color w:val="000000" w:themeColor="text1"/>
          <w:sz w:val="24"/>
          <w:szCs w:val="24"/>
        </w:rPr>
        <w:fldChar w:fldCharType="end"/>
      </w:r>
      <w:r w:rsidRPr="003854F0">
        <w:rPr>
          <w:b/>
          <w:bCs/>
          <w:i w:val="0"/>
          <w:iCs w:val="0"/>
          <w:color w:val="000000" w:themeColor="text1"/>
          <w:sz w:val="24"/>
          <w:szCs w:val="24"/>
        </w:rPr>
        <w:t>.</w:t>
      </w:r>
      <w:r w:rsidRPr="003854F0">
        <w:rPr>
          <w:i w:val="0"/>
          <w:iCs w:val="0"/>
          <w:color w:val="000000" w:themeColor="text1"/>
          <w:sz w:val="24"/>
          <w:szCs w:val="24"/>
        </w:rPr>
        <w:t xml:space="preserve"> Set up of sampler in the field using a 12v 210 RC deep cycle battery </w:t>
      </w:r>
      <w:r w:rsidRPr="003854F0">
        <w:rPr>
          <w:i w:val="0"/>
          <w:iCs w:val="0"/>
          <w:noProof/>
          <w:color w:val="000000" w:themeColor="text1"/>
          <w:sz w:val="24"/>
          <w:szCs w:val="24"/>
        </w:rPr>
        <w:t>purchased form Interstate Batteries.</w:t>
      </w:r>
    </w:p>
    <w:p w14:paraId="1B02E70B" w14:textId="5FB483D1" w:rsidR="0075129B" w:rsidRDefault="0075129B" w:rsidP="0075129B">
      <w:pPr>
        <w:spacing w:line="276" w:lineRule="auto"/>
        <w:ind w:firstLine="720"/>
        <w:rPr>
          <w:rFonts w:ascii="Inherit" w:hAnsi="Inherit" w:cs="Calibri"/>
          <w:color w:val="000000"/>
        </w:rPr>
      </w:pPr>
      <w:r w:rsidRPr="002A604D">
        <w:rPr>
          <w:color w:val="000000"/>
        </w:rPr>
        <w:t>As an alternative to the power supply, if outlets are both accessible and available from the sampling location, a setup similar to the one used in the first test can be used to obtain a 24-hour composite sample</w:t>
      </w:r>
      <w:r w:rsidR="003854F0">
        <w:rPr>
          <w:color w:val="000000"/>
        </w:rPr>
        <w:t>, Figure 8</w:t>
      </w:r>
      <w:r w:rsidRPr="002A604D">
        <w:rPr>
          <w:color w:val="000000"/>
        </w:rPr>
        <w:t>.</w:t>
      </w:r>
    </w:p>
    <w:p w14:paraId="47CD148C" w14:textId="1D0E3C0F" w:rsidR="0075129B" w:rsidRDefault="0075129B" w:rsidP="0075129B">
      <w:pPr>
        <w:pStyle w:val="Heading1"/>
        <w:spacing w:line="276" w:lineRule="auto"/>
      </w:pPr>
      <w:r>
        <w:t>Conclusions</w:t>
      </w:r>
    </w:p>
    <w:p w14:paraId="7FAD35F3" w14:textId="32FBA257" w:rsidR="00921766" w:rsidRDefault="0075129B" w:rsidP="0075129B">
      <w:pPr>
        <w:spacing w:line="276" w:lineRule="auto"/>
      </w:pPr>
      <w:r>
        <w:tab/>
        <w:t>Early testing and use cases of a DIY composite sampler show it to be a potentially promising alternative to commercial composite samplers when sampling wastewater to test for the presence of SARS-CoV-2 Viral RNA. Further testing is needed to verify its feasibility in applying it in the field and its ability to obtain fecal matter. Additionally, alternatives to the current power supply design should be explored to ensure the longevity of the DIY sampler.</w:t>
      </w:r>
    </w:p>
    <w:p w14:paraId="0F95120F" w14:textId="2A285ACA" w:rsidR="001516AF" w:rsidRDefault="001516AF" w:rsidP="001516AF">
      <w:pPr>
        <w:pStyle w:val="Heading1"/>
      </w:pPr>
      <w:r>
        <w:t>References</w:t>
      </w:r>
    </w:p>
    <w:p w14:paraId="692FB8DE" w14:textId="77777777" w:rsidR="001516AF" w:rsidRPr="001516AF" w:rsidRDefault="001516AF" w:rsidP="001516AF"/>
    <w:p w14:paraId="3AA6CABE" w14:textId="36F5BB32" w:rsidR="003469EB" w:rsidRPr="003469EB" w:rsidRDefault="009E38C1" w:rsidP="003469EB">
      <w:pPr>
        <w:widowControl w:val="0"/>
        <w:autoSpaceDE w:val="0"/>
        <w:autoSpaceDN w:val="0"/>
        <w:adjustRightInd w:val="0"/>
        <w:ind w:left="640" w:hanging="640"/>
        <w:rPr>
          <w:noProof/>
        </w:rPr>
      </w:pPr>
      <w:r>
        <w:fldChar w:fldCharType="begin" w:fldLock="1"/>
      </w:r>
      <w:r>
        <w:instrText xml:space="preserve">ADDIN Mendeley Bibliography CSL_BIBLIOGRAPHY </w:instrText>
      </w:r>
      <w:r>
        <w:fldChar w:fldCharType="separate"/>
      </w:r>
      <w:r w:rsidR="003469EB" w:rsidRPr="003469EB">
        <w:rPr>
          <w:noProof/>
        </w:rPr>
        <w:t>1.</w:t>
      </w:r>
      <w:r w:rsidR="003469EB" w:rsidRPr="003469EB">
        <w:rPr>
          <w:noProof/>
        </w:rPr>
        <w:tab/>
        <w:t xml:space="preserve">Green, H. </w:t>
      </w:r>
      <w:r w:rsidR="003469EB" w:rsidRPr="003469EB">
        <w:rPr>
          <w:i/>
          <w:iCs/>
          <w:noProof/>
        </w:rPr>
        <w:t>et al.</w:t>
      </w:r>
      <w:r w:rsidR="003469EB" w:rsidRPr="003469EB">
        <w:rPr>
          <w:noProof/>
        </w:rPr>
        <w:t xml:space="preserve"> Quantification of SARS-CoV-2 and cross-assembly phage (crAssphage) from wastewater to monitor coronavirus transmission within communities. </w:t>
      </w:r>
      <w:r w:rsidR="003469EB" w:rsidRPr="003469EB">
        <w:rPr>
          <w:i/>
          <w:iCs/>
          <w:noProof/>
        </w:rPr>
        <w:t>medRxiv</w:t>
      </w:r>
      <w:r w:rsidR="003469EB" w:rsidRPr="003469EB">
        <w:rPr>
          <w:noProof/>
        </w:rPr>
        <w:t xml:space="preserve"> </w:t>
      </w:r>
      <w:r w:rsidR="003469EB" w:rsidRPr="003469EB">
        <w:rPr>
          <w:b/>
          <w:bCs/>
          <w:noProof/>
        </w:rPr>
        <w:t>2</w:t>
      </w:r>
      <w:r w:rsidR="003469EB" w:rsidRPr="003469EB">
        <w:rPr>
          <w:noProof/>
        </w:rPr>
        <w:t>, 2020.05.21.20109181 (2020).</w:t>
      </w:r>
    </w:p>
    <w:p w14:paraId="2BBCB9BC" w14:textId="77777777" w:rsidR="003469EB" w:rsidRPr="003469EB" w:rsidRDefault="003469EB" w:rsidP="003469EB">
      <w:pPr>
        <w:widowControl w:val="0"/>
        <w:autoSpaceDE w:val="0"/>
        <w:autoSpaceDN w:val="0"/>
        <w:adjustRightInd w:val="0"/>
        <w:ind w:left="640" w:hanging="640"/>
        <w:rPr>
          <w:noProof/>
        </w:rPr>
      </w:pPr>
      <w:r w:rsidRPr="003469EB">
        <w:rPr>
          <w:noProof/>
        </w:rPr>
        <w:t>2.</w:t>
      </w:r>
      <w:r w:rsidRPr="003469EB">
        <w:rPr>
          <w:noProof/>
        </w:rPr>
        <w:tab/>
        <w:t xml:space="preserve">Randazzo, W. </w:t>
      </w:r>
      <w:r w:rsidRPr="003469EB">
        <w:rPr>
          <w:i/>
          <w:iCs/>
          <w:noProof/>
        </w:rPr>
        <w:t>et al.</w:t>
      </w:r>
      <w:r w:rsidRPr="003469EB">
        <w:rPr>
          <w:noProof/>
        </w:rPr>
        <w:t xml:space="preserve"> SARS-CoV-2 RNA titers in wastewater anticipated COVID-19 occurrence in a low prevalence area. </w:t>
      </w:r>
      <w:r w:rsidRPr="003469EB">
        <w:rPr>
          <w:i/>
          <w:iCs/>
          <w:noProof/>
        </w:rPr>
        <w:t>Water Res.</w:t>
      </w:r>
      <w:r w:rsidRPr="003469EB">
        <w:rPr>
          <w:noProof/>
        </w:rPr>
        <w:t xml:space="preserve"> </w:t>
      </w:r>
      <w:r w:rsidRPr="003469EB">
        <w:rPr>
          <w:b/>
          <w:bCs/>
          <w:noProof/>
        </w:rPr>
        <w:t>181</w:t>
      </w:r>
      <w:r w:rsidRPr="003469EB">
        <w:rPr>
          <w:noProof/>
        </w:rPr>
        <w:t>, 115942 (2020).</w:t>
      </w:r>
    </w:p>
    <w:p w14:paraId="022E2B8E" w14:textId="77777777" w:rsidR="003469EB" w:rsidRPr="003469EB" w:rsidRDefault="003469EB" w:rsidP="003469EB">
      <w:pPr>
        <w:widowControl w:val="0"/>
        <w:autoSpaceDE w:val="0"/>
        <w:autoSpaceDN w:val="0"/>
        <w:adjustRightInd w:val="0"/>
        <w:ind w:left="640" w:hanging="640"/>
        <w:rPr>
          <w:noProof/>
        </w:rPr>
      </w:pPr>
      <w:r w:rsidRPr="003469EB">
        <w:rPr>
          <w:noProof/>
        </w:rPr>
        <w:t>3.</w:t>
      </w:r>
      <w:r w:rsidRPr="003469EB">
        <w:rPr>
          <w:noProof/>
        </w:rPr>
        <w:tab/>
        <w:t xml:space="preserve">Ahmed, W. </w:t>
      </w:r>
      <w:r w:rsidRPr="003469EB">
        <w:rPr>
          <w:i/>
          <w:iCs/>
          <w:noProof/>
        </w:rPr>
        <w:t>et al.</w:t>
      </w:r>
      <w:r w:rsidRPr="003469EB">
        <w:rPr>
          <w:noProof/>
        </w:rPr>
        <w:t xml:space="preserve"> First confirmed detection of SARS-CoV-2 in untreated wastewater in Australia: A proof of concept for the wastewater surveillance of COVID-19 in the community. </w:t>
      </w:r>
      <w:r w:rsidRPr="003469EB">
        <w:rPr>
          <w:i/>
          <w:iCs/>
          <w:noProof/>
        </w:rPr>
        <w:t>Sci. Total Environ.</w:t>
      </w:r>
      <w:r w:rsidRPr="003469EB">
        <w:rPr>
          <w:noProof/>
        </w:rPr>
        <w:t xml:space="preserve"> </w:t>
      </w:r>
      <w:r w:rsidRPr="003469EB">
        <w:rPr>
          <w:b/>
          <w:bCs/>
          <w:noProof/>
        </w:rPr>
        <w:t>728</w:t>
      </w:r>
      <w:r w:rsidRPr="003469EB">
        <w:rPr>
          <w:noProof/>
        </w:rPr>
        <w:t>, 138764 (2020).</w:t>
      </w:r>
    </w:p>
    <w:p w14:paraId="40499A49" w14:textId="77777777" w:rsidR="003469EB" w:rsidRPr="003469EB" w:rsidRDefault="003469EB" w:rsidP="003469EB">
      <w:pPr>
        <w:widowControl w:val="0"/>
        <w:autoSpaceDE w:val="0"/>
        <w:autoSpaceDN w:val="0"/>
        <w:adjustRightInd w:val="0"/>
        <w:ind w:left="640" w:hanging="640"/>
        <w:rPr>
          <w:noProof/>
        </w:rPr>
      </w:pPr>
      <w:r w:rsidRPr="003469EB">
        <w:rPr>
          <w:noProof/>
        </w:rPr>
        <w:t>4.</w:t>
      </w:r>
      <w:r w:rsidRPr="003469EB">
        <w:rPr>
          <w:noProof/>
        </w:rPr>
        <w:tab/>
        <w:t xml:space="preserve">Medema, G., Heijnen, L., Elsinga, G., Italiaander, R. &amp; Medema, G. Presence of SARS-Coronavirus-2 in sewage. </w:t>
      </w:r>
      <w:r w:rsidRPr="003469EB">
        <w:rPr>
          <w:i/>
          <w:iCs/>
          <w:noProof/>
        </w:rPr>
        <w:t>medRxiv</w:t>
      </w:r>
      <w:r w:rsidRPr="003469EB">
        <w:rPr>
          <w:noProof/>
        </w:rPr>
        <w:t xml:space="preserve"> (2020).</w:t>
      </w:r>
    </w:p>
    <w:p w14:paraId="62B0C919" w14:textId="77777777" w:rsidR="003469EB" w:rsidRPr="003469EB" w:rsidRDefault="003469EB" w:rsidP="003469EB">
      <w:pPr>
        <w:widowControl w:val="0"/>
        <w:autoSpaceDE w:val="0"/>
        <w:autoSpaceDN w:val="0"/>
        <w:adjustRightInd w:val="0"/>
        <w:ind w:left="640" w:hanging="640"/>
        <w:rPr>
          <w:noProof/>
        </w:rPr>
      </w:pPr>
      <w:r w:rsidRPr="003469EB">
        <w:rPr>
          <w:noProof/>
        </w:rPr>
        <w:t>5.</w:t>
      </w:r>
      <w:r w:rsidRPr="003469EB">
        <w:rPr>
          <w:noProof/>
        </w:rPr>
        <w:tab/>
        <w:t xml:space="preserve">Vaccines and Biologicals &amp; World Health Organization. </w:t>
      </w:r>
      <w:r w:rsidRPr="003469EB">
        <w:rPr>
          <w:i/>
          <w:iCs/>
          <w:noProof/>
        </w:rPr>
        <w:t>Guidelines for environmental surveillance of poliovirus circulation</w:t>
      </w:r>
      <w:r w:rsidRPr="003469EB">
        <w:rPr>
          <w:noProof/>
        </w:rPr>
        <w:t>. (2003).</w:t>
      </w:r>
    </w:p>
    <w:p w14:paraId="331FA81D" w14:textId="77777777" w:rsidR="003469EB" w:rsidRPr="003469EB" w:rsidRDefault="003469EB" w:rsidP="003469EB">
      <w:pPr>
        <w:widowControl w:val="0"/>
        <w:autoSpaceDE w:val="0"/>
        <w:autoSpaceDN w:val="0"/>
        <w:adjustRightInd w:val="0"/>
        <w:ind w:left="640" w:hanging="640"/>
        <w:rPr>
          <w:noProof/>
        </w:rPr>
      </w:pPr>
      <w:r w:rsidRPr="003469EB">
        <w:rPr>
          <w:noProof/>
        </w:rPr>
        <w:t>6.</w:t>
      </w:r>
      <w:r w:rsidRPr="003469EB">
        <w:rPr>
          <w:noProof/>
        </w:rPr>
        <w:tab/>
        <w:t>Governor’s Press Office. Governor Cuomo Announces New Testing Initiatives to Improve COVID-19 Detection &amp; Control Across New York State Contact the Governor ’ s Press O ffi ce. (2020).</w:t>
      </w:r>
    </w:p>
    <w:p w14:paraId="608126D1" w14:textId="77777777" w:rsidR="003469EB" w:rsidRPr="003469EB" w:rsidRDefault="003469EB" w:rsidP="003469EB">
      <w:pPr>
        <w:widowControl w:val="0"/>
        <w:autoSpaceDE w:val="0"/>
        <w:autoSpaceDN w:val="0"/>
        <w:adjustRightInd w:val="0"/>
        <w:ind w:left="640" w:hanging="640"/>
        <w:rPr>
          <w:noProof/>
        </w:rPr>
      </w:pPr>
      <w:r w:rsidRPr="003469EB">
        <w:rPr>
          <w:noProof/>
        </w:rPr>
        <w:t>7.</w:t>
      </w:r>
      <w:r w:rsidRPr="003469EB">
        <w:rPr>
          <w:noProof/>
        </w:rPr>
        <w:tab/>
        <w:t xml:space="preserve">Madison County tracking COVID-19 through wastewater surveillance. </w:t>
      </w:r>
      <w:r w:rsidRPr="003469EB">
        <w:rPr>
          <w:i/>
          <w:iCs/>
          <w:noProof/>
        </w:rPr>
        <w:t>Localsyr.com</w:t>
      </w:r>
      <w:r w:rsidRPr="003469EB">
        <w:rPr>
          <w:noProof/>
        </w:rPr>
        <w:t xml:space="preserve"> 2020 </w:t>
      </w:r>
      <w:r w:rsidRPr="003469EB">
        <w:rPr>
          <w:noProof/>
        </w:rPr>
        <w:lastRenderedPageBreak/>
        <w:t>(2020).</w:t>
      </w:r>
    </w:p>
    <w:p w14:paraId="55BB084D" w14:textId="77777777" w:rsidR="003469EB" w:rsidRPr="003469EB" w:rsidRDefault="003469EB" w:rsidP="003469EB">
      <w:pPr>
        <w:widowControl w:val="0"/>
        <w:autoSpaceDE w:val="0"/>
        <w:autoSpaceDN w:val="0"/>
        <w:adjustRightInd w:val="0"/>
        <w:ind w:left="640" w:hanging="640"/>
        <w:rPr>
          <w:noProof/>
        </w:rPr>
      </w:pPr>
      <w:r w:rsidRPr="003469EB">
        <w:rPr>
          <w:noProof/>
        </w:rPr>
        <w:t>8.</w:t>
      </w:r>
      <w:r w:rsidRPr="003469EB">
        <w:rPr>
          <w:noProof/>
        </w:rPr>
        <w:tab/>
        <w:t xml:space="preserve">Spectrum News Staff. Waste ​ water in Monroe County Being Tested for COVID-19. </w:t>
      </w:r>
      <w:r w:rsidRPr="003469EB">
        <w:rPr>
          <w:i/>
          <w:iCs/>
          <w:noProof/>
        </w:rPr>
        <w:t>Spectrum News</w:t>
      </w:r>
      <w:r w:rsidRPr="003469EB">
        <w:rPr>
          <w:noProof/>
        </w:rPr>
        <w:t xml:space="preserve"> 2020 (2020).</w:t>
      </w:r>
    </w:p>
    <w:p w14:paraId="033A4CCA" w14:textId="77777777" w:rsidR="003469EB" w:rsidRPr="003469EB" w:rsidRDefault="003469EB" w:rsidP="003469EB">
      <w:pPr>
        <w:widowControl w:val="0"/>
        <w:autoSpaceDE w:val="0"/>
        <w:autoSpaceDN w:val="0"/>
        <w:adjustRightInd w:val="0"/>
        <w:ind w:left="640" w:hanging="640"/>
        <w:rPr>
          <w:noProof/>
        </w:rPr>
      </w:pPr>
      <w:r w:rsidRPr="003469EB">
        <w:rPr>
          <w:noProof/>
        </w:rPr>
        <w:t>9.</w:t>
      </w:r>
      <w:r w:rsidRPr="003469EB">
        <w:rPr>
          <w:noProof/>
        </w:rPr>
        <w:tab/>
        <w:t xml:space="preserve">Auburn, L. Rochester Institute of Technology RIT to monitor wastewater for signs of surges in coronavirus cases before symptoms set in. </w:t>
      </w:r>
      <w:r w:rsidRPr="003469EB">
        <w:rPr>
          <w:i/>
          <w:iCs/>
          <w:noProof/>
        </w:rPr>
        <w:t>RIT News</w:t>
      </w:r>
      <w:r w:rsidRPr="003469EB">
        <w:rPr>
          <w:noProof/>
        </w:rPr>
        <w:t xml:space="preserve"> (2020).</w:t>
      </w:r>
    </w:p>
    <w:p w14:paraId="6EA09A8D" w14:textId="77777777" w:rsidR="003469EB" w:rsidRPr="003469EB" w:rsidRDefault="003469EB" w:rsidP="003469EB">
      <w:pPr>
        <w:widowControl w:val="0"/>
        <w:autoSpaceDE w:val="0"/>
        <w:autoSpaceDN w:val="0"/>
        <w:adjustRightInd w:val="0"/>
        <w:ind w:left="640" w:hanging="640"/>
        <w:rPr>
          <w:noProof/>
        </w:rPr>
      </w:pPr>
      <w:r w:rsidRPr="003469EB">
        <w:rPr>
          <w:noProof/>
        </w:rPr>
        <w:t>10.</w:t>
      </w:r>
      <w:r w:rsidRPr="003469EB">
        <w:rPr>
          <w:noProof/>
        </w:rPr>
        <w:tab/>
        <w:t xml:space="preserve">Coin, G. Syracuse University , ESF will test sewage dorm- by-dorm to track coronavirus spread. </w:t>
      </w:r>
      <w:r w:rsidRPr="003469EB">
        <w:rPr>
          <w:i/>
          <w:iCs/>
          <w:noProof/>
        </w:rPr>
        <w:t>Syracuse.com</w:t>
      </w:r>
      <w:r w:rsidRPr="003469EB">
        <w:rPr>
          <w:noProof/>
        </w:rPr>
        <w:t xml:space="preserve"> (2020).</w:t>
      </w:r>
    </w:p>
    <w:p w14:paraId="225603C5" w14:textId="77777777" w:rsidR="003469EB" w:rsidRPr="003469EB" w:rsidRDefault="003469EB" w:rsidP="003469EB">
      <w:pPr>
        <w:widowControl w:val="0"/>
        <w:autoSpaceDE w:val="0"/>
        <w:autoSpaceDN w:val="0"/>
        <w:adjustRightInd w:val="0"/>
        <w:ind w:left="640" w:hanging="640"/>
        <w:rPr>
          <w:noProof/>
        </w:rPr>
      </w:pPr>
      <w:r w:rsidRPr="003469EB">
        <w:rPr>
          <w:noProof/>
        </w:rPr>
        <w:t>11.</w:t>
      </w:r>
      <w:r w:rsidRPr="003469EB">
        <w:rPr>
          <w:noProof/>
        </w:rPr>
        <w:tab/>
        <w:t xml:space="preserve">Cornman, R. S., McKenna, J. E., Fike, J., Oyler-McCance, S. J. &amp; Johnson, R. An experimental comparison of composite and grab sampling of stream water for metagenetic analysis of environmental DNA. </w:t>
      </w:r>
      <w:r w:rsidRPr="003469EB">
        <w:rPr>
          <w:i/>
          <w:iCs/>
          <w:noProof/>
        </w:rPr>
        <w:t>PeerJ</w:t>
      </w:r>
      <w:r w:rsidRPr="003469EB">
        <w:rPr>
          <w:noProof/>
        </w:rPr>
        <w:t xml:space="preserve"> </w:t>
      </w:r>
      <w:r w:rsidRPr="003469EB">
        <w:rPr>
          <w:b/>
          <w:bCs/>
          <w:noProof/>
        </w:rPr>
        <w:t>2018</w:t>
      </w:r>
      <w:r w:rsidRPr="003469EB">
        <w:rPr>
          <w:noProof/>
        </w:rPr>
        <w:t>, 1–28 (2018).</w:t>
      </w:r>
    </w:p>
    <w:p w14:paraId="58DB6060" w14:textId="77777777" w:rsidR="003469EB" w:rsidRPr="003469EB" w:rsidRDefault="003469EB" w:rsidP="003469EB">
      <w:pPr>
        <w:widowControl w:val="0"/>
        <w:autoSpaceDE w:val="0"/>
        <w:autoSpaceDN w:val="0"/>
        <w:adjustRightInd w:val="0"/>
        <w:ind w:left="640" w:hanging="640"/>
        <w:rPr>
          <w:noProof/>
        </w:rPr>
      </w:pPr>
      <w:r w:rsidRPr="003469EB">
        <w:rPr>
          <w:noProof/>
        </w:rPr>
        <w:t>12.</w:t>
      </w:r>
      <w:r w:rsidRPr="003469EB">
        <w:rPr>
          <w:noProof/>
        </w:rPr>
        <w:tab/>
        <w:t xml:space="preserve">Schaeffer, D. J., Kerster, H. W. &amp; Janardan, K. G. Grab versus composite sampling: A primer for the manager and engineer. </w:t>
      </w:r>
      <w:r w:rsidRPr="003469EB">
        <w:rPr>
          <w:i/>
          <w:iCs/>
          <w:noProof/>
        </w:rPr>
        <w:t>Environ. Manage.</w:t>
      </w:r>
      <w:r w:rsidRPr="003469EB">
        <w:rPr>
          <w:noProof/>
        </w:rPr>
        <w:t xml:space="preserve"> </w:t>
      </w:r>
      <w:r w:rsidRPr="003469EB">
        <w:rPr>
          <w:b/>
          <w:bCs/>
          <w:noProof/>
        </w:rPr>
        <w:t>4</w:t>
      </w:r>
      <w:r w:rsidRPr="003469EB">
        <w:rPr>
          <w:noProof/>
        </w:rPr>
        <w:t>, 157–163 (1980).</w:t>
      </w:r>
    </w:p>
    <w:p w14:paraId="730D2B79" w14:textId="77777777" w:rsidR="003469EB" w:rsidRPr="003469EB" w:rsidRDefault="003469EB" w:rsidP="003469EB">
      <w:pPr>
        <w:widowControl w:val="0"/>
        <w:autoSpaceDE w:val="0"/>
        <w:autoSpaceDN w:val="0"/>
        <w:adjustRightInd w:val="0"/>
        <w:ind w:left="640" w:hanging="640"/>
        <w:rPr>
          <w:noProof/>
        </w:rPr>
      </w:pPr>
      <w:r w:rsidRPr="003469EB">
        <w:rPr>
          <w:noProof/>
        </w:rPr>
        <w:t>13.</w:t>
      </w:r>
      <w:r w:rsidRPr="003469EB">
        <w:rPr>
          <w:noProof/>
        </w:rPr>
        <w:tab/>
        <w:t xml:space="preserve">Brumelle, S., Nemetz, P. &amp; Casey, D. Estimating means and variances: the comparative efficiency of composite and grab samples. </w:t>
      </w:r>
      <w:r w:rsidRPr="003469EB">
        <w:rPr>
          <w:i/>
          <w:iCs/>
          <w:noProof/>
        </w:rPr>
        <w:t>Environ. Monit. Assess.</w:t>
      </w:r>
      <w:r w:rsidRPr="003469EB">
        <w:rPr>
          <w:noProof/>
        </w:rPr>
        <w:t xml:space="preserve"> </w:t>
      </w:r>
      <w:r w:rsidRPr="003469EB">
        <w:rPr>
          <w:b/>
          <w:bCs/>
          <w:noProof/>
        </w:rPr>
        <w:t>4</w:t>
      </w:r>
      <w:r w:rsidRPr="003469EB">
        <w:rPr>
          <w:noProof/>
        </w:rPr>
        <w:t>, 81–84 (1984).</w:t>
      </w:r>
    </w:p>
    <w:p w14:paraId="5B49B0AC" w14:textId="77777777" w:rsidR="003469EB" w:rsidRPr="003469EB" w:rsidRDefault="003469EB" w:rsidP="003469EB">
      <w:pPr>
        <w:widowControl w:val="0"/>
        <w:autoSpaceDE w:val="0"/>
        <w:autoSpaceDN w:val="0"/>
        <w:adjustRightInd w:val="0"/>
        <w:ind w:left="640" w:hanging="640"/>
        <w:rPr>
          <w:noProof/>
        </w:rPr>
      </w:pPr>
      <w:r w:rsidRPr="003469EB">
        <w:rPr>
          <w:noProof/>
        </w:rPr>
        <w:t>14.</w:t>
      </w:r>
      <w:r w:rsidRPr="003469EB">
        <w:rPr>
          <w:noProof/>
        </w:rPr>
        <w:tab/>
        <w:t xml:space="preserve">The Water Research Foundation. </w:t>
      </w:r>
      <w:r w:rsidRPr="003469EB">
        <w:rPr>
          <w:i/>
          <w:iCs/>
          <w:noProof/>
        </w:rPr>
        <w:t>Wastewater Surveillance of the COVID-19 Genetic Signal in Sewersheds: Recommendations from Global Experts</w:t>
      </w:r>
      <w:r w:rsidRPr="003469EB">
        <w:rPr>
          <w:noProof/>
        </w:rPr>
        <w:t xml:space="preserve">. </w:t>
      </w:r>
      <w:r w:rsidRPr="003469EB">
        <w:rPr>
          <w:i/>
          <w:iCs/>
          <w:noProof/>
        </w:rPr>
        <w:t>International Water Research Summit on Environmental Surveillance of COVID-19 Indicators in Sewersheds</w:t>
      </w:r>
      <w:r w:rsidRPr="003469EB">
        <w:rPr>
          <w:noProof/>
        </w:rPr>
        <w:t xml:space="preserve"> (2020).</w:t>
      </w:r>
    </w:p>
    <w:p w14:paraId="350BB018" w14:textId="77777777" w:rsidR="003469EB" w:rsidRPr="003469EB" w:rsidRDefault="003469EB" w:rsidP="003469EB">
      <w:pPr>
        <w:widowControl w:val="0"/>
        <w:autoSpaceDE w:val="0"/>
        <w:autoSpaceDN w:val="0"/>
        <w:adjustRightInd w:val="0"/>
        <w:ind w:left="640" w:hanging="640"/>
        <w:rPr>
          <w:noProof/>
        </w:rPr>
      </w:pPr>
      <w:r w:rsidRPr="003469EB">
        <w:rPr>
          <w:noProof/>
        </w:rPr>
        <w:t>15.</w:t>
      </w:r>
      <w:r w:rsidRPr="003469EB">
        <w:rPr>
          <w:noProof/>
        </w:rPr>
        <w:tab/>
        <w:t xml:space="preserve">Curtis, K., Keeling, D., Yetka, K., Larson, A. &amp; Gonzalez, R. Wastewater SARS-CoV-2 Concentration and Loading Variability from Grab and 24-Hour Composite Samples. </w:t>
      </w:r>
      <w:r w:rsidRPr="003469EB">
        <w:rPr>
          <w:i/>
          <w:iCs/>
          <w:noProof/>
        </w:rPr>
        <w:t>medRxiv</w:t>
      </w:r>
      <w:r w:rsidRPr="003469EB">
        <w:rPr>
          <w:noProof/>
        </w:rPr>
        <w:t xml:space="preserve"> 2020.07.10.20150607 (2020). doi:10.1101/2020.07.10.20150607</w:t>
      </w:r>
    </w:p>
    <w:p w14:paraId="1C6F5AFE" w14:textId="77777777" w:rsidR="003469EB" w:rsidRPr="003469EB" w:rsidRDefault="003469EB" w:rsidP="003469EB">
      <w:pPr>
        <w:widowControl w:val="0"/>
        <w:autoSpaceDE w:val="0"/>
        <w:autoSpaceDN w:val="0"/>
        <w:adjustRightInd w:val="0"/>
        <w:ind w:left="640" w:hanging="640"/>
        <w:rPr>
          <w:noProof/>
        </w:rPr>
      </w:pPr>
      <w:r w:rsidRPr="003469EB">
        <w:rPr>
          <w:noProof/>
        </w:rPr>
        <w:t>16.</w:t>
      </w:r>
      <w:r w:rsidRPr="003469EB">
        <w:rPr>
          <w:noProof/>
        </w:rPr>
        <w:tab/>
        <w:t xml:space="preserve">Sattley, W. M., Burchell, B. M., Conrad, S. D. &amp; Madigan, M. T. Design, construction, and application of an inexpensive, high-resolution water sampler. </w:t>
      </w:r>
      <w:r w:rsidRPr="003469EB">
        <w:rPr>
          <w:i/>
          <w:iCs/>
          <w:noProof/>
        </w:rPr>
        <w:t>Water</w:t>
      </w:r>
      <w:r w:rsidRPr="003469EB">
        <w:rPr>
          <w:noProof/>
        </w:rPr>
        <w:t xml:space="preserve"> </w:t>
      </w:r>
      <w:r w:rsidRPr="003469EB">
        <w:rPr>
          <w:b/>
          <w:bCs/>
          <w:noProof/>
        </w:rPr>
        <w:t>9</w:t>
      </w:r>
      <w:r w:rsidRPr="003469EB">
        <w:rPr>
          <w:noProof/>
        </w:rPr>
        <w:t>, (2017).</w:t>
      </w:r>
    </w:p>
    <w:p w14:paraId="41DE1F97" w14:textId="770286AE" w:rsidR="001516AF" w:rsidRPr="001516AF" w:rsidRDefault="009E38C1" w:rsidP="003469EB">
      <w:pPr>
        <w:widowControl w:val="0"/>
        <w:autoSpaceDE w:val="0"/>
        <w:autoSpaceDN w:val="0"/>
        <w:adjustRightInd w:val="0"/>
        <w:ind w:left="640" w:hanging="640"/>
      </w:pPr>
      <w:r>
        <w:fldChar w:fldCharType="end"/>
      </w:r>
    </w:p>
    <w:sectPr w:rsidR="001516AF" w:rsidRPr="001516AF" w:rsidSect="00430F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nherit">
    <w:altName w:val="Cambria"/>
    <w:panose1 w:val="020B06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4706E4"/>
    <w:multiLevelType w:val="hybridMultilevel"/>
    <w:tmpl w:val="CD6E7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7A0"/>
    <w:rsid w:val="001516AF"/>
    <w:rsid w:val="001E4B51"/>
    <w:rsid w:val="00256734"/>
    <w:rsid w:val="002A604D"/>
    <w:rsid w:val="002E75A9"/>
    <w:rsid w:val="003332B9"/>
    <w:rsid w:val="003469EB"/>
    <w:rsid w:val="003757A0"/>
    <w:rsid w:val="003854F0"/>
    <w:rsid w:val="003D4693"/>
    <w:rsid w:val="00430F51"/>
    <w:rsid w:val="005463B6"/>
    <w:rsid w:val="006A389D"/>
    <w:rsid w:val="006A3F21"/>
    <w:rsid w:val="006B31FB"/>
    <w:rsid w:val="006B46A5"/>
    <w:rsid w:val="0075129B"/>
    <w:rsid w:val="008633BE"/>
    <w:rsid w:val="00921766"/>
    <w:rsid w:val="00927F7A"/>
    <w:rsid w:val="00977EA7"/>
    <w:rsid w:val="009E38C1"/>
    <w:rsid w:val="00A61C0A"/>
    <w:rsid w:val="00A95F21"/>
    <w:rsid w:val="00CA5DDD"/>
    <w:rsid w:val="00D2469F"/>
    <w:rsid w:val="00D4310F"/>
    <w:rsid w:val="00DA60FB"/>
    <w:rsid w:val="00DE75D3"/>
    <w:rsid w:val="00E73952"/>
    <w:rsid w:val="00EC57ED"/>
    <w:rsid w:val="00F16AB3"/>
    <w:rsid w:val="00F76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EA2FA"/>
  <w15:chartTrackingRefBased/>
  <w15:docId w15:val="{A7FC6F63-5D88-1E4E-AA20-582EC8CF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F21"/>
    <w:rPr>
      <w:rFonts w:ascii="Times New Roman" w:eastAsia="Times New Roman" w:hAnsi="Times New Roman" w:cs="Times New Roman"/>
    </w:rPr>
  </w:style>
  <w:style w:type="paragraph" w:styleId="Heading1">
    <w:name w:val="heading 1"/>
    <w:basedOn w:val="Normal"/>
    <w:next w:val="Normal"/>
    <w:link w:val="Heading1Char"/>
    <w:uiPriority w:val="9"/>
    <w:qFormat/>
    <w:rsid w:val="003757A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95F2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7A0"/>
    <w:pPr>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uiPriority w:val="9"/>
    <w:rsid w:val="003757A0"/>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A95F21"/>
    <w:pPr>
      <w:spacing w:after="200"/>
    </w:pPr>
    <w:rPr>
      <w:i/>
      <w:iCs/>
      <w:color w:val="44546A" w:themeColor="text2"/>
      <w:sz w:val="18"/>
      <w:szCs w:val="18"/>
    </w:rPr>
  </w:style>
  <w:style w:type="character" w:customStyle="1" w:styleId="Heading2Char">
    <w:name w:val="Heading 2 Char"/>
    <w:basedOn w:val="DefaultParagraphFont"/>
    <w:link w:val="Heading2"/>
    <w:uiPriority w:val="9"/>
    <w:rsid w:val="00A95F21"/>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A95F21"/>
    <w:rPr>
      <w:color w:val="808080"/>
    </w:rPr>
  </w:style>
  <w:style w:type="table" w:styleId="TableGrid">
    <w:name w:val="Table Grid"/>
    <w:basedOn w:val="TableNormal"/>
    <w:uiPriority w:val="39"/>
    <w:rsid w:val="00A6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516AF"/>
    <w:pPr>
      <w:tabs>
        <w:tab w:val="left" w:pos="500"/>
      </w:tabs>
      <w:spacing w:after="240"/>
      <w:ind w:left="504" w:hanging="504"/>
    </w:pPr>
  </w:style>
  <w:style w:type="paragraph" w:styleId="BalloonText">
    <w:name w:val="Balloon Text"/>
    <w:basedOn w:val="Normal"/>
    <w:link w:val="BalloonTextChar"/>
    <w:uiPriority w:val="99"/>
    <w:semiHidden/>
    <w:unhideWhenUsed/>
    <w:rsid w:val="00927F7A"/>
    <w:rPr>
      <w:sz w:val="18"/>
      <w:szCs w:val="18"/>
    </w:rPr>
  </w:style>
  <w:style w:type="character" w:customStyle="1" w:styleId="BalloonTextChar">
    <w:name w:val="Balloon Text Char"/>
    <w:basedOn w:val="DefaultParagraphFont"/>
    <w:link w:val="BalloonText"/>
    <w:uiPriority w:val="99"/>
    <w:semiHidden/>
    <w:rsid w:val="00927F7A"/>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927F7A"/>
    <w:rPr>
      <w:sz w:val="16"/>
      <w:szCs w:val="16"/>
    </w:rPr>
  </w:style>
  <w:style w:type="paragraph" w:styleId="CommentText">
    <w:name w:val="annotation text"/>
    <w:basedOn w:val="Normal"/>
    <w:link w:val="CommentTextChar"/>
    <w:uiPriority w:val="99"/>
    <w:semiHidden/>
    <w:unhideWhenUsed/>
    <w:rsid w:val="00927F7A"/>
    <w:rPr>
      <w:sz w:val="20"/>
      <w:szCs w:val="20"/>
    </w:rPr>
  </w:style>
  <w:style w:type="character" w:customStyle="1" w:styleId="CommentTextChar">
    <w:name w:val="Comment Text Char"/>
    <w:basedOn w:val="DefaultParagraphFont"/>
    <w:link w:val="CommentText"/>
    <w:uiPriority w:val="99"/>
    <w:semiHidden/>
    <w:rsid w:val="00927F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7F7A"/>
    <w:rPr>
      <w:b/>
      <w:bCs/>
    </w:rPr>
  </w:style>
  <w:style w:type="character" w:customStyle="1" w:styleId="CommentSubjectChar">
    <w:name w:val="Comment Subject Char"/>
    <w:basedOn w:val="CommentTextChar"/>
    <w:link w:val="CommentSubject"/>
    <w:uiPriority w:val="99"/>
    <w:semiHidden/>
    <w:rsid w:val="00927F7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536715">
      <w:bodyDiv w:val="1"/>
      <w:marLeft w:val="0"/>
      <w:marRight w:val="0"/>
      <w:marTop w:val="0"/>
      <w:marBottom w:val="0"/>
      <w:divBdr>
        <w:top w:val="none" w:sz="0" w:space="0" w:color="auto"/>
        <w:left w:val="none" w:sz="0" w:space="0" w:color="auto"/>
        <w:bottom w:val="none" w:sz="0" w:space="0" w:color="auto"/>
        <w:right w:val="none" w:sz="0" w:space="0" w:color="auto"/>
      </w:divBdr>
    </w:div>
    <w:div w:id="178010719">
      <w:bodyDiv w:val="1"/>
      <w:marLeft w:val="0"/>
      <w:marRight w:val="0"/>
      <w:marTop w:val="0"/>
      <w:marBottom w:val="0"/>
      <w:divBdr>
        <w:top w:val="none" w:sz="0" w:space="0" w:color="auto"/>
        <w:left w:val="none" w:sz="0" w:space="0" w:color="auto"/>
        <w:bottom w:val="none" w:sz="0" w:space="0" w:color="auto"/>
        <w:right w:val="none" w:sz="0" w:space="0" w:color="auto"/>
      </w:divBdr>
    </w:div>
    <w:div w:id="284385110">
      <w:bodyDiv w:val="1"/>
      <w:marLeft w:val="0"/>
      <w:marRight w:val="0"/>
      <w:marTop w:val="0"/>
      <w:marBottom w:val="0"/>
      <w:divBdr>
        <w:top w:val="none" w:sz="0" w:space="0" w:color="auto"/>
        <w:left w:val="none" w:sz="0" w:space="0" w:color="auto"/>
        <w:bottom w:val="none" w:sz="0" w:space="0" w:color="auto"/>
        <w:right w:val="none" w:sz="0" w:space="0" w:color="auto"/>
      </w:divBdr>
    </w:div>
    <w:div w:id="728117024">
      <w:bodyDiv w:val="1"/>
      <w:marLeft w:val="0"/>
      <w:marRight w:val="0"/>
      <w:marTop w:val="0"/>
      <w:marBottom w:val="0"/>
      <w:divBdr>
        <w:top w:val="none" w:sz="0" w:space="0" w:color="auto"/>
        <w:left w:val="none" w:sz="0" w:space="0" w:color="auto"/>
        <w:bottom w:val="none" w:sz="0" w:space="0" w:color="auto"/>
        <w:right w:val="none" w:sz="0" w:space="0" w:color="auto"/>
      </w:divBdr>
    </w:div>
    <w:div w:id="934168164">
      <w:bodyDiv w:val="1"/>
      <w:marLeft w:val="0"/>
      <w:marRight w:val="0"/>
      <w:marTop w:val="0"/>
      <w:marBottom w:val="0"/>
      <w:divBdr>
        <w:top w:val="none" w:sz="0" w:space="0" w:color="auto"/>
        <w:left w:val="none" w:sz="0" w:space="0" w:color="auto"/>
        <w:bottom w:val="none" w:sz="0" w:space="0" w:color="auto"/>
        <w:right w:val="none" w:sz="0" w:space="0" w:color="auto"/>
      </w:divBdr>
    </w:div>
    <w:div w:id="965543444">
      <w:bodyDiv w:val="1"/>
      <w:marLeft w:val="0"/>
      <w:marRight w:val="0"/>
      <w:marTop w:val="0"/>
      <w:marBottom w:val="0"/>
      <w:divBdr>
        <w:top w:val="none" w:sz="0" w:space="0" w:color="auto"/>
        <w:left w:val="none" w:sz="0" w:space="0" w:color="auto"/>
        <w:bottom w:val="none" w:sz="0" w:space="0" w:color="auto"/>
        <w:right w:val="none" w:sz="0" w:space="0" w:color="auto"/>
      </w:divBdr>
    </w:div>
    <w:div w:id="1001391536">
      <w:bodyDiv w:val="1"/>
      <w:marLeft w:val="0"/>
      <w:marRight w:val="0"/>
      <w:marTop w:val="0"/>
      <w:marBottom w:val="0"/>
      <w:divBdr>
        <w:top w:val="none" w:sz="0" w:space="0" w:color="auto"/>
        <w:left w:val="none" w:sz="0" w:space="0" w:color="auto"/>
        <w:bottom w:val="none" w:sz="0" w:space="0" w:color="auto"/>
        <w:right w:val="none" w:sz="0" w:space="0" w:color="auto"/>
      </w:divBdr>
    </w:div>
    <w:div w:id="1245846429">
      <w:bodyDiv w:val="1"/>
      <w:marLeft w:val="0"/>
      <w:marRight w:val="0"/>
      <w:marTop w:val="0"/>
      <w:marBottom w:val="0"/>
      <w:divBdr>
        <w:top w:val="none" w:sz="0" w:space="0" w:color="auto"/>
        <w:left w:val="none" w:sz="0" w:space="0" w:color="auto"/>
        <w:bottom w:val="none" w:sz="0" w:space="0" w:color="auto"/>
        <w:right w:val="none" w:sz="0" w:space="0" w:color="auto"/>
      </w:divBdr>
    </w:div>
    <w:div w:id="1373503902">
      <w:bodyDiv w:val="1"/>
      <w:marLeft w:val="0"/>
      <w:marRight w:val="0"/>
      <w:marTop w:val="0"/>
      <w:marBottom w:val="0"/>
      <w:divBdr>
        <w:top w:val="none" w:sz="0" w:space="0" w:color="auto"/>
        <w:left w:val="none" w:sz="0" w:space="0" w:color="auto"/>
        <w:bottom w:val="none" w:sz="0" w:space="0" w:color="auto"/>
        <w:right w:val="none" w:sz="0" w:space="0" w:color="auto"/>
      </w:divBdr>
    </w:div>
    <w:div w:id="1457407540">
      <w:bodyDiv w:val="1"/>
      <w:marLeft w:val="0"/>
      <w:marRight w:val="0"/>
      <w:marTop w:val="0"/>
      <w:marBottom w:val="0"/>
      <w:divBdr>
        <w:top w:val="none" w:sz="0" w:space="0" w:color="auto"/>
        <w:left w:val="none" w:sz="0" w:space="0" w:color="auto"/>
        <w:bottom w:val="none" w:sz="0" w:space="0" w:color="auto"/>
        <w:right w:val="none" w:sz="0" w:space="0" w:color="auto"/>
      </w:divBdr>
    </w:div>
    <w:div w:id="1606768746">
      <w:bodyDiv w:val="1"/>
      <w:marLeft w:val="0"/>
      <w:marRight w:val="0"/>
      <w:marTop w:val="0"/>
      <w:marBottom w:val="0"/>
      <w:divBdr>
        <w:top w:val="none" w:sz="0" w:space="0" w:color="auto"/>
        <w:left w:val="none" w:sz="0" w:space="0" w:color="auto"/>
        <w:bottom w:val="none" w:sz="0" w:space="0" w:color="auto"/>
        <w:right w:val="none" w:sz="0" w:space="0" w:color="auto"/>
      </w:divBdr>
    </w:div>
    <w:div w:id="1760632878">
      <w:bodyDiv w:val="1"/>
      <w:marLeft w:val="0"/>
      <w:marRight w:val="0"/>
      <w:marTop w:val="0"/>
      <w:marBottom w:val="0"/>
      <w:divBdr>
        <w:top w:val="none" w:sz="0" w:space="0" w:color="auto"/>
        <w:left w:val="none" w:sz="0" w:space="0" w:color="auto"/>
        <w:bottom w:val="none" w:sz="0" w:space="0" w:color="auto"/>
        <w:right w:val="none" w:sz="0" w:space="0" w:color="auto"/>
      </w:divBdr>
    </w:div>
    <w:div w:id="186589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AFC81-3E98-4848-A912-65B4EA034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7993</Words>
  <Characters>45563</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Pruthvi Kilaru</dc:creator>
  <cp:keywords/>
  <dc:description/>
  <cp:lastModifiedBy>David A Larsen</cp:lastModifiedBy>
  <cp:revision>5</cp:revision>
  <dcterms:created xsi:type="dcterms:W3CDTF">2020-08-29T11:24:00Z</dcterms:created>
  <dcterms:modified xsi:type="dcterms:W3CDTF">2020-08-29T11:56:00Z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zotero-version="5.0.88"&gt;&lt;session id="pOH2m7Cv"/&gt;&lt;style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http://www.zotero.org/styles/environmental-health-perspectives</vt:lpwstr>
  </property>
  <property fmtid="{D5CDD505-2E9C-101B-9397-08002B2CF9AE}" pid="9" name="Mendeley Recent Style Name 2_1">
    <vt:lpwstr>Environmental Health Perspectives</vt:lpwstr>
  </property>
  <property fmtid="{D5CDD505-2E9C-101B-9397-08002B2CF9AE}" pid="10" name="Mendeley Recent Style Id 3_1">
    <vt:lpwstr>http://www.zotero.org/styles/environmental-research-letters</vt:lpwstr>
  </property>
  <property fmtid="{D5CDD505-2E9C-101B-9397-08002B2CF9AE}" pid="11" name="Mendeley Recent Style Name 3_1">
    <vt:lpwstr>Environmental Research Letters</vt:lpwstr>
  </property>
  <property fmtid="{D5CDD505-2E9C-101B-9397-08002B2CF9AE}" pid="12" name="Mendeley Recent Style Id 4_1">
    <vt:lpwstr>http://www.zotero.org/styles/global-food-security</vt:lpwstr>
  </property>
  <property fmtid="{D5CDD505-2E9C-101B-9397-08002B2CF9AE}" pid="13" name="Mendeley Recent Style Name 4_1">
    <vt:lpwstr>Global Food Security</vt:lpwstr>
  </property>
  <property fmtid="{D5CDD505-2E9C-101B-9397-08002B2CF9AE}" pid="14" name="Mendeley Recent Style Id 5_1">
    <vt:lpwstr>http://www.zotero.org/styles/nature</vt:lpwstr>
  </property>
  <property fmtid="{D5CDD505-2E9C-101B-9397-08002B2CF9AE}" pid="15" name="Mendeley Recent Style Name 5_1">
    <vt:lpwstr>Nature</vt:lpwstr>
  </property>
  <property fmtid="{D5CDD505-2E9C-101B-9397-08002B2CF9AE}" pid="16" name="Mendeley Recent Style Id 6_1">
    <vt:lpwstr>http://www.zotero.org/styles/plos-medicine</vt:lpwstr>
  </property>
  <property fmtid="{D5CDD505-2E9C-101B-9397-08002B2CF9AE}" pid="17" name="Mendeley Recent Style Name 6_1">
    <vt:lpwstr>PLOS Medicine</vt:lpwstr>
  </property>
  <property fmtid="{D5CDD505-2E9C-101B-9397-08002B2CF9AE}" pid="18" name="Mendeley Recent Style Id 7_1">
    <vt:lpwstr>http://www.zotero.org/styles/science</vt:lpwstr>
  </property>
  <property fmtid="{D5CDD505-2E9C-101B-9397-08002B2CF9AE}" pid="19" name="Mendeley Recent Style Name 7_1">
    <vt:lpwstr>Science</vt:lpwstr>
  </property>
  <property fmtid="{D5CDD505-2E9C-101B-9397-08002B2CF9AE}" pid="20" name="Mendeley Recent Style Id 8_1">
    <vt:lpwstr>http://www.zotero.org/styles/the-american-journal-of-tropical-medicine-and-hygiene</vt:lpwstr>
  </property>
  <property fmtid="{D5CDD505-2E9C-101B-9397-08002B2CF9AE}" pid="21" name="Mendeley Recent Style Name 8_1">
    <vt:lpwstr>The American Journal of Tropical Medicine and Hygiene</vt:lpwstr>
  </property>
  <property fmtid="{D5CDD505-2E9C-101B-9397-08002B2CF9AE}" pid="22" name="Mendeley Recent Style Id 9_1">
    <vt:lpwstr>http://www.zotero.org/styles/the-new-england-journal-of-medicine</vt:lpwstr>
  </property>
  <property fmtid="{D5CDD505-2E9C-101B-9397-08002B2CF9AE}" pid="23" name="Mendeley Recent Style Name 9_1">
    <vt:lpwstr>The New England Journal of Medicine</vt:lpwstr>
  </property>
  <property fmtid="{D5CDD505-2E9C-101B-9397-08002B2CF9AE}" pid="24" name="Mendeley Document_1">
    <vt:lpwstr>True</vt:lpwstr>
  </property>
  <property fmtid="{D5CDD505-2E9C-101B-9397-08002B2CF9AE}" pid="25" name="Mendeley Unique User Id_1">
    <vt:lpwstr>c3198d67-246b-3493-9838-ebeb621646c6</vt:lpwstr>
  </property>
  <property fmtid="{D5CDD505-2E9C-101B-9397-08002B2CF9AE}" pid="26" name="Mendeley Citation Style_1">
    <vt:lpwstr>http://www.zotero.org/styles/nature</vt:lpwstr>
  </property>
</Properties>
</file>