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4E99E6" w14:textId="16499CD1" w:rsidR="003F3ABB" w:rsidRPr="00FE2269" w:rsidRDefault="003F3ABB" w:rsidP="00AF1C8B">
      <w:pPr>
        <w:pStyle w:val="RSCH01PaperTitle"/>
        <w:spacing w:line="480" w:lineRule="auto"/>
        <w:jc w:val="center"/>
        <w:rPr>
          <w:rFonts w:ascii="Calibri" w:hAnsi="Calibri"/>
          <w:bCs/>
          <w:lang w:val="en-US"/>
        </w:rPr>
      </w:pPr>
      <w:bookmarkStart w:id="0" w:name="_Hlk50066142"/>
      <w:r w:rsidRPr="00FE2269">
        <w:rPr>
          <w:rFonts w:ascii="Calibri" w:hAnsi="Calibri"/>
        </w:rPr>
        <w:t xml:space="preserve">Evaluating a </w:t>
      </w:r>
      <w:proofErr w:type="spellStart"/>
      <w:r w:rsidRPr="00FE2269">
        <w:rPr>
          <w:rFonts w:ascii="Calibri" w:hAnsi="Calibri"/>
        </w:rPr>
        <w:t>Sewershed</w:t>
      </w:r>
      <w:proofErr w:type="spellEnd"/>
      <w:r w:rsidRPr="00FE2269">
        <w:rPr>
          <w:rFonts w:ascii="Calibri" w:hAnsi="Calibri"/>
        </w:rPr>
        <w:t xml:space="preserve"> </w:t>
      </w:r>
      <w:r w:rsidRPr="00FE2269">
        <w:rPr>
          <w:rFonts w:ascii="Calibri" w:hAnsi="Calibri"/>
          <w:bCs/>
          <w:lang w:val="en-US"/>
        </w:rPr>
        <w:t>Urban Storm Water Model</w:t>
      </w:r>
      <w:r w:rsidRPr="00FE2269" w:rsidDel="003C5540">
        <w:rPr>
          <w:rFonts w:ascii="Calibri" w:hAnsi="Calibri"/>
          <w:bCs/>
          <w:lang w:val="en-US"/>
        </w:rPr>
        <w:t xml:space="preserve"> </w:t>
      </w:r>
      <w:r w:rsidRPr="00FE2269">
        <w:rPr>
          <w:rFonts w:ascii="Calibri" w:hAnsi="Calibri"/>
          <w:bCs/>
          <w:lang w:val="en-US"/>
        </w:rPr>
        <w:t xml:space="preserve">for </w:t>
      </w:r>
      <w:r w:rsidRPr="00FE2269">
        <w:rPr>
          <w:rFonts w:ascii="Calibri" w:hAnsi="Calibri"/>
        </w:rPr>
        <w:t>Variability in Parameter Sensitivity and Resolution Effects</w:t>
      </w:r>
    </w:p>
    <w:p w14:paraId="1672E5F2" w14:textId="3495937C" w:rsidR="003F3ABB" w:rsidRDefault="003F3ABB" w:rsidP="00AF1C8B">
      <w:pPr>
        <w:pStyle w:val="RSCB01ARTAbstract"/>
        <w:spacing w:line="480" w:lineRule="auto"/>
        <w:jc w:val="center"/>
        <w:rPr>
          <w:rFonts w:ascii="Calibri" w:hAnsi="Calibri" w:cs="Calibri"/>
          <w:sz w:val="20"/>
          <w:vertAlign w:val="superscript"/>
        </w:rPr>
      </w:pPr>
      <w:r w:rsidRPr="003F3ABB">
        <w:rPr>
          <w:rFonts w:ascii="Calibri" w:hAnsi="Calibri" w:cs="Calibri"/>
          <w:sz w:val="20"/>
        </w:rPr>
        <w:t>Zhaokai Dong,</w:t>
      </w:r>
      <w:r w:rsidRPr="003F3ABB">
        <w:rPr>
          <w:rFonts w:ascii="Calibri" w:hAnsi="Calibri" w:cs="Calibri"/>
          <w:sz w:val="20"/>
          <w:vertAlign w:val="superscript"/>
        </w:rPr>
        <w:t>a</w:t>
      </w:r>
      <w:r w:rsidRPr="003F3ABB">
        <w:rPr>
          <w:rFonts w:ascii="Calibri" w:hAnsi="Calibri" w:cs="Calibri"/>
          <w:sz w:val="20"/>
        </w:rPr>
        <w:t xml:space="preserve"> Daniel Bain,</w:t>
      </w:r>
      <w:r w:rsidRPr="003F3ABB">
        <w:rPr>
          <w:rFonts w:ascii="Calibri" w:hAnsi="Calibri" w:cs="Calibri"/>
          <w:sz w:val="20"/>
          <w:vertAlign w:val="superscript"/>
        </w:rPr>
        <w:t>b</w:t>
      </w:r>
      <w:r w:rsidRPr="003F3ABB">
        <w:rPr>
          <w:rFonts w:ascii="Calibri" w:hAnsi="Calibri" w:cs="Calibri"/>
          <w:sz w:val="20"/>
        </w:rPr>
        <w:t xml:space="preserve"> Murat Akcakaya</w:t>
      </w:r>
      <w:r w:rsidRPr="003F3ABB">
        <w:rPr>
          <w:rFonts w:ascii="Calibri" w:hAnsi="Calibri" w:cs="Calibri"/>
          <w:sz w:val="20"/>
          <w:vertAlign w:val="superscript"/>
        </w:rPr>
        <w:t>c</w:t>
      </w:r>
      <w:r w:rsidRPr="003F3ABB">
        <w:rPr>
          <w:rFonts w:ascii="Calibri" w:hAnsi="Calibri" w:cs="Calibri"/>
          <w:sz w:val="20"/>
        </w:rPr>
        <w:t xml:space="preserve"> and Carla Ng</w:t>
      </w:r>
      <w:r w:rsidRPr="003F3ABB">
        <w:rPr>
          <w:rFonts w:ascii="Calibri" w:hAnsi="Calibri" w:cs="Calibri"/>
          <w:sz w:val="20"/>
          <w:vertAlign w:val="superscript"/>
        </w:rPr>
        <w:t xml:space="preserve"> *a,d</w:t>
      </w:r>
    </w:p>
    <w:p w14:paraId="73A698C2" w14:textId="26512017" w:rsidR="00002DB2" w:rsidRPr="00002DB2" w:rsidRDefault="00002DB2" w:rsidP="00AF1C8B">
      <w:pPr>
        <w:pStyle w:val="RSCB01ARTAbstract"/>
        <w:spacing w:line="480" w:lineRule="auto"/>
        <w:jc w:val="center"/>
        <w:rPr>
          <w:rFonts w:ascii="Calibri" w:hAnsi="Calibri" w:cs="Calibri"/>
          <w:sz w:val="20"/>
        </w:rPr>
      </w:pPr>
      <w:r w:rsidRPr="00002DB2">
        <w:rPr>
          <w:rFonts w:ascii="Calibri" w:hAnsi="Calibri" w:cs="Calibri"/>
          <w:sz w:val="20"/>
        </w:rPr>
        <w:t>a. Department of Civil and Environmental Engineering, University of Pittsburgh, Pittsburgh, PA 15261 USA.</w:t>
      </w:r>
    </w:p>
    <w:p w14:paraId="593F4402" w14:textId="30B1E45A" w:rsidR="00002DB2" w:rsidRPr="00002DB2" w:rsidRDefault="00002DB2" w:rsidP="00AF1C8B">
      <w:pPr>
        <w:pStyle w:val="RSCB01ARTAbstract"/>
        <w:spacing w:line="480" w:lineRule="auto"/>
        <w:jc w:val="center"/>
        <w:rPr>
          <w:rFonts w:ascii="Calibri" w:hAnsi="Calibri" w:cs="Calibri"/>
          <w:sz w:val="20"/>
        </w:rPr>
      </w:pPr>
      <w:r w:rsidRPr="00002DB2">
        <w:rPr>
          <w:rFonts w:ascii="Calibri" w:hAnsi="Calibri" w:cs="Calibri"/>
          <w:sz w:val="20"/>
        </w:rPr>
        <w:t>b. Department of Geology and Environmental Science, University of Pittsburgh, Pittsburgh, PA 15261 USA.</w:t>
      </w:r>
    </w:p>
    <w:p w14:paraId="6B20F28A" w14:textId="5F07A8B5" w:rsidR="00002DB2" w:rsidRPr="00002DB2" w:rsidRDefault="00002DB2" w:rsidP="00AF1C8B">
      <w:pPr>
        <w:pStyle w:val="RSCB01ARTAbstract"/>
        <w:spacing w:line="480" w:lineRule="auto"/>
        <w:jc w:val="center"/>
        <w:rPr>
          <w:rFonts w:ascii="Calibri" w:hAnsi="Calibri" w:cs="Calibri"/>
          <w:sz w:val="20"/>
        </w:rPr>
      </w:pPr>
      <w:r w:rsidRPr="00002DB2">
        <w:rPr>
          <w:rFonts w:ascii="Calibri" w:hAnsi="Calibri" w:cs="Calibri"/>
          <w:sz w:val="20"/>
        </w:rPr>
        <w:t>c. Department of Electrical and Computer Engineering, University of Pittsburgh, Pittsburgh, PA 15261 USA.</w:t>
      </w:r>
    </w:p>
    <w:p w14:paraId="6A0594F6" w14:textId="10BF212F" w:rsidR="00002DB2" w:rsidRPr="00002DB2" w:rsidRDefault="00002DB2" w:rsidP="00AF1C8B">
      <w:pPr>
        <w:pStyle w:val="RSCB01ARTAbstract"/>
        <w:spacing w:line="480" w:lineRule="auto"/>
        <w:jc w:val="center"/>
        <w:rPr>
          <w:rFonts w:ascii="Calibri" w:hAnsi="Calibri" w:cs="Calibri"/>
          <w:sz w:val="20"/>
        </w:rPr>
      </w:pPr>
      <w:r w:rsidRPr="00002DB2">
        <w:rPr>
          <w:rFonts w:ascii="Calibri" w:hAnsi="Calibri" w:cs="Calibri"/>
          <w:sz w:val="20"/>
        </w:rPr>
        <w:t>d. Department of Environmental and Occupational Health, University of Pittsburgh, Pittsburgh, PA 15261, USA</w:t>
      </w:r>
    </w:p>
    <w:p w14:paraId="50EC4323" w14:textId="77777777" w:rsidR="003F3ABB" w:rsidRPr="003F3ABB" w:rsidRDefault="003F3ABB" w:rsidP="00AF1C8B">
      <w:pPr>
        <w:pStyle w:val="RSCB04AHeadingSection"/>
        <w:spacing w:line="480" w:lineRule="auto"/>
        <w:rPr>
          <w:rFonts w:ascii="Calibri" w:hAnsi="Calibri" w:cs="Calibri"/>
        </w:rPr>
      </w:pPr>
      <w:r w:rsidRPr="003F3ABB">
        <w:rPr>
          <w:rFonts w:ascii="Calibri" w:hAnsi="Calibri" w:cs="Calibri"/>
        </w:rPr>
        <w:t xml:space="preserve">Abstract </w:t>
      </w:r>
    </w:p>
    <w:p w14:paraId="1AA6AEFD" w14:textId="601C7D30" w:rsidR="003F3ABB" w:rsidRPr="00002DB2" w:rsidRDefault="003F3ABB" w:rsidP="00AF1C8B">
      <w:pPr>
        <w:pStyle w:val="RSCB04AHeadingSection"/>
        <w:spacing w:line="480" w:lineRule="auto"/>
        <w:rPr>
          <w:rFonts w:ascii="Calibri" w:hAnsi="Calibri" w:cs="Calibri"/>
          <w:b w:val="0"/>
          <w:noProof/>
          <w:sz w:val="18"/>
          <w:szCs w:val="20"/>
          <w:lang w:eastAsia="en-GB"/>
        </w:rPr>
      </w:pPr>
      <w:r w:rsidRPr="00002DB2">
        <w:rPr>
          <w:rFonts w:ascii="Calibri" w:hAnsi="Calibri" w:cs="Calibri"/>
          <w:b w:val="0"/>
          <w:noProof/>
          <w:sz w:val="18"/>
          <w:szCs w:val="20"/>
          <w:lang w:eastAsia="en-GB"/>
        </w:rPr>
        <w:t xml:space="preserve">A high-quality paramer set is essential for reliable stormwater models. Model performance can be improved by optimizing initial parameter estimates. Parameter sensitivity analysis is a robust way to distinguish the influence of parameters on model output and efficiently target the most important parameters to modify. This study evaluates efficient construction of a sewershed model using relatively low-resolution (e.g., 30 meter DEM) data and explores model sensitivity to parameters and regional characteristics using the EPA’s Storm Water Management Model (SWMM). A SWMM model was developed for a sewershed in the City of Pittsburgh, where stormwater management is a critical concern. We assumed uniform or log-normal distributions for parameters and used Monte Carlo simulations to explore and rank the influence of parameters on predicted surface runoff, peak flow, maximum pipe flow and model performance, as measured using the Nash–Sutcliffe efficiency metric. By using the Thiessen polygon approach for sub-catchment delineations, we substantially simplified the parameterization of the areas and hydraulic paramters. Despite this simplification, our approach provided good agreement with monitored pipe flow (Nash–Sutcliffe efficiency: 0.41 – 0.85). Total runoff and peak flow were very sensitive to the model discretization. The size of the polygons (modeled subcatchment areas) and imperviousness had the most influence on both outputs. The imperviousness, infiltration and Manning’s roughness (in the pervious area) contribtuted strongly to the Nash-Sutcliffe efficiency (70%), as did pipe geometric parameters (92%). Parameter rank sets were compared by using kappa statistics between any two model elements to identify generalities. Within our relatively large (9.7 km^2) sewershed, optimizing parameters for the highly impervious (&gt;50%) areas and larger pipes lower in the network contributed most to improving Nash–Sutcliffe efficiency. The geometric parameters influence the water quantity distrubtion and flow conveyance, while imperviousness determines the subcatchment subdivision and influences surface water generation. Application of the </w:t>
      </w:r>
      <w:r w:rsidRPr="00002DB2">
        <w:rPr>
          <w:rFonts w:ascii="Calibri" w:hAnsi="Calibri" w:cs="Calibri"/>
          <w:b w:val="0"/>
          <w:noProof/>
          <w:sz w:val="18"/>
          <w:szCs w:val="20"/>
          <w:lang w:eastAsia="en-GB"/>
        </w:rPr>
        <w:lastRenderedPageBreak/>
        <w:t xml:space="preserve">Thiessen polygon approach can simplify the construction of large-scale urban storm water models, but the model is senstive to the sewer network configuration and care must be taken in parameterizing areas (polygons) with heterogenous land uses.  </w:t>
      </w:r>
    </w:p>
    <w:p w14:paraId="251240E7" w14:textId="0C93BC2D" w:rsidR="003F3ABB" w:rsidRPr="003F3ABB" w:rsidRDefault="003F3ABB" w:rsidP="00AF1C8B">
      <w:pPr>
        <w:pStyle w:val="RSCB04AHeadingSection"/>
        <w:spacing w:line="480" w:lineRule="auto"/>
        <w:rPr>
          <w:rFonts w:ascii="Calibri" w:hAnsi="Calibri" w:cs="Calibri"/>
        </w:rPr>
      </w:pPr>
      <w:r w:rsidRPr="003F3ABB">
        <w:rPr>
          <w:rFonts w:ascii="Calibri" w:hAnsi="Calibri" w:cs="Calibri"/>
        </w:rPr>
        <w:t>Introduction</w:t>
      </w:r>
    </w:p>
    <w:p w14:paraId="4850967E" w14:textId="77777777" w:rsidR="003F3ABB" w:rsidRPr="003F3ABB" w:rsidRDefault="003F3ABB" w:rsidP="00AF1C8B">
      <w:pPr>
        <w:pStyle w:val="RSCB06BHeadingSub-Section"/>
        <w:spacing w:line="480" w:lineRule="auto"/>
        <w:rPr>
          <w:rFonts w:ascii="Calibri" w:hAnsi="Calibri" w:cs="Calibri"/>
          <w:b w:val="0"/>
          <w:w w:val="108"/>
          <w:szCs w:val="18"/>
        </w:rPr>
      </w:pPr>
      <w:r w:rsidRPr="003F3ABB">
        <w:rPr>
          <w:rFonts w:ascii="Calibri" w:hAnsi="Calibri" w:cs="Calibri"/>
          <w:b w:val="0"/>
          <w:w w:val="108"/>
          <w:szCs w:val="18"/>
        </w:rPr>
        <w:t>Urbanization dramatically changes the landscape, particularly by increasing impervious surfaces.</w:t>
      </w:r>
      <w:r w:rsidRPr="003F3ABB">
        <w:rPr>
          <w:rFonts w:ascii="Calibri" w:hAnsi="Calibri" w:cs="Calibri"/>
          <w:b w:val="0"/>
          <w:w w:val="108"/>
          <w:szCs w:val="18"/>
        </w:rPr>
        <w:fldChar w:fldCharType="begin"/>
      </w:r>
      <w:r w:rsidRPr="003F3ABB">
        <w:rPr>
          <w:rFonts w:ascii="Calibri" w:hAnsi="Calibri" w:cs="Calibri"/>
          <w:b w:val="0"/>
          <w:w w:val="108"/>
          <w:szCs w:val="18"/>
        </w:rPr>
        <w:instrText xml:space="preserve"> ADDIN ZOTERO_ITEM CSL_CITATION {"citationID":"3kiilFot","properties":{"formattedCitation":"\\super 1\\nosupersub{}","plainCitation":"1","noteIndex":0},"citationItems":[{"id":323,"uris":["http://zotero.org/users/6556211/items/UH8EYWZM"],"uri":["http://zotero.org/users/6556211/items/UH8EYWZM"],"itemData":{"id":323,"type":"article-journal","container-title":"Journal of the American Planning Association","DOI":"10.1080/01944369608975688","ISSN":"0194-4363, 1939-0130","issue":"2","journalAbbreviation":"Journal of the American Planning Association","language":"en","page":"243-258","source":"DOI.org (Crossref)","title":"Impervious Surface Coverage: The Emergence of a Key Environmental Indicator","title-short":"Impervious Surface Coverage","volume":"62","author":[{"family":"Arnold","given":"Chester L."},{"family":"Gibbons","given":"C. James"}],"issued":{"date-parts":[["1996",6,30]]}}}],"schema":"https://github.com/citation-style-language/schema/raw/master/csl-citation.json"} </w:instrText>
      </w:r>
      <w:r w:rsidRPr="003F3ABB">
        <w:rPr>
          <w:rFonts w:ascii="Calibri" w:hAnsi="Calibri" w:cs="Calibri"/>
          <w:b w:val="0"/>
          <w:w w:val="108"/>
          <w:szCs w:val="18"/>
        </w:rPr>
        <w:fldChar w:fldCharType="separate"/>
      </w:r>
      <w:r w:rsidRPr="003F3ABB">
        <w:rPr>
          <w:rFonts w:ascii="Calibri" w:hAnsi="Calibri" w:cs="Calibri"/>
          <w:b w:val="0"/>
          <w:szCs w:val="24"/>
          <w:vertAlign w:val="superscript"/>
        </w:rPr>
        <w:t>1</w:t>
      </w:r>
      <w:r w:rsidRPr="003F3ABB">
        <w:rPr>
          <w:rFonts w:ascii="Calibri" w:hAnsi="Calibri" w:cs="Calibri"/>
          <w:b w:val="0"/>
          <w:w w:val="108"/>
          <w:szCs w:val="18"/>
        </w:rPr>
        <w:fldChar w:fldCharType="end"/>
      </w:r>
      <w:r w:rsidRPr="003F3ABB">
        <w:rPr>
          <w:rFonts w:ascii="Calibri" w:hAnsi="Calibri" w:cs="Calibri"/>
          <w:b w:val="0"/>
          <w:w w:val="108"/>
          <w:szCs w:val="18"/>
        </w:rPr>
        <w:t xml:space="preserve"> Higher impervious cover reduces infiltration, increases the velocity and volume of stormwater runoff arriving into steams, and accelerates the transport of  nutrients and contaminants</w:t>
      </w:r>
      <w:r w:rsidRPr="003F3ABB">
        <w:rPr>
          <w:rFonts w:ascii="Calibri" w:hAnsi="Calibri" w:cs="Calibri"/>
          <w:b w:val="0"/>
          <w:w w:val="108"/>
          <w:szCs w:val="18"/>
          <w:lang w:eastAsia="zh-CN"/>
        </w:rPr>
        <w:t>.</w:t>
      </w:r>
      <w:r w:rsidRPr="003F3ABB">
        <w:rPr>
          <w:rFonts w:ascii="Calibri" w:hAnsi="Calibri" w:cs="Calibri"/>
          <w:b w:val="0"/>
          <w:w w:val="108"/>
          <w:szCs w:val="18"/>
          <w:vertAlign w:val="superscript"/>
        </w:rPr>
        <w:fldChar w:fldCharType="begin"/>
      </w:r>
      <w:r w:rsidRPr="003F3ABB">
        <w:rPr>
          <w:rFonts w:ascii="Calibri" w:hAnsi="Calibri" w:cs="Calibri"/>
          <w:b w:val="0"/>
          <w:w w:val="108"/>
          <w:szCs w:val="18"/>
          <w:vertAlign w:val="superscript"/>
        </w:rPr>
        <w:instrText xml:space="preserve"> ADDIN ZOTERO_ITEM CSL_CITATION {"citationID":"ADO2q38Z","properties":{"formattedCitation":"\\super 1\\uc0\\u8211{}4\\nosupersub{}","plainCitation":"1–4","noteIndex":0},"citationItems":[{"id":323,"uris":["http://zotero.org/users/6556211/items/UH8EYWZM"],"uri":["http://zotero.org/users/6556211/items/UH8EYWZM"],"itemData":{"id":323,"type":"article-journal","container-title":"Journal of the American Planning Association","DOI":"10.1080/01944369608975688","ISSN":"0194-4363, 1939-0130","issue":"2","journalAbbreviation":"Journal of the American Planning Association","language":"en","page":"243-258","source":"DOI.org (Crossref)","title":"Impervious Surface Coverage: The Emergence of a Key Environmental Indicator","title-short":"Impervious Surface Coverage","volume":"62","author":[{"family":"Arnold","given":"Chester L."},{"family":"Gibbons","given":"C. James"}],"issued":{"date-parts":[["1996",6,30]]}},"label":"page"},{"id":157,"uris":["http://zotero.org/users/6556211/items/8JFNIANY"],"uri":["http://zotero.org/users/6556211/items/8JFNIANY"],"itemData":{"id":157,"type":"article-journal","abstract":"U.S. Environmental Protection Agency developed a decision-support system, System for Urban Stormwater Treatment and Analysis Integration (SUSTAIN), to evaluate alternative plans for stormwater quality management and ﬂow abatement techniques in urban and developing areas. SUSTAIN provides a public domain tool capable of evaluating the optimal location, type, and cost of stormwater best management practices (BMPs) needed to meet water quality and quantity goals. It is a tool designed to provide critically needed support to watershed practitioners in evaluating stormwater management options based on effectiveness and cost to meet their existing program needs. SUSTAIN is intended for users who have a fundamental understanding of watershed and BMP modeling processes. How SUSTAIN is setup described here using a case study, conducted by actual data from an existing urban watershed. The developed SUSTAIN model was calibrated by observed rainfall and ﬂow data, representing the existing conditions. The SUSTAIN model developed two BMP cost-effectiveness curves for ﬂow volume and pollutant load reductions. A sensitivity analysis was also conducted by varying important BMP implementation speciﬁcations.","container-title":"Environmental Modelling &amp; Software","DOI":"10.1016/j.envsoft.2012.04.011","ISSN":"13648152","journalAbbreviation":"Environmental Modelling &amp; Software","language":"en","page":"6-18","source":"DOI.org (Crossref)","title":"A watershed-scale design optimization model for stormwater best management practices","volume":"37","author":[{"family":"Lee","given":"Joong Gwang"},{"family":"Selvakumar","given":"Ariamalar"},{"family":"Alvi","given":"Khalid"},{"family":"Riverson","given":"John"},{"family":"Zhen","given":"Jenny X."},{"family":"Shoemaker","given":"Leslie"},{"family":"Lai","given":"Fu-hsiung"}],"issued":{"date-parts":[["2012",11]]}},"label":"page"},{"id":326,"uris":["http://zotero.org/users/6556211/items/W79LRY48"],"uri":["http://zotero.org/users/6556211/items/W79LRY48"],"itemData":{"id":326,"type":"article-journal","abstract":"The impervious cover model (ICM) has attracted considerable attention in recent years, with nearly 250 research studies testing its basic hypothesis that the behavior of urban stream indicators can be predicted on the basis of the percent impervious cover in their contributing subwatershed. The writers conducted a meta-analysis of 65 new research studies that bear on the ICM to determine the degree to which they met the assumptions of the ICM and supported or did not support its primary predictions. Results show that the majority of research published since 2003 has confirmed or reinforced the basic premise of the ICM, but has also revealed important caveats and limitations to its application. A reformulated conceptual impervious cover model is presented in this paper that is strengthened to reflect the most recent science and simplify it for watershed managers and policy makers. A future challenge is to test the hypothesis that widespread application of multiple management practices at the catchment level can improve the urban stream degradation gradient that has been repeatedly observed by researchers across the country.","container-title":"Journal of Hydrologic Engineering","DOI":"10.1061/(ASCE)1084-0699(2009)14:4(309)","ISSN":"1084-0699, 1943-5584","issue":"4","journalAbbreviation":"J. Hydrol. Eng.","language":"en","page":"309-315","source":"DOI.org (Crossref)","title":"Is Impervious Cover Still Important? Review of Recent Research","title-short":"Is Impervious Cover Still Important?","volume":"14","author":[{"family":"Schueler","given":"Thomas R."},{"family":"Fraley-McNeal","given":"Lisa"},{"family":"Cappiella","given":"Karen"}],"issued":{"date-parts":[["2009",4]]}},"label":"page"},{"id":327,"uris":["http://zotero.org/users/6556211/items/RIXTTK7C"],"uri":["http://zotero.org/users/6556211/items/RIXTTK7C"],"itemData":{"id":327,"type":"article-journal","abstract":"As an increasingly adopted storm water best management practice to remedy hydrologic impairment from urban imperviousness, bioretention facilities need rigorous ﬁeld performance research and monitoring to conﬁrm performance and improve design and maintenance recommendations. This study investigated hydrologic performance at six bioretention cells in Maryland ͓College Park ͑CP͒, a 181 m2 cell, 50– 80 cm media depth, monitored for 22 events, and Silver Spring ͑SS͒, a 102 m2 cell, 90 cm media depth, monitored for 60 events͔ and North Carolina ͓Greensboro ͑G1 and G2͒, each approximately 317 m2, 120 cm media depth, both monitored for 46 events, and Louisburg ͑L1 = surface area of 162 m2, L2 = surface area of 99 m2͒; each had 50– 60 cm ﬁll depths, monitored for 31 and 33 events, respectively͔ over 10– 15 month periods. Outﬂow from each cell was recorded and inﬂow was either recorded or calculated from rainfall data. In Louisburg, L2 was lined with an impermeable membrane to eliminate exﬁltration while L1 was unlined to allow both exﬁltration and evapotranspiration. Results indicate that bioretention facilities can achieve substantial hydrologic beneﬁts through delaying and reducing peak ﬂows and decreasing runoff volume. A large cell media volume: drainage area ratio, and adjustments to the drainage conﬁguration appear to improve the performance. Media layer depth may be the primary design parameter controlling hydrologic performance. Performance diminishes as rainfall depths increase and rainfall durations become longer. Annual water budget analysis suggests that approximately 20–50% of runoff entering the bioretention cells was lost to exﬁltration and evapotranspiration.","container-title":"Journal of Hydrologic Engineering","DOI":"10.1061/(ASCE)1084-0699(2009)14:4(407)","ISSN":"1084-0699, 1943-5584","issue":"4","journalAbbreviation":"J. Hydrol. Eng.","language":"en","page":"407-415","source":"DOI.org (Crossref)","title":"Mitigation of Impervious Surface Hydrology Using Bioretention in North Carolina and Maryland","volume":"14","author":[{"family":"Li","given":"Houng"},{"family":"Sharkey","given":"Lucas J."},{"family":"Hunt","given":"William F."},{"family":"Davis","given":"Allen P."}],"issued":{"date-parts":[["2009",4]]}},"label":"page"}],"schema":"https://github.com/citation-style-language/schema/raw/master/csl-citation.json"} </w:instrText>
      </w:r>
      <w:r w:rsidRPr="003F3ABB">
        <w:rPr>
          <w:rFonts w:ascii="Calibri" w:hAnsi="Calibri" w:cs="Calibri"/>
          <w:b w:val="0"/>
          <w:w w:val="108"/>
          <w:szCs w:val="18"/>
          <w:vertAlign w:val="superscript"/>
        </w:rPr>
        <w:fldChar w:fldCharType="separate"/>
      </w:r>
      <w:r w:rsidRPr="003F3ABB">
        <w:rPr>
          <w:rFonts w:ascii="Calibri" w:hAnsi="Calibri" w:cs="Calibri"/>
          <w:b w:val="0"/>
          <w:szCs w:val="24"/>
          <w:vertAlign w:val="superscript"/>
        </w:rPr>
        <w:t>1–4</w:t>
      </w:r>
      <w:r w:rsidRPr="003F3ABB">
        <w:rPr>
          <w:rFonts w:ascii="Calibri" w:hAnsi="Calibri" w:cs="Calibri"/>
          <w:b w:val="0"/>
          <w:w w:val="108"/>
          <w:szCs w:val="18"/>
          <w:vertAlign w:val="superscript"/>
        </w:rPr>
        <w:fldChar w:fldCharType="end"/>
      </w:r>
      <w:r w:rsidRPr="003F3ABB">
        <w:rPr>
          <w:rFonts w:ascii="Calibri" w:hAnsi="Calibri" w:cs="Calibri"/>
          <w:b w:val="0"/>
          <w:w w:val="108"/>
          <w:szCs w:val="18"/>
        </w:rPr>
        <w:fldChar w:fldCharType="begin"/>
      </w:r>
      <w:r w:rsidRPr="003F3ABB">
        <w:rPr>
          <w:rFonts w:ascii="Calibri" w:hAnsi="Calibri" w:cs="Calibri"/>
          <w:b w:val="0"/>
          <w:w w:val="108"/>
          <w:szCs w:val="18"/>
        </w:rPr>
        <w:instrText xml:space="preserve"> ADDIN EN.CITE &lt;EndNote&gt;&lt;Cite&gt;&lt;Author&gt;Lee&lt;/Author&gt;&lt;Year&gt;2012&lt;/Year&gt;&lt;RecNum&gt;23&lt;/RecNum&gt;&lt;DisplayText&gt;(Lee et al. 2012)&lt;/DisplayText&gt;&lt;record&gt;&lt;rec-number&gt;23&lt;/rec-number&gt;&lt;foreign-keys&gt;&lt;key app="EN" db-id="a0dzextw4veat4exw2oxr0rjzexv29zvvfrt" timestamp="1521042211"&gt;23&lt;/key&gt;&lt;key app="ENWeb" db-id=""&gt;0&lt;/key&gt;&lt;/foreign-keys&gt;&lt;ref-type name="Journal Article"&gt;17&lt;/ref-type&gt;&lt;contributors&gt;&lt;authors&gt;&lt;author&gt;Lee, J. G.&lt;/author&gt;&lt;author&gt;Selvakumar, A.&lt;/author&gt;&lt;author&gt;Alvi, K.&lt;/author&gt;&lt;author&gt;Riverson, J.&lt;/author&gt;&lt;author&gt;Zhen, X. J.&lt;/author&gt;&lt;author&gt;Shoemaker, L.&lt;/author&gt;&lt;author&gt;Lai, F.&lt;/author&gt;&lt;/authors&gt;&lt;/contributors&gt;&lt;titles&gt;&lt;title&gt;A watershed-scale design optimization model for stormwater best management practices&lt;/title&gt;&lt;secondary-title&gt;Environ. Model. Softw&lt;/secondary-title&gt;&lt;/titles&gt;&lt;periodical&gt;&lt;full-title&gt;Environ. Model. Softw&lt;/full-title&gt;&lt;/periodical&gt;&lt;pages&gt;6-18&lt;/pages&gt;&lt;volume&gt;37&lt;/volume&gt;&lt;section&gt;6&lt;/section&gt;&lt;dates&gt;&lt;year&gt;2012&lt;/year&gt;&lt;/dates&gt;&lt;isbn&gt;13648152&lt;/isbn&gt;&lt;urls&gt;&lt;/urls&gt;&lt;electronic-resource-num&gt;10.1016/j.envsoft.2012.04.011&lt;/electronic-resource-num&gt;&lt;/record&gt;&lt;/Cite&gt;&lt;/EndNote&gt;</w:instrText>
      </w:r>
      <w:r w:rsidRPr="003F3ABB">
        <w:rPr>
          <w:rFonts w:ascii="Calibri" w:hAnsi="Calibri" w:cs="Calibri"/>
          <w:b w:val="0"/>
          <w:w w:val="108"/>
          <w:szCs w:val="18"/>
        </w:rPr>
        <w:fldChar w:fldCharType="end"/>
      </w:r>
      <w:r w:rsidRPr="003F3ABB">
        <w:rPr>
          <w:rFonts w:ascii="Calibri" w:hAnsi="Calibri" w:cs="Calibri"/>
          <w:b w:val="0"/>
          <w:w w:val="108"/>
          <w:szCs w:val="18"/>
        </w:rPr>
        <w:t xml:space="preserve"> Further, urban stormwater is one of the leading sources of water pollution in the United States, especially in urban areas.</w:t>
      </w:r>
      <w:r w:rsidRPr="003F3ABB">
        <w:rPr>
          <w:rFonts w:ascii="Calibri" w:hAnsi="Calibri" w:cs="Calibri"/>
          <w:b w:val="0"/>
          <w:w w:val="108"/>
          <w:szCs w:val="18"/>
          <w:vertAlign w:val="superscript"/>
        </w:rPr>
        <w:fldChar w:fldCharType="begin"/>
      </w:r>
      <w:r w:rsidRPr="003F3ABB">
        <w:rPr>
          <w:rFonts w:ascii="Calibri" w:hAnsi="Calibri" w:cs="Calibri"/>
          <w:b w:val="0"/>
          <w:w w:val="108"/>
          <w:szCs w:val="18"/>
          <w:vertAlign w:val="superscript"/>
        </w:rPr>
        <w:instrText xml:space="preserve"> ADDIN ZOTERO_ITEM CSL_CITATION {"citationID":"s1BD8FoX","properties":{"formattedCitation":"\\super 5\\nosupersub{}","plainCitation":"5","noteIndex":0},"citationItems":[{"id":195,"uris":["http://zotero.org/users/6556211/items/NQ5SY9DK"],"uri":["http://zotero.org/users/6556211/items/NQ5SY9DK"],"itemData":{"id":195,"type":"report","event-place":"Washington, DC: The National Academies Press","publisher":"National Research Council","publisher-place":"Washington, DC: The National Academies Press","title":"Urban Stormwater Management in the United States","author":[{"literal":"National Research Council"}],"issued":{"date-parts":[["2009"]]}}}],"schema":"https://github.com/citation-style-language/schema/raw/master/csl-citation.json"} </w:instrText>
      </w:r>
      <w:r w:rsidRPr="003F3ABB">
        <w:rPr>
          <w:rFonts w:ascii="Calibri" w:hAnsi="Calibri" w:cs="Calibri"/>
          <w:b w:val="0"/>
          <w:w w:val="108"/>
          <w:szCs w:val="18"/>
          <w:vertAlign w:val="superscript"/>
        </w:rPr>
        <w:fldChar w:fldCharType="separate"/>
      </w:r>
      <w:r w:rsidRPr="003F3ABB">
        <w:rPr>
          <w:rFonts w:ascii="Calibri" w:hAnsi="Calibri" w:cs="Calibri"/>
          <w:b w:val="0"/>
          <w:szCs w:val="24"/>
          <w:vertAlign w:val="superscript"/>
        </w:rPr>
        <w:t>5</w:t>
      </w:r>
      <w:r w:rsidRPr="003F3ABB">
        <w:rPr>
          <w:rFonts w:ascii="Calibri" w:hAnsi="Calibri" w:cs="Calibri"/>
          <w:b w:val="0"/>
          <w:w w:val="108"/>
          <w:szCs w:val="18"/>
          <w:vertAlign w:val="superscript"/>
        </w:rPr>
        <w:fldChar w:fldCharType="end"/>
      </w:r>
      <w:r w:rsidRPr="003F3ABB">
        <w:rPr>
          <w:rFonts w:ascii="Calibri" w:hAnsi="Calibri" w:cs="Calibri"/>
          <w:b w:val="0"/>
          <w:w w:val="108"/>
          <w:szCs w:val="18"/>
        </w:rPr>
        <w:t xml:space="preserve"> Studies evaluating stormwater impact mitigation have pursued innovative stormwater management methods , in particular green infrastructures (GI) which aims to protect, mimic and maintain natural hydrologic conditions by using decentralized retrofit practices.</w:t>
      </w:r>
      <w:r w:rsidRPr="003F3ABB">
        <w:rPr>
          <w:rFonts w:ascii="Calibri" w:hAnsi="Calibri" w:cs="Calibri"/>
          <w:b w:val="0"/>
          <w:w w:val="108"/>
          <w:szCs w:val="18"/>
          <w:vertAlign w:val="superscript"/>
        </w:rPr>
        <w:fldChar w:fldCharType="begin"/>
      </w:r>
      <w:r w:rsidRPr="003F3ABB">
        <w:rPr>
          <w:rFonts w:ascii="Calibri" w:hAnsi="Calibri" w:cs="Calibri"/>
          <w:b w:val="0"/>
          <w:w w:val="108"/>
          <w:szCs w:val="18"/>
          <w:vertAlign w:val="superscript"/>
        </w:rPr>
        <w:instrText xml:space="preserve"> ADDIN ZOTERO_ITEM CSL_CITATION {"citationID":"6CZJZDCn","properties":{"formattedCitation":"\\super 6,7\\nosupersub{}","plainCitation":"6,7","noteIndex":0},"citationItems":[{"id":140,"uris":["http://zotero.org/users/6556211/items/UWD2U98N"],"uri":["http://zotero.org/users/6556211/items/UWD2U98N"],"itemData":{"id":140,"type":"paper-conference","abstract":"To assist local governments in their efforts to develop more effective stormwater management programs, Prince George’s County, Maryland Department of Environmental Resources (PGDER) in cooperation with the United States Environmental Protection Agency (EPA) has recently developed a guidance manual for an innovative alternative comprehensive approach to stormwater management referred to as Low-Impact Development (LID). We believe that this new approach is a significant step forward towards advancing the state-of-the-art of stormwater management and will be a valuable and useful tool for local governments in their efforts to control urban runoff.","container-title":"Low-Impact Development: An Innovative Alternative Approach to Stormwater Management","DOI":"10.1061/40430(1999)118","event":"WRPMD'99 : Preparing for the 21st Century","language":"en","page":"1-10","source":"DOI.org (Crossref)","title":"Low-Impact Development: An Innovative Alternative Approach to Stormwater Management","title-short":"Low-Impact Development","URL":"http://ascelibrary.org/doi/abs/10.1061/40430%281999%29118","author":[{"family":"Coffman","given":"Larry S."},{"family":"Goo","given":"Robert"},{"family":"Frederick","given":"Rod"}],"accessed":{"date-parts":[["2020",7,5]]},"issued":{"date-parts":[["1999",6,3]]}},"label":"page"},{"id":142,"uris":["http://zotero.org/users/6556211/items/VLM67W4V"],"uri":["http://zotero.org/users/6556211/items/VLM67W4V"],"itemData":{"id":142,"type":"article-journal","container-title":"Water, Air, &amp; Soil Pollution","DOI":"10.1007/s11270-012-1189-2","ISSN":"0049-6979, 1573-2932","issue":"7","journalAbbreviation":"Water Air Soil Pollut","language":"en","page":"4253-4273","source":"DOI.org (Crossref)","title":"Effectiveness of Low Impact Development Practices: Literature Review and Suggestions for Future Research","title-short":"Effectiveness of Low Impact Development Practices","volume":"223","author":[{"family":"Ahiablame","given":"Laurent M."},{"family":"Engel","given":"Bernard A."},{"family":"Chaubey","given":"Indrajeet"}],"issued":{"date-parts":[["2012",9]]}},"label":"page"}],"schema":"https://github.com/citation-style-language/schema/raw/master/csl-citation.json"} </w:instrText>
      </w:r>
      <w:r w:rsidRPr="003F3ABB">
        <w:rPr>
          <w:rFonts w:ascii="Calibri" w:hAnsi="Calibri" w:cs="Calibri"/>
          <w:b w:val="0"/>
          <w:w w:val="108"/>
          <w:szCs w:val="18"/>
          <w:vertAlign w:val="superscript"/>
        </w:rPr>
        <w:fldChar w:fldCharType="separate"/>
      </w:r>
      <w:r w:rsidRPr="003F3ABB">
        <w:rPr>
          <w:rFonts w:ascii="Calibri" w:hAnsi="Calibri" w:cs="Calibri"/>
          <w:b w:val="0"/>
          <w:szCs w:val="24"/>
          <w:vertAlign w:val="superscript"/>
        </w:rPr>
        <w:t>6,7</w:t>
      </w:r>
      <w:r w:rsidRPr="003F3ABB">
        <w:rPr>
          <w:rFonts w:ascii="Calibri" w:hAnsi="Calibri" w:cs="Calibri"/>
          <w:b w:val="0"/>
          <w:w w:val="108"/>
          <w:szCs w:val="18"/>
          <w:vertAlign w:val="superscript"/>
        </w:rPr>
        <w:fldChar w:fldCharType="end"/>
      </w:r>
    </w:p>
    <w:p w14:paraId="56AA2F92"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To evaluate the effectiveness of urban water problem mitigation methods a number of stormwater runoff modelling tools</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{"citationID":"btf1IeUe","properties":{"formattedCitation":"\\super 8\\nosupersub{}","plainCitation":"8","noteIndex":0},"citationItems":[{"id":139,"uris":["http://zotero.org/users/6556211/items/ZNKPW8BH"],"uri":["http://zotero.org/users/6556211/items/ZNKPW8BH"],"itemData":{"id":139,"type":"article-journal","abstract":"Climate change, urbanization, and ecological concerns are all driving the need for new stormwater management strategies. The effects of urbanization are exaggerated by climate change and thus the development of innovative stormwater management techniques are necessary to mitigate these impacts. One emerging stormwater management philosophy is low impact development (LID). LID utilizes distributed stormwater controls (often green infrastructure) as well as green spaces and natural hydrologic features in order to bring the hydrology of urban catchments closer to pre-development conditions. The review provides a summary of the knowledge of LID as a stormwater management technique and climate change mitigation measure as well as the current state of research and implementation of this topic. In order to provide a better understanding of the extensive scope that should be considered for design of low impact developments, methods of optimization, modelling, monitoring and the performance of LID alternatives is covered. LID has been widely adopted and proven successful in many cases; however, there remains uncertainty of its beneﬁts. This review brings together knowledge from many sources in order to provide an overview of LID and examine its performance and implementation.","container-title":"Science of The Total Environment","DOI":"10.1016/j.scitotenv.2017.06.254","ISSN":"00489697","journalAbbreviation":"Science of The Total Environment","language":"en","page":"413-432","source":"DOI.org (Crossref)","title":"Performance and implementation of low impact development – A review","volume":"607-608","author":[{"family":"Eckart","given":"Kyle"},{"family":"McPhee","given":"Zach"},{"family":"Bolisetti","given":"Tirupati"}],"issued":{"date-parts":[["2017",12]]}}}],"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8</w:t>
      </w:r>
      <w:r w:rsidRPr="003F3ABB">
        <w:rPr>
          <w:rFonts w:ascii="Calibri" w:hAnsi="Calibri" w:cs="Calibri"/>
          <w:w w:val="108"/>
          <w:sz w:val="18"/>
          <w:szCs w:val="18"/>
        </w:rPr>
        <w:fldChar w:fldCharType="end"/>
      </w:r>
      <w:r w:rsidRPr="003F3ABB">
        <w:rPr>
          <w:rFonts w:ascii="Calibri" w:hAnsi="Calibri" w:cs="Calibri"/>
          <w:w w:val="108"/>
          <w:sz w:val="18"/>
          <w:szCs w:val="18"/>
        </w:rPr>
        <w:t xml:space="preserve"> have been developed. Among these, the U.S. Environmental Protection Agency (EPA) Storm Water Management Model (SWMM) has been widely applied for urban rainfall-runoff simulations.</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{"citationID":"rjKppy1C","properties":{"formattedCitation":"\\super 8,9\\nosupersub{}","plainCitation":"8,9","noteIndex":0},"citationItems":[{"id":139,"uris":["http://zotero.org/users/6556211/items/ZNKPW8BH"],"uri":["http://zotero.org/users/6556211/items/ZNKPW8BH"],"itemData":{"id":139,"type":"article-journal","abstract":"Climate change, urbanization, and ecological concerns are all driving the need for new stormwater management strategies. The effects of urbanization are exaggerated by climate change and thus the development of innovative stormwater management techniques are necessary to mitigate these impacts. One emerging stormwater management philosophy is low impact development (LID). LID utilizes distributed stormwater controls (often green infrastructure) as well as green spaces and natural hydrologic features in order to bring the hydrology of urban catchments closer to pre-development conditions. The review provides a summary of the knowledge of LID as a stormwater management technique and climate change mitigation measure as well as the current state of research and implementation of this topic. In order to provide a better understanding of the extensive scope that should be considered for design of low impact developments, methods of optimization, modelling, monitoring and the performance of LID alternatives is covered. LID has been widely adopted and proven successful in many cases; however, there remains uncertainty of its beneﬁts. This review brings together knowledge from many sources in order to provide an overview of LID and examine its performance and implementation.","container-title":"Science of The Total Environment","DOI":"10.1016/j.scitotenv.2017.06.254","ISSN":"00489697","journalAbbreviation":"Science of The Total Environment","language":"en","page":"413-432","source":"DOI.org (Crossref)","title":"Performance and implementation of low impact development – A review","volume":"607-608","author":[{"family":"Eckart","given":"Kyle"},{"family":"McPhee","given":"Zach"},{"family":"Bolisetti","given":"Tirupati"}],"issued":{"date-parts":[["2017",12]]}},"label":"page"},{"id":150,"uris":["http://zotero.org/users/6556211/items/X4R3GPTW"],"uri":["http://zotero.org/users/6556211/items/X4R3GPTW"],"itemData":{"id":150,"type":"article-journal","abstract":"Models are necessary tools for watershed management. However, applying watershed models is time consuming and requires technical knowledge, including model selection and validation. The objective of this study is to assess two commonly used watershed models and their parameter sensitivity to reduce model loadings and to gain a better understanding of the model performances. The Hydrological Simulation Program-Fortran (HSPF) model and Storm Water Management Model (SWMM) were applied to a mostly forested Taiwanese reservoir watershed with pollution from tea plantations. Statistical analysis showed that both models are suitable for the studied watershed, but the performances of the ﬂow and water quality simulations are different. The mean ﬂow simulated by SWMM was lower than the experimental observations. The HSPF model performed better, possibly because the soil in the study area is highly permeable and the HSPF model has more precise soil layer calculations. SWMM may underestimate the total phosphorous (TP) and suspended solid (SS) loads following small storm events in highly permeable watersheds. The Latin Hypercube-One factor At a Time (LH-OAT) method was used to determine the parameter sensitivity of the HSPF model and SWMM. In both of the models, the parameters related to inﬁltration and soil characteristics strongly affected the ﬂow simulation, except when using the Horton inﬁltration method in the SWMM. Manning’s roughness coefﬁcient for pervious areas was more sensitive in SWMM than in the HSPF model because SWMM has fewer parameters.","container-title":"Water","DOI":"10.3390/w9100780","ISSN":"2073-4441","issue":"10","journalAbbreviation":"Water","language":"en","page":"780","source":"DOI.org (Crossref)","title":"Using the HSPF and SWMM Models in a High Pervious Watershed and Estimating Their Parameter Sensitivity","volume":"9","author":[{"family":"Tsai","given":"Lin-Yi"},{"family":"Chen","given":"Chi-Feng"},{"family":"Fan","given":"Chi-Hsuan"},{"family":"Lin","given":"Jen-Yang"}],"issued":{"date-parts":[["2017",10,12]]}},"label":"page"}],"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8,9</w:t>
      </w:r>
      <w:r w:rsidRPr="003F3ABB">
        <w:rPr>
          <w:rFonts w:ascii="Calibri" w:hAnsi="Calibri" w:cs="Calibri"/>
          <w:w w:val="108"/>
          <w:sz w:val="18"/>
          <w:szCs w:val="18"/>
        </w:rPr>
        <w:fldChar w:fldCharType="end"/>
      </w:r>
      <w:r w:rsidRPr="003F3ABB">
        <w:rPr>
          <w:rFonts w:ascii="Calibri" w:hAnsi="Calibri" w:cs="Calibri"/>
          <w:w w:val="108"/>
          <w:sz w:val="18"/>
          <w:szCs w:val="18"/>
        </w:rPr>
        <w:t xml:space="preserve"> SWMM can simulate stormwater quantity and some aspects of water quality (e.g. total phosphorus) both on the land surface and in the sewers, and can also provide the capability to evaluate the effectiveness of GI simulations.</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{"citationID":"2RmjcNnF","properties":{"formattedCitation":"\\super 10\\nosupersub{}","plainCitation":"10","noteIndex":0},"citationItems":[{"id":147,"uris":["http://zotero.org/users/6556211/items/F393EBIL"],"uri":["http://zotero.org/users/6556211/items/F393EBIL"],"itemData":{"id":147,"type":"report","event-place":"Washington, DC, EPA/600/R-14/413 (NTIS EPA/600/R-14/413b)","language":"en","publisher":"US EPA Office of Research and Development","publisher-place":"Washington, DC, EPA/600/R-14/413 (NTIS EPA/600/R-14/413b)","source":"Zotero","title":"Storm Water Management Model User's Manual Version 5.1","author":[{"family":"Rossman","given":"Lewis A"}],"issued":{"date-parts":[["2015"]]}}}],"schema":"https://github.com/citation-style-language/schema/raw/master/csl-citation.json"}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10</w:t>
      </w:r>
      <w:r w:rsidRPr="003F3ABB">
        <w:rPr>
          <w:rFonts w:ascii="Calibri" w:hAnsi="Calibri" w:cs="Calibri"/>
          <w:w w:val="108"/>
          <w:sz w:val="18"/>
          <w:szCs w:val="18"/>
        </w:rPr>
        <w:fldChar w:fldCharType="end"/>
      </w:r>
      <w:r w:rsidRPr="003F3ABB">
        <w:rPr>
          <w:rFonts w:ascii="Calibri" w:hAnsi="Calibri" w:cs="Calibri"/>
          <w:w w:val="108"/>
          <w:sz w:val="18"/>
          <w:szCs w:val="18"/>
        </w:rPr>
        <w:t xml:space="preserve"> In recent years, SWMM has been applied to study hydrologic impacts of urbanization</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{"citationID":"7iEUBoi1","properties":{"formattedCitation":"\\super 11\\nosupersub{}","plainCitation":"11","noteIndex":0},"citationItems":[{"id":160,"uris":["http://zotero.org/users/6556211/items/UBHQDRHZ"],"uri":["http://zotero.org/users/6556211/items/UBHQDRHZ"],"itemData":{"id":160,"type":"article-journal","abstract":"Hydrologic impact assessment is necessary for a planned development area in designing detention storage for urban drainage systems to minimize the effect of urbanization. It also has strong implication on pollutant loads from urban areas. For such assessment, single or two hydrologic models can be paired for pre- and post- development conditions. Typical pairings are the use of synthetic hydrograph methods for both conditions or synthetic hydrograph for pre-development and urban hydrology model for post-development condition. The former has the difficulty of accounting for drainage structure for post-development condition and the latter can run into erratic evaluation as the error can be introduced due to different model conceptualizations and parameterizations. In order to overcome the aforementioned shortcomings, the use of Storm Water Management Model (SWMM) for both pre- and postdevelopment conditions is proposed in this study. The SWMM was applied to four planned development areas in Korea. The comparison of the results with previous assessments done for the same sites showed that the new approach can resolve the irrationalities that can occur with the combination of two different models such as smaller peak flow and longer time to peak for post-development condition. It is thought that the proposed method improves the accountability of the hydrologic impact assessment on planned development areas.","container-title":"Desalination","DOI":"10.1016/j.desal.2007.05.005","ISSN":"00119164","issue":"1-3","journalAbbreviation":"Desalination","language":"en","page":"344-356","source":"DOI.org (Crossref)","title":"Using SWMM as a tool for hydrologic impact assessment","volume":"212","author":[{"family":"Jang","given":"Suhyung"},{"family":"Cho","given":"Minock"},{"family":"Yoon","given":"Jaeyoung"},{"family":"Yoon","given":"Yongnam"},{"family":"Kim","given":"Sangdan"},{"family":"Kim","given":"Geonha"},{"family":"Kim","given":"Leehyung"},{"family":"Aksoy","given":"Hafzullah"}],"issued":{"date-parts":[["2007",6]]}}}],"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11</w:t>
      </w:r>
      <w:r w:rsidRPr="003F3ABB">
        <w:rPr>
          <w:rFonts w:ascii="Calibri" w:hAnsi="Calibri" w:cs="Calibri"/>
          <w:w w:val="108"/>
          <w:sz w:val="18"/>
          <w:szCs w:val="18"/>
        </w:rPr>
        <w:fldChar w:fldCharType="end"/>
      </w:r>
      <w:r w:rsidRPr="003F3ABB">
        <w:rPr>
          <w:rFonts w:ascii="Calibri" w:hAnsi="Calibri" w:cs="Calibri"/>
          <w:w w:val="108"/>
          <w:sz w:val="18"/>
          <w:szCs w:val="18"/>
        </w:rPr>
        <w:t>, to model the effects of green and grey (built) infrastructure practices to reduce combined sewer overflows (CSO)</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{"citationID":"XLvXfDhF","properties":{"formattedCitation":"\\super 12\\nosupersub{}","plainCitation":"12","noteIndex":0},"citationItems":[{"id":151,"uris":["http://zotero.org/users/6556211/items/2QHX25XQ"],"uri":["http://zotero.org/users/6556211/items/2QHX25XQ"],"itemData":{"id":151,"type":"article-journal","abstract":"Recent research suggests future alterations in rainfall patterns due to climate variability, affecting public safety and health in urban areas. Urban growth, one of the main drivers of change in the current century, will also affect these conditions. Traditional drainage approaches using grey infrastructure offer low adaptation to an uncertain future. New methodologies of stormwater management focus on decentralized approaches in a long-term planning framework, including the use of Green Infrastructure (GI). This work presents a novel methodology to select, evaluate, and place different green-grey practices (or measures) for retroﬁtting urban drainage systems. The methodology uses a hydrodynamic model and multi-objective optimization to design solutions at a watershed level. The method proposed in this study was applied in a highly urbanized watershed to evaluate the effect of these measures on Combined Sewer Overﬂows (CSO) quantity. This approach produced promising results and may become a useful tool for planning and decision making of drainage systems.","container-title":"Water","DOI":"10.3390/w8090402","ISSN":"2073-4441","issue":"9","journalAbbreviation":"Water","language":"en","page":"402","source":"DOI.org (Crossref)","title":"Evolutionary and Holistic Assessment of Green-Grey Infrastructure for CSO Reduction","volume":"8","author":[{"family":"Alves","given":"Alida"},{"family":"Sanchez","given":"Arlex"},{"family":"Vojinovic","given":"Zoran"},{"family":"Seyoum","given":"Solomon"},{"family":"Babel","given":"Mukand"},{"family":"Brdjanovic","given":"Damir"}],"issued":{"date-parts":[["2016",9,15]]}}}],"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12</w:t>
      </w:r>
      <w:r w:rsidRPr="003F3ABB">
        <w:rPr>
          <w:rFonts w:ascii="Calibri" w:hAnsi="Calibri" w:cs="Calibri"/>
          <w:w w:val="108"/>
          <w:sz w:val="18"/>
          <w:szCs w:val="18"/>
        </w:rPr>
        <w:fldChar w:fldCharType="end"/>
      </w:r>
      <w:r w:rsidRPr="003F3ABB">
        <w:rPr>
          <w:rFonts w:ascii="Calibri" w:hAnsi="Calibri" w:cs="Calibri"/>
          <w:w w:val="108"/>
          <w:sz w:val="18"/>
          <w:szCs w:val="18"/>
        </w:rPr>
        <w:t>, to investigate the impacts of GI on hydrological responses in urban areas</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{"citationID":"CtqhvyFJ","properties":{"formattedCitation":"\\super 13,14\\nosupersub{}","plainCitation":"13,14","noteIndex":0},"citationItems":[{"id":154,"uris":["http://zotero.org/users/6556211/items/DQFFFR5B"],"uri":["http://zotero.org/users/6556211/items/DQFFFR5B"],"itemData":{"id":154,"type":"article-journal","abstract":"In this paper, the implementation of Low Impact Development systems (LIDs) as source control solutions that contribute to restore the critical components of natural ﬂow regimes, is analyzed at the urban catchment scale. The hydrologic response of a small urban catchment is investigated under different land use conversion scenarios including the installation of green roofs and permeable pavements. The modeling is undertaken using the EPA SWMM; the ‘‘do nothing’’ scenario is calibrated and validated based on ﬁeld measurements while the LID control modules are calibrated and validated based on laboratory test measurements. The simulations are carried out by using as input the synthetic hyetographs derived for three different return periods (T = 2, 5 and 10 years). Modeling results conﬁrm the effectiveness of LID solutions even for the design storm event (T = 10 years): in particular a minimum land use conversion area, corresponding to the Effective Impervious Area reduction of 5%, is required to obtain noticeable hydrologic beneﬁts. The conversion scenario response is analyzed by using the peak ﬂow reduction, the volume reduction and the hydrograph delay as hydrologic performance indexes. Findings of the present research show that the hydrologic performance linearly increases with increasing the EIA reduction percentages: at 36% EIA reduction (corresponding to the whole conversion of rooftops and parking lot areas), the peak and volume reductions rise till 0.45 and 0.23 respectively while the hydrograph delay increases till 0.19. Ó 2015 Elsevier B.V. All rights reserved.","container-title":"Journal of Hydrology","DOI":"10.1016/j.jhydrol.2015.06.050","ISSN":"00221694","journalAbbreviation":"Journal of Hydrology","language":"en","page":"361-368","source":"DOI.org (Crossref)","title":"Hydrologic modeling of Low Impact Development systems at the urban catchment scale","volume":"528","author":[{"family":"Palla","given":"Anna"},{"family":"Gnecco","given":"Ilaria"}],"issued":{"date-parts":[["2015",9]]}},"label":"page"},{"id":143,"uris":["http://zotero.org/users/6556211/items/IPRWW36K"],"uri":["http://zotero.org/users/6556211/items/IPRWW36K"],"itemData":{"id":143,"type":"article-journal","abstract":"It is well established that the excess storm-water runoff volume from impervious areas can lead to impairments and water pollution originating from the sewer system overﬂow and combined sewer systems overﬂow. This redirection of the runoff into wastewater treatment plants and stream channels can also deprive shallow groundwater tables with recharge, as an impervious surface prevents water from inﬁltrating to aquifers. The runoff from impervious areas and, in particular, directly connected impervious areas, has been proven to cause the majority of the problem. Controlling the runoff at its source and disconnecting the impervious area from the sewer system is a way to resolve and reduce the impact of excess runoff. This is achieved by implementing specialized detention technologies for runoff reduction. This paper builds on new modeling techniques of two best management practices, rain gardens and rain barrels, implemented in the EPA storm-water management model Version 5 ͑SWMM-5͒. The behaviors of a continuously draining rain barrel and an overﬂowing rain barrel were studied under steady state and unsteady state conditions using Cϩϩ and MATLAB programs. The models obtained were compared to a rain barrel conceived within the EPA SWMM-5 subcatchment architecture. Next, a model input was derived to best describe the behavior of a treatment train for water quantity composed of a rain garden, the overﬂowing rain barrel, and/or the continuously draining rain barrel. A simulated rainfall event in EPA SWMM-5 assesses the results of each subcatchment’s model input and estimates the potential percentage of runoff reduction and the potential reduction in the peak ﬂow and timing of outﬂow.","container-title":"Journal of Hydrologic Engineering","DOI":"10.1061/(ASCE)HE.1943-5584.0000136","ISSN":"1084-0699, 1943-5584","issue":"6","journalAbbreviation":"J. Hydrol. Eng.","language":"en","page":"434-443","source":"DOI.org (Crossref)","title":"Modeling Techniques of Best Management Practices: Rain Barrels and Rain Gardens Using EPA SWMM-5","title-short":"Modeling Techniques of Best Management Practices","volume":"15","author":[{"family":"Abi Aad","given":"Maya P."},{"family":"Suidan","given":"Makram T."},{"family":"Shuster","given":"William D."}],"issued":{"date-parts":[["2010",6]]}},"label":"page"}],"schema":"https://github.com/citation-style-language/schema/raw/master/csl-citation.json"}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13,14</w:t>
      </w:r>
      <w:r w:rsidRPr="003F3ABB">
        <w:rPr>
          <w:rFonts w:ascii="Calibri" w:hAnsi="Calibri" w:cs="Calibri"/>
          <w:w w:val="108"/>
          <w:sz w:val="18"/>
          <w:szCs w:val="18"/>
        </w:rPr>
        <w:fldChar w:fldCharType="end"/>
      </w:r>
      <w:r w:rsidRPr="003F3ABB">
        <w:rPr>
          <w:rFonts w:ascii="Calibri" w:hAnsi="Calibri" w:cs="Calibri"/>
          <w:w w:val="108"/>
          <w:sz w:val="18"/>
          <w:szCs w:val="18"/>
        </w:rPr>
        <w:t xml:space="preserve"> and to  simulate chemical transport</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{"citationID":"IwkSduGX","properties":{"formattedCitation":"\\super 15\\nosupersub{}","plainCitation":"15","noteIndex":0},"citationItems":[{"id":156,"uris":["http://zotero.org/users/6556211/items/YQEQYJ2V"],"uri":["http://zotero.org/users/6556211/items/YQEQYJ2V"],"itemData":{"id":156,"type":"article-journal","container-title":"Water Research","DOI":"10.1016/j.watres.2017.05.034","ISSN":"00431354","journalAbbreviation":"Water Research","language":"en","page":"655-668","source":"DOI.org (Crossref)","title":"Modeling in-sewer transformations at catchment scale – implications on drug consumption estimates in wastewater-based epidemiology","volume":"122","author":[{"family":"McCall","given":"Ann-Kathrin"},{"family":"Palmitessa","given":"Rocco"},{"family":"Blumensaat","given":"Frank"},{"family":"Morgenroth","given":"Eberhard"},{"family":"Ort","given":"Christoph"}],"issued":{"date-parts":[["2017",10]]}}}],"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15</w:t>
      </w:r>
      <w:r w:rsidRPr="003F3ABB">
        <w:rPr>
          <w:rFonts w:ascii="Calibri" w:hAnsi="Calibri" w:cs="Calibri"/>
          <w:w w:val="108"/>
          <w:sz w:val="18"/>
          <w:szCs w:val="18"/>
        </w:rPr>
        <w:fldChar w:fldCharType="end"/>
      </w:r>
      <w:r w:rsidRPr="003F3ABB">
        <w:rPr>
          <w:rFonts w:ascii="Calibri" w:hAnsi="Calibri" w:cs="Calibri"/>
          <w:w w:val="108"/>
          <w:sz w:val="18"/>
          <w:szCs w:val="18"/>
        </w:rPr>
        <w:t xml:space="preserve">. </w:t>
      </w:r>
    </w:p>
    <w:p w14:paraId="59EFDF09" w14:textId="77777777" w:rsidR="003F3ABB" w:rsidRPr="003F3ABB" w:rsidRDefault="003F3ABB" w:rsidP="00AF1C8B">
      <w:pPr>
        <w:spacing w:line="480" w:lineRule="auto"/>
        <w:rPr>
          <w:rFonts w:ascii="Calibri" w:hAnsi="Calibri" w:cs="Calibri"/>
          <w:w w:val="108"/>
          <w:sz w:val="18"/>
          <w:szCs w:val="18"/>
          <w:lang w:eastAsia="zh-CN"/>
        </w:rPr>
      </w:pPr>
      <w:r w:rsidRPr="003F3ABB">
        <w:rPr>
          <w:rFonts w:ascii="Calibri" w:hAnsi="Calibri" w:cs="Calibri"/>
          <w:w w:val="108"/>
          <w:sz w:val="18"/>
          <w:szCs w:val="18"/>
        </w:rPr>
        <w:t>Despite these practical applications, improved efficiency in building model networks and enhanced model performance remains critical need, particularly for larger systems. Model output is influenced by many uncertainties, such as data resolution, parameter estimation, model structure, etc.</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{"citationID":"xmuFjeYb","properties":{"formattedCitation":"\\super 16\\nosupersub{}","plainCitation":"16","noteIndex":0},"citationItems":[{"id":145,"uris":["http://zotero.org/users/6556211/items/DTSFMHHF"],"uri":["http://zotero.org/users/6556211/items/DTSFMHHF"],"itemData":{"id":145,"type":"article-journal","abstract":"The paper proposes a strategy for model uncertainty propagation analysis. As an example, parameter uncertainty propagation analysis in the runoff block of the HYSTEM-EXTRAN model is carried out. The model is a modification of the well-known SWMM (Storm Water Management Model). Uncertainty propagation methods such as first-order analysis, sensitivity analysis, statistical linearization and Monte-Carlo analysis are discussed and applied. A pathway of parameter uncertainty propagation analysis is given based on validity, simplicity, and computational requirements. The pathway starts with sensitivity analysis which may help to reduce the dimensions of a multidimensional model by discarding insensitive parameters. This is to obtain a mathematically tractable uncertainty propagation problem for a complicated model. Then, the nonlinearity of the model must be quantified to check the validity of first-order analysis. If first-order analysis is not valid, and if components of model output uncertainty need to be known, the application of statistical linearization is the only analytical alternative. Monte-carlo analysis can always be applied and taken as a reference as long as the components of the model output uncertainty are not of interest. The parameter sensitivity is characterized by its sensitivity coefticient which is defined as the ratio of the coefficient of variance of a model output to the coefficient of variance of the model parameter itself. A non­ linear rainfall runoff model usually results in a variable parameter sensitivity. Hence, recommendations about parameter sensitivity cannot be generalized for a given rainfall-runoff model, but depend on the type and the range of the model output variable. It is shown that the type of probability density function describing the parameter uncertainty with known mean and variance has only a small effect on the results of the model output uncertainty.","container-title":"Water Science and Technology","DOI":"10.2166/wst.1994.0660","ISSN":"0273-1223, 1996-9732","issue":"1-2","language":"en","page":"145-154","source":"DOI.org (Crossref)","title":"Parameter Uncertainty Propagation Analysis for Urban Rainfall Runoff Modelling","volume":"29","author":[{"family":"Lei","given":"Jianhua"},{"family":"Schilling","given":"Wolfgang"}],"issued":{"date-parts":[["1994",1,1]]}}}],"schema":"https://github.com/citation-style-language/schema/raw/master/csl-citation.json"}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16</w:t>
      </w:r>
      <w:r w:rsidRPr="003F3ABB">
        <w:rPr>
          <w:rFonts w:ascii="Calibri" w:hAnsi="Calibri" w:cs="Calibri"/>
          <w:w w:val="108"/>
          <w:sz w:val="18"/>
          <w:szCs w:val="18"/>
        </w:rPr>
        <w:fldChar w:fldCharType="end"/>
      </w:r>
      <w:r w:rsidRPr="003F3ABB">
        <w:rPr>
          <w:rFonts w:ascii="Calibri" w:hAnsi="Calibri" w:cs="Calibri"/>
          <w:w w:val="108"/>
          <w:sz w:val="18"/>
          <w:szCs w:val="18"/>
        </w:rPr>
        <w:t xml:space="preserve"> SWMM hydrologic and hydraulic components are separately conceptualized as land surface and drainage networks, requiring substantial effort to collect and prepare varied input data, build reliable subcatchment and conduit networks, and estimate and calibrate model parameters</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EN.CITE &lt;EndNote&gt;&lt;Cite&gt;&lt;Author&gt;Zellner&lt;/Author&gt;&lt;Year&gt;2016&lt;/Year&gt;&lt;RecNum&gt;61&lt;/RecNum&gt;&lt;DisplayText&gt;(Zellner et al. 2016; Lewis 2015)&lt;/DisplayText&gt;&lt;record&gt;&lt;rec-number&gt;61&lt;/rec-number&gt;&lt;foreign-keys&gt;&lt;key app="EN" db-id="a0dzextw4veat4exw2oxr0rjzexv29zvvfrt" timestamp="1525970541"&gt;61&lt;/key&gt;&lt;key app="ENWeb" db-id=""&gt;0&lt;/key&gt;&lt;/foreign-keys&gt;&lt;ref-type name="Journal Article"&gt;17&lt;/ref-type&gt;&lt;contributors&gt;&lt;authors&gt;&lt;author&gt;Zellner, M.&lt;/author&gt;&lt;author&gt;Massey, D.&lt;/author&gt;&lt;author&gt;Minor, E.&lt;/author&gt;&lt;author&gt;Gonzalez-Meler, M.&lt;/author&gt;&lt;/authors&gt;&lt;/contributors&gt;&lt;titles&gt;&lt;title&gt;Exploring the effects of green infrastructure placement on neighborhood-level flooding via spatially explicit simulations&lt;/title&gt;&lt;secondary-title&gt;Computers Environ.  Urban Syst.&lt;/secondary-title&gt;&lt;/titles&gt;&lt;periodical&gt;&lt;full-title&gt;Computers Environ.  Urban Syst.&lt;/full-title&gt;&lt;/periodical&gt;&lt;pages&gt;116-128&lt;/pages&gt;&lt;volume&gt;59&lt;/volume&gt;&lt;section&gt;116&lt;/section&gt;&lt;dates&gt;&lt;year&gt;2016&lt;/year&gt;&lt;/dates&gt;&lt;isbn&gt;01989715&lt;/isbn&gt;&lt;urls&gt;&lt;/urls&gt;&lt;electronic-resource-num&gt;10.1016/j.compenvurbsys.2016.04.008&lt;/electronic-resource-num&gt;&lt;/record&gt;&lt;/Cite&gt;&lt;Cite&gt;&lt;Author&gt;R.&lt;/Author&gt;&lt;Year&gt;2015&lt;/Year&gt;&lt;RecNum&gt;39&lt;/RecNum&gt;&lt;record&gt;&lt;rec-number&gt;39&lt;/rec-number&gt;&lt;foreign-keys&gt;&lt;key app="EN" db-id="a0dzextw4veat4exw2oxr0rjzexv29zvvfrt" timestamp="1566776201"&gt;39&lt;/key&gt;&lt;key app="ENWeb" db-id=""&gt;0&lt;/key&gt;&lt;/foreign-keys&gt;&lt;ref-type name="Journal Article"&gt;17&lt;/ref-type&gt;&lt;contributors&gt;&lt;authors&gt;&lt;author&gt;Lewis, A. R.&lt;/author&gt;&lt;/authors&gt;&lt;/contributors&gt;&lt;titles&gt;&lt;title&gt;Storm Water Management Model User’s Manual Version 5.1&lt;/title&gt;&lt;/titles&gt;&lt;dates&gt;&lt;year&gt;2015&lt;/year&gt;&lt;/dates&gt;&lt;urls&gt;&lt;/urls&gt;&lt;/record&gt;&lt;/Cite&gt;&lt;/EndNote&gt;</w:instrText>
      </w:r>
      <w:r w:rsidRPr="003F3ABB">
        <w:rPr>
          <w:rFonts w:ascii="Calibri" w:hAnsi="Calibri" w:cs="Calibri"/>
          <w:w w:val="108"/>
          <w:sz w:val="18"/>
          <w:szCs w:val="18"/>
        </w:rPr>
        <w:fldChar w:fldCharType="end"/>
      </w:r>
      <w:r w:rsidRPr="003F3ABB">
        <w:rPr>
          <w:rFonts w:ascii="Calibri" w:hAnsi="Calibri" w:cs="Calibri"/>
          <w:w w:val="108"/>
          <w:sz w:val="18"/>
          <w:szCs w:val="18"/>
        </w:rPr>
        <w:t>. To capture physical processes in the urban system, however, detailed information on sewer drainage networks is often unavailable.</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{"citationID":"lQFMpIwh","properties":{"formattedCitation":"\\super 17\\nosupersub{}","plainCitation":"17","noteIndex":0},"citationItems":[{"id":161,"uris":["http://zotero.org/users/6556211/items/DHS6JVTQ"],"uri":["http://zotero.org/users/6556211/items/DHS6JVTQ"],"itemData":{"id":161,"type":"article-journal","abstract":"An integrated Visual Basic Application interface is described that allows for sensitivity analysis, calibration and routing of hydraulichydrological models. The routine consists in the combination of three freeware tools performing hydrological modelling, hydraulic modelling and calibration. With such an approach, calibration is made possible even if information about sewers geometrical features is incomplete. Model parameters involve storage coefficient, time of concentration, runoff coefficient, initial abstraction and Manning coefficient; literature formulas are considered and manipulated to obtain novel expressions and variation ranges. A sensitivity analysis with a local method is performed to obtain information about collinearity among parameters and a ranking of influence. The least important parameters are given a fixed value, and for the remaining ones calibration is performed by means of a genetic algorithm implemented in GANetXL. Single-event calibration is performed with a selection of six rainfall events, which are chosen so to avoid non-uniform rainfall distribution; results are then successfully validated with a sequence of four events.","container-title":"Acta Geophysica","DOI":"10.1515/acgeo-2016-0062","ISSN":"1895-6572, 1895-7455","issue":"5","journalAbbreviation":"Acta Geophys.","language":"en","page":"1755-1778","source":"DOI.org (Crossref)","title":"Sensitivity Analysis and Calibration of a Rainfall-Runoff Model with the Combined Use of EPA-SWMM and Genetic Algorithm","volume":"64","author":[{"family":"Del Giudice","given":"Giuseppe"},{"family":"Padulano","given":"Roberta"}],"issued":{"date-parts":[["2016",10]]}}}],"schema":"https://github.com/citation-style-language/schema/raw/master/csl-citation.json"}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17</w:t>
      </w:r>
      <w:r w:rsidRPr="003F3ABB">
        <w:rPr>
          <w:rFonts w:ascii="Calibri" w:hAnsi="Calibri" w:cs="Calibri"/>
          <w:w w:val="108"/>
          <w:sz w:val="18"/>
          <w:szCs w:val="18"/>
        </w:rPr>
        <w:fldChar w:fldCharType="end"/>
      </w:r>
      <w:r w:rsidRPr="003F3ABB">
        <w:rPr>
          <w:rFonts w:ascii="Calibri" w:hAnsi="Calibri" w:cs="Calibri"/>
          <w:w w:val="108"/>
          <w:sz w:val="18"/>
          <w:szCs w:val="18"/>
        </w:rPr>
        <w:t xml:space="preserve"> In the absence of such data, it can be time-intensive to simplify and build simulated networks.</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{"citationID":"7rQO3WBr","properties":{"formattedCitation":"\\super 18\\nosupersub{}","plainCitation":"18","noteIndex":0},"citationItems":[{"id":196,"uris":["http://zotero.org/users/6556211/items/IDTDJYNA"],"uri":["http://zotero.org/users/6556211/items/IDTDJYNA"],"itemData":{"id":196,"type":"article-journal","abstract":"State and local governments are increasingly considering the adoption of legislation to promote green infrastructure (e.g., bioswales, green roofs) for stormwater management. This interest emerges from higher frequencies of combined sewer outﬂows, ﬂoods and exposure of residents and habitat to polluted water resulting from growing urbanization and related pressure on stormwater management facilities. While this approach is promising, there are many unknowns about the effects of speciﬁc implementation aspects (e.g., scale, layout), particularly as urban settlements and climate conditions change over time. If green infrastructure is to be required by law, these aspects need to be better understood. We developed a spatially-explicit process-based model (the Landscape Green Infrastructure Design model, L-GriD) developed to understand how the design of green infrastructure may affect performance at a neighborhood scale, taking into consideration the magnitude of stormevents, and the spatial layout of different kinds of land cover. We inform the mechanisms in our model with established hydrological models. In contrast with watershed data-intensive models in one extreme and site level cost-savings calculators in the other, our model allows us to generalize principles for green infrastructure design and implementation at a neighborhood scale, to inform policy-making. Simulation results show that w</w:instrText>
      </w:r>
      <w:r w:rsidRPr="003F3ABB">
        <w:rPr>
          <w:rFonts w:ascii="Calibri" w:hAnsi="Calibri" w:cs="Calibri"/>
          <w:w w:val="108"/>
          <w:sz w:val="18"/>
          <w:szCs w:val="18"/>
          <w:lang w:eastAsia="zh-CN"/>
        </w:rPr>
        <w:instrText xml:space="preserve">ith as little as 10% surface coverage, green infrastructure can greatly contribute to runoff capture in small storms, but that the amount would need to be doubled or tripled to deal with larger storms in a similar way. When placement options are limited, layouts in which green infrastructure is dispersed across the landscape—particularly vegetated curb cuts—are more effective in reducing ﬂooding in all storm types than clustered arrangements. As opportunities for green infrastructure placement increase and as precipitation increases, however, patterns that follow the ﬂow-path and accumulation of water become more effective, which can be built on an underlying curb-cut layout. If space constraints prevented any of these layouts, random placement would still provide beneﬁts over clustered layouts.","container-title":"Computers, Environment and Urban Systems","DOI":"10.1016/j.compenvurbsys.2016.04.008","ISSN":"01989715","journalAbbreviation":"Computers, Environment and Urban Systems","language":"en","page":"116-128","source":"DOI.org (Crossref)","title":"Exploring the effects of green infrastructure placement on neighborhood-level flooding via spatially explicit simulations","volume":"59","author":[{"family":"Zellner","given":"Moira"},{"family":"Massey","given":"Dean"},{"family":"Minor","given":"Emily"},{"family":"Gonzalez-Meler","given":"Miquel"}],"issued":{"date-parts":[["2016",9]]}}}],"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lang w:eastAsia="zh-CN"/>
        </w:rPr>
        <w:t>18</w:t>
      </w:r>
      <w:r w:rsidRPr="003F3ABB">
        <w:rPr>
          <w:rFonts w:ascii="Calibri" w:hAnsi="Calibri" w:cs="Calibri"/>
          <w:w w:val="108"/>
          <w:sz w:val="18"/>
          <w:szCs w:val="18"/>
        </w:rPr>
        <w:fldChar w:fldCharType="end"/>
      </w:r>
      <w:r w:rsidRPr="003F3ABB">
        <w:rPr>
          <w:rFonts w:ascii="Calibri" w:hAnsi="Calibri" w:cs="Calibri"/>
          <w:w w:val="108"/>
          <w:sz w:val="18"/>
          <w:szCs w:val="18"/>
          <w:lang w:eastAsia="zh-CN"/>
        </w:rPr>
        <w:t xml:space="preserve"> </w:t>
      </w:r>
    </w:p>
    <w:p w14:paraId="624C44CB" w14:textId="09C5C6A8" w:rsidR="003F3ABB" w:rsidRPr="003F3ABB" w:rsidRDefault="003F3ABB" w:rsidP="00AF1C8B">
      <w:pPr>
        <w:spacing w:line="480" w:lineRule="auto"/>
        <w:rPr>
          <w:rFonts w:ascii="Calibri" w:hAnsi="Calibri" w:cs="Calibri"/>
          <w:w w:val="108"/>
          <w:sz w:val="18"/>
          <w:szCs w:val="18"/>
          <w:lang w:eastAsia="zh-CN"/>
        </w:rPr>
      </w:pPr>
      <w:r w:rsidRPr="003F3ABB">
        <w:rPr>
          <w:rFonts w:ascii="Calibri" w:hAnsi="Calibri" w:cs="Calibri"/>
          <w:w w:val="108"/>
          <w:sz w:val="18"/>
          <w:szCs w:val="18"/>
          <w:lang w:eastAsia="zh-CN"/>
        </w:rPr>
        <w:t>In addition, discreti</w:t>
      </w:r>
      <w:r w:rsidR="00ED539D">
        <w:rPr>
          <w:rFonts w:ascii="Calibri" w:hAnsi="Calibri" w:cs="Calibri"/>
          <w:w w:val="108"/>
          <w:sz w:val="18"/>
          <w:szCs w:val="18"/>
          <w:lang w:eastAsia="zh-CN"/>
        </w:rPr>
        <w:t>z</w:t>
      </w:r>
      <w:r w:rsidRPr="003F3ABB">
        <w:rPr>
          <w:rFonts w:ascii="Calibri" w:hAnsi="Calibri" w:cs="Calibri"/>
          <w:w w:val="108"/>
          <w:sz w:val="18"/>
          <w:szCs w:val="18"/>
          <w:lang w:eastAsia="zh-CN"/>
        </w:rPr>
        <w:t>ing a study area into subcatchments requires the knowledge and consideration of both the surface properties and the sewer connections. High-resolution data (e.g. aerial images) have been used to identify and describe detailed surface information (land use) in SWMM simulations,</w:t>
      </w:r>
      <w:r w:rsidRPr="003F3ABB">
        <w:rPr>
          <w:rFonts w:ascii="Calibri" w:hAnsi="Calibri" w:cs="Calibri"/>
          <w:w w:val="108"/>
          <w:sz w:val="18"/>
          <w:szCs w:val="18"/>
        </w:rPr>
        <w:fldChar w:fldCharType="begin"/>
      </w:r>
      <w:r w:rsidRPr="003F3ABB">
        <w:rPr>
          <w:rFonts w:ascii="Calibri" w:hAnsi="Calibri" w:cs="Calibri"/>
          <w:w w:val="108"/>
          <w:sz w:val="18"/>
          <w:szCs w:val="18"/>
          <w:lang w:eastAsia="zh-CN"/>
        </w:rPr>
        <w:instrText xml:space="preserve"> ADDIN ZOTERO_ITEM CSL_CITATION {"citationID":"0IAHJWm2","properties":{"formattedCitation":"\\super 19\\uc0\\u8211{}21\\nosupersub{}","plainCitation":"19–21","noteIndex":0},"citationItems":[{"id":232,"ur</w:instrText>
      </w:r>
      <w:r w:rsidRPr="003F3ABB">
        <w:rPr>
          <w:rFonts w:ascii="Calibri" w:hAnsi="Calibri" w:cs="Calibri"/>
          <w:w w:val="108"/>
          <w:sz w:val="18"/>
          <w:szCs w:val="18"/>
        </w:rPr>
        <w:instrText xml:space="preserve">is":["http://zotero.org/users/6556211/items/W2GMG8B5"],"uri":["http://zotero.org/users/6556211/items/W2GMG8B5"],"itemData":{"id":232,"type":"article-journal","container-title":"Urban Water Journal","DOI":"10.1080/1573062X.2012.739631","ISSN":"1573-062X, 1744-9006","issue":"6","journalAbbreviation":"Urban Water Journal","language":"en","page":"394-410","source":"DOI.org (Crossref)","title":"A high resolution application of a stormwater management model (SWMM) using genetic parameter optimization","volume":"10","author":[{"family":"Krebs","given":"G."},{"family":"Kokkonen","given":"T."},{"family":"Valtanen","given":"M."},{"family":"Koivusalo","given":"H."},{"family":"Setälä","given":"H."}],"issued":{"date-parts":[["2013",12]]}},"label":"page"},{"id":158,"uris":["http://zotero.org/users/6556211/items/NTV8NEKK"],"uri":["http://zotero.org/users/6556211/items/NTV8NEKK"],"itemData":{"id":158,"type":"article-journal","abstract":"Hydrological model simulations can be applied to evaluate the performance of low impact development (LID) tools in urban areas. However, the assessment for large-scale urban areas remains a challenge due to the required high spatial resolution and limited availability of ﬁeld measurements for model calibration. This study proposes a methodology to parameterize a hydrological model (SWMM) with sufﬁciently high spatial resolution and direct accessibility of model parameters for LID performance simulation applicable to a large-scale ungauged urban area. Based on calibrated high-resolution models for three smallscale study catchments (6–12 ha), we evaluated how constraints implied by large-scale urban modelling, such as data limitations, affect the model results. The high-resolution surface representation, resulting in subcatchments of uniform surface types, reduced the number of calibration parameters. Calibration conducted independently for all catchments yielded similar parameter values for same surface types in each study catchment. These results suggest the applicability of the parameter values calibrated for high resolution models to be regionalized to larger, ungauged urban areas. The accessibility of surface speciﬁc model parameters for LID simulation is then also retained. Conducted perturbations in spatial resolution through sewer network truncation showed that while the runoff volume was mostly unaffected by resolution perturbations, lower resolutions resulted in over-simulation of peak ﬂows due to excessively rapid catchment response to storm events. Our results suggest that a hydrological model where parameter values are adopted from high-resolution models and that is developed based on a minimum conduit diameter of 300 mm provides good simulation performance and is applicable to large-scale urban areas with reasonable effort.","container-title":"Journal of Hydrology","DOI":"10.1016/j.jhydrol.2014.03.013","ISSN":"00221694","journalAbbreviation":"Journal of Hydrology","language":"en","page":"482-497","source":"DOI.org (Crossref)","title":"Spatial resolution considerations for urban hydrological modelling","volume":"512","author":[{"family":"Krebs","given":"G."},{"family":"Kokkonen","given":"T."},{"family":"Valtanen","given":"M."},{"family":"Setälä","given":"H."},{"family":"Koivusalo","given":"H."}],"issued":{"date-parts":[["2014",5]]}},"label":"page"},{"id":152,"uris":["http://zotero.org/users/6556211/items/3EKVLSPW"],"uri":["http://zotero.org/users/6556211/items/3EKVLSPW"],"itemData":{"id":152,"type":"article-journal","abstract":"This research incorporates the generalized likelihood uncertainty estimation (GLUE) methodology in a high-resolution Environmental Protection Agency Storm Water Management Model (SWMM), which we developed for a highly urbanized sewershed in Syracuse, NY, to assess SWMM modelling uncertainties and estimate parameters. We addressed two issues that have long been suggested having a great impact on the GLUE uncertainty estimation: the observations used to construct the likelihood measure and the sampling approach to obtain the posterior samples of the input parameters and prediction bounds of the model output. First, on the basis of the Bayes’ theorem, we compared the prediction bounds generated from the same Gaussian distribution likelihood measure conditioned on ﬂow observations of varying magnitude. Second, we employed two sampling techniques, the sampling importance resampling (SIR) and the threshold sampling methods, to generate posterior parameter distributions and prediction bounds, based on which the sampling efﬁciency was compared. In addition, for a better understanding of the hydrological responses of different pervious land covers in urban areas, we developed new parameter sets in SWMM representing the hydrological properties of trees and lawns, which were estimated through the GLUE procedure. The results showed that SIR was a more effective alternative to the conventional threshold sampling method. The combined total ﬂow and peak ﬂow data were an efﬁcient alternative to the intensive 5-min ﬂow data for reducing SWMM parameter and output uncertainties. Several runoff control parameters were found to have a great effect on peak ﬂows, including the newly introduced parameters for trees. Copyright © 2013 John Wiley &amp; Sons, Ltd.","container-title":"Hydrological Processes","DOI":"10.1002/hyp.9869","ISSN":"08856087","journalAbbreviation":"Hydrol. Process.","language":"en","page":"3018-3034","source":"DOI.org (Crossref)","title":"Assessment of the SWMM model uncertainties within the generalized likelihood uncertainty estimation (GLUE) framework for a high-resolution urban sewershed","title-short":"Assessment of the SWMM model uncertainties within the generalized likelihood uncertainty estimation (GLUE) framework for a high-resolution urban sewershed","volume":"28","author":[{"family":"Sun","given":"Ning"},{"family":"Hong","given":"Bongghi"},{"family":"Hall","given":"Myrna"}],"issued":{"date-parts":[["2013",5]]}},"label":"page"}],"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19–21</w:t>
      </w:r>
      <w:r w:rsidRPr="003F3ABB">
        <w:rPr>
          <w:rFonts w:ascii="Calibri" w:hAnsi="Calibri" w:cs="Calibri"/>
          <w:w w:val="108"/>
          <w:sz w:val="18"/>
          <w:szCs w:val="18"/>
        </w:rPr>
        <w:fldChar w:fldCharType="end"/>
      </w:r>
      <w:r w:rsidRPr="003F3ABB">
        <w:rPr>
          <w:rFonts w:ascii="Calibri" w:hAnsi="Calibri" w:cs="Calibri"/>
          <w:w w:val="108"/>
          <w:sz w:val="18"/>
          <w:szCs w:val="18"/>
        </w:rPr>
        <w:t xml:space="preserve"> such as buildings and roads, which can help to build a model that is closest to reflecting reality. However, delineation of subcatchments based on high-resolution data is time-consuming for larger scale simulations (beyond a few city blocks) and high-resolution data for some area are limited.  </w:t>
      </w:r>
      <w:r w:rsidRPr="003F3ABB">
        <w:rPr>
          <w:rFonts w:ascii="Calibri" w:hAnsi="Calibri" w:cs="Calibri"/>
          <w:w w:val="108"/>
          <w:sz w:val="18"/>
          <w:szCs w:val="18"/>
          <w:lang w:eastAsia="zh-CN"/>
        </w:rPr>
        <w:t>This motivates the need for more efficient methods using automatic spatial data processing methods for sub-catchment partitioning, such as digital elevation model (DEM) based delineation</w:t>
      </w:r>
      <w:r w:rsidRPr="003F3ABB">
        <w:rPr>
          <w:rFonts w:ascii="Calibri" w:hAnsi="Calibri" w:cs="Calibri"/>
          <w:w w:val="108"/>
          <w:sz w:val="18"/>
          <w:szCs w:val="18"/>
          <w:lang w:eastAsia="zh-CN"/>
        </w:rPr>
        <w:fldChar w:fldCharType="begin"/>
      </w:r>
      <w:r w:rsidRPr="003F3ABB">
        <w:rPr>
          <w:rFonts w:ascii="Calibri" w:hAnsi="Calibri" w:cs="Calibri"/>
          <w:w w:val="108"/>
          <w:sz w:val="18"/>
          <w:szCs w:val="18"/>
          <w:lang w:eastAsia="zh-CN"/>
        </w:rPr>
        <w:instrText xml:space="preserve"> ADDIN ZOTERO_ITEM CSL_CITATION {"citationID":"YZjGjiI8","properties":{"formattedCitation":"\\super 22\\nosupersub{}","plainCitation":"22","noteIndex":0},"citationItems":[{"id":227,"uris":["http://zotero.org/users/6556211/items/3F4VNLL6"],"uri":["http://zotero.org/users/6556211/items/3F4VNLL6"],"itemData":{"id":227,"type":"article-journal","abstract":"To avoid the nuisance of frequent ﬂooding during rainy season, designing an efﬁcient stormwater drainage system has become the need of the hour for present world engineers and urban planners. The present case study deals with providing a solution to stormwater management problem in an urbanized area. Mann–Kendall and Sen’s slope tests are used to perform the trend analysis of rainfall events using daily rainfall data (1956–2012), while the L-moments-based frequency analysis method is employed to estimate the design storm for a small urbanized area in West Bengal, India, using daily annual maximum rainfall (1975–2013). SWMM (Storm Water Management Model) and MIKE URBAN models are used to design an efﬁcient drainage system for the study area. Two-dimensional (2D) MIKE URBAN model is primarily used to overcome the limitation of one-dimensional (1D) SWMM in simulating ﬂood extent and ﬂood inundation. Model simulation results from MIKE URBAN are shown for an extreme rainfall event of July 29, 2013. A multi-purpose detention pond is also designed for groundwater recharge and attenuating the peak of outﬂow hydrograph at the downstream end during high-intensity rainfall. This study provides an insight into the importance of 2D model to deal with location-speciﬁc ﬂooding problems.","container-title":"Natural Hazards","DOI":"10.1007/s11069-016-2455-1","ISSN":"0921-030X, 1573-0840","issue":"2","journalAbbreviation":"Nat Hazards","language":"en","page":"749-776","source":"DOI.org (Crossref)","title":"Modeling urban floods and drainage using SWMM and MIKE URBAN: a case study","title-short":"Modeling urban floods and drainage using SWMM and MIKE URBAN","volume":"84","author":[{"family":"Bisht","given":"Deepak Singh"},{"family":"Chatterjee","given":"Chandranath"},{"family":"Kalakoti","given":"Shivani"},{"family":"Upadhyay","given":"Pawan"},{"family":"Sahoo","given":"Manaswinee"},{"family":"Panda","given":"Ambarnil"}],"issued":{"date-parts":[["2016",11]]}}}],"schema":"https://github.com/citation-style-language/schema/raw/master/csl-citation.json"} </w:instrText>
      </w:r>
      <w:r w:rsidRPr="003F3ABB">
        <w:rPr>
          <w:rFonts w:ascii="Calibri" w:hAnsi="Calibri" w:cs="Calibri"/>
          <w:w w:val="108"/>
          <w:sz w:val="18"/>
          <w:szCs w:val="18"/>
          <w:lang w:eastAsia="zh-CN"/>
        </w:rPr>
        <w:fldChar w:fldCharType="separate"/>
      </w:r>
      <w:r w:rsidRPr="003F3ABB">
        <w:rPr>
          <w:rFonts w:ascii="Calibri" w:hAnsi="Calibri" w:cs="Calibri"/>
          <w:sz w:val="18"/>
          <w:szCs w:val="24"/>
          <w:vertAlign w:val="superscript"/>
        </w:rPr>
        <w:t>22</w:t>
      </w:r>
      <w:r w:rsidRPr="003F3ABB">
        <w:rPr>
          <w:rFonts w:ascii="Calibri" w:hAnsi="Calibri" w:cs="Calibri"/>
          <w:w w:val="108"/>
          <w:sz w:val="18"/>
          <w:szCs w:val="18"/>
          <w:lang w:eastAsia="zh-CN"/>
        </w:rPr>
        <w:fldChar w:fldCharType="end"/>
      </w:r>
      <w:r w:rsidRPr="003F3ABB">
        <w:rPr>
          <w:rFonts w:ascii="Calibri" w:hAnsi="Calibri" w:cs="Calibri"/>
          <w:w w:val="108"/>
          <w:sz w:val="18"/>
          <w:szCs w:val="18"/>
          <w:lang w:eastAsia="zh-CN"/>
        </w:rPr>
        <w:t xml:space="preserve"> and pipe network-guided division</w:t>
      </w:r>
      <w:r w:rsidRPr="003F3ABB">
        <w:rPr>
          <w:rFonts w:ascii="Calibri" w:hAnsi="Calibri" w:cs="Calibri"/>
          <w:w w:val="108"/>
          <w:sz w:val="18"/>
          <w:szCs w:val="18"/>
          <w:lang w:eastAsia="zh-CN"/>
        </w:rPr>
        <w:fldChar w:fldCharType="begin"/>
      </w:r>
      <w:r w:rsidRPr="003F3ABB">
        <w:rPr>
          <w:rFonts w:ascii="Calibri" w:hAnsi="Calibri" w:cs="Calibri"/>
          <w:w w:val="108"/>
          <w:sz w:val="18"/>
          <w:szCs w:val="18"/>
          <w:lang w:eastAsia="zh-CN"/>
        </w:rPr>
        <w:instrText xml:space="preserve"> ADDIN ZOTERO_ITEM CSL_CITATION {"citationID":"IvUNl0NM","properties":{"formattedCitation":"\\super 23\\nosupersub{}","plainCitation":"23","noteIndex":0},"citationItems":[{"id":234,"uris":["http://zotero.org/users/6556211/items/X6KS4BKT"],"uri":["http://zotero.org/users/6556211/items/X6KS4BKT"],"itemData":{"id":234,"type":"article-journal","abstract":"Urban waterlogging occurred frequently in recent years, causing serious social harms and huge economic losses. Accurate waterlogging warning is important for disaster prevention and mitigation. Urban rainstorm waterlogging processing based on Geographic Information System (GIS) and Storm Water Management Model (SWMM) can provide prediction and management of flood situation, but the previous methods of catchments from a single aspect of hydrology or geometry cannot reflect the dual impact of pipe networks and terrain to drainage, and the available inundation algorithms achieved some unreasonable results due to the artificial boundaries. In this paper, a methodology for simple 2-D inundation analysis in urban area using SWMM and GIS is introduced, which need not edit SWMM’s original code. Furthermore, a geometric method of catchments division and inundation algorithm are proposed to improve accuracy. The revised catchments division method provides a good result of supplementing the drainage of terrain, and the improved inundation algorithm can obtain a reasonable inundation distribution based on the principle of source diffusion and dynamic distribution without any boundary limit. The case study was performed in Longwen District of Zhangzhou, and good results are achieved: (1) The external outflow percentage of the revise method is always bigger than that of the geometric method, and the value of the revised method is 25.18%, while that of geometric method is only 19.56% at rainfall peak, and (2) the less the rainfall is, the less grids flooded in two algorithms there are with only 14.30% when the rainfall is 0.1 mm.","container-title":"Natural Hazards","DOI":"10.1007/s11069-019-03623-2","ISSN":"0921-030X, 1573-0840","issue":"1","journalAbbreviation":"Nat Hazards","language":"en","page":"15-43","source":"DOI.org (Crossref)","title":"A methodology for simple 2-D inundation analysis in urban area using SWMM and GIS","volume":"97","author":[{"family":"Huang","given":"Minmin"},{"family":"Jin","given":"Shuanggen"}],"issued":{"date-parts":[["2019",5]]}}}],"schema":"https://github.com/citation-style-language/schema/raw/master/csl-citation.json"} </w:instrText>
      </w:r>
      <w:r w:rsidRPr="003F3ABB">
        <w:rPr>
          <w:rFonts w:ascii="Calibri" w:hAnsi="Calibri" w:cs="Calibri"/>
          <w:w w:val="108"/>
          <w:sz w:val="18"/>
          <w:szCs w:val="18"/>
          <w:lang w:eastAsia="zh-CN"/>
        </w:rPr>
        <w:fldChar w:fldCharType="separate"/>
      </w:r>
      <w:r w:rsidRPr="003F3ABB">
        <w:rPr>
          <w:rFonts w:ascii="Calibri" w:hAnsi="Calibri" w:cs="Calibri"/>
          <w:sz w:val="18"/>
          <w:szCs w:val="24"/>
          <w:vertAlign w:val="superscript"/>
        </w:rPr>
        <w:t>23</w:t>
      </w:r>
      <w:r w:rsidRPr="003F3ABB">
        <w:rPr>
          <w:rFonts w:ascii="Calibri" w:hAnsi="Calibri" w:cs="Calibri"/>
          <w:w w:val="108"/>
          <w:sz w:val="18"/>
          <w:szCs w:val="18"/>
          <w:lang w:eastAsia="zh-CN"/>
        </w:rPr>
        <w:fldChar w:fldCharType="end"/>
      </w:r>
      <w:r w:rsidRPr="003F3ABB">
        <w:rPr>
          <w:rFonts w:ascii="Calibri" w:hAnsi="Calibri" w:cs="Calibri"/>
          <w:w w:val="108"/>
          <w:sz w:val="18"/>
          <w:szCs w:val="18"/>
          <w:lang w:eastAsia="zh-CN"/>
        </w:rPr>
        <w:t xml:space="preserve">.  However, these strategies introduce additional uncertainties to </w:t>
      </w:r>
      <w:r w:rsidRPr="003F3ABB">
        <w:rPr>
          <w:rFonts w:ascii="Calibri" w:hAnsi="Calibri" w:cs="Calibri"/>
          <w:w w:val="108"/>
          <w:sz w:val="18"/>
          <w:szCs w:val="18"/>
          <w:lang w:eastAsia="zh-CN"/>
        </w:rPr>
        <w:lastRenderedPageBreak/>
        <w:t xml:space="preserve">the flow routing. Unlike in “natural” watersheds, surface flows in urban areas are usually guided by roads or along “built” edges and then are received by pipe networks. Therefore, the feasibility and reliability of these easily-applied approaches for flow routing between subcatchments and in-pipe conveyance needs to be evaluated in urban areas. </w:t>
      </w:r>
    </w:p>
    <w:p w14:paraId="22F8087F"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Since it is not possible to directly obtain exact values of all parameters for SWMM, common practice is to calibrate and adjust poorly defined parameters. The importance of SWMM parameters on surface water generation and pipe-flow conveyance predictions is established.</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{"citationID":"h4yO67au","properties":{"formattedCitation":"\\super 21,24,25\\nosupersub{}","plainCitation":"21,24,25","noteIndex":0},"citationItems":[{"id":152,"uris":["http://zotero.org/users/6556211/items/3EKVLSPW"],"uri":["http://zotero.org/users/6556211/items/3EKVLSPW"],"itemData":{"id":152,"type":"article-journal","abstract":"This research incorporates the generalized likelihood uncertainty estimation (GLUE) methodology in a high-resolution Environmental Protection Agency Storm Water Management Model (SWMM), which we developed for a highly urbanized sewershed in Syracuse, NY, to assess SWMM modelling uncertainties and estimate parameters. We addressed two issues that have long been suggested having a great impact on the GLUE uncertainty estimation: the observations used to construct the likelihood measure and the sampling approach to obtain the posterior samples of the input parameters and prediction bounds of the model output. First, on the basis of the Bayes’ theorem, we compared the prediction bounds generated from the same Gaussian distribution likelihood measure conditioned on ﬂow observations of varying magnitude. Second, we employed two sampling techniques, the sampling importance resampling (SIR) and the threshold sampling methods, to generate posterior parameter distributions and prediction bounds, based on which the sampling efﬁciency was compared. In addition, for a better understanding of the hydrological responses of different pervious land covers in urban areas, we developed new parameter sets in SWMM representing the hydrological properties of trees and lawns, which were estimated through the GLUE procedure. The results showed that SIR was a more effective alternative to the conventional threshold sampling method. The combined total ﬂow and peak ﬂow data were an efﬁcient alternative to the intensive 5-min ﬂow data for reducing SWMM parameter and output uncertainties. Several runoff control parameters were found to have a great effect on peak ﬂows, including the newly introduced parameters for trees. Copyright © 2013 John Wiley &amp; Sons, Ltd.","container-title":"Hydrological Processes","DOI":"10.1002/hyp.9869","ISSN":"08856087","journalAbbreviation":"Hydrol. Process.","language":"en","page":"3018-3034","source":"DOI.org (Crossref)","title":"Assessment of the SWMM model uncertainties within the generalized likelihood uncertainty estimation (GLUE) framework for a high-resolution urban sewershed","title-short":"Assessment of the SWMM model uncertainties within the generalized likelihood uncertainty estimation (GLUE) framework for a high-resolution urban sewershed","volume":"28","author":[{"family":"Sun","given":"Ning"},{"family":"Hong","given":"Bongghi"},{"family":"Hall","given":"Myrna"}],"issued":{"date-parts":[["2013",5]]}},"label":"page"},{"id":164,"uris":["http://zotero.org/users/6556211/items/2GNK9H6C"],"uri":["http://zotero.org/users/6556211/items/2GNK9H6C"],"itemData":{"id":164,"type":"article-journal","abstract":"The intention of this paper is to evaluate the sensitivity of the Storm Water Management Model (SWMM) output to its input parameters. A global parameter sensitivity analysis is conducted in order to determine which parameters mostly affect the model simulation results. Two different methods of sensitivity analysis are applied in this study. The first one is the partial rank correlation coefficient (PRCC) which measures nonlinear but monotonic relationships between model inputs and outputs. The second one is based on the mutual information which provides a general measure of the strength of the non-monotonic association between two variables. Both methods are based on the Latin Hypercube Sampling (LHS) of the parameter space, and thus the same datasets can be used to obtain both measures of sensitivity. The utility of the PRCC and the mutual information analysis methods are illustrated by analyzing a complex SWMM model. The sensitivity analysis revealed that only a few key input variables are contributing significantly to the model outputs; PRCCs and mutual information are calculated and used to determine and rank the importance of these key parameters. This study shows that the partial rank correlation coefficient and mutual information analysis can be considered effective methods for assessing the sensitivity of the SWMM model to the uncertainty in its input parameters.","container-title":"Entropy","DOI":"10.3390/e16115738","ISSN":"1099-4300","issue":"11","journalAbbreviation":"Entropy","language":"en","page":"5738-5752","source":"DOI.org (Crossref)","title":"Sensitivity Analysis for Urban Drainage Modeling Using Mutual Information","volume":"16","author":[{"family":"Li","given":"Chuanqi"},{"family":"Wang","given":"Wei"},{"family":"Xiong","given":"Jianzhi"},{"family":"Chen","given":"Pengyu"}],"issued":{"date-parts":[["2014",11,3]]}},"label":"page"},{"id":201,"uris":["http://zotero.org/users/6556211/items/4QFDXCP2"],"uri":["http://zotero.org/users/6556211/items/4QFDXCP2"],"itemData":{"id":201,"type":"article-journal","abstract":"Questions about the importance of conduit geometry and about the values of hydraulic parameters in controlling ground-water ﬂow and solute transport through karstic aquifers have remained largely speculative. One goal of this project was to assess the role that the conduit geometry and the hydraulic parameters have on controlling transport dynamics within karstic aquifers. The storm water management model (SWMM) was applied to the Devil’s Icebox–Connor’s Cave System in central Missouri, USA. Simulations with incremental changes to conduit geometry or hydraulic parameters were performed with the output compared to a calibrated baseline model. Ten percent changes in the length or width of a conduit produced statistically signiﬁcant different ﬂuid ﬂow responses. The model exhibited minimal sensitivity to slope and inﬁltration rates; however, slight changes in Manning’s roughness coefﬁcient can highly alter the simulated output.","container-title":"Journal of Hydrology","DOI":"10.1016/j.jhydrol.2006.02.017","ISSN":"00221694","issue":"1-2","journalAbbreviation":"Journal of Hydrology","language":"en","page":"294-305","source":"DOI.org (Crossref)","title":"Assessing the importance of conduit geometry and physical parameters in karst systems using the storm water management model (SWMM)","volume":"329","author":[{"family":"Peterson","given":"Eric W."},{"family":"Wicks","given":"Carol M."}],"issued":{"date-parts":[["2006",9]]}},"label":"page"}],"schema":"https://github.com/citation-style-language/schema/raw/master/csl-citation.json"}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21,24,25</w:t>
      </w:r>
      <w:r w:rsidRPr="003F3ABB">
        <w:rPr>
          <w:rFonts w:ascii="Calibri" w:hAnsi="Calibri" w:cs="Calibri"/>
          <w:w w:val="108"/>
          <w:sz w:val="18"/>
          <w:szCs w:val="18"/>
        </w:rPr>
        <w:fldChar w:fldCharType="end"/>
      </w:r>
      <w:r w:rsidRPr="003F3ABB">
        <w:rPr>
          <w:rFonts w:ascii="Calibri" w:hAnsi="Calibri" w:cs="Calibri"/>
          <w:w w:val="108"/>
          <w:sz w:val="18"/>
          <w:szCs w:val="18"/>
        </w:rPr>
        <w:t xml:space="preserve"> However, parameters included in model sensitivity analysis can vary for different catchments, when different physical properties of the specific </w:t>
      </w:r>
      <w:proofErr w:type="spellStart"/>
      <w:r w:rsidRPr="003F3ABB">
        <w:rPr>
          <w:rFonts w:ascii="Calibri" w:hAnsi="Calibri" w:cs="Calibri"/>
          <w:w w:val="108"/>
          <w:sz w:val="18"/>
          <w:szCs w:val="18"/>
        </w:rPr>
        <w:t>sewershed</w:t>
      </w:r>
      <w:proofErr w:type="spellEnd"/>
      <w:r w:rsidRPr="003F3ABB">
        <w:rPr>
          <w:rFonts w:ascii="Calibri" w:hAnsi="Calibri" w:cs="Calibri"/>
          <w:w w:val="108"/>
          <w:sz w:val="18"/>
          <w:szCs w:val="18"/>
        </w:rPr>
        <w:t xml:space="preserve"> or pipe network are considered. In addition, the methods and metrics (such as Spearman correlation coefficient, mutual entropy based on Monte Carlo simulation</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{"citationID":"t1PBzt4Y","properties":{"formattedCitation":"\\super 24\\nosupersub{}","plainCitation":"24","noteIndex":0},"citationItems":[{"id":164,"uris":["http://zotero.org/users/6556211/items/2GNK9H6C"],"uri":["http://zotero.org/users/6556211/items/2GNK9H6C"],"itemData":{"id":164,"type":"article-journal","abstract":"The intention of this paper is to evaluate the sensitivity of the Storm Water Management Model (SWMM) output to its input parameters. A global parameter sensitivity analysis is conducted in order to determine which parameters mostly affect the model simulation results. Two different methods of sensitivity analysis are applied in this study. The first one is the partial rank correlation coefficient (PRCC) which measures nonlinear but monotonic relationships between model inputs and outputs. The second one is based on the mutual information which provides a general measure of the strength of the non-monotonic association between two variables. Both methods are based on the Latin Hypercube Sampling (LHS) of the parameter space, and thus the same datasets can be used to obtain both measures of sensitivity. The utility of the PRCC and the mutual information analysis methods are illustrated by analyzing a complex SWMM model. The sensitivity analysis revealed that only a few key input variables are contributing significantly to the model outputs; PRCCs and mutual information are calculated and used to determine and rank the importance of these key parameters. This study shows that the partial rank correlation coefficient and mutual information analysis can be considered effective methods for assessing the sensitivity of the SWMM model to the uncertainty in its input parameters.","container-title":"Entropy","DOI":"10.3390/e16115738","ISSN":"1099-4300","issue":"11","journalAbbreviation":"Entropy","language":"en","page":"5738-5752","source":"DOI.org (Crossref)","title":"Sensitivity Analysis for Urban Drainage Modeling Using Mutual Information","volume":"16","author":[{"family":"Li","given":"Chuanqi"},{"family":"Wang","given":"Wei"},{"family":"Xiong","given":"Jianzhi"},{"family":"Chen","given":"Pengyu"}],"issued":{"date-parts":[["2014",11,3]]}}}],"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24</w:t>
      </w:r>
      <w:r w:rsidRPr="003F3ABB">
        <w:rPr>
          <w:rFonts w:ascii="Calibri" w:hAnsi="Calibri" w:cs="Calibri"/>
          <w:w w:val="108"/>
          <w:sz w:val="18"/>
          <w:szCs w:val="18"/>
        </w:rPr>
        <w:fldChar w:fldCharType="end"/>
      </w:r>
      <w:r w:rsidRPr="003F3ABB">
        <w:rPr>
          <w:rFonts w:ascii="Calibri" w:hAnsi="Calibri" w:cs="Calibri"/>
          <w:w w:val="108"/>
          <w:sz w:val="18"/>
          <w:szCs w:val="18"/>
        </w:rPr>
        <w:t>, and one-at-a-time analysis</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{"citationID":"Vi54MMmq","properties":{"formattedCitation":"\\super 25\\nosupersub{}","plainCitation":"25","noteIndex":0},"citationItems":[{"id":201,"uris":["http://zotero.org/users/6556211/items/4QFDXCP2"],"uri":["http://zotero.org/users/6556211/items/4QFDXCP2"],"itemData":{"id":201,"type":"article-journal","abstract":"Questions about the importance of conduit geometry and about the values of hydraulic parameters in controlling ground-water ﬂow and solute transport through karstic aquifers have remained largely speculative. One goal of this project was to assess the role that the conduit geometry and the hydraulic parameters have on controlling transport dynamics within karstic aquifers. The storm water management model (SWMM) was applied to the Devil’s Icebox–Connor’s Cave System in central Missouri, USA. Simulations with incremental changes to conduit geometry or hydraulic parameters were performed with the output compared to a calibrated baseline model. Ten percent changes in the length or width of a conduit produced statistically signiﬁcant different ﬂuid ﬂow responses. The model exhibited minimal sensitivity to slope and inﬁltration rates; however, slight changes in Manning’s roughness coefﬁcient can highly alter the simulated output.","container-title":"Journal of Hydrology","DOI":"10.1016/j.jhydrol.2006.02.017","ISSN":"00221694","issue":"1-2","journalAbbreviation":"Journal of Hydrology","language":"en","page":"294-305","source":"DOI.org (Crossref)","title":"Assessing the importance of conduit geometry and physical parameters in karst systems using the storm water management model (SWMM)","volume":"329","author":[{"family":"Peterson","given":"Eric W."},{"family":"Wicks","given":"Carol M."}],"issued":{"date-parts":[["2006",9]]}}}],"schema":"https://github.com/citation-style-language/schema/raw/master/csl-citation.json"}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25</w:t>
      </w:r>
      <w:r w:rsidRPr="003F3ABB">
        <w:rPr>
          <w:rFonts w:ascii="Calibri" w:hAnsi="Calibri" w:cs="Calibri"/>
          <w:w w:val="108"/>
          <w:sz w:val="18"/>
          <w:szCs w:val="18"/>
        </w:rPr>
        <w:fldChar w:fldCharType="end"/>
      </w:r>
      <w:r w:rsidRPr="003F3ABB">
        <w:rPr>
          <w:rFonts w:ascii="Calibri" w:hAnsi="Calibri" w:cs="Calibri"/>
          <w:w w:val="108"/>
          <w:sz w:val="18"/>
          <w:szCs w:val="18"/>
        </w:rPr>
        <w:t>) used to indicate parameter impacts can result in different (or conflicting) assessments of parameter influence. Furthermore, parameter sensitivity analyses have mostly focused on a single model performance indicator, such as peak flow or total runoff, which is very useful for single event simulations. The contribution of parameters to the comprehensive model performance, considering both hydrology and hydraulics, has not been investigated comprehensively, especially when considering simulations roughly a month long.</w:t>
      </w:r>
    </w:p>
    <w:p w14:paraId="206AC76E"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This study is intended to test the ability to efficiently discretize model configurations by drawing Thiessen polygons</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{"citationID":"BaTfG5lL","properties":{"formattedCitation":"\\super 26\\nosupersub{}","plainCitation":"26","noteIndex":0},"citationItems":[{"id":238,"uris":["http://zotero.org/users/6556211/items/MNEUYHZR"],"uri":["http://zotero.org/users/6556211/items/MNEUYHZR"],"itemData":{"id":238,"type":"book","publisher":"Chichester, UK: John Wiley &amp; Sons.","title":"Spatial Tessellations: Concepts and Applications of Voronoi Diagrams, 2nd Edition","author":[{"literal":"Atsuyuki Okabe"},{"literal":"Barry Boots"},{"literal":"Kokichi Sugihara"},{"literal":"Sung Nok Chiu"}],"issued":{"date-parts":[["2000"]]}}}],"schema":"https://github.com/citation-style-language/schema/raw/master/csl-citation.json"}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26</w:t>
      </w:r>
      <w:r w:rsidRPr="003F3ABB">
        <w:rPr>
          <w:rFonts w:ascii="Calibri" w:hAnsi="Calibri" w:cs="Calibri"/>
          <w:w w:val="108"/>
          <w:sz w:val="18"/>
          <w:szCs w:val="18"/>
        </w:rPr>
        <w:fldChar w:fldCharType="end"/>
      </w:r>
      <w:r w:rsidRPr="003F3ABB">
        <w:rPr>
          <w:rFonts w:ascii="Calibri" w:hAnsi="Calibri" w:cs="Calibri"/>
          <w:w w:val="108"/>
          <w:sz w:val="18"/>
          <w:szCs w:val="18"/>
        </w:rPr>
        <w:t xml:space="preserve"> and statistically explore the impacts of the resulting parameterization of model elements on outputs. We built a </w:t>
      </w:r>
      <w:proofErr w:type="spellStart"/>
      <w:r w:rsidRPr="003F3ABB">
        <w:rPr>
          <w:rFonts w:ascii="Calibri" w:hAnsi="Calibri" w:cs="Calibri"/>
          <w:w w:val="108"/>
          <w:sz w:val="18"/>
          <w:szCs w:val="18"/>
        </w:rPr>
        <w:t>sewershed</w:t>
      </w:r>
      <w:proofErr w:type="spellEnd"/>
      <w:r w:rsidRPr="003F3ABB">
        <w:rPr>
          <w:rFonts w:ascii="Calibri" w:hAnsi="Calibri" w:cs="Calibri"/>
          <w:w w:val="108"/>
          <w:sz w:val="18"/>
          <w:szCs w:val="18"/>
        </w:rPr>
        <w:t xml:space="preserve"> model using relatively low-resolution data (&gt;30 meter pixels)  in the City of Pittsburgh, which is highly vulnerable to flash floods and combined sewer overflows</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{"citationID":"1GpR7lf2","properties":{"formattedCitation":"\\super 27\\nosupersub{}","plainCitation":"27","noteIndex":0},"citationItems":[{"id":329,"uris":["http://zotero.org/users/6556211/items/ZQSV5NSC"],"uri":["http://zotero.org/users/6556211/items/ZQSV5NSC"],"itemData":{"id":329,"type":"article-journal","container-title":"Landscape Ecology","DOI":"10.1007/s10980-013-9972-z","ISSN":"0921-2973, 1572-9761","issue":"3","journalAbbreviation":"Landscape Ecol","language":"en","page":"413-424","source":"DOI.org (Crossref)","title":"Reconstruction of a century of landscape modification and hydrologic change in a small urban watershed in Pittsburgh, PA","volume":"29","author":[{"family":"Hopkins","given":"Kristina G."},{"family":"Bain","given":"Daniel J."},{"family":"Copeland","given":"Erin M."}],"issued":{"date-parts":[["2014",3]]}}}],"schema":"https://github.com/citation-style-language/schema/raw/master/csl-citation.json"}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27</w:t>
      </w:r>
      <w:r w:rsidRPr="003F3ABB">
        <w:rPr>
          <w:rFonts w:ascii="Calibri" w:hAnsi="Calibri" w:cs="Calibri"/>
          <w:w w:val="108"/>
          <w:sz w:val="18"/>
          <w:szCs w:val="18"/>
        </w:rPr>
        <w:fldChar w:fldCharType="end"/>
      </w:r>
      <w:r w:rsidRPr="003F3ABB">
        <w:rPr>
          <w:rFonts w:ascii="Calibri" w:hAnsi="Calibri" w:cs="Calibri"/>
          <w:w w:val="108"/>
          <w:sz w:val="18"/>
          <w:szCs w:val="18"/>
        </w:rPr>
        <w:t xml:space="preserve">. Heterogeneous land cover is divided into smaller, more homogeneous subcatchments by drawing Thiessen polygons. Model performance assessment considered both single outputs and comprehensive indicators. Parameter distributions were constructed based on the frequencies of initial estimates for each </w:t>
      </w:r>
      <w:r w:rsidRPr="003F3ABB">
        <w:rPr>
          <w:rFonts w:ascii="Calibri" w:hAnsi="Calibri" w:cs="Calibri"/>
          <w:w w:val="108"/>
          <w:sz w:val="18"/>
          <w:szCs w:val="18"/>
          <w:lang w:eastAsia="zh-CN"/>
        </w:rPr>
        <w:t>parameter across all the model elements (subcatchments or pipe segments).</w:t>
      </w:r>
      <w:r w:rsidRPr="003F3ABB">
        <w:rPr>
          <w:rFonts w:ascii="Calibri" w:hAnsi="Calibri" w:cs="Calibri"/>
          <w:w w:val="108"/>
          <w:sz w:val="18"/>
          <w:szCs w:val="18"/>
        </w:rPr>
        <w:t xml:space="preserve"> Further, Monte Carlo simulations were used to explore parameter influences and the most important parameters for global model performance.</w:t>
      </w:r>
      <w:r w:rsidRPr="003F3ABB">
        <w:rPr>
          <w:rFonts w:ascii="Calibri" w:hAnsi="Calibri" w:cs="Calibri"/>
          <w:w w:val="108"/>
          <w:sz w:val="18"/>
          <w:szCs w:val="18"/>
          <w:lang w:eastAsia="zh-CN"/>
        </w:rPr>
        <w:t xml:space="preserve"> This allows evaluation of </w:t>
      </w:r>
      <w:r w:rsidRPr="003F3ABB">
        <w:rPr>
          <w:rFonts w:ascii="Calibri" w:hAnsi="Calibri" w:cs="Calibri"/>
          <w:w w:val="108"/>
          <w:sz w:val="18"/>
          <w:szCs w:val="18"/>
        </w:rPr>
        <w:t xml:space="preserve">the magnitude of a particular parameter’s influence on the magnitude of the model response when a model contains highly variable subcatchments and pipe networks. The work described here consists of </w:t>
      </w:r>
      <w:r w:rsidRPr="003F3ABB">
        <w:rPr>
          <w:rFonts w:ascii="Calibri" w:hAnsi="Calibri" w:cs="Calibri"/>
          <w:w w:val="108"/>
          <w:sz w:val="18"/>
          <w:szCs w:val="18"/>
          <w:lang w:eastAsia="zh-CN"/>
        </w:rPr>
        <w:t>four</w:t>
      </w:r>
      <w:r w:rsidRPr="003F3ABB">
        <w:rPr>
          <w:rFonts w:ascii="Calibri" w:hAnsi="Calibri" w:cs="Calibri"/>
          <w:w w:val="108"/>
          <w:sz w:val="18"/>
          <w:szCs w:val="18"/>
        </w:rPr>
        <w:t xml:space="preserve"> phases: 1) SWMM model discretization and parameterization; 2) parameter sensitivity via Monte Carlo analysis; 3) ranking parameter importance, variability and consistency across model elements; 4) parameter contributions to improve model performance. </w:t>
      </w:r>
    </w:p>
    <w:p w14:paraId="3B7191E4" w14:textId="77777777" w:rsidR="003F3ABB" w:rsidRPr="003F3ABB" w:rsidRDefault="003F3ABB" w:rsidP="00AF1C8B">
      <w:pPr>
        <w:pStyle w:val="RSCB04AHeadingSection"/>
        <w:spacing w:line="480" w:lineRule="auto"/>
        <w:rPr>
          <w:rFonts w:ascii="Calibri" w:hAnsi="Calibri" w:cs="Calibri"/>
        </w:rPr>
      </w:pPr>
      <w:r w:rsidRPr="003F3ABB">
        <w:rPr>
          <w:rFonts w:ascii="Calibri" w:hAnsi="Calibri" w:cs="Calibri"/>
        </w:rPr>
        <w:t>Methods</w:t>
      </w:r>
    </w:p>
    <w:p w14:paraId="0EF6A3E2" w14:textId="77777777" w:rsidR="003F3ABB" w:rsidRPr="003F3ABB" w:rsidRDefault="003F3ABB" w:rsidP="00AF1C8B">
      <w:pPr>
        <w:pStyle w:val="RSCB06BHeadingSub-Section"/>
        <w:spacing w:line="480" w:lineRule="auto"/>
        <w:rPr>
          <w:rFonts w:ascii="Calibri" w:hAnsi="Calibri" w:cs="Calibri"/>
        </w:rPr>
      </w:pPr>
      <w:r w:rsidRPr="003F3ABB">
        <w:rPr>
          <w:rFonts w:ascii="Calibri" w:hAnsi="Calibri" w:cs="Calibri"/>
          <w:w w:val="108"/>
          <w:szCs w:val="18"/>
        </w:rPr>
        <w:t xml:space="preserve">Model setup  </w:t>
      </w:r>
    </w:p>
    <w:p w14:paraId="26F9D697" w14:textId="0918A003" w:rsidR="003F3ABB" w:rsidRPr="003F3ABB" w:rsidRDefault="003F3ABB" w:rsidP="00AF1C8B">
      <w:pPr>
        <w:spacing w:line="480" w:lineRule="auto"/>
        <w:rPr>
          <w:rFonts w:ascii="Calibri" w:hAnsi="Calibri" w:cs="Calibri"/>
          <w:w w:val="108"/>
          <w:sz w:val="18"/>
          <w:szCs w:val="18"/>
        </w:rPr>
        <w:sectPr w:rsidR="003F3ABB" w:rsidRPr="003F3ABB" w:rsidSect="00445A76">
          <w:pgSz w:w="11907" w:h="16840" w:code="9"/>
          <w:pgMar w:top="1009" w:right="851" w:bottom="1758" w:left="851" w:header="851" w:footer="1049" w:gutter="0"/>
          <w:lnNumType w:countBy="1" w:restart="continuous"/>
          <w:cols w:space="227"/>
          <w:titlePg/>
          <w:docGrid w:linePitch="360"/>
        </w:sectPr>
      </w:pPr>
      <w:r w:rsidRPr="003F3ABB">
        <w:rPr>
          <w:rFonts w:ascii="Calibri" w:hAnsi="Calibri" w:cs="Calibri"/>
          <w:w w:val="108"/>
          <w:sz w:val="18"/>
          <w:szCs w:val="18"/>
        </w:rPr>
        <w:t xml:space="preserve">The model system was prepared for </w:t>
      </w:r>
      <w:proofErr w:type="spellStart"/>
      <w:r w:rsidRPr="003F3ABB">
        <w:rPr>
          <w:rFonts w:ascii="Calibri" w:hAnsi="Calibri" w:cs="Calibri"/>
          <w:w w:val="108"/>
          <w:sz w:val="18"/>
          <w:szCs w:val="18"/>
        </w:rPr>
        <w:t>sewershed</w:t>
      </w:r>
      <w:proofErr w:type="spellEnd"/>
      <w:r w:rsidRPr="003F3ABB">
        <w:rPr>
          <w:rFonts w:ascii="Calibri" w:hAnsi="Calibri" w:cs="Calibri"/>
          <w:w w:val="108"/>
          <w:sz w:val="18"/>
          <w:szCs w:val="18"/>
        </w:rPr>
        <w:t xml:space="preserve"> M29 in the city of Pittsburgh (Fig. 1) with a drainage area of approximately </w:t>
      </w:r>
      <m:oMath>
        <m:r>
          <w:rPr>
            <w:rFonts w:ascii="Cambria Math" w:hAnsi="Cambria Math" w:cs="Calibri"/>
            <w:w w:val="108"/>
            <w:sz w:val="18"/>
            <w:szCs w:val="18"/>
          </w:rPr>
          <m:t xml:space="preserve">9.7 </m:t>
        </m:r>
        <m:sSup>
          <m:sSupPr>
            <m:ctrlPr>
              <w:rPr>
                <w:rFonts w:ascii="Cambria Math" w:hAnsi="Cambria Math" w:cs="Calibri"/>
                <w:i/>
                <w:w w:val="108"/>
                <w:sz w:val="18"/>
                <w:szCs w:val="18"/>
              </w:rPr>
            </m:ctrlPr>
          </m:sSupPr>
          <m:e>
            <m:r>
              <w:rPr>
                <w:rFonts w:ascii="Cambria Math" w:hAnsi="Cambria Math" w:cs="Calibri"/>
                <w:w w:val="108"/>
                <w:sz w:val="18"/>
                <w:szCs w:val="18"/>
              </w:rPr>
              <m:t>km</m:t>
            </m:r>
          </m:e>
          <m:sup>
            <m:r>
              <w:rPr>
                <w:rFonts w:ascii="Cambria Math" w:hAnsi="Cambria Math" w:cs="Calibri"/>
                <w:w w:val="108"/>
                <w:sz w:val="18"/>
                <w:szCs w:val="18"/>
              </w:rPr>
              <m:t>2</m:t>
            </m:r>
          </m:sup>
        </m:sSup>
      </m:oMath>
      <w:r w:rsidRPr="003F3ABB">
        <w:rPr>
          <w:rFonts w:ascii="Calibri" w:hAnsi="Calibri" w:cs="Calibri"/>
          <w:w w:val="108"/>
          <w:sz w:val="18"/>
          <w:szCs w:val="18"/>
        </w:rPr>
        <w:t xml:space="preserve">. </w:t>
      </w:r>
      <w:r w:rsidR="00ED539D">
        <w:rPr>
          <w:rFonts w:ascii="Calibri" w:hAnsi="Calibri" w:cs="Calibri"/>
          <w:w w:val="108"/>
          <w:sz w:val="18"/>
          <w:szCs w:val="18"/>
        </w:rPr>
        <w:t>L</w:t>
      </w:r>
      <w:r w:rsidRPr="003F3ABB">
        <w:rPr>
          <w:rFonts w:ascii="Calibri" w:hAnsi="Calibri" w:cs="Calibri"/>
          <w:w w:val="108"/>
          <w:sz w:val="18"/>
          <w:szCs w:val="18"/>
        </w:rPr>
        <w:t>andcover</w:t>
      </w:r>
      <w:r w:rsidR="00ED539D">
        <w:rPr>
          <w:rFonts w:ascii="Calibri" w:hAnsi="Calibri" w:cs="Calibri"/>
          <w:w w:val="108"/>
          <w:sz w:val="18"/>
          <w:szCs w:val="18"/>
        </w:rPr>
        <w:t xml:space="preserve"> across the </w:t>
      </w:r>
      <w:proofErr w:type="spellStart"/>
      <w:r w:rsidR="00ED539D">
        <w:rPr>
          <w:rFonts w:ascii="Calibri" w:hAnsi="Calibri" w:cs="Calibri"/>
          <w:w w:val="108"/>
          <w:sz w:val="18"/>
          <w:szCs w:val="18"/>
        </w:rPr>
        <w:t>sewershed</w:t>
      </w:r>
      <w:proofErr w:type="spellEnd"/>
      <w:r w:rsidRPr="003F3ABB">
        <w:rPr>
          <w:rFonts w:ascii="Calibri" w:hAnsi="Calibri" w:cs="Calibri"/>
          <w:w w:val="108"/>
          <w:sz w:val="18"/>
          <w:szCs w:val="18"/>
        </w:rPr>
        <w:t xml:space="preserve"> varies from highly urbanized areas to parkland. In addition, the terrain is heterogeneous with numerous steep slopes. These arrangements provide the opportunity to statistically investigate the relationship among various </w:t>
      </w:r>
      <w:r w:rsidRPr="003F3ABB">
        <w:rPr>
          <w:rFonts w:ascii="Calibri" w:hAnsi="Calibri" w:cs="Calibri"/>
          <w:w w:val="108"/>
          <w:sz w:val="18"/>
          <w:szCs w:val="18"/>
        </w:rPr>
        <w:lastRenderedPageBreak/>
        <w:t>surface physical properties, the sewer networks, and model responses.</w:t>
      </w:r>
    </w:p>
    <w:bookmarkEnd w:id="0"/>
    <w:p w14:paraId="59AA2F41" w14:textId="77777777" w:rsidR="003F3ABB" w:rsidRPr="003F3ABB" w:rsidRDefault="003F3ABB" w:rsidP="00AF1C8B">
      <w:pPr>
        <w:keepNext/>
        <w:spacing w:line="480" w:lineRule="auto"/>
        <w:jc w:val="center"/>
        <w:rPr>
          <w:rFonts w:ascii="Calibri" w:hAnsi="Calibri" w:cs="Calibri"/>
          <w:noProof/>
          <w:w w:val="108"/>
          <w:sz w:val="18"/>
          <w:szCs w:val="18"/>
          <w:lang w:eastAsia="zh-CN"/>
        </w:rPr>
      </w:pPr>
      <w:r w:rsidRPr="003F3ABB">
        <w:rPr>
          <w:rFonts w:ascii="Calibri" w:hAnsi="Calibri" w:cs="Calibri"/>
          <w:noProof/>
          <w:w w:val="108"/>
          <w:sz w:val="18"/>
          <w:szCs w:val="18"/>
          <w:lang w:eastAsia="zh-CN"/>
        </w:rPr>
        <w:drawing>
          <wp:inline distT="0" distB="0" distL="0" distR="0" wp14:anchorId="43A742E9" wp14:editId="02BECD53">
            <wp:extent cx="6124956" cy="4325112"/>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4956" cy="4325112"/>
                    </a:xfrm>
                    <a:prstGeom prst="rect">
                      <a:avLst/>
                    </a:prstGeom>
                  </pic:spPr>
                </pic:pic>
              </a:graphicData>
            </a:graphic>
          </wp:inline>
        </w:drawing>
      </w:r>
      <w:r w:rsidRPr="003F3ABB">
        <w:rPr>
          <w:rFonts w:ascii="Calibri" w:hAnsi="Calibri" w:cs="Calibri"/>
          <w:noProof/>
          <w:w w:val="108"/>
          <w:sz w:val="18"/>
          <w:szCs w:val="18"/>
          <w:lang w:eastAsia="zh-CN"/>
        </w:rPr>
        <w:t xml:space="preserve"> </w:t>
      </w:r>
    </w:p>
    <w:p w14:paraId="70E3A6A1" w14:textId="77777777" w:rsidR="003F3ABB" w:rsidRPr="003F3ABB" w:rsidRDefault="003F3ABB" w:rsidP="00AF1C8B">
      <w:pPr>
        <w:pStyle w:val="Caption"/>
        <w:spacing w:line="480" w:lineRule="auto"/>
        <w:jc w:val="center"/>
        <w:rPr>
          <w:rFonts w:ascii="Calibri" w:hAnsi="Calibri" w:cs="Calibri"/>
          <w:bCs w:val="0"/>
          <w:w w:val="108"/>
          <w:sz w:val="18"/>
        </w:rPr>
        <w:sectPr w:rsidR="003F3ABB" w:rsidRPr="003F3ABB" w:rsidSect="00445A76">
          <w:type w:val="continuous"/>
          <w:pgSz w:w="11907" w:h="16840" w:code="9"/>
          <w:pgMar w:top="1009" w:right="851" w:bottom="1758" w:left="851" w:header="851" w:footer="1049" w:gutter="0"/>
          <w:lnNumType w:countBy="1" w:restart="continuous"/>
          <w:cols w:space="227"/>
          <w:titlePg/>
          <w:docGrid w:linePitch="360"/>
        </w:sectPr>
      </w:pPr>
      <w:r w:rsidRPr="003F3ABB">
        <w:rPr>
          <w:rFonts w:ascii="Calibri" w:hAnsi="Calibri" w:cs="Calibri"/>
          <w:bCs w:val="0"/>
          <w:w w:val="108"/>
          <w:sz w:val="18"/>
        </w:rPr>
        <w:t xml:space="preserve">Fig. </w:t>
      </w:r>
      <w:r w:rsidRPr="003F3ABB">
        <w:rPr>
          <w:rFonts w:ascii="Calibri" w:hAnsi="Calibri" w:cs="Calibri"/>
          <w:bCs w:val="0"/>
          <w:w w:val="108"/>
          <w:sz w:val="18"/>
        </w:rPr>
        <w:fldChar w:fldCharType="begin"/>
      </w:r>
      <w:r w:rsidRPr="003F3ABB">
        <w:rPr>
          <w:rFonts w:ascii="Calibri" w:hAnsi="Calibri" w:cs="Calibri"/>
          <w:bCs w:val="0"/>
          <w:w w:val="108"/>
          <w:sz w:val="18"/>
        </w:rPr>
        <w:instrText xml:space="preserve"> SEQ Fig. \* ARABIC </w:instrText>
      </w:r>
      <w:r w:rsidRPr="003F3ABB">
        <w:rPr>
          <w:rFonts w:ascii="Calibri" w:hAnsi="Calibri" w:cs="Calibri"/>
          <w:bCs w:val="0"/>
          <w:w w:val="108"/>
          <w:sz w:val="18"/>
        </w:rPr>
        <w:fldChar w:fldCharType="separate"/>
      </w:r>
      <w:r w:rsidRPr="003F3ABB">
        <w:rPr>
          <w:rFonts w:ascii="Calibri" w:hAnsi="Calibri" w:cs="Calibri"/>
          <w:bCs w:val="0"/>
          <w:noProof/>
          <w:w w:val="108"/>
          <w:sz w:val="18"/>
        </w:rPr>
        <w:t>1</w:t>
      </w:r>
      <w:r w:rsidRPr="003F3ABB">
        <w:rPr>
          <w:rFonts w:ascii="Calibri" w:hAnsi="Calibri" w:cs="Calibri"/>
          <w:bCs w:val="0"/>
          <w:w w:val="108"/>
          <w:sz w:val="18"/>
        </w:rPr>
        <w:fldChar w:fldCharType="end"/>
      </w:r>
      <w:r w:rsidRPr="003F3ABB">
        <w:rPr>
          <w:rFonts w:ascii="Calibri" w:hAnsi="Calibri" w:cs="Calibri"/>
          <w:bCs w:val="0"/>
          <w:w w:val="108"/>
          <w:sz w:val="18"/>
        </w:rPr>
        <w:t xml:space="preserve"> Location and pipe network of </w:t>
      </w:r>
      <w:proofErr w:type="spellStart"/>
      <w:r w:rsidRPr="003F3ABB">
        <w:rPr>
          <w:rFonts w:ascii="Calibri" w:hAnsi="Calibri" w:cs="Calibri"/>
          <w:bCs w:val="0"/>
          <w:w w:val="108"/>
          <w:sz w:val="18"/>
        </w:rPr>
        <w:t>sewershed</w:t>
      </w:r>
      <w:proofErr w:type="spellEnd"/>
      <w:r w:rsidRPr="003F3ABB">
        <w:rPr>
          <w:rFonts w:ascii="Calibri" w:hAnsi="Calibri" w:cs="Calibri"/>
          <w:bCs w:val="0"/>
          <w:w w:val="108"/>
          <w:sz w:val="18"/>
        </w:rPr>
        <w:t xml:space="preserve"> M29 in the city of Pittsburgh. The inset shows the location of </w:t>
      </w:r>
      <w:proofErr w:type="spellStart"/>
      <w:r w:rsidRPr="003F3ABB">
        <w:rPr>
          <w:rFonts w:ascii="Calibri" w:hAnsi="Calibri" w:cs="Calibri"/>
          <w:bCs w:val="0"/>
          <w:w w:val="108"/>
          <w:sz w:val="18"/>
        </w:rPr>
        <w:t>sewersheds</w:t>
      </w:r>
      <w:proofErr w:type="spellEnd"/>
      <w:r w:rsidRPr="003F3ABB">
        <w:rPr>
          <w:rFonts w:ascii="Calibri" w:hAnsi="Calibri" w:cs="Calibri"/>
          <w:bCs w:val="0"/>
          <w:w w:val="108"/>
          <w:sz w:val="18"/>
        </w:rPr>
        <w:t xml:space="preserve"> in Allegheny County</w:t>
      </w:r>
      <w:r w:rsidRPr="003F3ABB">
        <w:rPr>
          <w:rFonts w:ascii="Calibri" w:hAnsi="Calibri" w:cs="Calibri"/>
          <w:bCs w:val="0"/>
          <w:w w:val="108"/>
          <w:sz w:val="18"/>
        </w:rPr>
        <w:fldChar w:fldCharType="begin"/>
      </w:r>
      <w:r w:rsidRPr="003F3ABB">
        <w:rPr>
          <w:rFonts w:ascii="Calibri" w:hAnsi="Calibri" w:cs="Calibri"/>
          <w:bCs w:val="0"/>
          <w:w w:val="108"/>
          <w:sz w:val="18"/>
        </w:rPr>
        <w:instrText xml:space="preserve"> ADDIN ZOTERO_ITEM CSL_CITATION {"citationID":"wGW7eXom","properties":{"formattedCitation":"\\super 28\\nosupersub{}","plainCitation":"28","noteIndex":0},"citationItems":[{"id":334,"uris":["http://zotero.org/users/6556211/items/HBZWLZYI"],"uri":["http://zotero.org/users/6556211/items/HBZWLZYI"],"itemData":{"id":334,"type":"book","title":"Allegheny County Boundary","author":[{"literal":"Allegheny County Division of Computer Services Geographic Information Systems Group"}],"issued":{"date-parts":[["2016"]]}}}],"schema":"https://github.com/citation-style-language/schema/raw/master/csl-citation.json"} </w:instrText>
      </w:r>
      <w:r w:rsidRPr="003F3ABB">
        <w:rPr>
          <w:rFonts w:ascii="Calibri" w:hAnsi="Calibri" w:cs="Calibri"/>
          <w:bCs w:val="0"/>
          <w:w w:val="108"/>
          <w:sz w:val="18"/>
        </w:rPr>
        <w:fldChar w:fldCharType="separate"/>
      </w:r>
      <w:r w:rsidRPr="003F3ABB">
        <w:rPr>
          <w:rFonts w:ascii="Calibri" w:hAnsi="Calibri" w:cs="Calibri"/>
          <w:sz w:val="18"/>
          <w:szCs w:val="24"/>
          <w:vertAlign w:val="superscript"/>
        </w:rPr>
        <w:t>28</w:t>
      </w:r>
      <w:r w:rsidRPr="003F3ABB">
        <w:rPr>
          <w:rFonts w:ascii="Calibri" w:hAnsi="Calibri" w:cs="Calibri"/>
          <w:bCs w:val="0"/>
          <w:w w:val="108"/>
          <w:sz w:val="18"/>
        </w:rPr>
        <w:fldChar w:fldCharType="end"/>
      </w:r>
      <w:r w:rsidRPr="003F3ABB">
        <w:rPr>
          <w:rFonts w:ascii="Calibri" w:hAnsi="Calibri" w:cs="Calibri"/>
          <w:bCs w:val="0"/>
          <w:w w:val="108"/>
          <w:sz w:val="18"/>
        </w:rPr>
        <w:t xml:space="preserve"> (the state of Pennsylvania</w:t>
      </w:r>
      <w:r w:rsidRPr="003F3ABB">
        <w:rPr>
          <w:rFonts w:ascii="Calibri" w:hAnsi="Calibri" w:cs="Calibri"/>
          <w:bCs w:val="0"/>
          <w:w w:val="108"/>
          <w:sz w:val="18"/>
        </w:rPr>
        <w:fldChar w:fldCharType="begin"/>
      </w:r>
      <w:r w:rsidRPr="003F3ABB">
        <w:rPr>
          <w:rFonts w:ascii="Calibri" w:hAnsi="Calibri" w:cs="Calibri"/>
          <w:bCs w:val="0"/>
          <w:w w:val="108"/>
          <w:sz w:val="18"/>
        </w:rPr>
        <w:instrText xml:space="preserve"> ADDIN ZOTERO_ITEM CSL_CITATION {"citationID":"FRcqveEe","properties":{"formattedCitation":"\\super 29\\nosupersub{}","plainCitation":"29","noteIndex":0},"citationItems":[{"id":335,"uris":["http://zotero.org/users/6556211/items/GWDUYJ4M"],"uri":["http://zotero.org/users/6556211/items/GWDUYJ4M"],"itemData":{"id":335,"type":"book","event-place":"Harrisburg, PA","publisher-place":"Harrisburg, PA","title":"PennDOT - Pennsylvania County Boundaries","author":[{"literal":"Pennsylvania Department of Transportation, Bureau of Planning and Research, Cartographic Information Division"}],"issued":{"date-parts":[["2020"]]}}}],"schema":"https://github.com/citation-style-language/schema/raw/master/csl-citation.json"} </w:instrText>
      </w:r>
      <w:r w:rsidRPr="003F3ABB">
        <w:rPr>
          <w:rFonts w:ascii="Calibri" w:hAnsi="Calibri" w:cs="Calibri"/>
          <w:bCs w:val="0"/>
          <w:w w:val="108"/>
          <w:sz w:val="18"/>
        </w:rPr>
        <w:fldChar w:fldCharType="separate"/>
      </w:r>
      <w:r w:rsidRPr="003F3ABB">
        <w:rPr>
          <w:rFonts w:ascii="Calibri" w:hAnsi="Calibri" w:cs="Calibri"/>
          <w:sz w:val="18"/>
          <w:szCs w:val="24"/>
          <w:vertAlign w:val="superscript"/>
        </w:rPr>
        <w:t>29</w:t>
      </w:r>
      <w:r w:rsidRPr="003F3ABB">
        <w:rPr>
          <w:rFonts w:ascii="Calibri" w:hAnsi="Calibri" w:cs="Calibri"/>
          <w:bCs w:val="0"/>
          <w:w w:val="108"/>
          <w:sz w:val="18"/>
        </w:rPr>
        <w:fldChar w:fldCharType="end"/>
      </w:r>
      <w:r w:rsidRPr="003F3ABB">
        <w:rPr>
          <w:rFonts w:ascii="Calibri" w:hAnsi="Calibri" w:cs="Calibri"/>
          <w:bCs w:val="0"/>
          <w:w w:val="108"/>
          <w:sz w:val="18"/>
        </w:rPr>
        <w:t xml:space="preserve"> in the U.S.); </w:t>
      </w:r>
      <w:proofErr w:type="spellStart"/>
      <w:r w:rsidRPr="003F3ABB">
        <w:rPr>
          <w:rFonts w:ascii="Calibri" w:hAnsi="Calibri" w:cs="Calibri"/>
          <w:bCs w:val="0"/>
          <w:w w:val="108"/>
          <w:sz w:val="18"/>
        </w:rPr>
        <w:t>hillshade</w:t>
      </w:r>
      <w:proofErr w:type="spellEnd"/>
      <w:r w:rsidRPr="003F3ABB">
        <w:rPr>
          <w:rFonts w:ascii="Calibri" w:hAnsi="Calibri" w:cs="Calibri"/>
          <w:bCs w:val="0"/>
          <w:w w:val="108"/>
          <w:sz w:val="18"/>
        </w:rPr>
        <w:t xml:space="preserve"> was derived from 1 m LiDAR DEM</w:t>
      </w:r>
      <w:r w:rsidRPr="003F3ABB">
        <w:rPr>
          <w:rFonts w:ascii="Calibri" w:hAnsi="Calibri" w:cs="Calibri"/>
          <w:bCs w:val="0"/>
          <w:w w:val="108"/>
          <w:sz w:val="18"/>
        </w:rPr>
        <w:fldChar w:fldCharType="begin"/>
      </w:r>
      <w:r w:rsidRPr="003F3ABB">
        <w:rPr>
          <w:rFonts w:ascii="Calibri" w:hAnsi="Calibri" w:cs="Calibri"/>
          <w:bCs w:val="0"/>
          <w:w w:val="108"/>
          <w:sz w:val="18"/>
        </w:rPr>
        <w:instrText xml:space="preserve"> ADDIN ZOTERO_ITEM CSL_CITATION {"citationID":"AFGnCZSq","properties":{"formattedCitation":"\\super 30\\nosupersub{}","plainCitation":"30","noteIndex":0},"citationItems":[{"id":333,"uris":["http://zotero.org/users/6556211/items/VQIKCI6R"],"uri":["http://zotero.org/users/6556211/items/VQIKCI6R"],"itemData":{"id":333,"type":"book","title":"Allegheny County Lidar and Terrain Products","URL":"http://www.pasda.psu.edu","author":[{"literal":"Allegheny County Division of Computer Services Geographic Information Systems Group"}],"issued":{"date-parts":[["2017"]]}}}],"schema":"https://github.com/citation-style-language/schema/raw/master/csl-citation.json"} </w:instrText>
      </w:r>
      <w:r w:rsidRPr="003F3ABB">
        <w:rPr>
          <w:rFonts w:ascii="Calibri" w:hAnsi="Calibri" w:cs="Calibri"/>
          <w:bCs w:val="0"/>
          <w:w w:val="108"/>
          <w:sz w:val="18"/>
        </w:rPr>
        <w:fldChar w:fldCharType="separate"/>
      </w:r>
      <w:r w:rsidRPr="003F3ABB">
        <w:rPr>
          <w:rFonts w:ascii="Calibri" w:hAnsi="Calibri" w:cs="Calibri"/>
          <w:sz w:val="18"/>
          <w:szCs w:val="24"/>
          <w:vertAlign w:val="superscript"/>
        </w:rPr>
        <w:t>30</w:t>
      </w:r>
      <w:r w:rsidRPr="003F3ABB">
        <w:rPr>
          <w:rFonts w:ascii="Calibri" w:hAnsi="Calibri" w:cs="Calibri"/>
          <w:bCs w:val="0"/>
          <w:w w:val="108"/>
          <w:sz w:val="18"/>
        </w:rPr>
        <w:fldChar w:fldCharType="end"/>
      </w:r>
    </w:p>
    <w:p w14:paraId="687C5C68" w14:textId="77777777" w:rsidR="003F3ABB" w:rsidRPr="003F3ABB" w:rsidRDefault="003F3ABB" w:rsidP="00AF1C8B">
      <w:pPr>
        <w:pStyle w:val="Caption"/>
        <w:keepNext/>
        <w:spacing w:line="480" w:lineRule="auto"/>
        <w:jc w:val="center"/>
        <w:rPr>
          <w:rFonts w:ascii="Calibri" w:hAnsi="Calibri" w:cs="Calibri"/>
          <w:bCs w:val="0"/>
          <w:w w:val="108"/>
          <w:sz w:val="18"/>
        </w:rPr>
      </w:pPr>
      <w:r w:rsidRPr="003F3ABB">
        <w:rPr>
          <w:rFonts w:ascii="Calibri" w:hAnsi="Calibri" w:cs="Calibri"/>
          <w:bCs w:val="0"/>
          <w:w w:val="108"/>
          <w:sz w:val="18"/>
        </w:rPr>
        <w:t xml:space="preserve">Table </w:t>
      </w:r>
      <w:r w:rsidRPr="003F3ABB">
        <w:rPr>
          <w:rFonts w:ascii="Calibri" w:hAnsi="Calibri" w:cs="Calibri"/>
          <w:bCs w:val="0"/>
          <w:w w:val="108"/>
          <w:sz w:val="18"/>
        </w:rPr>
        <w:fldChar w:fldCharType="begin"/>
      </w:r>
      <w:r w:rsidRPr="003F3ABB">
        <w:rPr>
          <w:rFonts w:ascii="Calibri" w:hAnsi="Calibri" w:cs="Calibri"/>
          <w:bCs w:val="0"/>
          <w:w w:val="108"/>
          <w:sz w:val="18"/>
        </w:rPr>
        <w:instrText xml:space="preserve"> SEQ Table \* ARABIC </w:instrText>
      </w:r>
      <w:r w:rsidRPr="003F3ABB">
        <w:rPr>
          <w:rFonts w:ascii="Calibri" w:hAnsi="Calibri" w:cs="Calibri"/>
          <w:bCs w:val="0"/>
          <w:w w:val="108"/>
          <w:sz w:val="18"/>
        </w:rPr>
        <w:fldChar w:fldCharType="separate"/>
      </w:r>
      <w:r w:rsidRPr="003F3ABB">
        <w:rPr>
          <w:rFonts w:ascii="Calibri" w:hAnsi="Calibri" w:cs="Calibri"/>
          <w:bCs w:val="0"/>
          <w:noProof/>
          <w:w w:val="108"/>
          <w:sz w:val="18"/>
        </w:rPr>
        <w:t>1</w:t>
      </w:r>
      <w:r w:rsidRPr="003F3ABB">
        <w:rPr>
          <w:rFonts w:ascii="Calibri" w:hAnsi="Calibri" w:cs="Calibri"/>
          <w:bCs w:val="0"/>
          <w:w w:val="108"/>
          <w:sz w:val="18"/>
        </w:rPr>
        <w:fldChar w:fldCharType="end"/>
      </w:r>
      <w:r w:rsidRPr="003F3ABB">
        <w:rPr>
          <w:rFonts w:ascii="Calibri" w:hAnsi="Calibri" w:cs="Calibri"/>
          <w:bCs w:val="0"/>
          <w:w w:val="108"/>
          <w:sz w:val="18"/>
        </w:rPr>
        <w:t xml:space="preserve"> Data sources</w:t>
      </w:r>
    </w:p>
    <w:tbl>
      <w:tblPr>
        <w:tblStyle w:val="TableGrid"/>
        <w:tblW w:w="0" w:type="auto"/>
        <w:jc w:val="center"/>
        <w:tblLayout w:type="fixed"/>
        <w:tblLook w:val="04A0" w:firstRow="1" w:lastRow="0" w:firstColumn="1" w:lastColumn="0" w:noHBand="0" w:noVBand="1"/>
      </w:tblPr>
      <w:tblGrid>
        <w:gridCol w:w="1345"/>
        <w:gridCol w:w="1350"/>
        <w:gridCol w:w="3420"/>
        <w:gridCol w:w="990"/>
      </w:tblGrid>
      <w:tr w:rsidR="003F3ABB" w:rsidRPr="003F3ABB" w14:paraId="2C4F7D11" w14:textId="77777777" w:rsidTr="00AF1C8B">
        <w:trPr>
          <w:trHeight w:val="288"/>
          <w:jc w:val="center"/>
        </w:trPr>
        <w:tc>
          <w:tcPr>
            <w:tcW w:w="1345" w:type="dxa"/>
            <w:vAlign w:val="center"/>
          </w:tcPr>
          <w:p w14:paraId="05F1ED9B"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Data</w:t>
            </w:r>
          </w:p>
        </w:tc>
        <w:tc>
          <w:tcPr>
            <w:tcW w:w="1350" w:type="dxa"/>
            <w:vAlign w:val="center"/>
          </w:tcPr>
          <w:p w14:paraId="2D351566"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Resolution</w:t>
            </w:r>
          </w:p>
        </w:tc>
        <w:tc>
          <w:tcPr>
            <w:tcW w:w="3420" w:type="dxa"/>
            <w:vAlign w:val="center"/>
          </w:tcPr>
          <w:p w14:paraId="6882A578"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Sources</w:t>
            </w:r>
          </w:p>
        </w:tc>
        <w:tc>
          <w:tcPr>
            <w:tcW w:w="990" w:type="dxa"/>
            <w:vAlign w:val="center"/>
          </w:tcPr>
          <w:p w14:paraId="7712EE5E"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Year</w:t>
            </w:r>
          </w:p>
        </w:tc>
      </w:tr>
      <w:tr w:rsidR="003F3ABB" w:rsidRPr="003F3ABB" w14:paraId="64200EBC" w14:textId="77777777" w:rsidTr="00AF1C8B">
        <w:trPr>
          <w:trHeight w:val="288"/>
          <w:jc w:val="center"/>
        </w:trPr>
        <w:tc>
          <w:tcPr>
            <w:tcW w:w="1345" w:type="dxa"/>
            <w:vAlign w:val="center"/>
          </w:tcPr>
          <w:p w14:paraId="007DC4D4"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Landcover</w:t>
            </w:r>
          </w:p>
        </w:tc>
        <w:tc>
          <w:tcPr>
            <w:tcW w:w="1350" w:type="dxa"/>
            <w:vAlign w:val="center"/>
          </w:tcPr>
          <w:p w14:paraId="73F4AFB6"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30 m×30 m</w:t>
            </w:r>
          </w:p>
        </w:tc>
        <w:tc>
          <w:tcPr>
            <w:tcW w:w="3420" w:type="dxa"/>
            <w:vAlign w:val="center"/>
          </w:tcPr>
          <w:p w14:paraId="0D05C9E4"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United States Geological Survey (USGS)</w:t>
            </w:r>
          </w:p>
        </w:tc>
        <w:tc>
          <w:tcPr>
            <w:tcW w:w="990" w:type="dxa"/>
            <w:vAlign w:val="center"/>
          </w:tcPr>
          <w:p w14:paraId="321ED6B8"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2011</w:t>
            </w:r>
          </w:p>
        </w:tc>
      </w:tr>
      <w:tr w:rsidR="003F3ABB" w:rsidRPr="003F3ABB" w14:paraId="236E80EB" w14:textId="77777777" w:rsidTr="00AF1C8B">
        <w:trPr>
          <w:trHeight w:val="288"/>
          <w:jc w:val="center"/>
        </w:trPr>
        <w:tc>
          <w:tcPr>
            <w:tcW w:w="1345" w:type="dxa"/>
            <w:vAlign w:val="center"/>
          </w:tcPr>
          <w:p w14:paraId="3CE21D7C"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DEM</w:t>
            </w:r>
          </w:p>
        </w:tc>
        <w:tc>
          <w:tcPr>
            <w:tcW w:w="1350" w:type="dxa"/>
            <w:vAlign w:val="center"/>
          </w:tcPr>
          <w:p w14:paraId="4991FA0F"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30 m×30 m</w:t>
            </w:r>
          </w:p>
        </w:tc>
        <w:tc>
          <w:tcPr>
            <w:tcW w:w="3420" w:type="dxa"/>
            <w:vAlign w:val="center"/>
          </w:tcPr>
          <w:p w14:paraId="0032ED64"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1 Arc-second Shuttle Radar Topography Mission (SRTM)</w:t>
            </w:r>
          </w:p>
        </w:tc>
        <w:tc>
          <w:tcPr>
            <w:tcW w:w="990" w:type="dxa"/>
            <w:vAlign w:val="center"/>
          </w:tcPr>
          <w:p w14:paraId="3CC9C3EF"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2014</w:t>
            </w:r>
          </w:p>
        </w:tc>
      </w:tr>
      <w:tr w:rsidR="003F3ABB" w:rsidRPr="003F3ABB" w14:paraId="4211CCA2" w14:textId="77777777" w:rsidTr="00AF1C8B">
        <w:trPr>
          <w:trHeight w:val="288"/>
          <w:jc w:val="center"/>
        </w:trPr>
        <w:tc>
          <w:tcPr>
            <w:tcW w:w="1345" w:type="dxa"/>
            <w:vAlign w:val="center"/>
          </w:tcPr>
          <w:p w14:paraId="6154781C"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 xml:space="preserve">Sewer data </w:t>
            </w:r>
          </w:p>
        </w:tc>
        <w:tc>
          <w:tcPr>
            <w:tcW w:w="1350" w:type="dxa"/>
            <w:vAlign w:val="center"/>
          </w:tcPr>
          <w:p w14:paraId="0090A19E"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lang w:eastAsia="zh-CN"/>
              </w:rPr>
              <w:t>N</w:t>
            </w:r>
            <w:r w:rsidRPr="003F3ABB">
              <w:rPr>
                <w:rFonts w:ascii="Calibri" w:hAnsi="Calibri" w:cs="Calibri"/>
                <w:w w:val="108"/>
                <w:sz w:val="18"/>
                <w:szCs w:val="18"/>
              </w:rPr>
              <w:t>.A.</w:t>
            </w:r>
          </w:p>
        </w:tc>
        <w:tc>
          <w:tcPr>
            <w:tcW w:w="3420" w:type="dxa"/>
            <w:vAlign w:val="center"/>
          </w:tcPr>
          <w:p w14:paraId="4794DCE6"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Allegheny County Sanitary Authority (ALCOSAN)</w:t>
            </w:r>
          </w:p>
        </w:tc>
        <w:tc>
          <w:tcPr>
            <w:tcW w:w="990" w:type="dxa"/>
            <w:vAlign w:val="center"/>
          </w:tcPr>
          <w:p w14:paraId="34EB4DBB"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lang w:eastAsia="zh-CN"/>
              </w:rPr>
              <w:t>2020</w:t>
            </w:r>
          </w:p>
        </w:tc>
      </w:tr>
    </w:tbl>
    <w:p w14:paraId="3FE44A8D" w14:textId="77777777" w:rsidR="003F3ABB" w:rsidRPr="003F3ABB" w:rsidRDefault="003F3ABB" w:rsidP="00AF1C8B">
      <w:pPr>
        <w:pStyle w:val="RSCB06BHeadingSub-Section"/>
        <w:spacing w:line="480" w:lineRule="auto"/>
        <w:rPr>
          <w:rFonts w:ascii="Calibri" w:hAnsi="Calibri" w:cs="Calibri"/>
          <w:b w:val="0"/>
          <w:w w:val="108"/>
          <w:szCs w:val="18"/>
        </w:rPr>
      </w:pPr>
    </w:p>
    <w:p w14:paraId="340CEC0C" w14:textId="5D99619B"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 xml:space="preserve">The model was built using multiple </w:t>
      </w:r>
      <w:r w:rsidR="00180F73">
        <w:rPr>
          <w:rFonts w:ascii="Calibri" w:hAnsi="Calibri" w:cs="Calibri"/>
          <w:w w:val="108"/>
          <w:sz w:val="18"/>
          <w:szCs w:val="18"/>
        </w:rPr>
        <w:t xml:space="preserve">types of </w:t>
      </w:r>
      <w:r w:rsidRPr="003F3ABB">
        <w:rPr>
          <w:rFonts w:ascii="Calibri" w:hAnsi="Calibri" w:cs="Calibri"/>
          <w:w w:val="108"/>
          <w:sz w:val="18"/>
          <w:szCs w:val="18"/>
        </w:rPr>
        <w:t>spatial data (Table 1). The main input data included: (1) 15-minute rainfall intensity data</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{"citationID":"ijIEiwK4","properties":{"formattedCitation":"\\super 31\\nosupersub{}","plainCitation":"31","noteIndex":0},"citationItems":[{"id":330,"uris":["http://zotero.org/users/6556211/items/88TH7ESU"],"uri":["http://zotero.org/users/6556211/items/88TH7ESU"],"itemData":{"id":330,"type":"webpage","title":"Rain Gauge and Calibrated Radar Rainfall Data","URL":"https://www.3riverswetweather.org/municipalities/calibrated-radar-rainfall-data","author":[{"literal":"3 Rivers Wet Weather (3RWW)"}]}}],"schema":"https://github.com/citation-style-language/schema/raw/master/csl-citation.json"}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31</w:t>
      </w:r>
      <w:r w:rsidRPr="003F3ABB">
        <w:rPr>
          <w:rFonts w:ascii="Calibri" w:hAnsi="Calibri" w:cs="Calibri"/>
          <w:w w:val="108"/>
          <w:sz w:val="18"/>
          <w:szCs w:val="18"/>
        </w:rPr>
        <w:fldChar w:fldCharType="end"/>
      </w:r>
      <w:r w:rsidRPr="003F3ABB">
        <w:rPr>
          <w:rFonts w:ascii="Calibri" w:hAnsi="Calibri" w:cs="Calibri"/>
          <w:w w:val="108"/>
          <w:sz w:val="18"/>
          <w:szCs w:val="18"/>
        </w:rPr>
        <w:t xml:space="preserve"> obtained from the University of Pittsburgh rain gauge from March to July in 2008; (2) sewer data digitized on the basis of a system-wide sewer map</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{"citationID":"MPTHfNgw","properties":{"formattedCitation":"\\super 32\\nosupersub{}","plainCitation":"32","noteIndex":0},"citationItems":[{"id":245,"uris":["http://zotero.org/users/6556211/items/3JQNR7VG"],"uri":["http://zotero.org/users/6556211/items/3JQNR7VG"],"itemData":{"id":245,"type":"webpage","title":"Conveyance and Treatment System with Regional Collection Syetem Outfalls","URL":"Retrieved from https://www.alcosan.org/docs/default-source/system-mapping/sanitary-sewer_-combined-sewer_outfalls_36x24_march2020.pdf (remove period)","author":[{"literal":"Allegheny County Sanitary Authority (ALCOSAN). (2020, March)."}],"issued":{"date-parts":[["2020",4]]}}}],"schema":"https://github.com/citation-style-language/schema/raw/master/csl-citation.json"}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32</w:t>
      </w:r>
      <w:r w:rsidRPr="003F3ABB">
        <w:rPr>
          <w:rFonts w:ascii="Calibri" w:hAnsi="Calibri" w:cs="Calibri"/>
          <w:w w:val="108"/>
          <w:sz w:val="18"/>
          <w:szCs w:val="18"/>
        </w:rPr>
        <w:fldChar w:fldCharType="end"/>
      </w:r>
      <w:r w:rsidRPr="003F3ABB">
        <w:rPr>
          <w:rFonts w:ascii="Calibri" w:hAnsi="Calibri" w:cs="Calibri"/>
          <w:w w:val="108"/>
          <w:sz w:val="18"/>
          <w:szCs w:val="18"/>
        </w:rPr>
        <w:t xml:space="preserve">  and then corrected and validated by comparing with GIS data provided by the Allegheny County Sanitary </w:t>
      </w:r>
      <w:r w:rsidRPr="003F3ABB">
        <w:rPr>
          <w:rFonts w:ascii="Calibri" w:hAnsi="Calibri" w:cs="Calibri"/>
          <w:w w:val="108"/>
          <w:sz w:val="18"/>
          <w:szCs w:val="18"/>
        </w:rPr>
        <w:lastRenderedPageBreak/>
        <w:t>Authority (ALCOSAN); (3) 30 m×30 m land cover data</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{"citationID":"f6QCoPkL","properties":{"formattedCitation":"\\super 33\\nosupersub{}","plainCitation":"33","noteIndex":0},"citationItems":[{"id":210,"uris":["http://zotero.org/users/6556211/items/EH2NXCSC"],"uri":["http://zotero.org/users/6556211/items/EH2NXCSC"],"itemData":{"id":210,"type":"report","collection-title":"U.S. Geological Survey","title":"NLCD 2001 Land Cover (2011 Edition, amended 2014) - National Geospatial Data Asset (NGDA) Land Use Land Cover","author":[{"literal":"U.S. Geological Survey"}],"issued":{"date-parts":[["2014",10,10]]}}}],"schema":"https://github.com/citation-style-language/schema/raw/master/csl-citation.json"}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33</w:t>
      </w:r>
      <w:r w:rsidRPr="003F3ABB">
        <w:rPr>
          <w:rFonts w:ascii="Calibri" w:hAnsi="Calibri" w:cs="Calibri"/>
          <w:w w:val="108"/>
          <w:sz w:val="18"/>
          <w:szCs w:val="18"/>
        </w:rPr>
        <w:fldChar w:fldCharType="end"/>
      </w:r>
      <w:r w:rsidRPr="003F3ABB">
        <w:rPr>
          <w:rFonts w:ascii="Calibri" w:hAnsi="Calibri" w:cs="Calibri"/>
          <w:w w:val="108"/>
          <w:sz w:val="18"/>
          <w:szCs w:val="18"/>
        </w:rPr>
        <w:t xml:space="preserve"> used to identify land cover types; (4) 30 m×30 m digital elevation model (DEM)</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{"citationID":"GnFmDVED","properties":{"formattedCitation":"\\super 34\\nosupersub{}","plainCitation":"34","noteIndex":0},"citationItems":[{"id":211,"uris":["http://zotero.org/users/6556211/items/59CH5LB3"],"uri":["http://zotero.org/users/6556211/items/59CH5LB3"],"itemData":{"id":211,"type":"report","collection-title":"U.S. Geological Survey","title":"USGS EROS Archive - Digital Elevation - Shuttle Radar Topography Mission (SRTM) 1 Arc-Second Global","URL":"https://earthexplorer.usgs.gov/","author":[{"literal":"U.S. Geological Survey"}],"issued":{"date-parts":[["2014"]]}}}],"schema":"https://github.com/citation-style-language/schema/raw/master/csl-citation.json"}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34</w:t>
      </w:r>
      <w:r w:rsidRPr="003F3ABB">
        <w:rPr>
          <w:rFonts w:ascii="Calibri" w:hAnsi="Calibri" w:cs="Calibri"/>
          <w:w w:val="108"/>
          <w:sz w:val="18"/>
          <w:szCs w:val="18"/>
        </w:rPr>
        <w:fldChar w:fldCharType="end"/>
      </w:r>
      <w:r w:rsidRPr="003F3ABB">
        <w:rPr>
          <w:rFonts w:ascii="Calibri" w:hAnsi="Calibri" w:cs="Calibri"/>
          <w:w w:val="108"/>
          <w:sz w:val="18"/>
          <w:szCs w:val="18"/>
        </w:rPr>
        <w:t xml:space="preserve"> used to derive slopes (in order to match the resolution of land cover). While the focus of this study was on model sensitivity analysis rather than full model calibration, the model results were compared with monitored pipe flow. Due to the computational </w:t>
      </w:r>
      <w:r w:rsidR="00180F73">
        <w:rPr>
          <w:rFonts w:ascii="Calibri" w:hAnsi="Calibri" w:cs="Calibri"/>
          <w:w w:val="108"/>
          <w:sz w:val="18"/>
          <w:szCs w:val="18"/>
        </w:rPr>
        <w:t>cost</w:t>
      </w:r>
      <w:r w:rsidRPr="003F3ABB">
        <w:rPr>
          <w:rFonts w:ascii="Calibri" w:hAnsi="Calibri" w:cs="Calibri"/>
          <w:w w:val="108"/>
          <w:sz w:val="18"/>
          <w:szCs w:val="18"/>
        </w:rPr>
        <w:t xml:space="preserve"> of the Monte Carlo approach, </w:t>
      </w:r>
      <w:r w:rsidR="00180F73">
        <w:rPr>
          <w:rFonts w:ascii="Calibri" w:hAnsi="Calibri" w:cs="Calibri"/>
          <w:w w:val="108"/>
          <w:sz w:val="18"/>
          <w:szCs w:val="18"/>
        </w:rPr>
        <w:t xml:space="preserve">the simulation was limited to </w:t>
      </w:r>
      <w:r w:rsidRPr="003F3ABB">
        <w:rPr>
          <w:rFonts w:ascii="Calibri" w:hAnsi="Calibri" w:cs="Calibri"/>
          <w:w w:val="108"/>
          <w:sz w:val="18"/>
          <w:szCs w:val="18"/>
        </w:rPr>
        <w:t>one month (April 2008, provided by ALCOSAN)</w:t>
      </w:r>
      <w:r w:rsidR="00180F73">
        <w:rPr>
          <w:rFonts w:ascii="Calibri" w:hAnsi="Calibri" w:cs="Calibri"/>
          <w:w w:val="108"/>
          <w:sz w:val="18"/>
          <w:szCs w:val="18"/>
        </w:rPr>
        <w:t>;</w:t>
      </w:r>
      <w:r w:rsidRPr="003F3ABB">
        <w:rPr>
          <w:rFonts w:ascii="Calibri" w:hAnsi="Calibri" w:cs="Calibri"/>
          <w:w w:val="108"/>
          <w:sz w:val="18"/>
          <w:szCs w:val="18"/>
        </w:rPr>
        <w:t xml:space="preserve"> moreover, this month includes both dry and wet weather conditions. </w:t>
      </w:r>
    </w:p>
    <w:p w14:paraId="6EC8669E" w14:textId="77777777" w:rsidR="003F3ABB" w:rsidRPr="003F3ABB" w:rsidRDefault="003F3ABB" w:rsidP="00AF1C8B">
      <w:pPr>
        <w:pStyle w:val="RSCB06BHeadingSub-Section"/>
        <w:spacing w:line="480" w:lineRule="auto"/>
        <w:rPr>
          <w:rFonts w:ascii="Calibri" w:hAnsi="Calibri" w:cs="Calibri"/>
        </w:rPr>
      </w:pPr>
      <w:r w:rsidRPr="003F3ABB">
        <w:rPr>
          <w:rFonts w:ascii="Calibri" w:hAnsi="Calibri" w:cs="Calibri"/>
        </w:rPr>
        <w:t xml:space="preserve">SWMM parameterization </w:t>
      </w:r>
    </w:p>
    <w:p w14:paraId="1915A892"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SWMM can be used for both single-event and long-term rainfall-runoff simulations in urban areas.</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{"citationID":"lCwgiXWd","properties":{"formattedCitation":"\\super 10\\nosupersub{}","plainCitation":"10","noteIndex":0},"citationItems":[{"id":147,"uris":["http://zotero.org/users/6556211/items/F393EBIL"],"uri":["http://zotero.org/users/6556211/items/F393EBIL"],"itemData":{"id":147,"type":"report","event-place":"Washington, DC, EPA/600/R-14/413 (NTIS EPA/600/R-14/413b)","language":"en","publisher":"US EPA Office of Research and Development","publisher-place":"Washington, DC, EPA/600/R-14/413 (NTIS EPA/600/R-14/413b)","source":"Zotero","title":"Storm Water Management Model User's Manual Version 5.1","author":[{"family":"Rossman","given":"Lewis A"}],"issued":{"date-parts":[["2015"]]}}}],"schema":"https://github.com/citation-style-language/schema/raw/master/csl-citation.json"}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10</w:t>
      </w:r>
      <w:r w:rsidRPr="003F3ABB">
        <w:rPr>
          <w:rFonts w:ascii="Calibri" w:hAnsi="Calibri" w:cs="Calibri"/>
          <w:w w:val="108"/>
          <w:sz w:val="18"/>
          <w:szCs w:val="18"/>
        </w:rPr>
        <w:fldChar w:fldCharType="end"/>
      </w:r>
      <w:r w:rsidRPr="003F3ABB">
        <w:rPr>
          <w:rFonts w:ascii="Calibri" w:hAnsi="Calibri" w:cs="Calibri"/>
          <w:w w:val="108"/>
          <w:sz w:val="18"/>
          <w:szCs w:val="18"/>
        </w:rPr>
        <w:t xml:space="preserve"> The two main components of SWMM – a hydrologic model and a hydraulic model – receive precipitation and generate runoff; the model then routes this runoff as flow through drainage systems. SWMM surface runoff is mainly governed by precipitation, infiltration and evaporation, modelled as a nonlinear reservoir to derive the governing equation</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{"citationID":"9pVHuHBL","properties":{"formattedCitation":"\\super 35\\nosupersub{}","plainCitation":"35","noteIndex":0},"citationItems":[{"id":148,"uris":["http://zotero.org/users/6556211/items/GY6PTH2Q"],"uri":["http://zotero.org/users/6556211/items/GY6PTH2Q"],"itemData":{"id":148,"type":"report","event-place":"Washington, DC, EPA/600/R-15/162A","language":"en","publisher":"US EPA Office of Research and Development","publisher-place":"Washington, DC, EPA/600/R-15/162A","source":"Zotero","title":"Storm Water Management Model Reference Manual Volume I – Hydrology","author":[{"family":"Rossman","given":"Lewis A"},{"literal":"Wayne C. Huber"}],"issued":{"date-parts":[["2016"]]}}}],"schema":"https://github.com/citation-style-language/schema/raw/master/csl-citation.json"}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35</w:t>
      </w:r>
      <w:r w:rsidRPr="003F3ABB">
        <w:rPr>
          <w:rFonts w:ascii="Calibri" w:hAnsi="Calibri" w:cs="Calibri"/>
          <w:w w:val="108"/>
          <w:sz w:val="18"/>
          <w:szCs w:val="18"/>
        </w:rPr>
        <w:fldChar w:fldCharType="end"/>
      </w:r>
      <w:r w:rsidRPr="003F3ABB">
        <w:rPr>
          <w:rFonts w:ascii="Calibri" w:hAnsi="Calibri" w:cs="Calibri"/>
          <w:w w:val="108"/>
          <w:sz w:val="18"/>
          <w:szCs w:val="18"/>
        </w:rPr>
        <w:t xml:space="preserve"> eq. (1). </w:t>
      </w:r>
    </w:p>
    <w:p w14:paraId="6EF0B58A" w14:textId="77777777" w:rsidR="003F3ABB" w:rsidRPr="003F3ABB" w:rsidRDefault="00431152" w:rsidP="00AF1C8B">
      <w:pPr>
        <w:spacing w:line="480" w:lineRule="auto"/>
        <w:rPr>
          <w:rFonts w:ascii="Calibri" w:hAnsi="Calibri" w:cs="Calibri"/>
          <w:w w:val="108"/>
          <w:sz w:val="18"/>
          <w:szCs w:val="18"/>
        </w:rPr>
      </w:pPr>
      <m:oMath>
        <m:f>
          <m:fPr>
            <m:ctrlPr>
              <w:rPr>
                <w:rFonts w:ascii="Cambria Math" w:hAnsi="Cambria Math" w:cs="Calibri"/>
                <w:w w:val="108"/>
                <w:sz w:val="18"/>
                <w:szCs w:val="18"/>
              </w:rPr>
            </m:ctrlPr>
          </m:fPr>
          <m:num>
            <m:r>
              <w:rPr>
                <w:rFonts w:ascii="Cambria Math" w:hAnsi="Cambria Math" w:cs="Calibri"/>
                <w:w w:val="108"/>
                <w:sz w:val="18"/>
                <w:szCs w:val="18"/>
              </w:rPr>
              <m:t>∂d</m:t>
            </m:r>
          </m:num>
          <m:den>
            <m:r>
              <w:rPr>
                <w:rFonts w:ascii="Cambria Math" w:hAnsi="Cambria Math" w:cs="Calibri"/>
                <w:w w:val="108"/>
                <w:sz w:val="18"/>
                <w:szCs w:val="18"/>
              </w:rPr>
              <m:t>∂t</m:t>
            </m:r>
          </m:den>
        </m:f>
        <m:r>
          <m:rPr>
            <m:sty m:val="p"/>
          </m:rPr>
          <w:rPr>
            <w:rFonts w:ascii="Cambria Math" w:hAnsi="Cambria Math" w:cs="Calibri"/>
            <w:w w:val="108"/>
            <w:sz w:val="18"/>
            <w:szCs w:val="18"/>
          </w:rPr>
          <m:t>=</m:t>
        </m:r>
        <m:r>
          <w:rPr>
            <w:rFonts w:ascii="Cambria Math" w:hAnsi="Cambria Math" w:cs="Calibri"/>
            <w:w w:val="108"/>
            <w:sz w:val="18"/>
            <w:szCs w:val="18"/>
          </w:rPr>
          <m:t>i</m:t>
        </m:r>
        <m:r>
          <m:rPr>
            <m:sty m:val="p"/>
          </m:rPr>
          <w:rPr>
            <w:rFonts w:ascii="Cambria Math" w:hAnsi="Cambria Math" w:cs="Calibri"/>
            <w:w w:val="108"/>
            <w:sz w:val="18"/>
            <w:szCs w:val="18"/>
          </w:rPr>
          <m:t>-</m:t>
        </m:r>
        <m:r>
          <w:rPr>
            <w:rFonts w:ascii="Cambria Math" w:hAnsi="Cambria Math" w:cs="Calibri"/>
            <w:w w:val="108"/>
            <w:sz w:val="18"/>
            <w:szCs w:val="18"/>
          </w:rPr>
          <m:t>e</m:t>
        </m:r>
        <m:r>
          <m:rPr>
            <m:sty m:val="p"/>
          </m:rPr>
          <w:rPr>
            <w:rFonts w:ascii="Cambria Math" w:hAnsi="Cambria Math" w:cs="Calibri"/>
            <w:w w:val="108"/>
            <w:sz w:val="18"/>
            <w:szCs w:val="18"/>
          </w:rPr>
          <m:t>-</m:t>
        </m:r>
        <m:r>
          <w:rPr>
            <w:rFonts w:ascii="Cambria Math" w:hAnsi="Cambria Math" w:cs="Calibri"/>
            <w:w w:val="108"/>
            <w:sz w:val="18"/>
            <w:szCs w:val="18"/>
          </w:rPr>
          <m:t>f</m:t>
        </m:r>
        <m:r>
          <m:rPr>
            <m:sty m:val="p"/>
          </m:rPr>
          <w:rPr>
            <w:rFonts w:ascii="Cambria Math" w:hAnsi="Cambria Math" w:cs="Calibri"/>
            <w:w w:val="108"/>
            <w:sz w:val="18"/>
            <w:szCs w:val="18"/>
          </w:rPr>
          <m:t>-</m:t>
        </m:r>
        <m:f>
          <m:fPr>
            <m:ctrlPr>
              <w:rPr>
                <w:rFonts w:ascii="Cambria Math" w:hAnsi="Cambria Math" w:cs="Calibri"/>
                <w:w w:val="108"/>
                <w:sz w:val="18"/>
                <w:szCs w:val="18"/>
              </w:rPr>
            </m:ctrlPr>
          </m:fPr>
          <m:num>
            <m:r>
              <w:rPr>
                <w:rFonts w:ascii="Cambria Math" w:hAnsi="Cambria Math" w:cs="Calibri"/>
                <w:w w:val="108"/>
                <w:sz w:val="18"/>
                <w:szCs w:val="18"/>
              </w:rPr>
              <m:t>kW</m:t>
            </m:r>
          </m:num>
          <m:den>
            <m:r>
              <w:rPr>
                <w:rFonts w:ascii="Cambria Math" w:hAnsi="Cambria Math" w:cs="Calibri"/>
                <w:w w:val="108"/>
                <w:sz w:val="18"/>
                <w:szCs w:val="18"/>
              </w:rPr>
              <m:t>An</m:t>
            </m:r>
          </m:den>
        </m:f>
        <m:sSup>
          <m:sSupPr>
            <m:ctrlPr>
              <w:rPr>
                <w:rFonts w:ascii="Cambria Math" w:hAnsi="Cambria Math" w:cs="Calibri"/>
                <w:w w:val="108"/>
                <w:sz w:val="18"/>
                <w:szCs w:val="18"/>
              </w:rPr>
            </m:ctrlPr>
          </m:sSupPr>
          <m:e>
            <m:r>
              <w:rPr>
                <w:rFonts w:ascii="Cambria Math" w:hAnsi="Cambria Math" w:cs="Calibri"/>
                <w:w w:val="108"/>
                <w:sz w:val="18"/>
                <w:szCs w:val="18"/>
              </w:rPr>
              <m:t>S</m:t>
            </m:r>
          </m:e>
          <m:sup>
            <m:f>
              <m:fPr>
                <m:ctrlPr>
                  <w:rPr>
                    <w:rFonts w:ascii="Cambria Math" w:hAnsi="Cambria Math" w:cs="Calibri"/>
                    <w:w w:val="108"/>
                    <w:sz w:val="18"/>
                    <w:szCs w:val="18"/>
                  </w:rPr>
                </m:ctrlPr>
              </m:fPr>
              <m:num>
                <m:r>
                  <m:rPr>
                    <m:sty m:val="p"/>
                  </m:rPr>
                  <w:rPr>
                    <w:rFonts w:ascii="Cambria Math" w:hAnsi="Cambria Math" w:cs="Calibri"/>
                    <w:w w:val="108"/>
                    <w:sz w:val="18"/>
                    <w:szCs w:val="18"/>
                  </w:rPr>
                  <m:t>1</m:t>
                </m:r>
              </m:num>
              <m:den>
                <m:r>
                  <m:rPr>
                    <m:sty m:val="p"/>
                  </m:rPr>
                  <w:rPr>
                    <w:rFonts w:ascii="Cambria Math" w:hAnsi="Cambria Math" w:cs="Calibri"/>
                    <w:w w:val="108"/>
                    <w:sz w:val="18"/>
                    <w:szCs w:val="18"/>
                  </w:rPr>
                  <m:t>2</m:t>
                </m:r>
              </m:den>
            </m:f>
          </m:sup>
        </m:sSup>
        <m:sSup>
          <m:sSupPr>
            <m:ctrlPr>
              <w:rPr>
                <w:rFonts w:ascii="Cambria Math" w:hAnsi="Cambria Math" w:cs="Calibri"/>
                <w:w w:val="108"/>
                <w:sz w:val="18"/>
                <w:szCs w:val="18"/>
              </w:rPr>
            </m:ctrlPr>
          </m:sSupPr>
          <m:e>
            <m:d>
              <m:dPr>
                <m:ctrlPr>
                  <w:rPr>
                    <w:rFonts w:ascii="Cambria Math" w:hAnsi="Cambria Math" w:cs="Calibri"/>
                    <w:w w:val="108"/>
                    <w:sz w:val="18"/>
                    <w:szCs w:val="18"/>
                  </w:rPr>
                </m:ctrlPr>
              </m:dPr>
              <m:e>
                <m:r>
                  <w:rPr>
                    <w:rFonts w:ascii="Cambria Math" w:hAnsi="Cambria Math" w:cs="Calibri"/>
                    <w:w w:val="108"/>
                    <w:sz w:val="18"/>
                    <w:szCs w:val="18"/>
                  </w:rPr>
                  <m:t>d</m:t>
                </m:r>
                <m:r>
                  <m:rPr>
                    <m:sty m:val="p"/>
                  </m:rPr>
                  <w:rPr>
                    <w:rFonts w:ascii="Cambria Math" w:hAnsi="Cambria Math" w:cs="Calibri"/>
                    <w:w w:val="108"/>
                    <w:sz w:val="18"/>
                    <w:szCs w:val="18"/>
                  </w:rPr>
                  <m:t>-</m:t>
                </m:r>
                <m:r>
                  <w:rPr>
                    <w:rFonts w:ascii="Cambria Math" w:hAnsi="Cambria Math" w:cs="Calibri"/>
                    <w:w w:val="108"/>
                    <w:sz w:val="18"/>
                    <w:szCs w:val="18"/>
                  </w:rPr>
                  <m:t>ds</m:t>
                </m:r>
              </m:e>
            </m:d>
          </m:e>
          <m:sup>
            <m:f>
              <m:fPr>
                <m:ctrlPr>
                  <w:rPr>
                    <w:rFonts w:ascii="Cambria Math" w:hAnsi="Cambria Math" w:cs="Calibri"/>
                    <w:w w:val="108"/>
                    <w:sz w:val="18"/>
                    <w:szCs w:val="18"/>
                  </w:rPr>
                </m:ctrlPr>
              </m:fPr>
              <m:num>
                <m:r>
                  <m:rPr>
                    <m:sty m:val="p"/>
                  </m:rPr>
                  <w:rPr>
                    <w:rFonts w:ascii="Cambria Math" w:hAnsi="Cambria Math" w:cs="Calibri"/>
                    <w:w w:val="108"/>
                    <w:sz w:val="18"/>
                    <w:szCs w:val="18"/>
                  </w:rPr>
                  <m:t>5</m:t>
                </m:r>
              </m:num>
              <m:den>
                <m:r>
                  <m:rPr>
                    <m:sty m:val="p"/>
                  </m:rPr>
                  <w:rPr>
                    <w:rFonts w:ascii="Cambria Math" w:hAnsi="Cambria Math" w:cs="Calibri"/>
                    <w:w w:val="108"/>
                    <w:sz w:val="18"/>
                    <w:szCs w:val="18"/>
                  </w:rPr>
                  <m:t>3</m:t>
                </m:r>
              </m:den>
            </m:f>
          </m:sup>
        </m:sSup>
        <m:r>
          <m:rPr>
            <m:sty m:val="p"/>
          </m:rPr>
          <w:rPr>
            <w:rFonts w:ascii="Cambria Math" w:hAnsi="Cambria Math" w:cs="Calibri"/>
            <w:w w:val="108"/>
            <w:sz w:val="18"/>
            <w:szCs w:val="18"/>
          </w:rPr>
          <m:t xml:space="preserve">  </m:t>
        </m:r>
      </m:oMath>
      <w:r w:rsidR="003F3ABB" w:rsidRPr="003F3ABB">
        <w:rPr>
          <w:rFonts w:ascii="Calibri" w:hAnsi="Calibri" w:cs="Calibri"/>
          <w:w w:val="108"/>
          <w:sz w:val="18"/>
          <w:szCs w:val="18"/>
        </w:rPr>
        <w:t xml:space="preserve">     (1)</w:t>
      </w:r>
    </w:p>
    <w:p w14:paraId="23715A6F"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 xml:space="preserve">Where </w:t>
      </w:r>
      <m:oMath>
        <m:f>
          <m:fPr>
            <m:ctrlPr>
              <w:rPr>
                <w:rFonts w:ascii="Cambria Math" w:hAnsi="Cambria Math" w:cs="Calibri"/>
                <w:w w:val="108"/>
                <w:sz w:val="18"/>
                <w:szCs w:val="18"/>
              </w:rPr>
            </m:ctrlPr>
          </m:fPr>
          <m:num>
            <m:r>
              <w:rPr>
                <w:rFonts w:ascii="Cambria Math" w:hAnsi="Cambria Math" w:cs="Calibri"/>
                <w:w w:val="108"/>
                <w:sz w:val="18"/>
                <w:szCs w:val="18"/>
              </w:rPr>
              <m:t>∂d</m:t>
            </m:r>
          </m:num>
          <m:den>
            <m:r>
              <w:rPr>
                <w:rFonts w:ascii="Cambria Math" w:hAnsi="Cambria Math" w:cs="Calibri"/>
                <w:w w:val="108"/>
                <w:sz w:val="18"/>
                <w:szCs w:val="18"/>
              </w:rPr>
              <m:t>∂t</m:t>
            </m:r>
          </m:den>
        </m:f>
      </m:oMath>
      <w:r w:rsidRPr="003F3ABB">
        <w:rPr>
          <w:rFonts w:ascii="Calibri" w:hAnsi="Calibri" w:cs="Calibri"/>
          <w:w w:val="108"/>
          <w:sz w:val="18"/>
          <w:szCs w:val="18"/>
        </w:rPr>
        <w:t xml:space="preserve"> is the change in depth </w:t>
      </w:r>
      <w:r w:rsidRPr="003F3ABB">
        <w:rPr>
          <w:rFonts w:ascii="Calibri" w:hAnsi="Calibri" w:cs="Calibri"/>
          <w:i/>
          <w:iCs/>
          <w:w w:val="108"/>
          <w:sz w:val="18"/>
          <w:szCs w:val="18"/>
        </w:rPr>
        <w:t>d</w:t>
      </w:r>
      <w:r w:rsidRPr="003F3ABB">
        <w:rPr>
          <w:rFonts w:ascii="Calibri" w:hAnsi="Calibri" w:cs="Calibri"/>
          <w:w w:val="108"/>
          <w:sz w:val="18"/>
          <w:szCs w:val="18"/>
        </w:rPr>
        <w:t xml:space="preserve"> over time </w:t>
      </w:r>
      <w:r w:rsidRPr="003F3ABB">
        <w:rPr>
          <w:rFonts w:ascii="Calibri" w:hAnsi="Calibri" w:cs="Calibri"/>
          <w:i/>
          <w:iCs/>
          <w:w w:val="108"/>
          <w:sz w:val="18"/>
          <w:szCs w:val="18"/>
        </w:rPr>
        <w:t>t</w:t>
      </w:r>
      <w:r w:rsidRPr="003F3ABB">
        <w:rPr>
          <w:rFonts w:ascii="Calibri" w:hAnsi="Calibri" w:cs="Calibri"/>
          <w:w w:val="108"/>
          <w:sz w:val="18"/>
          <w:szCs w:val="18"/>
        </w:rPr>
        <w:t xml:space="preserve">; </w:t>
      </w:r>
      <w:proofErr w:type="spellStart"/>
      <w:r w:rsidRPr="003F3ABB">
        <w:rPr>
          <w:rFonts w:ascii="Calibri" w:hAnsi="Calibri" w:cs="Calibri"/>
          <w:i/>
          <w:iCs/>
          <w:w w:val="108"/>
          <w:sz w:val="18"/>
          <w:szCs w:val="18"/>
        </w:rPr>
        <w:t>i</w:t>
      </w:r>
      <w:proofErr w:type="spellEnd"/>
      <w:r w:rsidRPr="003F3ABB">
        <w:rPr>
          <w:rFonts w:ascii="Calibri" w:hAnsi="Calibri" w:cs="Calibri"/>
          <w:w w:val="108"/>
          <w:sz w:val="18"/>
          <w:szCs w:val="18"/>
        </w:rPr>
        <w:t xml:space="preserve"> is the rainfall or snowfall rate (Lt</w:t>
      </w:r>
      <w:r w:rsidRPr="003F3ABB">
        <w:rPr>
          <w:rFonts w:ascii="Calibri" w:hAnsi="Calibri" w:cs="Calibri"/>
          <w:w w:val="108"/>
          <w:sz w:val="18"/>
          <w:szCs w:val="18"/>
          <w:vertAlign w:val="superscript"/>
        </w:rPr>
        <w:t>-1</w:t>
      </w:r>
      <w:r w:rsidRPr="003F3ABB">
        <w:rPr>
          <w:rFonts w:ascii="Calibri" w:hAnsi="Calibri" w:cs="Calibri"/>
          <w:w w:val="108"/>
          <w:sz w:val="18"/>
          <w:szCs w:val="18"/>
        </w:rPr>
        <w:t xml:space="preserve">); </w:t>
      </w:r>
      <w:r w:rsidRPr="003F3ABB">
        <w:rPr>
          <w:rFonts w:ascii="Calibri" w:hAnsi="Calibri" w:cs="Calibri"/>
          <w:i/>
          <w:iCs/>
          <w:w w:val="108"/>
          <w:sz w:val="18"/>
          <w:szCs w:val="18"/>
        </w:rPr>
        <w:t>e</w:t>
      </w:r>
      <w:r w:rsidRPr="003F3ABB">
        <w:rPr>
          <w:rFonts w:ascii="Calibri" w:hAnsi="Calibri" w:cs="Calibri"/>
          <w:w w:val="108"/>
          <w:sz w:val="18"/>
          <w:szCs w:val="18"/>
        </w:rPr>
        <w:t xml:space="preserve"> is the evaporation rate (Lt</w:t>
      </w:r>
      <w:r w:rsidRPr="003F3ABB">
        <w:rPr>
          <w:rFonts w:ascii="Calibri" w:hAnsi="Calibri" w:cs="Calibri"/>
          <w:w w:val="108"/>
          <w:sz w:val="18"/>
          <w:szCs w:val="18"/>
          <w:vertAlign w:val="superscript"/>
        </w:rPr>
        <w:t>-1</w:t>
      </w:r>
      <w:r w:rsidRPr="003F3ABB">
        <w:rPr>
          <w:rFonts w:ascii="Calibri" w:hAnsi="Calibri" w:cs="Calibri"/>
          <w:w w:val="108"/>
          <w:sz w:val="18"/>
          <w:szCs w:val="18"/>
        </w:rPr>
        <w:t xml:space="preserve">); </w:t>
      </w:r>
      <w:r w:rsidRPr="003F3ABB">
        <w:rPr>
          <w:rFonts w:ascii="Calibri" w:hAnsi="Calibri" w:cs="Calibri"/>
          <w:i/>
          <w:iCs/>
          <w:w w:val="108"/>
          <w:sz w:val="18"/>
          <w:szCs w:val="18"/>
        </w:rPr>
        <w:t xml:space="preserve">f </w:t>
      </w:r>
      <w:r w:rsidRPr="003F3ABB">
        <w:rPr>
          <w:rFonts w:ascii="Calibri" w:hAnsi="Calibri" w:cs="Calibri"/>
          <w:w w:val="108"/>
          <w:sz w:val="18"/>
          <w:szCs w:val="18"/>
        </w:rPr>
        <w:t>is the infiltration rate (Lt</w:t>
      </w:r>
      <w:r w:rsidRPr="003F3ABB">
        <w:rPr>
          <w:rFonts w:ascii="Calibri" w:hAnsi="Calibri" w:cs="Calibri"/>
          <w:w w:val="108"/>
          <w:sz w:val="18"/>
          <w:szCs w:val="18"/>
          <w:vertAlign w:val="superscript"/>
        </w:rPr>
        <w:t>-1</w:t>
      </w:r>
      <w:r w:rsidRPr="003F3ABB">
        <w:rPr>
          <w:rFonts w:ascii="Calibri" w:hAnsi="Calibri" w:cs="Calibri"/>
          <w:w w:val="108"/>
          <w:sz w:val="18"/>
          <w:szCs w:val="18"/>
        </w:rPr>
        <w:t xml:space="preserve">); </w:t>
      </w:r>
      <w:r w:rsidRPr="003F3ABB">
        <w:rPr>
          <w:rFonts w:ascii="Calibri" w:hAnsi="Calibri" w:cs="Calibri"/>
          <w:i/>
          <w:iCs/>
          <w:w w:val="108"/>
          <w:sz w:val="18"/>
          <w:szCs w:val="18"/>
        </w:rPr>
        <w:t>k</w:t>
      </w:r>
      <w:r w:rsidRPr="003F3ABB">
        <w:rPr>
          <w:rFonts w:ascii="Calibri" w:hAnsi="Calibri" w:cs="Calibri"/>
          <w:w w:val="108"/>
          <w:sz w:val="18"/>
          <w:szCs w:val="18"/>
        </w:rPr>
        <w:t xml:space="preserve"> is the conversion constant; </w:t>
      </w:r>
      <w:r w:rsidRPr="003F3ABB">
        <w:rPr>
          <w:rFonts w:ascii="Calibri" w:hAnsi="Calibri" w:cs="Calibri"/>
          <w:i/>
          <w:iCs/>
          <w:w w:val="108"/>
          <w:sz w:val="18"/>
          <w:szCs w:val="18"/>
        </w:rPr>
        <w:t>W</w:t>
      </w:r>
      <w:r w:rsidRPr="003F3ABB">
        <w:rPr>
          <w:rFonts w:ascii="Calibri" w:hAnsi="Calibri" w:cs="Calibri"/>
          <w:w w:val="108"/>
          <w:sz w:val="18"/>
          <w:szCs w:val="18"/>
        </w:rPr>
        <w:t xml:space="preserve"> is the width of subcatchment (L); </w:t>
      </w:r>
      <w:r w:rsidRPr="003F3ABB">
        <w:rPr>
          <w:rFonts w:ascii="Calibri" w:hAnsi="Calibri" w:cs="Calibri"/>
          <w:i/>
          <w:iCs/>
          <w:w w:val="108"/>
          <w:sz w:val="18"/>
          <w:szCs w:val="18"/>
        </w:rPr>
        <w:t>A</w:t>
      </w:r>
      <w:r w:rsidRPr="003F3ABB">
        <w:rPr>
          <w:rFonts w:ascii="Calibri" w:hAnsi="Calibri" w:cs="Calibri"/>
          <w:w w:val="108"/>
          <w:sz w:val="18"/>
          <w:szCs w:val="18"/>
        </w:rPr>
        <w:t xml:space="preserve"> is the surface area of subcatchment (L</w:t>
      </w:r>
      <w:r w:rsidRPr="003F3ABB">
        <w:rPr>
          <w:rFonts w:ascii="Calibri" w:hAnsi="Calibri" w:cs="Calibri"/>
          <w:w w:val="108"/>
          <w:sz w:val="18"/>
          <w:szCs w:val="18"/>
          <w:vertAlign w:val="superscript"/>
        </w:rPr>
        <w:t>2</w:t>
      </w:r>
      <w:r w:rsidRPr="003F3ABB">
        <w:rPr>
          <w:rFonts w:ascii="Calibri" w:hAnsi="Calibri" w:cs="Calibri"/>
          <w:w w:val="108"/>
          <w:sz w:val="18"/>
          <w:szCs w:val="18"/>
        </w:rPr>
        <w:t xml:space="preserve">); </w:t>
      </w:r>
      <w:r w:rsidRPr="003F3ABB">
        <w:rPr>
          <w:rFonts w:ascii="Calibri" w:hAnsi="Calibri" w:cs="Calibri"/>
          <w:i/>
          <w:iCs/>
          <w:w w:val="108"/>
          <w:sz w:val="18"/>
          <w:szCs w:val="18"/>
        </w:rPr>
        <w:t>n</w:t>
      </w:r>
      <w:r w:rsidRPr="003F3ABB">
        <w:rPr>
          <w:rFonts w:ascii="Calibri" w:hAnsi="Calibri" w:cs="Calibri"/>
          <w:w w:val="108"/>
          <w:sz w:val="18"/>
          <w:szCs w:val="18"/>
        </w:rPr>
        <w:t xml:space="preserve"> is the Manning’s roughness coefficient (L</w:t>
      </w:r>
      <w:r w:rsidRPr="003F3ABB">
        <w:rPr>
          <w:rFonts w:ascii="Calibri" w:hAnsi="Calibri" w:cs="Calibri"/>
          <w:w w:val="108"/>
          <w:sz w:val="18"/>
          <w:szCs w:val="18"/>
          <w:vertAlign w:val="superscript"/>
        </w:rPr>
        <w:t>-1/3</w:t>
      </w:r>
      <w:r w:rsidRPr="003F3ABB">
        <w:rPr>
          <w:rFonts w:ascii="Calibri" w:hAnsi="Calibri" w:cs="Calibri"/>
          <w:w w:val="108"/>
          <w:sz w:val="18"/>
          <w:szCs w:val="18"/>
        </w:rPr>
        <w:t xml:space="preserve">t); </w:t>
      </w:r>
      <w:r w:rsidRPr="003F3ABB">
        <w:rPr>
          <w:rFonts w:ascii="Calibri" w:hAnsi="Calibri" w:cs="Calibri"/>
          <w:i/>
          <w:iCs/>
          <w:w w:val="108"/>
          <w:sz w:val="18"/>
          <w:szCs w:val="18"/>
        </w:rPr>
        <w:t>S</w:t>
      </w:r>
      <w:r w:rsidRPr="003F3ABB">
        <w:rPr>
          <w:rFonts w:ascii="Calibri" w:hAnsi="Calibri" w:cs="Calibri"/>
          <w:w w:val="108"/>
          <w:sz w:val="18"/>
          <w:szCs w:val="18"/>
        </w:rPr>
        <w:t xml:space="preserve"> is the slope; </w:t>
      </w:r>
      <w:r w:rsidRPr="003F3ABB">
        <w:rPr>
          <w:rFonts w:ascii="Calibri" w:hAnsi="Calibri" w:cs="Calibri"/>
          <w:i/>
          <w:iCs/>
          <w:w w:val="108"/>
          <w:sz w:val="18"/>
          <w:szCs w:val="18"/>
        </w:rPr>
        <w:t>ds</w:t>
      </w:r>
      <w:r w:rsidRPr="003F3ABB">
        <w:rPr>
          <w:rFonts w:ascii="Calibri" w:hAnsi="Calibri" w:cs="Calibri"/>
          <w:w w:val="108"/>
          <w:sz w:val="18"/>
          <w:szCs w:val="18"/>
        </w:rPr>
        <w:t xml:space="preserve">  is the depression storage (L).</w:t>
      </w:r>
    </w:p>
    <w:p w14:paraId="4EA70BFF"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 xml:space="preserve">The pipe flow in SWMM is controlled by the St. </w:t>
      </w:r>
      <w:proofErr w:type="spellStart"/>
      <w:r w:rsidRPr="003F3ABB">
        <w:rPr>
          <w:rFonts w:ascii="Calibri" w:hAnsi="Calibri" w:cs="Calibri"/>
          <w:w w:val="108"/>
          <w:sz w:val="18"/>
          <w:szCs w:val="18"/>
        </w:rPr>
        <w:t>Venant</w:t>
      </w:r>
      <w:proofErr w:type="spellEnd"/>
      <w:r w:rsidRPr="003F3ABB">
        <w:rPr>
          <w:rFonts w:ascii="Calibri" w:hAnsi="Calibri" w:cs="Calibri"/>
          <w:w w:val="108"/>
          <w:sz w:val="18"/>
          <w:szCs w:val="18"/>
        </w:rPr>
        <w:t xml:space="preserve"> conservation of mass and momentum equations. Pipe flow</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{"citationID":"OpUL6Z3T","properties":{"formattedCitation":"\\super 36\\nosupersub{}","plainCitation":"36","noteIndex":0},"citationItems":[{"id":149,"uris":["http://zotero.org/users/6556211/items/KD8CRC57"],"uri":["http://zotero.org/users/6556211/items/KD8CRC57"],"itemData":{"id":149,"type":"report","event-place":"Washington, DC, EPA/600/R-17/111","language":"en","publisher":"U.S. Environmental Protection Agency,","publisher-place":"Washington, DC, EPA/600/R-17/111","source":"Zotero","title":"Storm Water Management Model Reference Manual Volume II – Hydraulics","author":[{"family":"Rossman","given":"Lewis A"}],"issued":{"date-parts":[["2017"]]}}}],"schema":"https://github.com/citation-style-language/schema/raw/master/csl-citation.json"}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36</w:t>
      </w:r>
      <w:r w:rsidRPr="003F3ABB">
        <w:rPr>
          <w:rFonts w:ascii="Calibri" w:hAnsi="Calibri" w:cs="Calibri"/>
          <w:w w:val="108"/>
          <w:sz w:val="18"/>
          <w:szCs w:val="18"/>
        </w:rPr>
        <w:fldChar w:fldCharType="end"/>
      </w:r>
      <w:r w:rsidRPr="003F3ABB">
        <w:rPr>
          <w:rFonts w:ascii="Calibri" w:hAnsi="Calibri" w:cs="Calibri"/>
          <w:w w:val="108"/>
          <w:sz w:val="18"/>
          <w:szCs w:val="18"/>
        </w:rPr>
        <w:t xml:space="preserve"> then can then be derived as eq. (2).</w:t>
      </w:r>
    </w:p>
    <w:p w14:paraId="79840DE6" w14:textId="77777777" w:rsidR="003F3ABB" w:rsidRPr="003F3ABB" w:rsidRDefault="00431152" w:rsidP="00AF1C8B">
      <w:pPr>
        <w:spacing w:line="480" w:lineRule="auto"/>
        <w:rPr>
          <w:rFonts w:ascii="Calibri" w:hAnsi="Calibri" w:cs="Calibri"/>
          <w:w w:val="108"/>
          <w:sz w:val="18"/>
          <w:szCs w:val="18"/>
        </w:rPr>
      </w:pPr>
      <m:oMath>
        <m:f>
          <m:fPr>
            <m:ctrlPr>
              <w:rPr>
                <w:rFonts w:ascii="Cambria Math" w:hAnsi="Cambria Math" w:cs="Calibri"/>
                <w:w w:val="108"/>
                <w:sz w:val="18"/>
                <w:szCs w:val="18"/>
              </w:rPr>
            </m:ctrlPr>
          </m:fPr>
          <m:num>
            <m:r>
              <w:rPr>
                <w:rFonts w:ascii="Cambria Math" w:hAnsi="Cambria Math" w:cs="Calibri"/>
                <w:w w:val="108"/>
                <w:sz w:val="18"/>
                <w:szCs w:val="18"/>
              </w:rPr>
              <m:t>∂Q</m:t>
            </m:r>
            <m:ctrlPr>
              <w:rPr>
                <w:rFonts w:ascii="Cambria Math" w:hAnsi="Cambria Math" w:cs="Calibri"/>
                <w:i/>
                <w:iCs/>
                <w:w w:val="108"/>
                <w:sz w:val="18"/>
                <w:szCs w:val="18"/>
              </w:rPr>
            </m:ctrlPr>
          </m:num>
          <m:den>
            <m:r>
              <w:rPr>
                <w:rFonts w:ascii="Cambria Math" w:hAnsi="Cambria Math" w:cs="Calibri"/>
                <w:w w:val="108"/>
                <w:sz w:val="18"/>
                <w:szCs w:val="18"/>
              </w:rPr>
              <m:t>∂t</m:t>
            </m:r>
          </m:den>
        </m:f>
        <m:r>
          <m:rPr>
            <m:sty m:val="p"/>
          </m:rPr>
          <w:rPr>
            <w:rFonts w:ascii="Cambria Math" w:hAnsi="Cambria Math" w:cs="Calibri"/>
            <w:w w:val="108"/>
            <w:sz w:val="18"/>
            <w:szCs w:val="18"/>
          </w:rPr>
          <m:t>=2</m:t>
        </m:r>
        <m:r>
          <w:rPr>
            <w:rFonts w:ascii="Cambria Math" w:hAnsi="Cambria Math" w:cs="Calibri"/>
            <w:w w:val="108"/>
            <w:sz w:val="18"/>
            <w:szCs w:val="18"/>
          </w:rPr>
          <m:t>v</m:t>
        </m:r>
        <m:f>
          <m:fPr>
            <m:ctrlPr>
              <w:rPr>
                <w:rFonts w:ascii="Cambria Math" w:hAnsi="Cambria Math" w:cs="Calibri"/>
                <w:w w:val="108"/>
                <w:sz w:val="18"/>
                <w:szCs w:val="18"/>
              </w:rPr>
            </m:ctrlPr>
          </m:fPr>
          <m:num>
            <m:r>
              <w:rPr>
                <w:rFonts w:ascii="Cambria Math" w:hAnsi="Cambria Math" w:cs="Calibri"/>
                <w:w w:val="108"/>
                <w:sz w:val="18"/>
                <w:szCs w:val="18"/>
              </w:rPr>
              <m:t>∂A</m:t>
            </m:r>
            <m:ctrlPr>
              <w:rPr>
                <w:rFonts w:ascii="Cambria Math" w:hAnsi="Cambria Math" w:cs="Calibri"/>
                <w:i/>
                <w:iCs/>
                <w:w w:val="108"/>
                <w:sz w:val="18"/>
                <w:szCs w:val="18"/>
              </w:rPr>
            </m:ctrlPr>
          </m:num>
          <m:den>
            <m:r>
              <w:rPr>
                <w:rFonts w:ascii="Cambria Math" w:hAnsi="Cambria Math" w:cs="Calibri"/>
                <w:w w:val="108"/>
                <w:sz w:val="18"/>
                <w:szCs w:val="18"/>
              </w:rPr>
              <m:t>∂t</m:t>
            </m:r>
          </m:den>
        </m:f>
        <m:r>
          <m:rPr>
            <m:sty m:val="p"/>
          </m:rPr>
          <w:rPr>
            <w:rFonts w:ascii="Cambria Math" w:hAnsi="Cambria Math" w:cs="Calibri"/>
            <w:w w:val="108"/>
            <w:sz w:val="18"/>
            <w:szCs w:val="18"/>
          </w:rPr>
          <m:t>+</m:t>
        </m:r>
        <m:sSup>
          <m:sSupPr>
            <m:ctrlPr>
              <w:rPr>
                <w:rFonts w:ascii="Cambria Math" w:hAnsi="Cambria Math" w:cs="Calibri"/>
                <w:w w:val="108"/>
                <w:sz w:val="18"/>
                <w:szCs w:val="18"/>
              </w:rPr>
            </m:ctrlPr>
          </m:sSupPr>
          <m:e>
            <m:r>
              <w:rPr>
                <w:rFonts w:ascii="Cambria Math" w:hAnsi="Cambria Math" w:cs="Calibri"/>
                <w:w w:val="108"/>
                <w:sz w:val="18"/>
                <w:szCs w:val="18"/>
              </w:rPr>
              <m:t>v</m:t>
            </m:r>
          </m:e>
          <m:sup>
            <m:r>
              <m:rPr>
                <m:sty m:val="p"/>
              </m:rPr>
              <w:rPr>
                <w:rFonts w:ascii="Cambria Math" w:hAnsi="Cambria Math" w:cs="Calibri"/>
                <w:w w:val="108"/>
                <w:sz w:val="18"/>
                <w:szCs w:val="18"/>
              </w:rPr>
              <m:t>2</m:t>
            </m:r>
          </m:sup>
        </m:sSup>
        <m:f>
          <m:fPr>
            <m:ctrlPr>
              <w:rPr>
                <w:rFonts w:ascii="Cambria Math" w:hAnsi="Cambria Math" w:cs="Calibri"/>
                <w:w w:val="108"/>
                <w:sz w:val="18"/>
                <w:szCs w:val="18"/>
              </w:rPr>
            </m:ctrlPr>
          </m:fPr>
          <m:num>
            <m:r>
              <w:rPr>
                <w:rFonts w:ascii="Cambria Math" w:hAnsi="Cambria Math" w:cs="Calibri"/>
                <w:w w:val="108"/>
                <w:sz w:val="18"/>
                <w:szCs w:val="18"/>
              </w:rPr>
              <m:t>∂A</m:t>
            </m:r>
            <m:ctrlPr>
              <w:rPr>
                <w:rFonts w:ascii="Cambria Math" w:hAnsi="Cambria Math" w:cs="Calibri"/>
                <w:i/>
                <w:iCs/>
                <w:w w:val="108"/>
                <w:sz w:val="18"/>
                <w:szCs w:val="18"/>
              </w:rPr>
            </m:ctrlPr>
          </m:num>
          <m:den>
            <m:r>
              <w:rPr>
                <w:rFonts w:ascii="Cambria Math" w:hAnsi="Cambria Math" w:cs="Calibri"/>
                <w:w w:val="108"/>
                <w:sz w:val="18"/>
                <w:szCs w:val="18"/>
              </w:rPr>
              <m:t>∂x</m:t>
            </m:r>
          </m:den>
        </m:f>
        <m:r>
          <m:rPr>
            <m:sty m:val="p"/>
          </m:rPr>
          <w:rPr>
            <w:rFonts w:ascii="Cambria Math" w:hAnsi="Cambria Math" w:cs="Calibri"/>
            <w:w w:val="108"/>
            <w:sz w:val="18"/>
            <w:szCs w:val="18"/>
          </w:rPr>
          <m:t>-</m:t>
        </m:r>
        <m:r>
          <w:rPr>
            <w:rFonts w:ascii="Cambria Math" w:hAnsi="Cambria Math" w:cs="Calibri"/>
            <w:w w:val="108"/>
            <w:sz w:val="18"/>
            <w:szCs w:val="18"/>
          </w:rPr>
          <m:t>gA</m:t>
        </m:r>
        <m:f>
          <m:fPr>
            <m:ctrlPr>
              <w:rPr>
                <w:rFonts w:ascii="Cambria Math" w:hAnsi="Cambria Math" w:cs="Calibri"/>
                <w:w w:val="108"/>
                <w:sz w:val="18"/>
                <w:szCs w:val="18"/>
              </w:rPr>
            </m:ctrlPr>
          </m:fPr>
          <m:num>
            <m:r>
              <w:rPr>
                <w:rFonts w:ascii="Cambria Math" w:hAnsi="Cambria Math" w:cs="Calibri"/>
                <w:w w:val="108"/>
                <w:sz w:val="18"/>
                <w:szCs w:val="18"/>
              </w:rPr>
              <m:t>∂H</m:t>
            </m:r>
            <m:ctrlPr>
              <w:rPr>
                <w:rFonts w:ascii="Cambria Math" w:hAnsi="Cambria Math" w:cs="Calibri"/>
                <w:i/>
                <w:iCs/>
                <w:w w:val="108"/>
                <w:sz w:val="18"/>
                <w:szCs w:val="18"/>
              </w:rPr>
            </m:ctrlPr>
          </m:num>
          <m:den>
            <m:r>
              <w:rPr>
                <w:rFonts w:ascii="Cambria Math" w:hAnsi="Cambria Math" w:cs="Calibri"/>
                <w:w w:val="108"/>
                <w:sz w:val="18"/>
                <w:szCs w:val="18"/>
              </w:rPr>
              <m:t>∂X</m:t>
            </m:r>
          </m:den>
        </m:f>
        <m:r>
          <m:rPr>
            <m:sty m:val="p"/>
          </m:rPr>
          <w:rPr>
            <w:rFonts w:ascii="Cambria Math" w:hAnsi="Cambria Math" w:cs="Calibri"/>
            <w:w w:val="108"/>
            <w:sz w:val="18"/>
            <w:szCs w:val="18"/>
          </w:rPr>
          <m:t>-</m:t>
        </m:r>
        <m:r>
          <w:rPr>
            <w:rFonts w:ascii="Cambria Math" w:hAnsi="Cambria Math" w:cs="Calibri"/>
            <w:w w:val="108"/>
            <w:sz w:val="18"/>
            <w:szCs w:val="18"/>
          </w:rPr>
          <m:t>g</m:t>
        </m:r>
        <m:f>
          <m:fPr>
            <m:ctrlPr>
              <w:rPr>
                <w:rFonts w:ascii="Cambria Math" w:hAnsi="Cambria Math" w:cs="Calibri"/>
                <w:w w:val="108"/>
                <w:sz w:val="18"/>
                <w:szCs w:val="18"/>
              </w:rPr>
            </m:ctrlPr>
          </m:fPr>
          <m:num>
            <m:sSup>
              <m:sSupPr>
                <m:ctrlPr>
                  <w:rPr>
                    <w:rFonts w:ascii="Cambria Math" w:hAnsi="Cambria Math" w:cs="Calibri"/>
                    <w:w w:val="108"/>
                    <w:sz w:val="18"/>
                    <w:szCs w:val="18"/>
                  </w:rPr>
                </m:ctrlPr>
              </m:sSupPr>
              <m:e>
                <m:r>
                  <w:rPr>
                    <w:rFonts w:ascii="Cambria Math" w:hAnsi="Cambria Math" w:cs="Calibri"/>
                    <w:w w:val="108"/>
                    <w:sz w:val="18"/>
                    <w:szCs w:val="18"/>
                  </w:rPr>
                  <m:t>Q</m:t>
                </m:r>
              </m:e>
              <m:sup>
                <m:r>
                  <m:rPr>
                    <m:sty m:val="p"/>
                  </m:rPr>
                  <w:rPr>
                    <w:rFonts w:ascii="Cambria Math" w:hAnsi="Cambria Math" w:cs="Calibri"/>
                    <w:w w:val="108"/>
                    <w:sz w:val="18"/>
                    <w:szCs w:val="18"/>
                  </w:rPr>
                  <m:t>2</m:t>
                </m:r>
              </m:sup>
            </m:sSup>
          </m:num>
          <m:den>
            <m:f>
              <m:fPr>
                <m:ctrlPr>
                  <w:rPr>
                    <w:rFonts w:ascii="Cambria Math" w:hAnsi="Cambria Math" w:cs="Calibri"/>
                    <w:w w:val="108"/>
                    <w:sz w:val="18"/>
                    <w:szCs w:val="18"/>
                  </w:rPr>
                </m:ctrlPr>
              </m:fPr>
              <m:num>
                <m:sSup>
                  <m:sSupPr>
                    <m:ctrlPr>
                      <w:rPr>
                        <w:rFonts w:ascii="Cambria Math" w:hAnsi="Cambria Math" w:cs="Calibri"/>
                        <w:w w:val="108"/>
                        <w:sz w:val="18"/>
                        <w:szCs w:val="18"/>
                      </w:rPr>
                    </m:ctrlPr>
                  </m:sSupPr>
                  <m:e>
                    <m:r>
                      <w:rPr>
                        <w:rFonts w:ascii="Cambria Math" w:hAnsi="Cambria Math" w:cs="Calibri"/>
                        <w:w w:val="108"/>
                        <w:sz w:val="18"/>
                        <w:szCs w:val="18"/>
                      </w:rPr>
                      <m:t>k</m:t>
                    </m:r>
                  </m:e>
                  <m:sup>
                    <m:r>
                      <m:rPr>
                        <m:sty m:val="p"/>
                      </m:rPr>
                      <w:rPr>
                        <w:rFonts w:ascii="Cambria Math" w:hAnsi="Cambria Math" w:cs="Calibri"/>
                        <w:w w:val="108"/>
                        <w:sz w:val="18"/>
                        <w:szCs w:val="18"/>
                      </w:rPr>
                      <m:t>2</m:t>
                    </m:r>
                  </m:sup>
                </m:sSup>
              </m:num>
              <m:den>
                <m:sSup>
                  <m:sSupPr>
                    <m:ctrlPr>
                      <w:rPr>
                        <w:rFonts w:ascii="Cambria Math" w:hAnsi="Cambria Math" w:cs="Calibri"/>
                        <w:w w:val="108"/>
                        <w:sz w:val="18"/>
                        <w:szCs w:val="18"/>
                      </w:rPr>
                    </m:ctrlPr>
                  </m:sSupPr>
                  <m:e>
                    <m:r>
                      <w:rPr>
                        <w:rFonts w:ascii="Cambria Math" w:hAnsi="Cambria Math" w:cs="Calibri"/>
                        <w:w w:val="108"/>
                        <w:sz w:val="18"/>
                        <w:szCs w:val="18"/>
                      </w:rPr>
                      <m:t>n</m:t>
                    </m:r>
                  </m:e>
                  <m:sup>
                    <m:r>
                      <m:rPr>
                        <m:sty m:val="p"/>
                      </m:rPr>
                      <w:rPr>
                        <w:rFonts w:ascii="Cambria Math" w:hAnsi="Cambria Math" w:cs="Calibri"/>
                        <w:w w:val="108"/>
                        <w:sz w:val="18"/>
                        <w:szCs w:val="18"/>
                      </w:rPr>
                      <m:t>2</m:t>
                    </m:r>
                  </m:sup>
                </m:sSup>
              </m:den>
            </m:f>
            <m:r>
              <w:rPr>
                <w:rFonts w:ascii="Cambria Math" w:hAnsi="Cambria Math" w:cs="Calibri"/>
                <w:w w:val="108"/>
                <w:sz w:val="18"/>
                <w:szCs w:val="18"/>
              </w:rPr>
              <m:t>A</m:t>
            </m:r>
            <m:sSup>
              <m:sSupPr>
                <m:ctrlPr>
                  <w:rPr>
                    <w:rFonts w:ascii="Cambria Math" w:hAnsi="Cambria Math" w:cs="Calibri"/>
                    <w:w w:val="108"/>
                    <w:sz w:val="18"/>
                    <w:szCs w:val="18"/>
                  </w:rPr>
                </m:ctrlPr>
              </m:sSupPr>
              <m:e>
                <m:r>
                  <w:rPr>
                    <w:rFonts w:ascii="Cambria Math" w:hAnsi="Cambria Math" w:cs="Calibri"/>
                    <w:w w:val="108"/>
                    <w:sz w:val="18"/>
                    <w:szCs w:val="18"/>
                  </w:rPr>
                  <m:t>R</m:t>
                </m:r>
                <m:ctrlPr>
                  <w:rPr>
                    <w:rFonts w:ascii="Cambria Math" w:hAnsi="Cambria Math" w:cs="Calibri"/>
                    <w:i/>
                    <w:iCs/>
                    <w:w w:val="108"/>
                    <w:sz w:val="18"/>
                    <w:szCs w:val="18"/>
                  </w:rPr>
                </m:ctrlPr>
              </m:e>
              <m:sup>
                <m:f>
                  <m:fPr>
                    <m:ctrlPr>
                      <w:rPr>
                        <w:rFonts w:ascii="Cambria Math" w:hAnsi="Cambria Math" w:cs="Calibri"/>
                        <w:w w:val="108"/>
                        <w:sz w:val="18"/>
                        <w:szCs w:val="18"/>
                      </w:rPr>
                    </m:ctrlPr>
                  </m:fPr>
                  <m:num>
                    <m:r>
                      <m:rPr>
                        <m:sty m:val="p"/>
                      </m:rPr>
                      <w:rPr>
                        <w:rFonts w:ascii="Cambria Math" w:hAnsi="Cambria Math" w:cs="Calibri"/>
                        <w:w w:val="108"/>
                        <w:sz w:val="18"/>
                        <w:szCs w:val="18"/>
                      </w:rPr>
                      <m:t>4</m:t>
                    </m:r>
                  </m:num>
                  <m:den>
                    <m:r>
                      <m:rPr>
                        <m:sty m:val="p"/>
                      </m:rPr>
                      <w:rPr>
                        <w:rFonts w:ascii="Cambria Math" w:hAnsi="Cambria Math" w:cs="Calibri"/>
                        <w:w w:val="108"/>
                        <w:sz w:val="18"/>
                        <w:szCs w:val="18"/>
                      </w:rPr>
                      <m:t>3</m:t>
                    </m:r>
                  </m:den>
                </m:f>
              </m:sup>
            </m:sSup>
          </m:den>
        </m:f>
      </m:oMath>
      <w:r w:rsidR="003F3ABB" w:rsidRPr="003F3ABB">
        <w:rPr>
          <w:rFonts w:ascii="Calibri" w:hAnsi="Calibri" w:cs="Calibri"/>
          <w:w w:val="108"/>
          <w:sz w:val="18"/>
          <w:szCs w:val="18"/>
        </w:rPr>
        <w:t xml:space="preserve">      (2)</w:t>
      </w:r>
    </w:p>
    <w:p w14:paraId="5A162FB5"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 xml:space="preserve">Where </w:t>
      </w:r>
      <m:oMath>
        <m:f>
          <m:fPr>
            <m:ctrlPr>
              <w:rPr>
                <w:rFonts w:ascii="Cambria Math" w:hAnsi="Cambria Math" w:cs="Calibri"/>
                <w:w w:val="108"/>
                <w:sz w:val="18"/>
                <w:szCs w:val="18"/>
              </w:rPr>
            </m:ctrlPr>
          </m:fPr>
          <m:num>
            <m:r>
              <w:rPr>
                <w:rFonts w:ascii="Cambria Math" w:hAnsi="Cambria Math" w:cs="Calibri"/>
                <w:w w:val="108"/>
                <w:sz w:val="18"/>
                <w:szCs w:val="18"/>
              </w:rPr>
              <m:t>∂Q</m:t>
            </m:r>
          </m:num>
          <m:den>
            <m:r>
              <w:rPr>
                <w:rFonts w:ascii="Cambria Math" w:hAnsi="Cambria Math" w:cs="Calibri"/>
                <w:w w:val="108"/>
                <w:sz w:val="18"/>
                <w:szCs w:val="18"/>
              </w:rPr>
              <m:t>∂t</m:t>
            </m:r>
          </m:den>
        </m:f>
      </m:oMath>
      <w:r w:rsidRPr="003F3ABB">
        <w:rPr>
          <w:rFonts w:ascii="Calibri" w:hAnsi="Calibri" w:cs="Calibri"/>
          <w:w w:val="108"/>
          <w:sz w:val="18"/>
          <w:szCs w:val="18"/>
        </w:rPr>
        <w:t xml:space="preserve"> is the change of flow rate per unit of time (L</w:t>
      </w:r>
      <w:r w:rsidRPr="003F3ABB">
        <w:rPr>
          <w:rFonts w:ascii="Calibri" w:hAnsi="Calibri" w:cs="Calibri"/>
          <w:w w:val="108"/>
          <w:sz w:val="18"/>
          <w:szCs w:val="18"/>
          <w:vertAlign w:val="superscript"/>
        </w:rPr>
        <w:t>3</w:t>
      </w:r>
      <w:r w:rsidRPr="003F3ABB">
        <w:rPr>
          <w:rFonts w:ascii="Calibri" w:hAnsi="Calibri" w:cs="Calibri"/>
          <w:w w:val="108"/>
          <w:sz w:val="18"/>
          <w:szCs w:val="18"/>
        </w:rPr>
        <w:t>t</w:t>
      </w:r>
      <w:r w:rsidRPr="003F3ABB">
        <w:rPr>
          <w:rFonts w:ascii="Calibri" w:hAnsi="Calibri" w:cs="Calibri"/>
          <w:w w:val="108"/>
          <w:sz w:val="18"/>
          <w:szCs w:val="18"/>
          <w:vertAlign w:val="superscript"/>
        </w:rPr>
        <w:t>-2</w:t>
      </w:r>
      <w:r w:rsidRPr="003F3ABB">
        <w:rPr>
          <w:rFonts w:ascii="Calibri" w:hAnsi="Calibri" w:cs="Calibri"/>
          <w:w w:val="108"/>
          <w:sz w:val="18"/>
          <w:szCs w:val="18"/>
        </w:rPr>
        <w:t xml:space="preserve">); </w:t>
      </w:r>
      <w:r w:rsidRPr="003F3ABB">
        <w:rPr>
          <w:rFonts w:ascii="Calibri" w:hAnsi="Calibri" w:cs="Calibri"/>
          <w:i/>
          <w:iCs/>
          <w:w w:val="108"/>
          <w:sz w:val="18"/>
          <w:szCs w:val="18"/>
        </w:rPr>
        <w:t>v</w:t>
      </w:r>
      <w:r w:rsidRPr="003F3ABB">
        <w:rPr>
          <w:rFonts w:ascii="Calibri" w:hAnsi="Calibri" w:cs="Calibri"/>
          <w:w w:val="108"/>
          <w:sz w:val="18"/>
          <w:szCs w:val="18"/>
        </w:rPr>
        <w:t xml:space="preserve"> is the velocity (Lt</w:t>
      </w:r>
      <w:r w:rsidRPr="003F3ABB">
        <w:rPr>
          <w:rFonts w:ascii="Calibri" w:hAnsi="Calibri" w:cs="Calibri"/>
          <w:w w:val="108"/>
          <w:sz w:val="18"/>
          <w:szCs w:val="18"/>
          <w:vertAlign w:val="superscript"/>
        </w:rPr>
        <w:t>-1</w:t>
      </w:r>
      <w:r w:rsidRPr="003F3ABB">
        <w:rPr>
          <w:rFonts w:ascii="Calibri" w:hAnsi="Calibri" w:cs="Calibri"/>
          <w:w w:val="108"/>
          <w:sz w:val="18"/>
          <w:szCs w:val="18"/>
        </w:rPr>
        <w:t xml:space="preserve">); </w:t>
      </w:r>
      <w:r w:rsidRPr="003F3ABB">
        <w:rPr>
          <w:rFonts w:ascii="Calibri" w:hAnsi="Calibri" w:cs="Calibri"/>
          <w:i/>
          <w:iCs/>
          <w:w w:val="108"/>
          <w:sz w:val="18"/>
          <w:szCs w:val="18"/>
        </w:rPr>
        <w:t>A</w:t>
      </w:r>
      <w:r w:rsidRPr="003F3ABB">
        <w:rPr>
          <w:rFonts w:ascii="Calibri" w:hAnsi="Calibri" w:cs="Calibri"/>
          <w:w w:val="108"/>
          <w:sz w:val="18"/>
          <w:szCs w:val="18"/>
        </w:rPr>
        <w:t xml:space="preserve"> is the flow cross-section area (L</w:t>
      </w:r>
      <w:r w:rsidRPr="003F3ABB">
        <w:rPr>
          <w:rFonts w:ascii="Calibri" w:hAnsi="Calibri" w:cs="Calibri"/>
          <w:w w:val="108"/>
          <w:sz w:val="18"/>
          <w:szCs w:val="18"/>
          <w:vertAlign w:val="superscript"/>
        </w:rPr>
        <w:t>2</w:t>
      </w:r>
      <w:r w:rsidRPr="003F3ABB">
        <w:rPr>
          <w:rFonts w:ascii="Calibri" w:hAnsi="Calibri" w:cs="Calibri"/>
          <w:w w:val="108"/>
          <w:sz w:val="18"/>
          <w:szCs w:val="18"/>
        </w:rPr>
        <w:t xml:space="preserve">); </w:t>
      </w:r>
      <w:r w:rsidRPr="003F3ABB">
        <w:rPr>
          <w:rFonts w:ascii="Calibri" w:hAnsi="Calibri" w:cs="Calibri"/>
          <w:i/>
          <w:iCs/>
          <w:w w:val="108"/>
          <w:sz w:val="18"/>
          <w:szCs w:val="18"/>
        </w:rPr>
        <w:t>g</w:t>
      </w:r>
      <w:r w:rsidRPr="003F3ABB">
        <w:rPr>
          <w:rFonts w:ascii="Calibri" w:hAnsi="Calibri" w:cs="Calibri"/>
          <w:w w:val="108"/>
          <w:sz w:val="18"/>
          <w:szCs w:val="18"/>
        </w:rPr>
        <w:t xml:space="preserve"> is the gravitational acceleration (Lt</w:t>
      </w:r>
      <w:r w:rsidRPr="003F3ABB">
        <w:rPr>
          <w:rFonts w:ascii="Calibri" w:hAnsi="Calibri" w:cs="Calibri"/>
          <w:w w:val="108"/>
          <w:sz w:val="18"/>
          <w:szCs w:val="18"/>
          <w:vertAlign w:val="superscript"/>
        </w:rPr>
        <w:t>-2</w:t>
      </w:r>
      <w:r w:rsidRPr="003F3ABB">
        <w:rPr>
          <w:rFonts w:ascii="Calibri" w:hAnsi="Calibri" w:cs="Calibri"/>
          <w:w w:val="108"/>
          <w:sz w:val="18"/>
          <w:szCs w:val="18"/>
        </w:rPr>
        <w:t xml:space="preserve">); </w:t>
      </w:r>
      <w:r w:rsidRPr="003F3ABB">
        <w:rPr>
          <w:rFonts w:ascii="Calibri" w:hAnsi="Calibri" w:cs="Calibri"/>
          <w:i/>
          <w:iCs/>
          <w:w w:val="108"/>
          <w:sz w:val="18"/>
          <w:szCs w:val="18"/>
        </w:rPr>
        <w:t>H</w:t>
      </w:r>
      <w:r w:rsidRPr="003F3ABB">
        <w:rPr>
          <w:rFonts w:ascii="Calibri" w:hAnsi="Calibri" w:cs="Calibri"/>
          <w:w w:val="108"/>
          <w:sz w:val="18"/>
          <w:szCs w:val="18"/>
        </w:rPr>
        <w:t xml:space="preserve"> is the hydraulic head (L); </w:t>
      </w:r>
      <w:r w:rsidRPr="003F3ABB">
        <w:rPr>
          <w:rFonts w:ascii="Calibri" w:hAnsi="Calibri" w:cs="Calibri"/>
          <w:i/>
          <w:iCs/>
          <w:w w:val="108"/>
          <w:sz w:val="18"/>
          <w:szCs w:val="18"/>
        </w:rPr>
        <w:t>Q</w:t>
      </w:r>
      <w:r w:rsidRPr="003F3ABB">
        <w:rPr>
          <w:rFonts w:ascii="Calibri" w:hAnsi="Calibri" w:cs="Calibri"/>
          <w:w w:val="108"/>
          <w:sz w:val="18"/>
          <w:szCs w:val="18"/>
        </w:rPr>
        <w:t xml:space="preserve"> is the flow rate (L</w:t>
      </w:r>
      <w:r w:rsidRPr="003F3ABB">
        <w:rPr>
          <w:rFonts w:ascii="Calibri" w:hAnsi="Calibri" w:cs="Calibri"/>
          <w:w w:val="108"/>
          <w:sz w:val="18"/>
          <w:szCs w:val="18"/>
          <w:vertAlign w:val="superscript"/>
        </w:rPr>
        <w:t>3</w:t>
      </w:r>
      <w:r w:rsidRPr="003F3ABB">
        <w:rPr>
          <w:rFonts w:ascii="Calibri" w:hAnsi="Calibri" w:cs="Calibri"/>
          <w:w w:val="108"/>
          <w:sz w:val="18"/>
          <w:szCs w:val="18"/>
        </w:rPr>
        <w:t>t</w:t>
      </w:r>
      <w:r w:rsidRPr="003F3ABB">
        <w:rPr>
          <w:rFonts w:ascii="Calibri" w:hAnsi="Calibri" w:cs="Calibri"/>
          <w:w w:val="108"/>
          <w:sz w:val="18"/>
          <w:szCs w:val="18"/>
          <w:vertAlign w:val="superscript"/>
        </w:rPr>
        <w:t>-1</w:t>
      </w:r>
      <w:r w:rsidRPr="003F3ABB">
        <w:rPr>
          <w:rFonts w:ascii="Calibri" w:hAnsi="Calibri" w:cs="Calibri"/>
          <w:w w:val="108"/>
          <w:sz w:val="18"/>
          <w:szCs w:val="18"/>
        </w:rPr>
        <w:t xml:space="preserve">); </w:t>
      </w:r>
      <w:r w:rsidRPr="003F3ABB">
        <w:rPr>
          <w:rFonts w:ascii="Calibri" w:hAnsi="Calibri" w:cs="Calibri"/>
          <w:i/>
          <w:iCs/>
          <w:w w:val="108"/>
          <w:sz w:val="18"/>
          <w:szCs w:val="18"/>
        </w:rPr>
        <w:t>n</w:t>
      </w:r>
      <w:r w:rsidRPr="003F3ABB">
        <w:rPr>
          <w:rFonts w:ascii="Calibri" w:hAnsi="Calibri" w:cs="Calibri"/>
          <w:w w:val="108"/>
          <w:sz w:val="18"/>
          <w:szCs w:val="18"/>
        </w:rPr>
        <w:t xml:space="preserve"> is the Manning’s roughness coefficient (L</w:t>
      </w:r>
      <w:r w:rsidRPr="003F3ABB">
        <w:rPr>
          <w:rFonts w:ascii="Calibri" w:hAnsi="Calibri" w:cs="Calibri"/>
          <w:w w:val="108"/>
          <w:sz w:val="18"/>
          <w:szCs w:val="18"/>
          <w:vertAlign w:val="superscript"/>
        </w:rPr>
        <w:t>-1/3</w:t>
      </w:r>
      <w:r w:rsidRPr="003F3ABB">
        <w:rPr>
          <w:rFonts w:ascii="Calibri" w:hAnsi="Calibri" w:cs="Calibri"/>
          <w:w w:val="108"/>
          <w:sz w:val="18"/>
          <w:szCs w:val="18"/>
        </w:rPr>
        <w:t xml:space="preserve">t); </w:t>
      </w:r>
      <w:r w:rsidRPr="003F3ABB">
        <w:rPr>
          <w:rFonts w:ascii="Calibri" w:hAnsi="Calibri" w:cs="Calibri"/>
          <w:i/>
          <w:iCs/>
          <w:w w:val="108"/>
          <w:sz w:val="18"/>
          <w:szCs w:val="18"/>
        </w:rPr>
        <w:t>R</w:t>
      </w:r>
      <w:r w:rsidRPr="003F3ABB">
        <w:rPr>
          <w:rFonts w:ascii="Calibri" w:hAnsi="Calibri" w:cs="Calibri"/>
          <w:w w:val="108"/>
          <w:sz w:val="18"/>
          <w:szCs w:val="18"/>
        </w:rPr>
        <w:t xml:space="preserve"> is the hydraulic radius (L); </w:t>
      </w:r>
      <w:r w:rsidRPr="003F3ABB">
        <w:rPr>
          <w:rFonts w:ascii="Calibri" w:hAnsi="Calibri" w:cs="Calibri"/>
          <w:i/>
          <w:iCs/>
          <w:w w:val="108"/>
          <w:sz w:val="18"/>
          <w:szCs w:val="18"/>
        </w:rPr>
        <w:t>k</w:t>
      </w:r>
      <w:r w:rsidRPr="003F3ABB">
        <w:rPr>
          <w:rFonts w:ascii="Calibri" w:hAnsi="Calibri" w:cs="Calibri"/>
          <w:w w:val="108"/>
          <w:sz w:val="18"/>
          <w:szCs w:val="18"/>
        </w:rPr>
        <w:t xml:space="preserve"> is the conversion constant. </w:t>
      </w:r>
    </w:p>
    <w:p w14:paraId="20311609"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In this study, we used Thiessen polygons to partition the subcatchments in ArcMap</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{"citationID":"ZolA64cI","properties":{"formattedCitation":"\\super 37\\nosupersub{}","plainCitation":"37","noteIndex":0},"citationItems":[{"id":331,"uris":["http://zotero.org/users/6556211/items/W3E8MENZ"],"uri":["http://zotero.org/users/6556211/items/W3E8MENZ"],"itemData":{"id":331,"type":"book","publisher":"Redlands, CA: Esri Inc","title":"ArcMap (version 10.5.1)","version":"10.5.1","author":[{"literal":"Esri Inc"}],"issued":{"date-parts":[["2016"]]}}}],"schema":"https://github.com/citation-style-language/schema/raw/master/csl-citation.json"}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37</w:t>
      </w:r>
      <w:r w:rsidRPr="003F3ABB">
        <w:rPr>
          <w:rFonts w:ascii="Calibri" w:hAnsi="Calibri" w:cs="Calibri"/>
          <w:w w:val="108"/>
          <w:sz w:val="18"/>
          <w:szCs w:val="18"/>
        </w:rPr>
        <w:fldChar w:fldCharType="end"/>
      </w:r>
      <w:r w:rsidRPr="003F3ABB">
        <w:rPr>
          <w:rFonts w:ascii="Calibri" w:hAnsi="Calibri" w:cs="Calibri"/>
          <w:w w:val="108"/>
          <w:sz w:val="18"/>
          <w:szCs w:val="18"/>
        </w:rPr>
        <w:t>. This method is widely used in geography to analyze precipitation data from unevenly distributed rain gauges, by finding points within a plane that are closest to the target point.</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{"citationID":"ZM7jKSqT","properties":{"formattedCitation":"\\super 38\\nosupersub{}","plainCitation":"38","noteIndex":0},"citationItems":[{"id":237,"uris":["http://zotero.org/users/6556211/items/PNTF5QFF"],"uri":["http://zotero.org/users/6556211/items/PNTF5QFF"],"itemData":{"id":237,"type":"article-journal","container-title":"Geographical Analysis","DOI":"10.1111/j.1538-4632.1979.tb00695.x","ISSN":"00167363","issue":"3","language":"en","page":"289-303","source":"DOI.org (Crossref)","title":"A Procedure to Generate Thiessen Polygons","volume":"11","author":[{"family":"Brassel","given":"Kurt E."},{"family":"Reif","given":"Douglas"}],"issued":{"date-parts":[["2010",9,3]]}}}],"schema":"https://github.com/citation-style-language/schema/raw/master/csl-citation.json"}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38</w:t>
      </w:r>
      <w:r w:rsidRPr="003F3ABB">
        <w:rPr>
          <w:rFonts w:ascii="Calibri" w:hAnsi="Calibri" w:cs="Calibri"/>
          <w:w w:val="108"/>
          <w:sz w:val="18"/>
          <w:szCs w:val="18"/>
        </w:rPr>
        <w:fldChar w:fldCharType="end"/>
      </w:r>
      <w:r w:rsidRPr="003F3ABB">
        <w:rPr>
          <w:rFonts w:ascii="Calibri" w:hAnsi="Calibri" w:cs="Calibri"/>
          <w:w w:val="108"/>
          <w:sz w:val="18"/>
          <w:szCs w:val="18"/>
        </w:rPr>
        <w:t xml:space="preserve"> In </w:t>
      </w:r>
      <w:proofErr w:type="spellStart"/>
      <w:r w:rsidRPr="003F3ABB">
        <w:rPr>
          <w:rFonts w:ascii="Calibri" w:hAnsi="Calibri" w:cs="Calibri"/>
          <w:w w:val="108"/>
          <w:sz w:val="18"/>
          <w:szCs w:val="18"/>
        </w:rPr>
        <w:t>sewershed</w:t>
      </w:r>
      <w:proofErr w:type="spellEnd"/>
      <w:r w:rsidRPr="003F3ABB">
        <w:rPr>
          <w:rFonts w:ascii="Calibri" w:hAnsi="Calibri" w:cs="Calibri"/>
          <w:w w:val="108"/>
          <w:sz w:val="18"/>
          <w:szCs w:val="18"/>
        </w:rPr>
        <w:t xml:space="preserve"> (M29), the sewer network is quite dense and the pipe inlets (stormwater drains, described as nodes hereafter) are distributed intensively throughout the developed areas but </w:t>
      </w:r>
      <w:r w:rsidRPr="003F3ABB">
        <w:rPr>
          <w:rFonts w:ascii="Calibri" w:hAnsi="Calibri" w:cs="Calibri"/>
          <w:w w:val="108"/>
          <w:sz w:val="18"/>
          <w:szCs w:val="18"/>
          <w:lang w:eastAsia="zh-CN"/>
        </w:rPr>
        <w:t>sparsely in the green areas. To simplify the model, we merged the adjacent nodes within 5 meters into one single node. Pipe segments were then merged as well. The simplified sewer network consists of 638 nodes and 636 pipes. T</w:t>
      </w:r>
      <w:r w:rsidRPr="003F3ABB">
        <w:rPr>
          <w:rFonts w:ascii="Calibri" w:hAnsi="Calibri" w:cs="Calibri"/>
          <w:w w:val="108"/>
          <w:sz w:val="18"/>
          <w:szCs w:val="18"/>
        </w:rPr>
        <w:t xml:space="preserve">he subcatchments were delineated based on sewer data by drawing Thiessen polygons, each plane enclosing only one node. </w:t>
      </w:r>
      <w:r w:rsidRPr="003F3ABB">
        <w:rPr>
          <w:rFonts w:ascii="Calibri" w:hAnsi="Calibri" w:cs="Calibri"/>
          <w:w w:val="108"/>
          <w:sz w:val="18"/>
          <w:szCs w:val="18"/>
          <w:lang w:eastAsia="zh-CN"/>
        </w:rPr>
        <w:t xml:space="preserve">This results in a large number of polygons for the developed areas, which increases homogeneity within each polygon. This method ignores surface topography and assumes that flow is not exchanged between </w:t>
      </w:r>
      <w:r w:rsidRPr="003F3ABB">
        <w:rPr>
          <w:rFonts w:ascii="Calibri" w:hAnsi="Calibri" w:cs="Calibri"/>
          <w:w w:val="108"/>
          <w:sz w:val="18"/>
          <w:szCs w:val="18"/>
          <w:lang w:eastAsia="zh-CN"/>
        </w:rPr>
        <w:lastRenderedPageBreak/>
        <w:t xml:space="preserve">subcatchments (that is, the surface water was only received by the pipe networks). </w:t>
      </w:r>
      <w:r w:rsidRPr="003F3ABB">
        <w:rPr>
          <w:rFonts w:ascii="Calibri" w:hAnsi="Calibri" w:cs="Calibri"/>
          <w:w w:val="108"/>
          <w:sz w:val="18"/>
          <w:szCs w:val="18"/>
        </w:rPr>
        <w:t xml:space="preserve">This allowed us to assign flow paths from the surface to sewers, and resulted in 638 subcatchments. </w:t>
      </w:r>
    </w:p>
    <w:p w14:paraId="16272499"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The width of each subcatchment was estimated by dividing the subcatchment area by the longest distance from any point in the subcatchment (polygon) to the node. To estimate imperviousness, land types were extracted from land use and land cover data, followed by the assignment of typical values of imperviousness</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{"citationID":"WX6nt5vx","properties":{"formattedCitation":"\\super 35,39\\nosupersub{}","plainCitation":"35,39","noteIndex":0},"citationItems":[{"id":148,"uris":["http://zotero.org/users/6556211/items/GY6PTH2Q"],"uri":["http://zotero.org/users/6556211/items/GY6PTH2Q"],"itemData":{"id":148,"type":"report","event-place":"Washington, DC, EPA/600/R-15/162A","language":"en","publisher":"US EPA Office of Research and Development","publisher-place":"Washington, DC, EPA/600/R-15/162A","source":"Zotero","title":"Storm Water Management Model Reference Manual Volume I – Hydrology","author":[{"family":"Rossman","given":"Lewis A"},{"literal":"Wayne C. Huber"}],"issued":{"date-parts":[["2016"]]}},"label":"page"},{"id":215,"uris":["http://zotero.org/users/6556211/items/DE2VDJN8"],"uri":["http://zotero.org/users/6556211/items/DE2VDJN8"],"itemData":{"id":215,"type":"report","event-place":"Boston, MA","genre":"Small MS4 Permit Technical Support Document, U.S. Environmental Protection Agency Region","language":"en","page":"5","publisher-place":"Boston, MA","source":"Zotero","title":"Estimating Change in Impervious Area (IA) and Directly Connected Impervious Areas (DCIA) for Massachusetts Small MS4 Permit","author":[{"literal":"U.S. EPA"}],"issued":{"date-parts":[["2014"]]}},"label":"page"}],"schema":"https://github.com/citation-style-language/schema/raw/master/csl-citation.json"}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35,39</w:t>
      </w:r>
      <w:r w:rsidRPr="003F3ABB">
        <w:rPr>
          <w:rFonts w:ascii="Calibri" w:hAnsi="Calibri" w:cs="Calibri"/>
          <w:w w:val="108"/>
          <w:sz w:val="18"/>
          <w:szCs w:val="18"/>
        </w:rPr>
        <w:fldChar w:fldCharType="end"/>
      </w:r>
      <w:r w:rsidRPr="003F3ABB">
        <w:rPr>
          <w:rFonts w:ascii="Calibri" w:hAnsi="Calibri" w:cs="Calibri"/>
          <w:w w:val="108"/>
          <w:sz w:val="18"/>
          <w:szCs w:val="18"/>
        </w:rPr>
        <w:t xml:space="preserve"> for each land type. Then, a weighted value was determined using eq. (3) to calculate the imperviousness, depression storage and Manning’s roughness. Evapotranspiration was not included in this initial model because data were unavailable for the relevant time period.</w:t>
      </w:r>
    </w:p>
    <w:p w14:paraId="76B3C670"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 xml:space="preserve">Target parameter = </w:t>
      </w:r>
      <m:oMath>
        <m:nary>
          <m:naryPr>
            <m:chr m:val="∑"/>
            <m:limLoc m:val="undOvr"/>
            <m:subHide m:val="1"/>
            <m:supHide m:val="1"/>
            <m:ctrlPr>
              <w:rPr>
                <w:rFonts w:ascii="Cambria Math" w:hAnsi="Cambria Math" w:cs="Calibri"/>
                <w:w w:val="108"/>
                <w:sz w:val="18"/>
                <w:szCs w:val="18"/>
              </w:rPr>
            </m:ctrlPr>
          </m:naryPr>
          <m:sub/>
          <m:sup/>
          <m:e>
            <m:f>
              <m:fPr>
                <m:ctrlPr>
                  <w:rPr>
                    <w:rFonts w:ascii="Cambria Math" w:hAnsi="Cambria Math" w:cs="Calibri"/>
                    <w:w w:val="108"/>
                    <w:sz w:val="18"/>
                    <w:szCs w:val="18"/>
                  </w:rPr>
                </m:ctrlPr>
              </m:fPr>
              <m:num>
                <m:sSub>
                  <m:sSubPr>
                    <m:ctrlPr>
                      <w:rPr>
                        <w:rFonts w:ascii="Cambria Math" w:hAnsi="Cambria Math" w:cs="Calibri"/>
                        <w:w w:val="108"/>
                        <w:sz w:val="18"/>
                        <w:szCs w:val="18"/>
                      </w:rPr>
                    </m:ctrlPr>
                  </m:sSubPr>
                  <m:e>
                    <m:r>
                      <w:rPr>
                        <w:rFonts w:ascii="Cambria Math" w:hAnsi="Cambria Math" w:cs="Calibri"/>
                        <w:w w:val="108"/>
                        <w:sz w:val="18"/>
                        <w:szCs w:val="18"/>
                      </w:rPr>
                      <m:t>P</m:t>
                    </m:r>
                  </m:e>
                  <m:sub>
                    <m:r>
                      <w:rPr>
                        <w:rFonts w:ascii="Cambria Math" w:hAnsi="Cambria Math" w:cs="Calibri"/>
                        <w:w w:val="108"/>
                        <w:sz w:val="18"/>
                        <w:szCs w:val="18"/>
                      </w:rPr>
                      <m:t>i</m:t>
                    </m:r>
                  </m:sub>
                </m:sSub>
                <m:r>
                  <m:rPr>
                    <m:sty m:val="p"/>
                  </m:rPr>
                  <w:rPr>
                    <w:rFonts w:ascii="Cambria Math" w:hAnsi="Cambria Math" w:cs="Calibri"/>
                    <w:w w:val="108"/>
                    <w:sz w:val="18"/>
                    <w:szCs w:val="18"/>
                  </w:rPr>
                  <m:t xml:space="preserve"> × </m:t>
                </m:r>
                <m:sSub>
                  <m:sSubPr>
                    <m:ctrlPr>
                      <w:rPr>
                        <w:rFonts w:ascii="Cambria Math" w:hAnsi="Cambria Math" w:cs="Calibri"/>
                        <w:w w:val="108"/>
                        <w:sz w:val="18"/>
                        <w:szCs w:val="18"/>
                      </w:rPr>
                    </m:ctrlPr>
                  </m:sSubPr>
                  <m:e>
                    <m:r>
                      <w:rPr>
                        <w:rFonts w:ascii="Cambria Math" w:hAnsi="Cambria Math" w:cs="Calibri"/>
                        <w:w w:val="108"/>
                        <w:sz w:val="18"/>
                        <w:szCs w:val="18"/>
                      </w:rPr>
                      <m:t>A</m:t>
                    </m:r>
                  </m:e>
                  <m:sub>
                    <m:r>
                      <w:rPr>
                        <w:rFonts w:ascii="Cambria Math" w:hAnsi="Cambria Math" w:cs="Calibri"/>
                        <w:w w:val="108"/>
                        <w:sz w:val="18"/>
                        <w:szCs w:val="18"/>
                      </w:rPr>
                      <m:t>i</m:t>
                    </m:r>
                  </m:sub>
                </m:sSub>
              </m:num>
              <m:den>
                <m:sSub>
                  <m:sSubPr>
                    <m:ctrlPr>
                      <w:rPr>
                        <w:rFonts w:ascii="Cambria Math" w:hAnsi="Cambria Math" w:cs="Calibri"/>
                        <w:w w:val="108"/>
                        <w:sz w:val="18"/>
                        <w:szCs w:val="18"/>
                      </w:rPr>
                    </m:ctrlPr>
                  </m:sSubPr>
                  <m:e>
                    <m:r>
                      <w:rPr>
                        <w:rFonts w:ascii="Cambria Math" w:hAnsi="Cambria Math" w:cs="Calibri"/>
                        <w:w w:val="108"/>
                        <w:sz w:val="18"/>
                        <w:szCs w:val="18"/>
                      </w:rPr>
                      <m:t>A</m:t>
                    </m:r>
                  </m:e>
                  <m:sub>
                    <m:r>
                      <w:rPr>
                        <w:rFonts w:ascii="Cambria Math" w:hAnsi="Cambria Math" w:cs="Calibri"/>
                        <w:w w:val="108"/>
                        <w:sz w:val="18"/>
                        <w:szCs w:val="18"/>
                      </w:rPr>
                      <m:t>total</m:t>
                    </m:r>
                  </m:sub>
                </m:sSub>
              </m:den>
            </m:f>
            <m:r>
              <w:rPr>
                <w:rFonts w:ascii="Cambria Math" w:hAnsi="Cambria Math" w:cs="Calibri"/>
                <w:w w:val="108"/>
                <w:sz w:val="18"/>
                <w:szCs w:val="18"/>
              </w:rPr>
              <m:t xml:space="preserve"> </m:t>
            </m:r>
          </m:e>
        </m:nary>
      </m:oMath>
      <w:r w:rsidRPr="003F3ABB">
        <w:rPr>
          <w:rFonts w:ascii="Calibri" w:hAnsi="Calibri" w:cs="Calibri"/>
          <w:w w:val="108"/>
          <w:sz w:val="18"/>
          <w:szCs w:val="18"/>
        </w:rPr>
        <w:t xml:space="preserve">  </w:t>
      </w:r>
      <w:proofErr w:type="gramStart"/>
      <w:r w:rsidRPr="003F3ABB">
        <w:rPr>
          <w:rFonts w:ascii="Calibri" w:hAnsi="Calibri" w:cs="Calibri"/>
          <w:w w:val="108"/>
          <w:sz w:val="18"/>
          <w:szCs w:val="18"/>
        </w:rPr>
        <w:t xml:space="preserve">   (</w:t>
      </w:r>
      <w:proofErr w:type="gramEnd"/>
      <w:r w:rsidRPr="003F3ABB">
        <w:rPr>
          <w:rFonts w:ascii="Calibri" w:hAnsi="Calibri" w:cs="Calibri"/>
          <w:w w:val="108"/>
          <w:sz w:val="18"/>
          <w:szCs w:val="18"/>
        </w:rPr>
        <w:t xml:space="preserve">3)                                                                                                                            </w:t>
      </w:r>
    </w:p>
    <w:p w14:paraId="69D0B41E"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 xml:space="preserve">In this general equation for weighted target parameters, </w:t>
      </w:r>
      <w:proofErr w:type="spellStart"/>
      <w:r w:rsidRPr="003F3ABB">
        <w:rPr>
          <w:rFonts w:ascii="Calibri" w:hAnsi="Calibri" w:cs="Calibri"/>
          <w:i/>
          <w:iCs/>
          <w:w w:val="108"/>
          <w:sz w:val="18"/>
          <w:szCs w:val="18"/>
        </w:rPr>
        <w:t>i</w:t>
      </w:r>
      <w:proofErr w:type="spellEnd"/>
      <w:r w:rsidRPr="003F3ABB">
        <w:rPr>
          <w:rFonts w:ascii="Calibri" w:hAnsi="Calibri" w:cs="Calibri"/>
          <w:w w:val="108"/>
          <w:sz w:val="18"/>
          <w:szCs w:val="18"/>
        </w:rPr>
        <w:t xml:space="preserve"> is the type of land use within a subcatchment, </w:t>
      </w:r>
      <w:r w:rsidRPr="003F3ABB">
        <w:rPr>
          <w:rFonts w:ascii="Calibri" w:hAnsi="Calibri" w:cs="Calibri"/>
          <w:i/>
          <w:iCs/>
          <w:w w:val="108"/>
          <w:sz w:val="18"/>
          <w:szCs w:val="18"/>
        </w:rPr>
        <w:t>P</w:t>
      </w:r>
      <w:r w:rsidRPr="003F3ABB">
        <w:rPr>
          <w:rFonts w:ascii="Calibri" w:hAnsi="Calibri" w:cs="Calibri"/>
          <w:i/>
          <w:iCs/>
          <w:w w:val="108"/>
          <w:sz w:val="18"/>
          <w:szCs w:val="18"/>
          <w:vertAlign w:val="subscript"/>
        </w:rPr>
        <w:t>i</w:t>
      </w:r>
      <w:r w:rsidRPr="003F3ABB">
        <w:rPr>
          <w:rFonts w:ascii="Calibri" w:hAnsi="Calibri" w:cs="Calibri"/>
          <w:w w:val="108"/>
          <w:sz w:val="18"/>
          <w:szCs w:val="18"/>
        </w:rPr>
        <w:t xml:space="preserve"> is the parameter value for the specific landscape; </w:t>
      </w:r>
      <w:r w:rsidRPr="003F3ABB">
        <w:rPr>
          <w:rFonts w:ascii="Calibri" w:hAnsi="Calibri" w:cs="Calibri"/>
          <w:i/>
          <w:iCs/>
          <w:w w:val="108"/>
          <w:sz w:val="18"/>
          <w:szCs w:val="18"/>
        </w:rPr>
        <w:t>A</w:t>
      </w:r>
      <w:r w:rsidRPr="003F3ABB">
        <w:rPr>
          <w:rFonts w:ascii="Calibri" w:hAnsi="Calibri" w:cs="Calibri"/>
          <w:i/>
          <w:iCs/>
          <w:w w:val="108"/>
          <w:sz w:val="18"/>
          <w:szCs w:val="18"/>
          <w:vertAlign w:val="subscript"/>
        </w:rPr>
        <w:t>i</w:t>
      </w:r>
      <w:r w:rsidRPr="003F3ABB">
        <w:rPr>
          <w:rFonts w:ascii="Calibri" w:hAnsi="Calibri" w:cs="Calibri"/>
          <w:i/>
          <w:iCs/>
          <w:w w:val="108"/>
          <w:sz w:val="18"/>
          <w:szCs w:val="18"/>
        </w:rPr>
        <w:t xml:space="preserve"> </w:t>
      </w:r>
      <w:r w:rsidRPr="003F3ABB">
        <w:rPr>
          <w:rFonts w:ascii="Calibri" w:hAnsi="Calibri" w:cs="Calibri"/>
          <w:w w:val="108"/>
          <w:sz w:val="18"/>
          <w:szCs w:val="18"/>
        </w:rPr>
        <w:t xml:space="preserve">is the corresponding area; and </w:t>
      </w:r>
      <w:proofErr w:type="spellStart"/>
      <w:r w:rsidRPr="003F3ABB">
        <w:rPr>
          <w:rFonts w:ascii="Calibri" w:hAnsi="Calibri" w:cs="Calibri"/>
          <w:i/>
          <w:iCs/>
          <w:w w:val="108"/>
          <w:sz w:val="18"/>
          <w:szCs w:val="18"/>
        </w:rPr>
        <w:t>A</w:t>
      </w:r>
      <w:r w:rsidRPr="003F3ABB">
        <w:rPr>
          <w:rFonts w:ascii="Calibri" w:hAnsi="Calibri" w:cs="Calibri"/>
          <w:i/>
          <w:iCs/>
          <w:w w:val="108"/>
          <w:sz w:val="18"/>
          <w:szCs w:val="18"/>
          <w:vertAlign w:val="subscript"/>
        </w:rPr>
        <w:t>total</w:t>
      </w:r>
      <w:proofErr w:type="spellEnd"/>
      <w:r w:rsidRPr="003F3ABB">
        <w:rPr>
          <w:rFonts w:ascii="Calibri" w:hAnsi="Calibri" w:cs="Calibri"/>
          <w:w w:val="108"/>
          <w:sz w:val="18"/>
          <w:szCs w:val="18"/>
          <w:vertAlign w:val="subscript"/>
        </w:rPr>
        <w:t xml:space="preserve"> </w:t>
      </w:r>
      <w:r w:rsidRPr="003F3ABB">
        <w:rPr>
          <w:rFonts w:ascii="Calibri" w:hAnsi="Calibri" w:cs="Calibri"/>
          <w:w w:val="108"/>
          <w:sz w:val="18"/>
          <w:szCs w:val="18"/>
        </w:rPr>
        <w:t>is the total area of the subcatchment.</w:t>
      </w:r>
    </w:p>
    <w:p w14:paraId="069ABF70"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Slope maps were derived from DEM and the average slope was assigned to each subcatchment. Infiltration-related parameters were based on Horton’s method</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{"citationID":"ATNSjrGU","properties":{"formattedCitation":"\\super 35,40\\nosupersub{}","plainCitation":"35,40","noteIndex":0},"citationItems":[{"id":148,"uris":["http://zotero.org/users/6556211/items/GY6PTH2Q"],"uri":["http://zotero.org/users/6556211/items/GY6PTH2Q"],"itemData":{"id":148,"type":"report","event-place":"Washington, DC, EPA/600/R-15/162A","language":"en","publisher":"US EPA Office of Research and Development","publisher-place":"Washington, DC, EPA/600/R-15/162A","source":"Zotero","title":"Storm Water Management Model Reference Manual Volume I – Hydrology","author":[{"family":"Rossman","given":"Lewis A"},{"literal":"Wayne C. Huber"}],"issued":{"date-parts":[["2016"]]}},"label":"page"},{"id":203,"uris":["http://zotero.org/users/6556211/items/8S24T9PI"],"uri":["http://zotero.org/users/6556211/items/8S24T9PI"],"itemData":{"id":203,"type":"article-journal","container-title":"Soil Science Society of America Journal","DOI":"10.2136/sssaj1941.036159950005000C0075x","ISSN":"03615995","issue":"C","journalAbbreviation":"Soil Science Society of America Journal","language":"en","page":"399-417","source":"DOI.org (Crossref)","title":"An Approach Toward a Physical Interpretation of Infiltration-Capacity","volume":"5","author":[{"family":"Horton","given":"Robert E."}],"issued":{"date-parts":[["1941"]]}},"label":"page"}],"schema":"https://github.com/citation-style-language/schema/raw/master/csl-citation.json"}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35,40</w:t>
      </w:r>
      <w:r w:rsidRPr="003F3ABB">
        <w:rPr>
          <w:rFonts w:ascii="Calibri" w:hAnsi="Calibri" w:cs="Calibri"/>
          <w:w w:val="108"/>
          <w:sz w:val="18"/>
          <w:szCs w:val="18"/>
        </w:rPr>
        <w:fldChar w:fldCharType="end"/>
      </w:r>
      <w:r w:rsidRPr="003F3ABB">
        <w:rPr>
          <w:rFonts w:ascii="Calibri" w:hAnsi="Calibri" w:cs="Calibri"/>
          <w:w w:val="108"/>
          <w:sz w:val="18"/>
          <w:szCs w:val="18"/>
        </w:rPr>
        <w:t xml:space="preserve"> as built into SWMM. The parameters that we cannot directly measure or extract from spatial data we estimated based on literature values (e.g. Manning’s roughness</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{"citationID":"xWgjYLJ0","properties":{"formattedCitation":"\\super 41,42\\nosupersub{}","plainCitation":"41,42","noteIndex":0},"citationItems":[{"id":144,"uris":["http://zotero.org/users/6556211/items/8NQT2XRS"],"uri":["http://zotero.org/users/6556211/items/8NQT2XRS"],"itemData":{"id":144,"type":"book","abstract":"Design and Construction of Urban Stormwater Management Systems (Manual of Practice No. 77) updates relevant portions of the ASCE/WPCF Manual of Practice No. 37, Design and Construction of Sanitary and Storm Sewers. This update is necessary due to the many changes taking place in the field such as the use of microcomputers and the need to control the quality of runoff as well as the quantity. In order to broaden the base of experience reflected in the Manual, each chapter was prepared by one or more authors with experience and expertise in the particular subject area. Thus, the Manual aids the practicing engineer by presenting a brief summary of currently accepted procedures relating to the following areas: 1) Financial services; 2) regulations; 3) surveys and investigations; 4) design concepts and master planning; 5) hydrology and water quality; 6) storm draining hydraulics; and 7) computer modeling.","event-place":"Reston, VA","ISBN":"978-0-87262-855-7","language":"en","note":"DOI: 10.1061/9780872628557","publisher-place":"Reston, VA","source":"DOI.org (Crossref)","title":"Design and Construction of Urban Stormwater Management Systems","URL":"http://ascelibrary.org/doi/book/10.1061/9780872628557","author":[{"literal":"American Society of Civil Engineers and Water Environment Federation"}],"accessed":{"date-parts":[["2020",7,5]]},"issued":{"date-parts":[["2018",1,18]]}},"label":"page"},{"id":247,"uris":["http://zotero.org/users/6556211/items/66GV556X"],"uri":["http://zotero.org/users/6556211/items/66GV556X"],"itemData":{"id":247,"type":"book","call-number":"TD678 .G715 2007","collection-number":"no. 60","collection-title":"ASCE manuals and reports on engineering practice","edition":"2nd ed","event-place":"Reston, Va.","ISBN":"978-0-7844-0900-8","language":"en","note":"OCLC: ocn123350030","number-of-pages":"422","publisher":"American Society of Civil Engineers: Environmental &amp; Water Resources Institute; Water Environment Federation","publisher-place":"Reston, Va.","source":"Library of Congress ISBN","title":"Gravity sanitary sewer design and construction","editor":[{"family":"Bizier","given":"Paul"}],"issued":{"date-parts":[["2007"]]}},"label":"page"}],"schema":"https://github.com/citation-style-language/schema/raw/master/csl-citation.json"}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41,42</w:t>
      </w:r>
      <w:r w:rsidRPr="003F3ABB">
        <w:rPr>
          <w:rFonts w:ascii="Calibri" w:hAnsi="Calibri" w:cs="Calibri"/>
          <w:w w:val="108"/>
          <w:sz w:val="18"/>
          <w:szCs w:val="18"/>
        </w:rPr>
        <w:fldChar w:fldCharType="end"/>
      </w:r>
      <w:r w:rsidRPr="003F3ABB">
        <w:rPr>
          <w:rFonts w:ascii="Calibri" w:hAnsi="Calibri" w:cs="Calibri"/>
          <w:w w:val="108"/>
          <w:sz w:val="18"/>
          <w:szCs w:val="18"/>
        </w:rPr>
        <w:t xml:space="preserve"> and depression storage</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{"citationID":"XQKGXQtj","properties":{"formattedCitation":"\\super 41\\nosupersub{}","plainCitation":"41","noteIndex":0},"citationItems":[{"id":144,"uris":["http://zotero.org/users/6556211/items/8NQT2XRS"],"uri":["http://zotero.org/users/6556211/items/8NQT2XRS"],"itemData":{"id":144,"type":"book","abstract":"Design and Construction of Urban Stormwater Management Systems (Manual of Practice No. 77) updates relevant portions of the ASCE/WPCF Manual of Practice No. 37, Design and Construction of Sanitary and Storm Sewers. This update is necessary due to the many changes taking place in the field such as the use of microcomputers and the need to control the quality of runoff as well as the quantity. In order to broaden the base of experience reflected in the Manual, each chapter was prepared by one or more authors with experience and expertise in the particular subject area. Thus, the Manual aids the practicing engineer by presenting a brief summary of currently accepted procedures relating to the following areas: 1) Financial services; 2) regulations; 3) surveys and investigations; 4) design concepts and master planning; 5) hydrology and water quality; 6) storm draining hydraulics; and 7) computer modeling.","event-place":"Reston, VA","ISBN":"978-0-87262-855-7","language":"en","note":"DOI: 10.1061/9780872628557","publisher-place":"Reston, VA","source":"DOI.org (Crossref)","title":"Design and Construction of Urban Stormwater Management Systems","URL":"http://ascelibrary.org/doi/book/10.1061/9780872628557","author":[{"literal":"American Society of Civil Engineers and Water Environment Federation"}],"accessed":{"date-parts":[["2020",7,5]]},"issued":{"date-parts":[["2018",1,18]]}}}],"schema":"https://github.com/citation-style-language/schema/raw/master/csl-citation.json"}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41</w:t>
      </w:r>
      <w:r w:rsidRPr="003F3ABB">
        <w:rPr>
          <w:rFonts w:ascii="Calibri" w:hAnsi="Calibri" w:cs="Calibri"/>
          <w:w w:val="108"/>
          <w:sz w:val="18"/>
          <w:szCs w:val="18"/>
        </w:rPr>
        <w:fldChar w:fldCharType="end"/>
      </w:r>
      <w:r w:rsidRPr="003F3ABB">
        <w:rPr>
          <w:rFonts w:ascii="Calibri" w:hAnsi="Calibri" w:cs="Calibri"/>
          <w:w w:val="108"/>
          <w:sz w:val="18"/>
          <w:szCs w:val="18"/>
        </w:rPr>
        <w:t xml:space="preserve">). </w:t>
      </w:r>
    </w:p>
    <w:p w14:paraId="79AEEBAC"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 xml:space="preserve">Based on the sewer data from ALCOSAN, the pipe diameters have a range from 0.8 ft up to 14 ft.  </w:t>
      </w:r>
      <w:r w:rsidRPr="003F3ABB">
        <w:rPr>
          <w:rFonts w:ascii="Calibri" w:hAnsi="Calibri" w:cs="Calibri"/>
          <w:w w:val="108"/>
          <w:sz w:val="18"/>
          <w:szCs w:val="18"/>
          <w:lang w:eastAsia="zh-CN"/>
        </w:rPr>
        <w:t>S</w:t>
      </w:r>
      <w:r w:rsidRPr="003F3ABB">
        <w:rPr>
          <w:rFonts w:ascii="Calibri" w:hAnsi="Calibri" w:cs="Calibri"/>
          <w:w w:val="108"/>
          <w:sz w:val="18"/>
          <w:szCs w:val="18"/>
        </w:rPr>
        <w:t>implifying sewer network by combining nodes and pipes would result in a larger range of diameters. We assumed circular cross-sections and a constant pipe diameter (8 ft) initially for the 636 pipes and various diameters could be dr</w:t>
      </w:r>
      <w:r w:rsidRPr="003F3ABB">
        <w:rPr>
          <w:rFonts w:ascii="Calibri" w:hAnsi="Calibri" w:cs="Calibri"/>
          <w:w w:val="108"/>
          <w:sz w:val="18"/>
          <w:szCs w:val="18"/>
          <w:lang w:eastAsia="zh-CN"/>
        </w:rPr>
        <w:t>a</w:t>
      </w:r>
      <w:r w:rsidRPr="003F3ABB">
        <w:rPr>
          <w:rFonts w:ascii="Calibri" w:hAnsi="Calibri" w:cs="Calibri"/>
          <w:w w:val="108"/>
          <w:sz w:val="18"/>
          <w:szCs w:val="18"/>
        </w:rPr>
        <w:t xml:space="preserve">wn from the subsequent sampling process to change the settings, described in next section. Node depth was assumed 11 ft for the 638 nodes. </w:t>
      </w:r>
    </w:p>
    <w:p w14:paraId="46942A55" w14:textId="77777777" w:rsidR="003F3ABB" w:rsidRPr="003F3ABB" w:rsidRDefault="003F3ABB" w:rsidP="00AF1C8B">
      <w:pPr>
        <w:pStyle w:val="RSCB06BHeadingSub-Section"/>
        <w:spacing w:line="480" w:lineRule="auto"/>
        <w:rPr>
          <w:rFonts w:ascii="Calibri" w:hAnsi="Calibri" w:cs="Calibri"/>
        </w:rPr>
      </w:pPr>
      <w:r w:rsidRPr="003F3ABB">
        <w:rPr>
          <w:rFonts w:ascii="Calibri" w:hAnsi="Calibri" w:cs="Calibri"/>
        </w:rPr>
        <w:t xml:space="preserve">Sensitivity analysis  </w:t>
      </w:r>
    </w:p>
    <w:p w14:paraId="3D28DAAB" w14:textId="093E1B09"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Simplified sewer network and Thiessen polygons introduced uncertainties in determining suitable geometric properties and model element connections, which inevitably influenced the model outputs. Therefore, these physical attributes were considered as variables in the sensitivity analysis.  Monte Carlo-based (MC) sensitivity analysis</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{"citationID":"gQqoT7TU","properties":{"formattedCitation":"\\super 43\\nosupersub{}","plainCitation":"43","noteIndex":0},"citationItems":[{"id":162,"uris":["http://zotero.org/users/6556211/items/CRKNNVKT"],"uri":["http://zotero.org/users/6556211/items/CRKNNVKT"],"itemData":{"id":162,"type":"article-journal","abstract":"We explore the tasks where sensitivity analysis (SA) can be useful and try to assess the relevance of SA within the modeling process. We suggest that SA could considerably assist in the use of models, by providing objective criteria of judgement for different phases of the model-building process: model identiﬁcation and discrimination; model calibration; model corroboration.","container-title":"Statistical Science","language":"en","page":"377-395","source":"Zotero","title":"Sensitivity Analysis as an Ingredient of Modeling","volume":"15","author":[{"family":"Saltelli","given":"A"},{"family":"Tarantola","given":"S"},{"family":"Campolongo","given":"F"}],"issued":{"date-parts":[["2000"]]}}}],"schema":"https://github.com/citation-style-language/schema/raw/master/csl-citation.json"}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43</w:t>
      </w:r>
      <w:r w:rsidRPr="003F3ABB">
        <w:rPr>
          <w:rFonts w:ascii="Calibri" w:hAnsi="Calibri" w:cs="Calibri"/>
          <w:w w:val="108"/>
          <w:sz w:val="18"/>
          <w:szCs w:val="18"/>
        </w:rPr>
        <w:fldChar w:fldCharType="end"/>
      </w:r>
      <w:r w:rsidRPr="003F3ABB">
        <w:rPr>
          <w:rFonts w:ascii="Calibri" w:hAnsi="Calibri" w:cs="Calibri"/>
          <w:w w:val="108"/>
          <w:sz w:val="18"/>
          <w:szCs w:val="18"/>
        </w:rPr>
        <w:t xml:space="preserve"> was conducted to identify the influence of model inputs on predictions of peak flow, runoff volume and maximum pipe flow. To create the distributions for each parameter, two strategies were used: 1) Parameters extracted and estimated from spatial data and those estimated with different values in subcatchments were assumed as lognormal distributions (based on the parameter frequencies), also preventing negative values when pulling values for MC sampling; 2) Parameters that were constant across subcatchments were assumed to be uniform distributions. The hyperparameter (standard deviation) of the lognormal distributions were then calculated from parameter data sets including initial estimates of parameters from all subcatchments. The initial estimation was used as the mean for each model element. This test</w:t>
      </w:r>
      <w:r w:rsidR="00180F73">
        <w:rPr>
          <w:rFonts w:ascii="Calibri" w:hAnsi="Calibri" w:cs="Calibri"/>
          <w:w w:val="108"/>
          <w:sz w:val="18"/>
          <w:szCs w:val="18"/>
        </w:rPr>
        <w:t>ed</w:t>
      </w:r>
      <w:r w:rsidRPr="003F3ABB">
        <w:rPr>
          <w:rFonts w:ascii="Calibri" w:hAnsi="Calibri" w:cs="Calibri"/>
          <w:w w:val="108"/>
          <w:sz w:val="18"/>
          <w:szCs w:val="18"/>
        </w:rPr>
        <w:t xml:space="preserve"> the ability of our method to parameterize the model. The upper and lower limits of the uniform distributions were assumed by considering typical values from literature</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{"citationID":"C3ATGlbT","properties":{"formattedCitation":"\\super 35,40\\uc0\\u8211{}42\\nosupersub{}","plainCitation":"35,40–42","noteIndex":0},"citationItems":[{"id":148,"uris":["http://zotero.org/users/6556211/items/GY6PTH2Q"],"uri":["http://zotero.org/users/6556211/items/GY6PTH2Q"],"itemData":{"id":148,"type":"report","event-place":"Washington, DC, EPA/600/R-15/162A","language":"en","publisher":"US EPA Office of Research and Development","publisher-place":"Washington, DC, EPA/600/R-15/162A","source":"Zotero","title":"Storm Water Management Model Reference Manual Volume I – Hydrology","author":[{"family":"Rossman","given":"Lewis A"},{"literal":"Wayne C. Huber"}],"issued":{"date-parts":[["2016"]]}},"label":"page"},{"id":203,"uris":["http://zotero.org/users/6556211/items/8S24T9PI"],"uri":["http://zotero.org/users/6556211/items/8S24T9PI"],"itemData":{"id":203,"type":"article-journal","container-title":"Soil Science Society of America Journal","DOI":"10.2136/sssaj1941.036159950005000C0075x","ISSN":"03615995","issue":"C","journalAbbreviation":"Soil Science Society of America Journal","language":"en","page":"399-417","source":"DOI.org (Crossref)","title":"An Approach Toward a Physical Interpretation of Infiltration-Capacity","volume":"5","author":[{"family":"Horton","given":"Robert E."}],"issued":{"date-parts":[["1941"]]}},"label":"page"},{"id":144,"uris":["http://zotero.org/users/6556211/items/8NQT2XRS"],"uri":["http://zotero.org/users/6556211/items/8NQT2XRS"],"itemData":{"id":144,"type":"book","abstract":"Design and Construction of Urban Stormwater Management Systems (Manual of Practice No. 77) updates relevant portions of the ASCE/WPCF Manual of Practice No. 37, Design and Construction of Sanitary and Storm Sewers. This update is necessary due to the many changes taking place in the field such as the use of microcomputers and the need to control the quality of runoff as well as the quantity. In order to broaden the base of experience reflected in the Manual, each chapter was prepared by one or more authors with experience and expertise in the particular subject area. Thus, the Manual aids the practicing engineer by presenting a brief summary of currently accepted procedures relating to the following areas: 1) Financial services; 2) regulations; 3) surveys and investigations; 4) design concepts and master planning; 5) hydrology and water quality; 6) storm draining hydraulics; and 7) computer modeling.","event-place":"Reston, VA","ISBN":"978-0-87262-855-7","language":"en","note":"DOI: 10.1061/9780872628557","publisher-place":"Reston, VA","source":"DOI.org (Crossref)","title":"Design and Construction of Urban Stormwater Management Systems","URL":"http://ascelibrary.org/doi/book/10.1061/9780872628557","author":[{"literal":"American Society of Civil Engineers and Water Environment Federation"}],"accessed":{"date-parts":[["2020",7,5]]},"issued":{"date-parts":[["2018",1,18]]}},"label":"page"},{"id":247,"uris":["http://zotero.org/users/6556211/items/66GV556X"],"uri":["http://zotero.org/users/6556211/items/66GV556X"],"itemData":{"id":247,"type":"book","call-number":"TD678 .G715 2007","collection-number":"no. 60","collection-title":"ASCE manuals and reports on engineering practice","edition":"2nd ed","event-place":"Reston, Va.","ISBN":"978-0-7844-0900-8","language":"en","note":"OCLC: ocn123350030","number-of-pages":"422","publisher":"American Society of Civil Engineers: Environmental &amp; Water Resources Institute; Water Environment Federation","publisher-place":"Reston, Va.","source":"Library of Congress ISBN","title":"Gravity sanitary sewer design and construction","editor":[{"family":"Bizier","given":"Paul"}],"issued":{"date-parts":[["2007"]]}},"label":"page"}],"schema":"https://github.com/citation-style-language/schema/raw/master/csl-citation.json"}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35,40–42</w:t>
      </w:r>
      <w:r w:rsidRPr="003F3ABB">
        <w:rPr>
          <w:rFonts w:ascii="Calibri" w:hAnsi="Calibri" w:cs="Calibri"/>
          <w:w w:val="108"/>
          <w:sz w:val="18"/>
          <w:szCs w:val="18"/>
        </w:rPr>
        <w:fldChar w:fldCharType="end"/>
      </w:r>
      <w:r w:rsidRPr="003F3ABB">
        <w:rPr>
          <w:rFonts w:ascii="Calibri" w:hAnsi="Calibri" w:cs="Calibri"/>
          <w:w w:val="108"/>
          <w:sz w:val="18"/>
          <w:szCs w:val="18"/>
        </w:rPr>
        <w:t xml:space="preserve">, whereas for the lognormal distributions they were based on </w:t>
      </w:r>
      <w:r w:rsidRPr="003F3ABB">
        <w:rPr>
          <w:rFonts w:ascii="Calibri" w:hAnsi="Calibri" w:cs="Calibri"/>
          <w:w w:val="108"/>
          <w:sz w:val="18"/>
          <w:szCs w:val="18"/>
        </w:rPr>
        <w:lastRenderedPageBreak/>
        <w:t>different data for each subcatchment. In all, 638 different distributions were generated for each parameter (one for each subcatchment). Then, 1000 Monte Carlo simulations were run using Latin Hypercube Sampling</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{"citationID":"a2JdWkDL","properties":{"formattedCitation":"\\super 44\\nosupersub{}","plainCitation":"44","noteIndex":0},"citationItems":[{"id":136,"uris":["http://zotero.org/users/6556211/items/38CHV9AD"],"uri":["http://zotero.org/users/6556211/items/38CHV9AD"],"itemData":{"id":136,"type":"article-journal","container-title":"Technometrics","DOI":"10.1080/00401706.2000.10485979","ISSN":"0040-1706, 1537-2723","issue":"1","journalAbbreviation":"Technometrics","language":"en","page":"55-61","source":"DOI.org (Crossref)","title":"A Comparison of Three Methods for Selecting Values of Input Variables in the Analysis of Output from a Computer Code","volume":"42","author":[{"family":"Mckay","given":"M. D."},{"family":"Beckman","given":"R. J."},{"family":"Conover","given":"W. J."}],"issued":{"date-parts":[["2000",2]]}}}],"schema":"https://github.com/citation-style-language/schema/raw/master/csl-citation.json"}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44</w:t>
      </w:r>
      <w:r w:rsidRPr="003F3ABB">
        <w:rPr>
          <w:rFonts w:ascii="Calibri" w:hAnsi="Calibri" w:cs="Calibri"/>
          <w:w w:val="108"/>
          <w:sz w:val="18"/>
          <w:szCs w:val="18"/>
        </w:rPr>
        <w:fldChar w:fldCharType="end"/>
      </w:r>
      <w:r w:rsidRPr="003F3ABB">
        <w:rPr>
          <w:rFonts w:ascii="Calibri" w:hAnsi="Calibri" w:cs="Calibri"/>
          <w:w w:val="108"/>
          <w:sz w:val="18"/>
          <w:szCs w:val="18"/>
        </w:rPr>
        <w:t xml:space="preserve"> (LHS) to evaluate the relationship between the model parameters and predicted outputs. This allowed us to compare the parameter sensitivity in each subcatchment and pipe line and statistically analy</w:t>
      </w:r>
      <w:r w:rsidR="00180F73">
        <w:rPr>
          <w:rFonts w:ascii="Calibri" w:hAnsi="Calibri" w:cs="Calibri"/>
          <w:w w:val="108"/>
          <w:sz w:val="18"/>
          <w:szCs w:val="18"/>
        </w:rPr>
        <w:t>z</w:t>
      </w:r>
      <w:r w:rsidRPr="003F3ABB">
        <w:rPr>
          <w:rFonts w:ascii="Calibri" w:hAnsi="Calibri" w:cs="Calibri"/>
          <w:w w:val="108"/>
          <w:sz w:val="18"/>
          <w:szCs w:val="18"/>
        </w:rPr>
        <w:t xml:space="preserve">e the overall influences on model performance. </w:t>
      </w:r>
    </w:p>
    <w:p w14:paraId="63599927" w14:textId="77777777" w:rsidR="003F3ABB" w:rsidRPr="003F3ABB" w:rsidRDefault="003F3ABB" w:rsidP="00AF1C8B">
      <w:pPr>
        <w:pStyle w:val="RSCB06BHeadingSub-Section"/>
        <w:spacing w:line="480" w:lineRule="auto"/>
        <w:rPr>
          <w:rFonts w:ascii="Calibri" w:hAnsi="Calibri" w:cs="Calibri"/>
          <w:b w:val="0"/>
          <w:w w:val="108"/>
          <w:szCs w:val="18"/>
        </w:rPr>
        <w:sectPr w:rsidR="003F3ABB" w:rsidRPr="003F3ABB" w:rsidSect="00445A76">
          <w:type w:val="continuous"/>
          <w:pgSz w:w="11907" w:h="16840" w:code="9"/>
          <w:pgMar w:top="1009" w:right="851" w:bottom="1758" w:left="851" w:header="851" w:footer="1049" w:gutter="0"/>
          <w:lnNumType w:countBy="1" w:restart="continuous"/>
          <w:cols w:space="227"/>
          <w:titlePg/>
          <w:docGrid w:linePitch="360"/>
        </w:sectPr>
      </w:pPr>
      <w:r w:rsidRPr="003F3ABB">
        <w:rPr>
          <w:rFonts w:ascii="Calibri" w:hAnsi="Calibri" w:cs="Calibri"/>
          <w:b w:val="0"/>
          <w:w w:val="108"/>
          <w:szCs w:val="18"/>
        </w:rPr>
        <w:t>To quantify the influence of model parameters on model response, we calculated the Spearman correlation coefficient</w:t>
      </w:r>
      <w:r w:rsidRPr="003F3ABB">
        <w:rPr>
          <w:rFonts w:ascii="Calibri" w:hAnsi="Calibri" w:cs="Calibri"/>
          <w:b w:val="0"/>
          <w:w w:val="108"/>
          <w:szCs w:val="18"/>
          <w:vertAlign w:val="superscript"/>
        </w:rPr>
        <w:fldChar w:fldCharType="begin"/>
      </w:r>
      <w:r w:rsidRPr="003F3ABB">
        <w:rPr>
          <w:rFonts w:ascii="Calibri" w:hAnsi="Calibri" w:cs="Calibri"/>
          <w:b w:val="0"/>
          <w:w w:val="108"/>
          <w:szCs w:val="18"/>
          <w:vertAlign w:val="superscript"/>
        </w:rPr>
        <w:instrText xml:space="preserve"> ADDIN ZOTERO_ITEM CSL_CITATION {"citationID":"TQl89xxt","properties":{"formattedCitation":"\\super 45\\nosupersub{}","plainCitation":"45","noteIndex":0},"citationItems":[{"id":222,"uris":["http://zotero.org/users/6556211/items/KMCBVR6W"],"uri":["http://zotero.org/users/6556211/items/KMCBVR6W"],"itemData":{"id":222,"type":"article-journal","container-title":"The American Journal of Psychology","language":"en","page":"201-292","source":"Zotero","title":"\"General Intelligence,\" Objectively Determined and Measured","volume":"15","author":[{"literal":"C. Spearman"}],"issued":{"date-parts":[["1904"]]}}}],"schema":"https://github.com/citation-style-language/schema/raw/master/csl-citation.json"} </w:instrText>
      </w:r>
      <w:r w:rsidRPr="003F3ABB">
        <w:rPr>
          <w:rFonts w:ascii="Calibri" w:hAnsi="Calibri" w:cs="Calibri"/>
          <w:b w:val="0"/>
          <w:w w:val="108"/>
          <w:szCs w:val="18"/>
          <w:vertAlign w:val="superscript"/>
        </w:rPr>
        <w:fldChar w:fldCharType="separate"/>
      </w:r>
      <w:r w:rsidRPr="003F3ABB">
        <w:rPr>
          <w:rFonts w:ascii="Calibri" w:hAnsi="Calibri" w:cs="Calibri"/>
          <w:szCs w:val="24"/>
          <w:vertAlign w:val="superscript"/>
        </w:rPr>
        <w:t>45</w:t>
      </w:r>
      <w:r w:rsidRPr="003F3ABB">
        <w:rPr>
          <w:rFonts w:ascii="Calibri" w:hAnsi="Calibri" w:cs="Calibri"/>
          <w:b w:val="0"/>
          <w:w w:val="108"/>
          <w:szCs w:val="18"/>
          <w:vertAlign w:val="superscript"/>
        </w:rPr>
        <w:fldChar w:fldCharType="end"/>
      </w:r>
      <w:r w:rsidRPr="003F3ABB">
        <w:rPr>
          <w:rFonts w:ascii="Calibri" w:hAnsi="Calibri" w:cs="Calibri"/>
          <w:b w:val="0"/>
          <w:w w:val="108"/>
          <w:szCs w:val="18"/>
        </w:rPr>
        <w:t xml:space="preserve"> between model outputs — peak flow, total runoff and maximum pipe flow — and each set of parameters generated from the Monte Carlo sampling for each subcatchment or pipe. The distributions used for the main input parameters related to surface runoff and pipe flow are listed in Table 2.</w:t>
      </w:r>
    </w:p>
    <w:p w14:paraId="7F554E7F" w14:textId="77777777" w:rsidR="003F3ABB" w:rsidRPr="003F3ABB" w:rsidRDefault="003F3ABB" w:rsidP="00AF1C8B">
      <w:pPr>
        <w:pStyle w:val="Caption"/>
        <w:keepNext/>
        <w:spacing w:line="480" w:lineRule="auto"/>
        <w:jc w:val="center"/>
        <w:rPr>
          <w:rFonts w:ascii="Calibri" w:hAnsi="Calibri" w:cs="Calibri"/>
          <w:w w:val="108"/>
        </w:rPr>
      </w:pPr>
      <w:r w:rsidRPr="003F3ABB">
        <w:rPr>
          <w:rFonts w:ascii="Calibri" w:hAnsi="Calibri" w:cs="Calibri"/>
          <w:bCs w:val="0"/>
          <w:w w:val="108"/>
          <w:sz w:val="18"/>
        </w:rPr>
        <w:t xml:space="preserve">Table </w:t>
      </w:r>
      <w:r w:rsidRPr="003F3ABB">
        <w:rPr>
          <w:rFonts w:ascii="Calibri" w:hAnsi="Calibri" w:cs="Calibri"/>
          <w:bCs w:val="0"/>
          <w:w w:val="108"/>
          <w:sz w:val="18"/>
        </w:rPr>
        <w:fldChar w:fldCharType="begin"/>
      </w:r>
      <w:r w:rsidRPr="003F3ABB">
        <w:rPr>
          <w:rFonts w:ascii="Calibri" w:hAnsi="Calibri" w:cs="Calibri"/>
          <w:bCs w:val="0"/>
          <w:w w:val="108"/>
          <w:sz w:val="18"/>
        </w:rPr>
        <w:instrText xml:space="preserve"> SEQ Table \* ARABIC </w:instrText>
      </w:r>
      <w:r w:rsidRPr="003F3ABB">
        <w:rPr>
          <w:rFonts w:ascii="Calibri" w:hAnsi="Calibri" w:cs="Calibri"/>
          <w:bCs w:val="0"/>
          <w:w w:val="108"/>
          <w:sz w:val="18"/>
        </w:rPr>
        <w:fldChar w:fldCharType="separate"/>
      </w:r>
      <w:r w:rsidRPr="003F3ABB">
        <w:rPr>
          <w:rFonts w:ascii="Calibri" w:hAnsi="Calibri" w:cs="Calibri"/>
          <w:bCs w:val="0"/>
          <w:noProof/>
          <w:w w:val="108"/>
          <w:sz w:val="18"/>
        </w:rPr>
        <w:t>2</w:t>
      </w:r>
      <w:r w:rsidRPr="003F3ABB">
        <w:rPr>
          <w:rFonts w:ascii="Calibri" w:hAnsi="Calibri" w:cs="Calibri"/>
          <w:bCs w:val="0"/>
          <w:w w:val="108"/>
          <w:sz w:val="18"/>
        </w:rPr>
        <w:fldChar w:fldCharType="end"/>
      </w:r>
      <w:r w:rsidRPr="003F3ABB">
        <w:rPr>
          <w:rFonts w:ascii="Calibri" w:hAnsi="Calibri" w:cs="Calibri"/>
          <w:bCs w:val="0"/>
          <w:w w:val="108"/>
          <w:sz w:val="18"/>
        </w:rPr>
        <w:t xml:space="preserve"> Main parameters in SWMM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79"/>
        <w:gridCol w:w="2975"/>
        <w:gridCol w:w="1358"/>
        <w:gridCol w:w="1440"/>
      </w:tblGrid>
      <w:tr w:rsidR="003F3ABB" w:rsidRPr="003F3ABB" w14:paraId="5ACC42A8" w14:textId="77777777" w:rsidTr="00002DB2">
        <w:trPr>
          <w:trHeight w:hRule="exact" w:val="288"/>
          <w:jc w:val="center"/>
        </w:trPr>
        <w:tc>
          <w:tcPr>
            <w:tcW w:w="0" w:type="auto"/>
            <w:gridSpan w:val="2"/>
            <w:shd w:val="clear" w:color="auto" w:fill="auto"/>
            <w:tcMar>
              <w:top w:w="15" w:type="dxa"/>
              <w:left w:w="108" w:type="dxa"/>
              <w:bottom w:w="0" w:type="dxa"/>
              <w:right w:w="108" w:type="dxa"/>
            </w:tcMar>
            <w:vAlign w:val="center"/>
            <w:hideMark/>
          </w:tcPr>
          <w:p w14:paraId="06B15C78"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Parameter</w:t>
            </w:r>
          </w:p>
        </w:tc>
        <w:tc>
          <w:tcPr>
            <w:tcW w:w="2798" w:type="dxa"/>
            <w:gridSpan w:val="2"/>
            <w:shd w:val="clear" w:color="auto" w:fill="auto"/>
            <w:tcMar>
              <w:top w:w="15" w:type="dxa"/>
              <w:left w:w="108" w:type="dxa"/>
              <w:bottom w:w="0" w:type="dxa"/>
              <w:right w:w="108" w:type="dxa"/>
            </w:tcMar>
            <w:vAlign w:val="center"/>
            <w:hideMark/>
          </w:tcPr>
          <w:p w14:paraId="5D3524A9"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Distribution</w:t>
            </w:r>
          </w:p>
        </w:tc>
      </w:tr>
      <w:tr w:rsidR="003F3ABB" w:rsidRPr="003F3ABB" w14:paraId="5EBE40A5" w14:textId="77777777" w:rsidTr="00002DB2">
        <w:trPr>
          <w:trHeight w:hRule="exact" w:val="288"/>
          <w:jc w:val="center"/>
        </w:trPr>
        <w:tc>
          <w:tcPr>
            <w:tcW w:w="0" w:type="auto"/>
            <w:vMerge w:val="restart"/>
            <w:shd w:val="clear" w:color="auto" w:fill="auto"/>
            <w:tcMar>
              <w:top w:w="15" w:type="dxa"/>
              <w:left w:w="108" w:type="dxa"/>
              <w:bottom w:w="0" w:type="dxa"/>
              <w:right w:w="108" w:type="dxa"/>
            </w:tcMar>
            <w:vAlign w:val="center"/>
            <w:hideMark/>
          </w:tcPr>
          <w:p w14:paraId="69260A02"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Subcatchment</w:t>
            </w:r>
          </w:p>
        </w:tc>
        <w:tc>
          <w:tcPr>
            <w:tcW w:w="0" w:type="auto"/>
            <w:shd w:val="clear" w:color="auto" w:fill="auto"/>
            <w:tcMar>
              <w:top w:w="15" w:type="dxa"/>
              <w:left w:w="108" w:type="dxa"/>
              <w:bottom w:w="0" w:type="dxa"/>
              <w:right w:w="108" w:type="dxa"/>
            </w:tcMar>
            <w:vAlign w:val="center"/>
            <w:hideMark/>
          </w:tcPr>
          <w:p w14:paraId="735AECE7"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Area*</w:t>
            </w:r>
          </w:p>
        </w:tc>
        <w:tc>
          <w:tcPr>
            <w:tcW w:w="1358" w:type="dxa"/>
            <w:tcBorders>
              <w:right w:val="nil"/>
            </w:tcBorders>
            <w:shd w:val="clear" w:color="auto" w:fill="auto"/>
            <w:tcMar>
              <w:top w:w="15" w:type="dxa"/>
              <w:left w:w="108" w:type="dxa"/>
              <w:bottom w:w="0" w:type="dxa"/>
              <w:right w:w="108" w:type="dxa"/>
            </w:tcMar>
            <w:vAlign w:val="center"/>
            <w:hideMark/>
          </w:tcPr>
          <w:p w14:paraId="023F55A1"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 xml:space="preserve">Lognormal       </w:t>
            </w:r>
          </w:p>
        </w:tc>
        <w:tc>
          <w:tcPr>
            <w:tcW w:w="1440" w:type="dxa"/>
            <w:tcBorders>
              <w:left w:val="nil"/>
            </w:tcBorders>
            <w:shd w:val="clear" w:color="auto" w:fill="auto"/>
            <w:vAlign w:val="center"/>
          </w:tcPr>
          <w:p w14:paraId="52C4B0C4"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(Area, 0.33)</w:t>
            </w:r>
          </w:p>
        </w:tc>
      </w:tr>
      <w:tr w:rsidR="003F3ABB" w:rsidRPr="003F3ABB" w14:paraId="72BCA1FF" w14:textId="77777777" w:rsidTr="00002DB2">
        <w:trPr>
          <w:trHeight w:hRule="exact" w:val="288"/>
          <w:jc w:val="center"/>
        </w:trPr>
        <w:tc>
          <w:tcPr>
            <w:tcW w:w="0" w:type="auto"/>
            <w:vMerge/>
            <w:shd w:val="clear" w:color="auto" w:fill="auto"/>
            <w:vAlign w:val="center"/>
            <w:hideMark/>
          </w:tcPr>
          <w:p w14:paraId="43C2EAEF" w14:textId="77777777" w:rsidR="003F3ABB" w:rsidRPr="003F3ABB" w:rsidRDefault="003F3ABB" w:rsidP="00AF1C8B">
            <w:pPr>
              <w:spacing w:line="480" w:lineRule="auto"/>
              <w:jc w:val="center"/>
              <w:rPr>
                <w:rFonts w:ascii="Calibri" w:hAnsi="Calibri" w:cs="Calibri"/>
                <w:w w:val="108"/>
                <w:sz w:val="18"/>
                <w:szCs w:val="18"/>
              </w:rPr>
            </w:pPr>
          </w:p>
        </w:tc>
        <w:tc>
          <w:tcPr>
            <w:tcW w:w="0" w:type="auto"/>
            <w:shd w:val="clear" w:color="auto" w:fill="auto"/>
            <w:tcMar>
              <w:top w:w="15" w:type="dxa"/>
              <w:left w:w="108" w:type="dxa"/>
              <w:bottom w:w="0" w:type="dxa"/>
              <w:right w:w="108" w:type="dxa"/>
            </w:tcMar>
            <w:vAlign w:val="center"/>
            <w:hideMark/>
          </w:tcPr>
          <w:p w14:paraId="27BBA95E"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Width*</w:t>
            </w:r>
          </w:p>
        </w:tc>
        <w:tc>
          <w:tcPr>
            <w:tcW w:w="1358" w:type="dxa"/>
            <w:tcBorders>
              <w:right w:val="nil"/>
            </w:tcBorders>
            <w:shd w:val="clear" w:color="auto" w:fill="auto"/>
            <w:tcMar>
              <w:top w:w="15" w:type="dxa"/>
              <w:left w:w="108" w:type="dxa"/>
              <w:bottom w:w="0" w:type="dxa"/>
              <w:right w:w="108" w:type="dxa"/>
            </w:tcMar>
            <w:vAlign w:val="center"/>
            <w:hideMark/>
          </w:tcPr>
          <w:p w14:paraId="655D4D1E"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Lognormal</w:t>
            </w:r>
          </w:p>
        </w:tc>
        <w:tc>
          <w:tcPr>
            <w:tcW w:w="1440" w:type="dxa"/>
            <w:tcBorders>
              <w:left w:val="nil"/>
            </w:tcBorders>
          </w:tcPr>
          <w:p w14:paraId="47646D29"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(Width, 0.33)</w:t>
            </w:r>
          </w:p>
        </w:tc>
      </w:tr>
      <w:tr w:rsidR="003F3ABB" w:rsidRPr="003F3ABB" w14:paraId="35309C70" w14:textId="77777777" w:rsidTr="00002DB2">
        <w:trPr>
          <w:trHeight w:hRule="exact" w:val="288"/>
          <w:jc w:val="center"/>
        </w:trPr>
        <w:tc>
          <w:tcPr>
            <w:tcW w:w="0" w:type="auto"/>
            <w:vMerge/>
            <w:shd w:val="clear" w:color="auto" w:fill="auto"/>
            <w:vAlign w:val="center"/>
            <w:hideMark/>
          </w:tcPr>
          <w:p w14:paraId="499FA740" w14:textId="77777777" w:rsidR="003F3ABB" w:rsidRPr="003F3ABB" w:rsidRDefault="003F3ABB" w:rsidP="00AF1C8B">
            <w:pPr>
              <w:spacing w:line="480" w:lineRule="auto"/>
              <w:jc w:val="center"/>
              <w:rPr>
                <w:rFonts w:ascii="Calibri" w:hAnsi="Calibri" w:cs="Calibri"/>
                <w:w w:val="108"/>
                <w:sz w:val="18"/>
                <w:szCs w:val="18"/>
              </w:rPr>
            </w:pPr>
          </w:p>
        </w:tc>
        <w:tc>
          <w:tcPr>
            <w:tcW w:w="0" w:type="auto"/>
            <w:shd w:val="clear" w:color="auto" w:fill="auto"/>
            <w:tcMar>
              <w:top w:w="15" w:type="dxa"/>
              <w:left w:w="108" w:type="dxa"/>
              <w:bottom w:w="0" w:type="dxa"/>
              <w:right w:w="108" w:type="dxa"/>
            </w:tcMar>
            <w:vAlign w:val="center"/>
            <w:hideMark/>
          </w:tcPr>
          <w:p w14:paraId="0CE02695"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Imperviousness*(Imper)</w:t>
            </w:r>
          </w:p>
        </w:tc>
        <w:tc>
          <w:tcPr>
            <w:tcW w:w="1358" w:type="dxa"/>
            <w:tcBorders>
              <w:right w:val="nil"/>
            </w:tcBorders>
            <w:shd w:val="clear" w:color="auto" w:fill="auto"/>
            <w:tcMar>
              <w:top w:w="15" w:type="dxa"/>
              <w:left w:w="108" w:type="dxa"/>
              <w:bottom w:w="0" w:type="dxa"/>
              <w:right w:w="108" w:type="dxa"/>
            </w:tcMar>
            <w:vAlign w:val="center"/>
            <w:hideMark/>
          </w:tcPr>
          <w:p w14:paraId="0E34DDED"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Lognormal</w:t>
            </w:r>
          </w:p>
        </w:tc>
        <w:tc>
          <w:tcPr>
            <w:tcW w:w="1440" w:type="dxa"/>
            <w:tcBorders>
              <w:left w:val="nil"/>
            </w:tcBorders>
          </w:tcPr>
          <w:p w14:paraId="1D327EA1"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(Imper, 0.24)</w:t>
            </w:r>
          </w:p>
        </w:tc>
      </w:tr>
      <w:tr w:rsidR="003F3ABB" w:rsidRPr="003F3ABB" w14:paraId="7E7C8295" w14:textId="77777777" w:rsidTr="00002DB2">
        <w:trPr>
          <w:trHeight w:hRule="exact" w:val="288"/>
          <w:jc w:val="center"/>
        </w:trPr>
        <w:tc>
          <w:tcPr>
            <w:tcW w:w="0" w:type="auto"/>
            <w:vMerge/>
            <w:shd w:val="clear" w:color="auto" w:fill="auto"/>
            <w:vAlign w:val="center"/>
            <w:hideMark/>
          </w:tcPr>
          <w:p w14:paraId="24EE4623" w14:textId="77777777" w:rsidR="003F3ABB" w:rsidRPr="003F3ABB" w:rsidRDefault="003F3ABB" w:rsidP="00AF1C8B">
            <w:pPr>
              <w:spacing w:line="480" w:lineRule="auto"/>
              <w:jc w:val="center"/>
              <w:rPr>
                <w:rFonts w:ascii="Calibri" w:hAnsi="Calibri" w:cs="Calibri"/>
                <w:w w:val="108"/>
                <w:sz w:val="18"/>
                <w:szCs w:val="18"/>
              </w:rPr>
            </w:pPr>
          </w:p>
        </w:tc>
        <w:tc>
          <w:tcPr>
            <w:tcW w:w="0" w:type="auto"/>
            <w:shd w:val="clear" w:color="auto" w:fill="auto"/>
            <w:tcMar>
              <w:top w:w="15" w:type="dxa"/>
              <w:left w:w="108" w:type="dxa"/>
              <w:bottom w:w="0" w:type="dxa"/>
              <w:right w:w="108" w:type="dxa"/>
            </w:tcMar>
            <w:vAlign w:val="center"/>
            <w:hideMark/>
          </w:tcPr>
          <w:p w14:paraId="64057133"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Slope*</w:t>
            </w:r>
          </w:p>
        </w:tc>
        <w:tc>
          <w:tcPr>
            <w:tcW w:w="1358" w:type="dxa"/>
            <w:tcBorders>
              <w:right w:val="nil"/>
            </w:tcBorders>
            <w:shd w:val="clear" w:color="auto" w:fill="auto"/>
            <w:tcMar>
              <w:top w:w="15" w:type="dxa"/>
              <w:left w:w="108" w:type="dxa"/>
              <w:bottom w:w="0" w:type="dxa"/>
              <w:right w:w="108" w:type="dxa"/>
            </w:tcMar>
            <w:vAlign w:val="center"/>
            <w:hideMark/>
          </w:tcPr>
          <w:p w14:paraId="3FD48C1E"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Lognormal</w:t>
            </w:r>
          </w:p>
        </w:tc>
        <w:tc>
          <w:tcPr>
            <w:tcW w:w="1440" w:type="dxa"/>
            <w:tcBorders>
              <w:left w:val="nil"/>
            </w:tcBorders>
          </w:tcPr>
          <w:p w14:paraId="58102587"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(Slope, 0.51)</w:t>
            </w:r>
          </w:p>
        </w:tc>
      </w:tr>
      <w:tr w:rsidR="003F3ABB" w:rsidRPr="003F3ABB" w14:paraId="5F9CBF91" w14:textId="77777777" w:rsidTr="00002DB2">
        <w:trPr>
          <w:trHeight w:hRule="exact" w:val="288"/>
          <w:jc w:val="center"/>
        </w:trPr>
        <w:tc>
          <w:tcPr>
            <w:tcW w:w="0" w:type="auto"/>
            <w:vMerge/>
            <w:shd w:val="clear" w:color="auto" w:fill="auto"/>
            <w:vAlign w:val="center"/>
            <w:hideMark/>
          </w:tcPr>
          <w:p w14:paraId="09AA8678" w14:textId="77777777" w:rsidR="003F3ABB" w:rsidRPr="003F3ABB" w:rsidRDefault="003F3ABB" w:rsidP="00AF1C8B">
            <w:pPr>
              <w:spacing w:line="480" w:lineRule="auto"/>
              <w:jc w:val="center"/>
              <w:rPr>
                <w:rFonts w:ascii="Calibri" w:hAnsi="Calibri" w:cs="Calibri"/>
                <w:w w:val="108"/>
                <w:sz w:val="18"/>
                <w:szCs w:val="18"/>
              </w:rPr>
            </w:pPr>
          </w:p>
        </w:tc>
        <w:tc>
          <w:tcPr>
            <w:tcW w:w="0" w:type="auto"/>
            <w:shd w:val="clear" w:color="auto" w:fill="auto"/>
            <w:tcMar>
              <w:top w:w="15" w:type="dxa"/>
              <w:left w:w="108" w:type="dxa"/>
              <w:bottom w:w="0" w:type="dxa"/>
              <w:right w:w="108" w:type="dxa"/>
            </w:tcMar>
            <w:vAlign w:val="center"/>
            <w:hideMark/>
          </w:tcPr>
          <w:p w14:paraId="6DF55247"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Impervious N*(N-imp)</w:t>
            </w:r>
          </w:p>
        </w:tc>
        <w:tc>
          <w:tcPr>
            <w:tcW w:w="1358" w:type="dxa"/>
            <w:tcBorders>
              <w:right w:val="nil"/>
            </w:tcBorders>
            <w:shd w:val="clear" w:color="auto" w:fill="auto"/>
            <w:tcMar>
              <w:top w:w="15" w:type="dxa"/>
              <w:left w:w="108" w:type="dxa"/>
              <w:bottom w:w="0" w:type="dxa"/>
              <w:right w:w="108" w:type="dxa"/>
            </w:tcMar>
            <w:vAlign w:val="center"/>
            <w:hideMark/>
          </w:tcPr>
          <w:p w14:paraId="77625FD5"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Lognormal</w:t>
            </w:r>
          </w:p>
        </w:tc>
        <w:tc>
          <w:tcPr>
            <w:tcW w:w="1440" w:type="dxa"/>
            <w:tcBorders>
              <w:left w:val="nil"/>
            </w:tcBorders>
          </w:tcPr>
          <w:p w14:paraId="140359E7"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(N-imp, 0.559)</w:t>
            </w:r>
          </w:p>
        </w:tc>
      </w:tr>
      <w:tr w:rsidR="003F3ABB" w:rsidRPr="003F3ABB" w14:paraId="2F71FD13" w14:textId="77777777" w:rsidTr="00002DB2">
        <w:trPr>
          <w:trHeight w:hRule="exact" w:val="288"/>
          <w:jc w:val="center"/>
        </w:trPr>
        <w:tc>
          <w:tcPr>
            <w:tcW w:w="0" w:type="auto"/>
            <w:vMerge/>
            <w:shd w:val="clear" w:color="auto" w:fill="auto"/>
            <w:vAlign w:val="center"/>
            <w:hideMark/>
          </w:tcPr>
          <w:p w14:paraId="1B6E16EA" w14:textId="77777777" w:rsidR="003F3ABB" w:rsidRPr="003F3ABB" w:rsidRDefault="003F3ABB" w:rsidP="00AF1C8B">
            <w:pPr>
              <w:spacing w:line="480" w:lineRule="auto"/>
              <w:jc w:val="center"/>
              <w:rPr>
                <w:rFonts w:ascii="Calibri" w:hAnsi="Calibri" w:cs="Calibri"/>
                <w:w w:val="108"/>
                <w:sz w:val="18"/>
                <w:szCs w:val="18"/>
              </w:rPr>
            </w:pPr>
          </w:p>
        </w:tc>
        <w:tc>
          <w:tcPr>
            <w:tcW w:w="0" w:type="auto"/>
            <w:shd w:val="clear" w:color="auto" w:fill="auto"/>
            <w:tcMar>
              <w:top w:w="15" w:type="dxa"/>
              <w:left w:w="108" w:type="dxa"/>
              <w:bottom w:w="0" w:type="dxa"/>
              <w:right w:w="108" w:type="dxa"/>
            </w:tcMar>
            <w:vAlign w:val="center"/>
            <w:hideMark/>
          </w:tcPr>
          <w:p w14:paraId="6971BE6F"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Pervious N*(N-perv)</w:t>
            </w:r>
          </w:p>
        </w:tc>
        <w:tc>
          <w:tcPr>
            <w:tcW w:w="1358" w:type="dxa"/>
            <w:tcBorders>
              <w:right w:val="nil"/>
            </w:tcBorders>
            <w:shd w:val="clear" w:color="auto" w:fill="auto"/>
            <w:tcMar>
              <w:top w:w="15" w:type="dxa"/>
              <w:left w:w="108" w:type="dxa"/>
              <w:bottom w:w="0" w:type="dxa"/>
              <w:right w:w="108" w:type="dxa"/>
            </w:tcMar>
            <w:vAlign w:val="center"/>
            <w:hideMark/>
          </w:tcPr>
          <w:p w14:paraId="4BA3A7B4"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Lognormal</w:t>
            </w:r>
          </w:p>
        </w:tc>
        <w:tc>
          <w:tcPr>
            <w:tcW w:w="1440" w:type="dxa"/>
            <w:tcBorders>
              <w:left w:val="nil"/>
            </w:tcBorders>
          </w:tcPr>
          <w:p w14:paraId="60657623"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(N-perv, 0.0867)</w:t>
            </w:r>
          </w:p>
        </w:tc>
      </w:tr>
      <w:tr w:rsidR="003F3ABB" w:rsidRPr="003F3ABB" w14:paraId="38351B33" w14:textId="77777777" w:rsidTr="00002DB2">
        <w:trPr>
          <w:trHeight w:hRule="exact" w:val="288"/>
          <w:jc w:val="center"/>
        </w:trPr>
        <w:tc>
          <w:tcPr>
            <w:tcW w:w="0" w:type="auto"/>
            <w:vMerge/>
            <w:shd w:val="clear" w:color="auto" w:fill="auto"/>
            <w:vAlign w:val="center"/>
            <w:hideMark/>
          </w:tcPr>
          <w:p w14:paraId="43068C02" w14:textId="77777777" w:rsidR="003F3ABB" w:rsidRPr="003F3ABB" w:rsidRDefault="003F3ABB" w:rsidP="00AF1C8B">
            <w:pPr>
              <w:spacing w:line="480" w:lineRule="auto"/>
              <w:jc w:val="center"/>
              <w:rPr>
                <w:rFonts w:ascii="Calibri" w:hAnsi="Calibri" w:cs="Calibri"/>
                <w:w w:val="108"/>
                <w:sz w:val="18"/>
                <w:szCs w:val="18"/>
              </w:rPr>
            </w:pPr>
          </w:p>
        </w:tc>
        <w:tc>
          <w:tcPr>
            <w:tcW w:w="0" w:type="auto"/>
            <w:shd w:val="clear" w:color="auto" w:fill="auto"/>
            <w:tcMar>
              <w:top w:w="15" w:type="dxa"/>
              <w:left w:w="108" w:type="dxa"/>
              <w:bottom w:w="0" w:type="dxa"/>
              <w:right w:w="108" w:type="dxa"/>
            </w:tcMar>
            <w:vAlign w:val="center"/>
            <w:hideMark/>
          </w:tcPr>
          <w:p w14:paraId="6D35F4DA"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Impervious D*(D-imper)</w:t>
            </w:r>
          </w:p>
        </w:tc>
        <w:tc>
          <w:tcPr>
            <w:tcW w:w="1358" w:type="dxa"/>
            <w:tcBorders>
              <w:right w:val="nil"/>
            </w:tcBorders>
            <w:shd w:val="clear" w:color="auto" w:fill="auto"/>
            <w:tcMar>
              <w:top w:w="15" w:type="dxa"/>
              <w:left w:w="108" w:type="dxa"/>
              <w:bottom w:w="0" w:type="dxa"/>
              <w:right w:w="108" w:type="dxa"/>
            </w:tcMar>
            <w:vAlign w:val="center"/>
            <w:hideMark/>
          </w:tcPr>
          <w:p w14:paraId="49FF3E04"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Uniform</w:t>
            </w:r>
          </w:p>
        </w:tc>
        <w:tc>
          <w:tcPr>
            <w:tcW w:w="1440" w:type="dxa"/>
            <w:tcBorders>
              <w:left w:val="nil"/>
            </w:tcBorders>
          </w:tcPr>
          <w:p w14:paraId="5FFAEBCE"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(0.05, 0.1)</w:t>
            </w:r>
          </w:p>
        </w:tc>
      </w:tr>
      <w:tr w:rsidR="003F3ABB" w:rsidRPr="003F3ABB" w14:paraId="334514A4" w14:textId="77777777" w:rsidTr="00002DB2">
        <w:trPr>
          <w:trHeight w:hRule="exact" w:val="288"/>
          <w:jc w:val="center"/>
        </w:trPr>
        <w:tc>
          <w:tcPr>
            <w:tcW w:w="0" w:type="auto"/>
            <w:vMerge/>
            <w:shd w:val="clear" w:color="auto" w:fill="auto"/>
            <w:vAlign w:val="center"/>
            <w:hideMark/>
          </w:tcPr>
          <w:p w14:paraId="68613370" w14:textId="77777777" w:rsidR="003F3ABB" w:rsidRPr="003F3ABB" w:rsidRDefault="003F3ABB" w:rsidP="00AF1C8B">
            <w:pPr>
              <w:spacing w:line="480" w:lineRule="auto"/>
              <w:jc w:val="center"/>
              <w:rPr>
                <w:rFonts w:ascii="Calibri" w:hAnsi="Calibri" w:cs="Calibri"/>
                <w:w w:val="108"/>
                <w:sz w:val="18"/>
                <w:szCs w:val="18"/>
              </w:rPr>
            </w:pPr>
          </w:p>
        </w:tc>
        <w:tc>
          <w:tcPr>
            <w:tcW w:w="0" w:type="auto"/>
            <w:shd w:val="clear" w:color="auto" w:fill="auto"/>
            <w:tcMar>
              <w:top w:w="15" w:type="dxa"/>
              <w:left w:w="108" w:type="dxa"/>
              <w:bottom w:w="0" w:type="dxa"/>
              <w:right w:w="108" w:type="dxa"/>
            </w:tcMar>
            <w:vAlign w:val="center"/>
            <w:hideMark/>
          </w:tcPr>
          <w:p w14:paraId="73FF4D90"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Pervious D*(D-perv)</w:t>
            </w:r>
          </w:p>
        </w:tc>
        <w:tc>
          <w:tcPr>
            <w:tcW w:w="1358" w:type="dxa"/>
            <w:tcBorders>
              <w:right w:val="nil"/>
            </w:tcBorders>
            <w:shd w:val="clear" w:color="auto" w:fill="auto"/>
            <w:tcMar>
              <w:top w:w="15" w:type="dxa"/>
              <w:left w:w="108" w:type="dxa"/>
              <w:bottom w:w="0" w:type="dxa"/>
              <w:right w:w="108" w:type="dxa"/>
            </w:tcMar>
            <w:vAlign w:val="center"/>
            <w:hideMark/>
          </w:tcPr>
          <w:p w14:paraId="244F9383"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Lognormal</w:t>
            </w:r>
          </w:p>
        </w:tc>
        <w:tc>
          <w:tcPr>
            <w:tcW w:w="1440" w:type="dxa"/>
            <w:tcBorders>
              <w:left w:val="nil"/>
            </w:tcBorders>
          </w:tcPr>
          <w:p w14:paraId="1BDAC85B"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(D-perv, 0.369)</w:t>
            </w:r>
          </w:p>
        </w:tc>
      </w:tr>
      <w:tr w:rsidR="003F3ABB" w:rsidRPr="003F3ABB" w14:paraId="371D4F3D" w14:textId="77777777" w:rsidTr="00002DB2">
        <w:trPr>
          <w:trHeight w:hRule="exact" w:val="288"/>
          <w:jc w:val="center"/>
        </w:trPr>
        <w:tc>
          <w:tcPr>
            <w:tcW w:w="0" w:type="auto"/>
            <w:vMerge w:val="restart"/>
            <w:shd w:val="clear" w:color="auto" w:fill="auto"/>
            <w:tcMar>
              <w:top w:w="15" w:type="dxa"/>
              <w:left w:w="108" w:type="dxa"/>
              <w:bottom w:w="0" w:type="dxa"/>
              <w:right w:w="108" w:type="dxa"/>
            </w:tcMar>
            <w:vAlign w:val="center"/>
            <w:hideMark/>
          </w:tcPr>
          <w:p w14:paraId="7C359949"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Infiltration (Horton)</w:t>
            </w:r>
          </w:p>
        </w:tc>
        <w:tc>
          <w:tcPr>
            <w:tcW w:w="0" w:type="auto"/>
            <w:shd w:val="clear" w:color="auto" w:fill="auto"/>
            <w:tcMar>
              <w:top w:w="15" w:type="dxa"/>
              <w:left w:w="108" w:type="dxa"/>
              <w:bottom w:w="0" w:type="dxa"/>
              <w:right w:w="108" w:type="dxa"/>
            </w:tcMar>
            <w:vAlign w:val="center"/>
            <w:hideMark/>
          </w:tcPr>
          <w:p w14:paraId="2F469130"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Maximum infiltration rate*(</w:t>
            </w:r>
            <w:proofErr w:type="spellStart"/>
            <w:r w:rsidRPr="003F3ABB">
              <w:rPr>
                <w:rFonts w:ascii="Calibri" w:hAnsi="Calibri" w:cs="Calibri"/>
                <w:w w:val="108"/>
                <w:sz w:val="18"/>
                <w:szCs w:val="18"/>
              </w:rPr>
              <w:t>MaxIR</w:t>
            </w:r>
            <w:proofErr w:type="spellEnd"/>
            <w:r w:rsidRPr="003F3ABB">
              <w:rPr>
                <w:rFonts w:ascii="Calibri" w:hAnsi="Calibri" w:cs="Calibri"/>
                <w:w w:val="108"/>
                <w:sz w:val="18"/>
                <w:szCs w:val="18"/>
              </w:rPr>
              <w:t>)</w:t>
            </w:r>
          </w:p>
        </w:tc>
        <w:tc>
          <w:tcPr>
            <w:tcW w:w="1358" w:type="dxa"/>
            <w:tcBorders>
              <w:right w:val="nil"/>
            </w:tcBorders>
            <w:shd w:val="clear" w:color="auto" w:fill="auto"/>
            <w:tcMar>
              <w:top w:w="15" w:type="dxa"/>
              <w:left w:w="108" w:type="dxa"/>
              <w:bottom w:w="0" w:type="dxa"/>
              <w:right w:w="108" w:type="dxa"/>
            </w:tcMar>
            <w:vAlign w:val="center"/>
            <w:hideMark/>
          </w:tcPr>
          <w:p w14:paraId="413CA818"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Uniform</w:t>
            </w:r>
          </w:p>
        </w:tc>
        <w:tc>
          <w:tcPr>
            <w:tcW w:w="1440" w:type="dxa"/>
            <w:tcBorders>
              <w:left w:val="nil"/>
            </w:tcBorders>
          </w:tcPr>
          <w:p w14:paraId="4F096966"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(4, 8)</w:t>
            </w:r>
          </w:p>
        </w:tc>
      </w:tr>
      <w:tr w:rsidR="003F3ABB" w:rsidRPr="003F3ABB" w14:paraId="0C55B6BC" w14:textId="77777777" w:rsidTr="00002DB2">
        <w:trPr>
          <w:trHeight w:hRule="exact" w:val="288"/>
          <w:jc w:val="center"/>
        </w:trPr>
        <w:tc>
          <w:tcPr>
            <w:tcW w:w="0" w:type="auto"/>
            <w:vMerge/>
            <w:shd w:val="clear" w:color="auto" w:fill="auto"/>
            <w:vAlign w:val="center"/>
            <w:hideMark/>
          </w:tcPr>
          <w:p w14:paraId="7A75A130" w14:textId="77777777" w:rsidR="003F3ABB" w:rsidRPr="003F3ABB" w:rsidRDefault="003F3ABB" w:rsidP="00AF1C8B">
            <w:pPr>
              <w:spacing w:line="480" w:lineRule="auto"/>
              <w:jc w:val="center"/>
              <w:rPr>
                <w:rFonts w:ascii="Calibri" w:hAnsi="Calibri" w:cs="Calibri"/>
                <w:w w:val="108"/>
                <w:sz w:val="18"/>
                <w:szCs w:val="18"/>
              </w:rPr>
            </w:pPr>
          </w:p>
        </w:tc>
        <w:tc>
          <w:tcPr>
            <w:tcW w:w="0" w:type="auto"/>
            <w:shd w:val="clear" w:color="auto" w:fill="auto"/>
            <w:tcMar>
              <w:top w:w="15" w:type="dxa"/>
              <w:left w:w="108" w:type="dxa"/>
              <w:bottom w:w="0" w:type="dxa"/>
              <w:right w:w="108" w:type="dxa"/>
            </w:tcMar>
            <w:vAlign w:val="center"/>
            <w:hideMark/>
          </w:tcPr>
          <w:p w14:paraId="0DB599F7"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Minimum infiltration rate*(</w:t>
            </w:r>
            <w:proofErr w:type="spellStart"/>
            <w:r w:rsidRPr="003F3ABB">
              <w:rPr>
                <w:rFonts w:ascii="Calibri" w:hAnsi="Calibri" w:cs="Calibri"/>
                <w:w w:val="108"/>
                <w:sz w:val="18"/>
                <w:szCs w:val="18"/>
              </w:rPr>
              <w:t>MinIR</w:t>
            </w:r>
            <w:proofErr w:type="spellEnd"/>
            <w:r w:rsidRPr="003F3ABB">
              <w:rPr>
                <w:rFonts w:ascii="Calibri" w:hAnsi="Calibri" w:cs="Calibri"/>
                <w:w w:val="108"/>
                <w:sz w:val="18"/>
                <w:szCs w:val="18"/>
              </w:rPr>
              <w:t>)</w:t>
            </w:r>
          </w:p>
        </w:tc>
        <w:tc>
          <w:tcPr>
            <w:tcW w:w="1358" w:type="dxa"/>
            <w:tcBorders>
              <w:right w:val="nil"/>
            </w:tcBorders>
            <w:shd w:val="clear" w:color="auto" w:fill="auto"/>
            <w:tcMar>
              <w:top w:w="15" w:type="dxa"/>
              <w:left w:w="108" w:type="dxa"/>
              <w:bottom w:w="0" w:type="dxa"/>
              <w:right w:w="108" w:type="dxa"/>
            </w:tcMar>
            <w:vAlign w:val="center"/>
            <w:hideMark/>
          </w:tcPr>
          <w:p w14:paraId="0AE03F06"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Uniform</w:t>
            </w:r>
          </w:p>
        </w:tc>
        <w:tc>
          <w:tcPr>
            <w:tcW w:w="1440" w:type="dxa"/>
            <w:tcBorders>
              <w:left w:val="nil"/>
            </w:tcBorders>
          </w:tcPr>
          <w:p w14:paraId="57DE75B0"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(0.1, 0.3)</w:t>
            </w:r>
          </w:p>
        </w:tc>
      </w:tr>
      <w:tr w:rsidR="003F3ABB" w:rsidRPr="003F3ABB" w14:paraId="7293E649" w14:textId="77777777" w:rsidTr="00002DB2">
        <w:trPr>
          <w:trHeight w:hRule="exact" w:val="288"/>
          <w:jc w:val="center"/>
        </w:trPr>
        <w:tc>
          <w:tcPr>
            <w:tcW w:w="0" w:type="auto"/>
            <w:vMerge/>
            <w:shd w:val="clear" w:color="auto" w:fill="auto"/>
            <w:vAlign w:val="center"/>
            <w:hideMark/>
          </w:tcPr>
          <w:p w14:paraId="4F4FFCF3" w14:textId="77777777" w:rsidR="003F3ABB" w:rsidRPr="003F3ABB" w:rsidRDefault="003F3ABB" w:rsidP="00AF1C8B">
            <w:pPr>
              <w:spacing w:line="480" w:lineRule="auto"/>
              <w:jc w:val="center"/>
              <w:rPr>
                <w:rFonts w:ascii="Calibri" w:hAnsi="Calibri" w:cs="Calibri"/>
                <w:w w:val="108"/>
                <w:sz w:val="18"/>
                <w:szCs w:val="18"/>
              </w:rPr>
            </w:pPr>
          </w:p>
        </w:tc>
        <w:tc>
          <w:tcPr>
            <w:tcW w:w="0" w:type="auto"/>
            <w:shd w:val="clear" w:color="auto" w:fill="auto"/>
            <w:tcMar>
              <w:top w:w="15" w:type="dxa"/>
              <w:left w:w="108" w:type="dxa"/>
              <w:bottom w:w="0" w:type="dxa"/>
              <w:right w:w="108" w:type="dxa"/>
            </w:tcMar>
            <w:vAlign w:val="center"/>
            <w:hideMark/>
          </w:tcPr>
          <w:p w14:paraId="4AA7C806"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Decay rate*(Decay)</w:t>
            </w:r>
          </w:p>
        </w:tc>
        <w:tc>
          <w:tcPr>
            <w:tcW w:w="1358" w:type="dxa"/>
            <w:tcBorders>
              <w:right w:val="nil"/>
            </w:tcBorders>
            <w:shd w:val="clear" w:color="auto" w:fill="auto"/>
            <w:tcMar>
              <w:top w:w="15" w:type="dxa"/>
              <w:left w:w="108" w:type="dxa"/>
              <w:bottom w:w="0" w:type="dxa"/>
              <w:right w:w="108" w:type="dxa"/>
            </w:tcMar>
            <w:vAlign w:val="center"/>
            <w:hideMark/>
          </w:tcPr>
          <w:p w14:paraId="21B16E8A"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Uniform</w:t>
            </w:r>
          </w:p>
        </w:tc>
        <w:tc>
          <w:tcPr>
            <w:tcW w:w="1440" w:type="dxa"/>
            <w:tcBorders>
              <w:left w:val="nil"/>
            </w:tcBorders>
          </w:tcPr>
          <w:p w14:paraId="2EEA6E3D"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(2,7)</w:t>
            </w:r>
          </w:p>
        </w:tc>
      </w:tr>
      <w:tr w:rsidR="003F3ABB" w:rsidRPr="003F3ABB" w14:paraId="6396F80F" w14:textId="77777777" w:rsidTr="00002DB2">
        <w:trPr>
          <w:trHeight w:hRule="exact" w:val="288"/>
          <w:jc w:val="center"/>
        </w:trPr>
        <w:tc>
          <w:tcPr>
            <w:tcW w:w="0" w:type="auto"/>
            <w:vMerge w:val="restart"/>
            <w:shd w:val="clear" w:color="auto" w:fill="auto"/>
            <w:tcMar>
              <w:top w:w="15" w:type="dxa"/>
              <w:left w:w="108" w:type="dxa"/>
              <w:bottom w:w="0" w:type="dxa"/>
              <w:right w:w="108" w:type="dxa"/>
            </w:tcMar>
            <w:vAlign w:val="center"/>
            <w:hideMark/>
          </w:tcPr>
          <w:p w14:paraId="2EF66D57"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Sewer system</w:t>
            </w:r>
          </w:p>
        </w:tc>
        <w:tc>
          <w:tcPr>
            <w:tcW w:w="0" w:type="auto"/>
            <w:shd w:val="clear" w:color="auto" w:fill="auto"/>
            <w:tcMar>
              <w:top w:w="15" w:type="dxa"/>
              <w:left w:w="108" w:type="dxa"/>
              <w:bottom w:w="0" w:type="dxa"/>
              <w:right w:w="108" w:type="dxa"/>
            </w:tcMar>
            <w:vAlign w:val="center"/>
            <w:hideMark/>
          </w:tcPr>
          <w:p w14:paraId="3ECD6EF5"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Junction elevation</w:t>
            </w:r>
          </w:p>
        </w:tc>
        <w:tc>
          <w:tcPr>
            <w:tcW w:w="2798" w:type="dxa"/>
            <w:gridSpan w:val="2"/>
            <w:shd w:val="clear" w:color="auto" w:fill="auto"/>
            <w:tcMar>
              <w:top w:w="15" w:type="dxa"/>
              <w:left w:w="108" w:type="dxa"/>
              <w:bottom w:w="0" w:type="dxa"/>
              <w:right w:w="108" w:type="dxa"/>
            </w:tcMar>
            <w:vAlign w:val="center"/>
            <w:hideMark/>
          </w:tcPr>
          <w:p w14:paraId="6A268A5D"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N.A.</w:t>
            </w:r>
          </w:p>
        </w:tc>
      </w:tr>
      <w:tr w:rsidR="003F3ABB" w:rsidRPr="003F3ABB" w14:paraId="1E2CFA9A" w14:textId="77777777" w:rsidTr="00002DB2">
        <w:trPr>
          <w:trHeight w:hRule="exact" w:val="288"/>
          <w:jc w:val="center"/>
        </w:trPr>
        <w:tc>
          <w:tcPr>
            <w:tcW w:w="0" w:type="auto"/>
            <w:vMerge/>
            <w:shd w:val="clear" w:color="auto" w:fill="auto"/>
            <w:vAlign w:val="center"/>
            <w:hideMark/>
          </w:tcPr>
          <w:p w14:paraId="31B75554" w14:textId="77777777" w:rsidR="003F3ABB" w:rsidRPr="003F3ABB" w:rsidRDefault="003F3ABB" w:rsidP="00AF1C8B">
            <w:pPr>
              <w:spacing w:line="480" w:lineRule="auto"/>
              <w:jc w:val="center"/>
              <w:rPr>
                <w:rFonts w:ascii="Calibri" w:hAnsi="Calibri" w:cs="Calibri"/>
                <w:w w:val="108"/>
                <w:sz w:val="18"/>
                <w:szCs w:val="18"/>
              </w:rPr>
            </w:pPr>
          </w:p>
        </w:tc>
        <w:tc>
          <w:tcPr>
            <w:tcW w:w="0" w:type="auto"/>
            <w:shd w:val="clear" w:color="auto" w:fill="auto"/>
            <w:tcMar>
              <w:top w:w="15" w:type="dxa"/>
              <w:left w:w="108" w:type="dxa"/>
              <w:bottom w:w="0" w:type="dxa"/>
              <w:right w:w="108" w:type="dxa"/>
            </w:tcMar>
            <w:vAlign w:val="center"/>
            <w:hideMark/>
          </w:tcPr>
          <w:p w14:paraId="61515759"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Pipe length*</w:t>
            </w:r>
          </w:p>
        </w:tc>
        <w:tc>
          <w:tcPr>
            <w:tcW w:w="1358" w:type="dxa"/>
            <w:tcBorders>
              <w:right w:val="nil"/>
            </w:tcBorders>
            <w:shd w:val="clear" w:color="auto" w:fill="auto"/>
            <w:tcMar>
              <w:top w:w="15" w:type="dxa"/>
              <w:left w:w="108" w:type="dxa"/>
              <w:bottom w:w="0" w:type="dxa"/>
              <w:right w:w="108" w:type="dxa"/>
            </w:tcMar>
            <w:vAlign w:val="center"/>
            <w:hideMark/>
          </w:tcPr>
          <w:p w14:paraId="0890D763" w14:textId="77777777" w:rsidR="003F3ABB" w:rsidRPr="003F3ABB" w:rsidRDefault="003F3ABB" w:rsidP="00AF1C8B">
            <w:pPr>
              <w:spacing w:line="480" w:lineRule="auto"/>
              <w:jc w:val="center"/>
              <w:rPr>
                <w:rFonts w:ascii="Calibri" w:hAnsi="Calibri" w:cs="Calibri"/>
                <w:w w:val="108"/>
                <w:sz w:val="18"/>
                <w:szCs w:val="18"/>
                <w:highlight w:val="yellow"/>
              </w:rPr>
            </w:pPr>
            <w:r w:rsidRPr="003F3ABB">
              <w:rPr>
                <w:rFonts w:ascii="Calibri" w:hAnsi="Calibri" w:cs="Calibri"/>
                <w:w w:val="108"/>
                <w:sz w:val="18"/>
                <w:szCs w:val="18"/>
              </w:rPr>
              <w:t>Lognormal</w:t>
            </w:r>
          </w:p>
        </w:tc>
        <w:tc>
          <w:tcPr>
            <w:tcW w:w="1440" w:type="dxa"/>
            <w:tcBorders>
              <w:left w:val="nil"/>
            </w:tcBorders>
            <w:shd w:val="clear" w:color="auto" w:fill="auto"/>
          </w:tcPr>
          <w:p w14:paraId="37A3B394" w14:textId="77777777" w:rsidR="003F3ABB" w:rsidRPr="003F3ABB" w:rsidRDefault="003F3ABB" w:rsidP="00AF1C8B">
            <w:pPr>
              <w:spacing w:line="480" w:lineRule="auto"/>
              <w:jc w:val="center"/>
              <w:rPr>
                <w:rFonts w:ascii="Calibri" w:hAnsi="Calibri" w:cs="Calibri"/>
                <w:w w:val="108"/>
                <w:sz w:val="18"/>
                <w:szCs w:val="18"/>
                <w:highlight w:val="yellow"/>
              </w:rPr>
            </w:pPr>
            <w:r w:rsidRPr="003F3ABB">
              <w:rPr>
                <w:rFonts w:ascii="Calibri" w:hAnsi="Calibri" w:cs="Calibri"/>
                <w:w w:val="108"/>
                <w:sz w:val="18"/>
                <w:szCs w:val="18"/>
              </w:rPr>
              <w:t>(Length, 0.49)</w:t>
            </w:r>
          </w:p>
        </w:tc>
      </w:tr>
      <w:tr w:rsidR="003F3ABB" w:rsidRPr="003F3ABB" w14:paraId="297E867C" w14:textId="77777777" w:rsidTr="00002DB2">
        <w:trPr>
          <w:trHeight w:hRule="exact" w:val="288"/>
          <w:jc w:val="center"/>
        </w:trPr>
        <w:tc>
          <w:tcPr>
            <w:tcW w:w="0" w:type="auto"/>
            <w:vMerge/>
            <w:shd w:val="clear" w:color="auto" w:fill="auto"/>
            <w:vAlign w:val="center"/>
            <w:hideMark/>
          </w:tcPr>
          <w:p w14:paraId="3E96A483" w14:textId="77777777" w:rsidR="003F3ABB" w:rsidRPr="003F3ABB" w:rsidRDefault="003F3ABB" w:rsidP="00AF1C8B">
            <w:pPr>
              <w:spacing w:line="480" w:lineRule="auto"/>
              <w:jc w:val="center"/>
              <w:rPr>
                <w:rFonts w:ascii="Calibri" w:hAnsi="Calibri" w:cs="Calibri"/>
                <w:w w:val="108"/>
                <w:sz w:val="18"/>
                <w:szCs w:val="18"/>
              </w:rPr>
            </w:pPr>
          </w:p>
        </w:tc>
        <w:tc>
          <w:tcPr>
            <w:tcW w:w="0" w:type="auto"/>
            <w:shd w:val="clear" w:color="auto" w:fill="auto"/>
            <w:tcMar>
              <w:top w:w="15" w:type="dxa"/>
              <w:left w:w="108" w:type="dxa"/>
              <w:bottom w:w="0" w:type="dxa"/>
              <w:right w:w="108" w:type="dxa"/>
            </w:tcMar>
            <w:vAlign w:val="center"/>
            <w:hideMark/>
          </w:tcPr>
          <w:p w14:paraId="343202C4"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Roughness*</w:t>
            </w:r>
          </w:p>
        </w:tc>
        <w:tc>
          <w:tcPr>
            <w:tcW w:w="1358" w:type="dxa"/>
            <w:tcBorders>
              <w:right w:val="nil"/>
            </w:tcBorders>
            <w:shd w:val="clear" w:color="auto" w:fill="auto"/>
            <w:tcMar>
              <w:top w:w="15" w:type="dxa"/>
              <w:left w:w="108" w:type="dxa"/>
              <w:bottom w:w="0" w:type="dxa"/>
              <w:right w:w="108" w:type="dxa"/>
            </w:tcMar>
            <w:vAlign w:val="center"/>
            <w:hideMark/>
          </w:tcPr>
          <w:p w14:paraId="7DA0F67C"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Uniform</w:t>
            </w:r>
          </w:p>
        </w:tc>
        <w:tc>
          <w:tcPr>
            <w:tcW w:w="1440" w:type="dxa"/>
            <w:tcBorders>
              <w:left w:val="nil"/>
            </w:tcBorders>
          </w:tcPr>
          <w:p w14:paraId="231CF8B9"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(0.011, 0.015)</w:t>
            </w:r>
          </w:p>
        </w:tc>
      </w:tr>
      <w:tr w:rsidR="003F3ABB" w:rsidRPr="003F3ABB" w14:paraId="5C781B4B" w14:textId="77777777" w:rsidTr="00002DB2">
        <w:trPr>
          <w:trHeight w:hRule="exact" w:val="288"/>
          <w:jc w:val="center"/>
        </w:trPr>
        <w:tc>
          <w:tcPr>
            <w:tcW w:w="0" w:type="auto"/>
            <w:vMerge/>
            <w:shd w:val="clear" w:color="auto" w:fill="auto"/>
            <w:vAlign w:val="center"/>
            <w:hideMark/>
          </w:tcPr>
          <w:p w14:paraId="75F9FC24" w14:textId="77777777" w:rsidR="003F3ABB" w:rsidRPr="003F3ABB" w:rsidRDefault="003F3ABB" w:rsidP="00AF1C8B">
            <w:pPr>
              <w:spacing w:line="480" w:lineRule="auto"/>
              <w:jc w:val="center"/>
              <w:rPr>
                <w:rFonts w:ascii="Calibri" w:hAnsi="Calibri" w:cs="Calibri"/>
                <w:w w:val="108"/>
                <w:sz w:val="18"/>
                <w:szCs w:val="18"/>
              </w:rPr>
            </w:pPr>
          </w:p>
        </w:tc>
        <w:tc>
          <w:tcPr>
            <w:tcW w:w="0" w:type="auto"/>
            <w:shd w:val="clear" w:color="auto" w:fill="auto"/>
            <w:tcMar>
              <w:top w:w="15" w:type="dxa"/>
              <w:left w:w="108" w:type="dxa"/>
              <w:bottom w:w="0" w:type="dxa"/>
              <w:right w:w="108" w:type="dxa"/>
            </w:tcMar>
            <w:vAlign w:val="center"/>
            <w:hideMark/>
          </w:tcPr>
          <w:p w14:paraId="124ADAA8"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Shape</w:t>
            </w:r>
          </w:p>
        </w:tc>
        <w:tc>
          <w:tcPr>
            <w:tcW w:w="2798" w:type="dxa"/>
            <w:gridSpan w:val="2"/>
            <w:shd w:val="clear" w:color="auto" w:fill="auto"/>
            <w:tcMar>
              <w:top w:w="15" w:type="dxa"/>
              <w:left w:w="108" w:type="dxa"/>
              <w:bottom w:w="0" w:type="dxa"/>
              <w:right w:w="108" w:type="dxa"/>
            </w:tcMar>
            <w:vAlign w:val="center"/>
            <w:hideMark/>
          </w:tcPr>
          <w:p w14:paraId="5CB30FF5" w14:textId="77777777" w:rsidR="003F3ABB" w:rsidRPr="003F3ABB" w:rsidRDefault="003F3ABB" w:rsidP="00AF1C8B">
            <w:pPr>
              <w:spacing w:line="480" w:lineRule="auto"/>
              <w:jc w:val="center"/>
              <w:rPr>
                <w:rFonts w:ascii="Calibri" w:hAnsi="Calibri" w:cs="Calibri"/>
                <w:w w:val="108"/>
                <w:sz w:val="18"/>
                <w:szCs w:val="18"/>
                <w:highlight w:val="yellow"/>
              </w:rPr>
            </w:pPr>
            <w:r w:rsidRPr="003F3ABB">
              <w:rPr>
                <w:rFonts w:ascii="Calibri" w:hAnsi="Calibri" w:cs="Calibri"/>
                <w:w w:val="108"/>
                <w:sz w:val="18"/>
                <w:szCs w:val="18"/>
              </w:rPr>
              <w:t>N.A.</w:t>
            </w:r>
          </w:p>
        </w:tc>
      </w:tr>
      <w:tr w:rsidR="003F3ABB" w:rsidRPr="003F3ABB" w14:paraId="1524D190" w14:textId="77777777" w:rsidTr="00002DB2">
        <w:trPr>
          <w:trHeight w:hRule="exact" w:val="288"/>
          <w:jc w:val="center"/>
        </w:trPr>
        <w:tc>
          <w:tcPr>
            <w:tcW w:w="0" w:type="auto"/>
            <w:vMerge/>
            <w:shd w:val="clear" w:color="auto" w:fill="auto"/>
            <w:vAlign w:val="center"/>
            <w:hideMark/>
          </w:tcPr>
          <w:p w14:paraId="06BBFEAA" w14:textId="77777777" w:rsidR="003F3ABB" w:rsidRPr="003F3ABB" w:rsidRDefault="003F3ABB" w:rsidP="00AF1C8B">
            <w:pPr>
              <w:spacing w:line="480" w:lineRule="auto"/>
              <w:jc w:val="center"/>
              <w:rPr>
                <w:rFonts w:ascii="Calibri" w:hAnsi="Calibri" w:cs="Calibri"/>
                <w:w w:val="108"/>
                <w:sz w:val="18"/>
                <w:szCs w:val="18"/>
              </w:rPr>
            </w:pPr>
          </w:p>
        </w:tc>
        <w:tc>
          <w:tcPr>
            <w:tcW w:w="0" w:type="auto"/>
            <w:shd w:val="clear" w:color="auto" w:fill="auto"/>
            <w:tcMar>
              <w:top w:w="15" w:type="dxa"/>
              <w:left w:w="108" w:type="dxa"/>
              <w:bottom w:w="0" w:type="dxa"/>
              <w:right w:w="108" w:type="dxa"/>
            </w:tcMar>
            <w:vAlign w:val="center"/>
            <w:hideMark/>
          </w:tcPr>
          <w:p w14:paraId="7525813E"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Diameter*</w:t>
            </w:r>
          </w:p>
        </w:tc>
        <w:tc>
          <w:tcPr>
            <w:tcW w:w="1358" w:type="dxa"/>
            <w:tcBorders>
              <w:right w:val="nil"/>
            </w:tcBorders>
            <w:shd w:val="clear" w:color="auto" w:fill="auto"/>
            <w:tcMar>
              <w:top w:w="15" w:type="dxa"/>
              <w:left w:w="108" w:type="dxa"/>
              <w:bottom w:w="0" w:type="dxa"/>
              <w:right w:w="108" w:type="dxa"/>
            </w:tcMar>
            <w:vAlign w:val="center"/>
            <w:hideMark/>
          </w:tcPr>
          <w:p w14:paraId="3ADC1E49"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Lognormal</w:t>
            </w:r>
          </w:p>
        </w:tc>
        <w:tc>
          <w:tcPr>
            <w:tcW w:w="1440" w:type="dxa"/>
            <w:tcBorders>
              <w:left w:val="nil"/>
            </w:tcBorders>
            <w:shd w:val="clear" w:color="auto" w:fill="auto"/>
          </w:tcPr>
          <w:p w14:paraId="2982AC9D" w14:textId="77777777" w:rsidR="003F3ABB" w:rsidRPr="003F3ABB" w:rsidRDefault="003F3ABB" w:rsidP="00AF1C8B">
            <w:pPr>
              <w:spacing w:line="480" w:lineRule="auto"/>
              <w:jc w:val="center"/>
              <w:rPr>
                <w:rFonts w:ascii="Calibri" w:hAnsi="Calibri" w:cs="Calibri"/>
                <w:w w:val="108"/>
                <w:sz w:val="18"/>
                <w:szCs w:val="18"/>
                <w:lang w:eastAsia="zh-CN"/>
              </w:rPr>
            </w:pPr>
            <w:r w:rsidRPr="003F3ABB">
              <w:rPr>
                <w:rFonts w:ascii="Calibri" w:hAnsi="Calibri" w:cs="Calibri"/>
                <w:w w:val="108"/>
                <w:sz w:val="18"/>
                <w:szCs w:val="18"/>
              </w:rPr>
              <w:t>(8, 0.47)</w:t>
            </w:r>
          </w:p>
        </w:tc>
      </w:tr>
    </w:tbl>
    <w:p w14:paraId="40884293" w14:textId="77777777" w:rsidR="003F3ABB" w:rsidRPr="003F3ABB" w:rsidRDefault="003F3ABB" w:rsidP="00AF1C8B">
      <w:pPr>
        <w:spacing w:line="480" w:lineRule="auto"/>
        <w:rPr>
          <w:rFonts w:ascii="Calibri" w:hAnsi="Calibri" w:cs="Calibri"/>
          <w:w w:val="108"/>
          <w:sz w:val="18"/>
          <w:szCs w:val="18"/>
        </w:rPr>
        <w:sectPr w:rsidR="003F3ABB" w:rsidRPr="003F3ABB" w:rsidSect="00445A76">
          <w:type w:val="continuous"/>
          <w:pgSz w:w="11907" w:h="16840" w:code="9"/>
          <w:pgMar w:top="1009" w:right="851" w:bottom="1758" w:left="851" w:header="851" w:footer="1049" w:gutter="0"/>
          <w:lnNumType w:countBy="1" w:restart="continuous"/>
          <w:cols w:space="227"/>
          <w:titlePg/>
          <w:docGrid w:linePitch="360"/>
        </w:sectPr>
      </w:pPr>
      <w:r w:rsidRPr="003F3ABB">
        <w:rPr>
          <w:rFonts w:ascii="Calibri" w:hAnsi="Calibri" w:cs="Calibri"/>
          <w:w w:val="108"/>
          <w:sz w:val="18"/>
          <w:szCs w:val="18"/>
        </w:rPr>
        <w:t>Note: parameters with * are included in the sensitivity analysis; (a, b) for lognormal distribution: a – mean of lognormal distribution (the initial estimation for each model element), b – standard deviation of corresponding transformed normal distribution; (a, b) for uniform distribution: a – lower bound, b – upper bound.  As parameter values vary by subcatchment, the mean of the distribution is not reported here, rather the variable name is indicated.</w:t>
      </w:r>
    </w:p>
    <w:p w14:paraId="466EE342"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Statistical analysis of parameter influence on global model outputs may</w:t>
      </w:r>
      <w:r w:rsidRPr="003F3ABB">
        <w:rPr>
          <w:rFonts w:ascii="Calibri" w:hAnsi="Calibri" w:cs="Calibri"/>
          <w:w w:val="108"/>
          <w:sz w:val="18"/>
          <w:szCs w:val="18"/>
          <w:lang w:eastAsia="zh-CN"/>
        </w:rPr>
        <w:t xml:space="preserve"> overlook detailed parameter ranking information within each model element. </w:t>
      </w:r>
      <w:r w:rsidRPr="003F3ABB">
        <w:rPr>
          <w:rFonts w:ascii="Calibri" w:hAnsi="Calibri" w:cs="Calibri"/>
          <w:w w:val="108"/>
          <w:sz w:val="18"/>
          <w:szCs w:val="18"/>
        </w:rPr>
        <w:t>If the importance of parameters varies widely among subcatchments (and corresponding pipes), a single set of calibration parameters may result in poor performance for a large model with many subcatchments, such as the model considered here. Therefore, Cohen’s kappa statistic</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{"citationID":"QkWU4oul","properties":{"formattedCitation":"\\super 46\\nosupersub{}","plainCitation":"46","noteIndex":0},"citationItems":[{"id":224,"uris":["http://zotero.org/users/6556211/items/WYYX3N6U"],"uri":["http://zotero.org/users/6556211/items/WYYX3N6U"],"itemData":{"id":224,"type":"article-journal","container-title":"Educational and Psychological Measurement","DOI":"10.1177/001316446002000104","ISSN":"0013-1644, 1552-3888","issue":"1","journalAbbreviation":"Educational and Psychological Measurement","language":"en","page":"37-46","source":"DOI.org (Crossref)","title":"A Coefficient of Agreement for Nominal Scales","volume":"20","author":[{"family":"Cohen","given":"Jacob"}],"issued":{"date-parts":[["1960",4]]}}}],"schema":"https://github.com/citation-style-language/schema/raw/master/csl-citation.json"}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46</w:t>
      </w:r>
      <w:r w:rsidRPr="003F3ABB">
        <w:rPr>
          <w:rFonts w:ascii="Calibri" w:hAnsi="Calibri" w:cs="Calibri"/>
          <w:w w:val="108"/>
          <w:sz w:val="18"/>
          <w:szCs w:val="18"/>
        </w:rPr>
        <w:fldChar w:fldCharType="end"/>
      </w:r>
      <w:r w:rsidRPr="003F3ABB">
        <w:rPr>
          <w:rFonts w:ascii="Calibri" w:hAnsi="Calibri" w:cs="Calibri"/>
          <w:w w:val="108"/>
          <w:sz w:val="18"/>
          <w:szCs w:val="18"/>
        </w:rPr>
        <w:t xml:space="preserve">  was used to investigate the agreement of parameter importance ranks between any two subcatchments or pipes </w:t>
      </w:r>
      <w:r w:rsidRPr="003F3ABB">
        <w:rPr>
          <w:rFonts w:ascii="Calibri" w:hAnsi="Calibri" w:cs="Calibri"/>
          <w:w w:val="108"/>
          <w:sz w:val="18"/>
          <w:szCs w:val="18"/>
          <w:lang w:eastAsia="zh-CN"/>
        </w:rPr>
        <w:t>eq. (4)</w:t>
      </w:r>
      <w:r w:rsidRPr="003F3ABB">
        <w:rPr>
          <w:rFonts w:ascii="Calibri" w:hAnsi="Calibri" w:cs="Calibri"/>
          <w:w w:val="108"/>
          <w:sz w:val="18"/>
          <w:szCs w:val="18"/>
        </w:rPr>
        <w:t>.</w:t>
      </w:r>
    </w:p>
    <w:p w14:paraId="27113D5C" w14:textId="77777777" w:rsidR="003F3ABB" w:rsidRPr="003F3ABB" w:rsidRDefault="003F3ABB" w:rsidP="00AF1C8B">
      <w:pPr>
        <w:spacing w:line="480" w:lineRule="auto"/>
        <w:rPr>
          <w:rFonts w:ascii="Calibri" w:hAnsi="Calibri" w:cs="Calibri"/>
          <w:w w:val="108"/>
          <w:sz w:val="18"/>
          <w:szCs w:val="18"/>
        </w:rPr>
      </w:pPr>
      <m:oMath>
        <m:r>
          <w:rPr>
            <w:rFonts w:ascii="Cambria Math" w:hAnsi="Cambria Math" w:cs="Calibri"/>
            <w:w w:val="108"/>
            <w:sz w:val="18"/>
            <w:szCs w:val="18"/>
          </w:rPr>
          <m:t>κ</m:t>
        </m:r>
        <m:r>
          <w:rPr>
            <w:rFonts w:ascii="Cambria Math" w:hAnsi="Cambria Math" w:cs="Calibri"/>
            <w:w w:val="108"/>
            <w:sz w:val="18"/>
            <w:szCs w:val="18"/>
            <w:lang w:eastAsia="zh-CN"/>
          </w:rPr>
          <m:t>=</m:t>
        </m:r>
        <m:r>
          <w:rPr>
            <w:rFonts w:ascii="Cambria Math" w:hAnsi="Cambria Math" w:cs="Calibri"/>
            <w:w w:val="108"/>
            <w:sz w:val="18"/>
            <w:szCs w:val="18"/>
          </w:rPr>
          <m:t xml:space="preserve"> </m:t>
        </m:r>
        <m:f>
          <m:fPr>
            <m:ctrlPr>
              <w:rPr>
                <w:rFonts w:ascii="Cambria Math" w:hAnsi="Cambria Math" w:cs="Calibri"/>
                <w:i/>
                <w:w w:val="108"/>
                <w:sz w:val="18"/>
                <w:szCs w:val="18"/>
              </w:rPr>
            </m:ctrlPr>
          </m:fPr>
          <m:num>
            <m:sSub>
              <m:sSubPr>
                <m:ctrlPr>
                  <w:rPr>
                    <w:rFonts w:ascii="Cambria Math" w:hAnsi="Cambria Math" w:cs="Calibri"/>
                    <w:i/>
                    <w:w w:val="108"/>
                    <w:sz w:val="18"/>
                    <w:szCs w:val="18"/>
                  </w:rPr>
                </m:ctrlPr>
              </m:sSubPr>
              <m:e>
                <m:r>
                  <w:rPr>
                    <w:rFonts w:ascii="Cambria Math" w:hAnsi="Cambria Math" w:cs="Calibri"/>
                    <w:w w:val="108"/>
                    <w:sz w:val="18"/>
                    <w:szCs w:val="18"/>
                    <w:lang w:eastAsia="zh-CN"/>
                  </w:rPr>
                  <m:t>P</m:t>
                </m:r>
              </m:e>
              <m:sub>
                <m:r>
                  <w:rPr>
                    <w:rFonts w:ascii="Cambria Math" w:hAnsi="Cambria Math" w:cs="Calibri"/>
                    <w:w w:val="108"/>
                    <w:sz w:val="18"/>
                    <w:szCs w:val="18"/>
                  </w:rPr>
                  <m:t>o</m:t>
                </m:r>
              </m:sub>
            </m:sSub>
            <m:r>
              <w:rPr>
                <w:rFonts w:ascii="Cambria Math" w:hAnsi="Cambria Math" w:cs="Calibri"/>
                <w:w w:val="108"/>
                <w:sz w:val="18"/>
                <w:szCs w:val="18"/>
              </w:rPr>
              <m:t>-</m:t>
            </m:r>
            <m:sSub>
              <m:sSubPr>
                <m:ctrlPr>
                  <w:rPr>
                    <w:rFonts w:ascii="Cambria Math" w:hAnsi="Cambria Math" w:cs="Calibri"/>
                    <w:i/>
                    <w:w w:val="108"/>
                    <w:sz w:val="18"/>
                    <w:szCs w:val="18"/>
                  </w:rPr>
                </m:ctrlPr>
              </m:sSubPr>
              <m:e>
                <m:r>
                  <w:rPr>
                    <w:rFonts w:ascii="Cambria Math" w:hAnsi="Cambria Math" w:cs="Calibri"/>
                    <w:w w:val="108"/>
                    <w:sz w:val="18"/>
                    <w:szCs w:val="18"/>
                  </w:rPr>
                  <m:t>P</m:t>
                </m:r>
              </m:e>
              <m:sub>
                <m:r>
                  <w:rPr>
                    <w:rFonts w:ascii="Cambria Math" w:hAnsi="Cambria Math" w:cs="Calibri"/>
                    <w:w w:val="108"/>
                    <w:sz w:val="18"/>
                    <w:szCs w:val="18"/>
                  </w:rPr>
                  <m:t>e</m:t>
                </m:r>
              </m:sub>
            </m:sSub>
          </m:num>
          <m:den>
            <m:r>
              <w:rPr>
                <w:rFonts w:ascii="Cambria Math" w:hAnsi="Cambria Math" w:cs="Calibri"/>
                <w:w w:val="108"/>
                <w:sz w:val="18"/>
                <w:szCs w:val="18"/>
              </w:rPr>
              <m:t>1-</m:t>
            </m:r>
            <m:sSub>
              <m:sSubPr>
                <m:ctrlPr>
                  <w:rPr>
                    <w:rFonts w:ascii="Cambria Math" w:hAnsi="Cambria Math" w:cs="Calibri"/>
                    <w:i/>
                    <w:w w:val="108"/>
                    <w:sz w:val="18"/>
                    <w:szCs w:val="18"/>
                  </w:rPr>
                </m:ctrlPr>
              </m:sSubPr>
              <m:e>
                <m:r>
                  <w:rPr>
                    <w:rFonts w:ascii="Cambria Math" w:hAnsi="Cambria Math" w:cs="Calibri"/>
                    <w:w w:val="108"/>
                    <w:sz w:val="18"/>
                    <w:szCs w:val="18"/>
                  </w:rPr>
                  <m:t>P</m:t>
                </m:r>
              </m:e>
              <m:sub>
                <m:r>
                  <w:rPr>
                    <w:rFonts w:ascii="Cambria Math" w:hAnsi="Cambria Math" w:cs="Calibri"/>
                    <w:w w:val="108"/>
                    <w:sz w:val="18"/>
                    <w:szCs w:val="18"/>
                  </w:rPr>
                  <m:t>e</m:t>
                </m:r>
              </m:sub>
            </m:sSub>
          </m:den>
        </m:f>
      </m:oMath>
      <w:r w:rsidRPr="003F3ABB">
        <w:rPr>
          <w:rFonts w:ascii="Calibri" w:hAnsi="Calibri" w:cs="Calibri"/>
          <w:w w:val="108"/>
          <w:sz w:val="18"/>
          <w:szCs w:val="18"/>
        </w:rPr>
        <w:t xml:space="preserve">    (4)</w:t>
      </w:r>
    </w:p>
    <w:p w14:paraId="5B6BB8DA" w14:textId="77777777" w:rsidR="003F3ABB" w:rsidRPr="003F3ABB" w:rsidRDefault="00431152" w:rsidP="00AF1C8B">
      <w:pPr>
        <w:spacing w:line="480" w:lineRule="auto"/>
        <w:rPr>
          <w:rFonts w:ascii="Calibri" w:hAnsi="Calibri" w:cs="Calibri"/>
          <w:w w:val="108"/>
          <w:sz w:val="18"/>
          <w:szCs w:val="18"/>
        </w:rPr>
      </w:pPr>
      <m:oMath>
        <m:sSub>
          <m:sSubPr>
            <m:ctrlPr>
              <w:rPr>
                <w:rFonts w:ascii="Cambria Math" w:hAnsi="Cambria Math" w:cs="Calibri"/>
                <w:i/>
                <w:w w:val="108"/>
                <w:sz w:val="18"/>
                <w:szCs w:val="18"/>
              </w:rPr>
            </m:ctrlPr>
          </m:sSubPr>
          <m:e>
            <m:r>
              <w:rPr>
                <w:rFonts w:ascii="Cambria Math" w:hAnsi="Cambria Math" w:cs="Calibri"/>
                <w:w w:val="108"/>
                <w:sz w:val="18"/>
                <w:szCs w:val="18"/>
                <w:lang w:eastAsia="zh-CN"/>
              </w:rPr>
              <m:t>P</m:t>
            </m:r>
          </m:e>
          <m:sub>
            <m:r>
              <w:rPr>
                <w:rFonts w:ascii="Cambria Math" w:hAnsi="Cambria Math" w:cs="Calibri"/>
                <w:w w:val="108"/>
                <w:sz w:val="18"/>
                <w:szCs w:val="18"/>
              </w:rPr>
              <m:t>o</m:t>
            </m:r>
          </m:sub>
        </m:sSub>
      </m:oMath>
      <w:r w:rsidR="003F3ABB" w:rsidRPr="003F3ABB">
        <w:rPr>
          <w:rFonts w:ascii="Calibri" w:hAnsi="Calibri" w:cs="Calibri"/>
          <w:w w:val="108"/>
          <w:sz w:val="18"/>
          <w:szCs w:val="18"/>
        </w:rPr>
        <w:t xml:space="preserve"> = </w:t>
      </w:r>
      <m:oMath>
        <m:f>
          <m:fPr>
            <m:ctrlPr>
              <w:rPr>
                <w:rFonts w:ascii="Cambria Math" w:hAnsi="Cambria Math" w:cs="Calibri"/>
                <w:i/>
                <w:w w:val="108"/>
                <w:sz w:val="18"/>
                <w:szCs w:val="18"/>
              </w:rPr>
            </m:ctrlPr>
          </m:fPr>
          <m:num>
            <m:sSub>
              <m:sSubPr>
                <m:ctrlPr>
                  <w:rPr>
                    <w:rFonts w:ascii="Cambria Math" w:hAnsi="Cambria Math" w:cs="Calibri"/>
                    <w:i/>
                    <w:w w:val="108"/>
                    <w:sz w:val="18"/>
                    <w:szCs w:val="18"/>
                  </w:rPr>
                </m:ctrlPr>
              </m:sSubPr>
              <m:e>
                <m:r>
                  <w:rPr>
                    <w:rFonts w:ascii="Cambria Math" w:hAnsi="Cambria Math" w:cs="Calibri"/>
                    <w:w w:val="108"/>
                    <w:sz w:val="18"/>
                    <w:szCs w:val="18"/>
                    <w:lang w:eastAsia="zh-CN"/>
                  </w:rPr>
                  <m:t>N</m:t>
                </m:r>
              </m:e>
              <m:sub>
                <m:r>
                  <w:rPr>
                    <w:rFonts w:ascii="Cambria Math" w:hAnsi="Cambria Math" w:cs="Calibri"/>
                    <w:w w:val="108"/>
                    <w:sz w:val="18"/>
                    <w:szCs w:val="18"/>
                  </w:rPr>
                  <m:t>p</m:t>
                </m:r>
              </m:sub>
            </m:sSub>
          </m:num>
          <m:den>
            <m:sSub>
              <m:sSubPr>
                <m:ctrlPr>
                  <w:rPr>
                    <w:rFonts w:ascii="Cambria Math" w:hAnsi="Cambria Math" w:cs="Calibri"/>
                    <w:i/>
                    <w:w w:val="108"/>
                    <w:sz w:val="18"/>
                    <w:szCs w:val="18"/>
                  </w:rPr>
                </m:ctrlPr>
              </m:sSubPr>
              <m:e>
                <m:r>
                  <w:rPr>
                    <w:rFonts w:ascii="Cambria Math" w:hAnsi="Cambria Math" w:cs="Calibri"/>
                    <w:w w:val="108"/>
                    <w:sz w:val="18"/>
                    <w:szCs w:val="18"/>
                  </w:rPr>
                  <m:t>N</m:t>
                </m:r>
              </m:e>
              <m:sub>
                <m:r>
                  <w:rPr>
                    <w:rFonts w:ascii="Cambria Math" w:hAnsi="Cambria Math" w:cs="Calibri"/>
                    <w:w w:val="108"/>
                    <w:sz w:val="18"/>
                    <w:szCs w:val="18"/>
                  </w:rPr>
                  <m:t>t</m:t>
                </m:r>
              </m:sub>
            </m:sSub>
          </m:den>
        </m:f>
      </m:oMath>
      <w:r w:rsidR="003F3ABB" w:rsidRPr="003F3ABB">
        <w:rPr>
          <w:rFonts w:ascii="Calibri" w:hAnsi="Calibri" w:cs="Calibri"/>
          <w:w w:val="108"/>
          <w:sz w:val="18"/>
          <w:szCs w:val="18"/>
        </w:rPr>
        <w:t xml:space="preserve"> </w:t>
      </w:r>
      <w:proofErr w:type="gramStart"/>
      <w:r w:rsidR="003F3ABB" w:rsidRPr="003F3ABB">
        <w:rPr>
          <w:rFonts w:ascii="Calibri" w:hAnsi="Calibri" w:cs="Calibri"/>
          <w:w w:val="108"/>
          <w:sz w:val="18"/>
          <w:szCs w:val="18"/>
        </w:rPr>
        <w:t xml:space="preserve">   (</w:t>
      </w:r>
      <w:proofErr w:type="gramEnd"/>
      <w:r w:rsidR="003F3ABB" w:rsidRPr="003F3ABB">
        <w:rPr>
          <w:rFonts w:ascii="Calibri" w:hAnsi="Calibri" w:cs="Calibri"/>
          <w:w w:val="108"/>
          <w:sz w:val="18"/>
          <w:szCs w:val="18"/>
        </w:rPr>
        <w:t>5)</w:t>
      </w:r>
    </w:p>
    <w:p w14:paraId="4E9F7982" w14:textId="77777777" w:rsidR="003F3ABB" w:rsidRPr="003F3ABB" w:rsidRDefault="00431152" w:rsidP="00AF1C8B">
      <w:pPr>
        <w:spacing w:line="480" w:lineRule="auto"/>
        <w:rPr>
          <w:rFonts w:ascii="Calibri" w:hAnsi="Calibri" w:cs="Calibri"/>
          <w:w w:val="108"/>
          <w:sz w:val="18"/>
          <w:szCs w:val="18"/>
        </w:rPr>
      </w:pPr>
      <m:oMath>
        <m:sSub>
          <m:sSubPr>
            <m:ctrlPr>
              <w:rPr>
                <w:rFonts w:ascii="Cambria Math" w:hAnsi="Cambria Math" w:cs="Calibri"/>
                <w:i/>
                <w:w w:val="108"/>
                <w:sz w:val="18"/>
                <w:szCs w:val="18"/>
              </w:rPr>
            </m:ctrlPr>
          </m:sSubPr>
          <m:e>
            <m:r>
              <w:rPr>
                <w:rFonts w:ascii="Cambria Math" w:hAnsi="Cambria Math" w:cs="Calibri"/>
                <w:w w:val="108"/>
                <w:sz w:val="18"/>
                <w:szCs w:val="18"/>
                <w:lang w:eastAsia="zh-CN"/>
              </w:rPr>
              <m:t>P</m:t>
            </m:r>
          </m:e>
          <m:sub>
            <m:r>
              <w:rPr>
                <w:rFonts w:ascii="Cambria Math" w:hAnsi="Cambria Math" w:cs="Calibri"/>
                <w:w w:val="108"/>
                <w:sz w:val="18"/>
                <w:szCs w:val="18"/>
              </w:rPr>
              <m:t>e</m:t>
            </m:r>
          </m:sub>
        </m:sSub>
      </m:oMath>
      <w:r w:rsidR="003F3ABB" w:rsidRPr="003F3ABB">
        <w:rPr>
          <w:rFonts w:ascii="Calibri" w:hAnsi="Calibri" w:cs="Calibri"/>
          <w:w w:val="108"/>
          <w:sz w:val="18"/>
          <w:szCs w:val="18"/>
        </w:rPr>
        <w:t xml:space="preserve"> = </w:t>
      </w:r>
      <m:oMath>
        <m:f>
          <m:fPr>
            <m:ctrlPr>
              <w:rPr>
                <w:rFonts w:ascii="Cambria Math" w:hAnsi="Cambria Math" w:cs="Calibri"/>
                <w:i/>
                <w:w w:val="108"/>
                <w:sz w:val="18"/>
                <w:szCs w:val="18"/>
              </w:rPr>
            </m:ctrlPr>
          </m:fPr>
          <m:num>
            <m:r>
              <w:rPr>
                <w:rFonts w:ascii="Cambria Math" w:hAnsi="Cambria Math" w:cs="Calibri"/>
                <w:w w:val="108"/>
                <w:sz w:val="18"/>
                <w:szCs w:val="18"/>
              </w:rPr>
              <m:t>1</m:t>
            </m:r>
          </m:num>
          <m:den>
            <m:r>
              <w:rPr>
                <w:rFonts w:ascii="Cambria Math" w:hAnsi="Cambria Math" w:cs="Calibri"/>
                <w:w w:val="108"/>
                <w:sz w:val="18"/>
                <w:szCs w:val="18"/>
              </w:rPr>
              <m:t>N</m:t>
            </m:r>
          </m:den>
        </m:f>
      </m:oMath>
      <w:r w:rsidR="003F3ABB" w:rsidRPr="003F3ABB">
        <w:rPr>
          <w:rFonts w:ascii="Calibri" w:hAnsi="Calibri" w:cs="Calibri"/>
          <w:w w:val="108"/>
          <w:sz w:val="18"/>
          <w:szCs w:val="18"/>
        </w:rPr>
        <w:t xml:space="preserve">  </w:t>
      </w:r>
      <w:proofErr w:type="gramStart"/>
      <w:r w:rsidR="003F3ABB" w:rsidRPr="003F3ABB">
        <w:rPr>
          <w:rFonts w:ascii="Calibri" w:hAnsi="Calibri" w:cs="Calibri"/>
          <w:w w:val="108"/>
          <w:sz w:val="18"/>
          <w:szCs w:val="18"/>
        </w:rPr>
        <w:t xml:space="preserve">   (</w:t>
      </w:r>
      <w:proofErr w:type="gramEnd"/>
      <w:r w:rsidR="003F3ABB" w:rsidRPr="003F3ABB">
        <w:rPr>
          <w:rFonts w:ascii="Calibri" w:hAnsi="Calibri" w:cs="Calibri"/>
          <w:w w:val="108"/>
          <w:sz w:val="18"/>
          <w:szCs w:val="18"/>
        </w:rPr>
        <w:t>6)</w:t>
      </w:r>
    </w:p>
    <w:p w14:paraId="570542CC" w14:textId="6798B5F1" w:rsidR="003F3ABB" w:rsidRPr="003F3ABB" w:rsidRDefault="00431152" w:rsidP="00AF1C8B">
      <w:pPr>
        <w:spacing w:line="480" w:lineRule="auto"/>
        <w:rPr>
          <w:rFonts w:ascii="Calibri" w:hAnsi="Calibri" w:cs="Calibri"/>
          <w:w w:val="108"/>
          <w:sz w:val="18"/>
          <w:szCs w:val="18"/>
        </w:rPr>
      </w:pPr>
      <m:oMath>
        <m:sSub>
          <m:sSubPr>
            <m:ctrlPr>
              <w:rPr>
                <w:rFonts w:ascii="Cambria Math" w:hAnsi="Cambria Math" w:cs="Calibri"/>
                <w:i/>
                <w:w w:val="108"/>
                <w:sz w:val="18"/>
                <w:szCs w:val="18"/>
              </w:rPr>
            </m:ctrlPr>
          </m:sSubPr>
          <m:e>
            <m:r>
              <w:rPr>
                <w:rFonts w:ascii="Cambria Math" w:hAnsi="Cambria Math" w:cs="Calibri"/>
                <w:w w:val="108"/>
                <w:sz w:val="18"/>
                <w:szCs w:val="18"/>
                <w:lang w:eastAsia="zh-CN"/>
              </w:rPr>
              <m:t>P</m:t>
            </m:r>
          </m:e>
          <m:sub>
            <m:r>
              <w:rPr>
                <w:rFonts w:ascii="Cambria Math" w:hAnsi="Cambria Math" w:cs="Calibri"/>
                <w:w w:val="108"/>
                <w:sz w:val="18"/>
                <w:szCs w:val="18"/>
              </w:rPr>
              <m:t>o</m:t>
            </m:r>
          </m:sub>
        </m:sSub>
      </m:oMath>
      <w:r w:rsidR="003F3ABB" w:rsidRPr="003F3ABB">
        <w:rPr>
          <w:rFonts w:ascii="Calibri" w:hAnsi="Calibri" w:cs="Calibri"/>
          <w:w w:val="108"/>
          <w:sz w:val="18"/>
          <w:szCs w:val="18"/>
        </w:rPr>
        <w:t> (eq. (5)) is the observed agreement between parameter ranks. </w:t>
      </w:r>
      <m:oMath>
        <m:sSub>
          <m:sSubPr>
            <m:ctrlPr>
              <w:rPr>
                <w:rFonts w:ascii="Cambria Math" w:hAnsi="Cambria Math" w:cs="Calibri"/>
                <w:i/>
                <w:w w:val="108"/>
                <w:sz w:val="18"/>
                <w:szCs w:val="18"/>
              </w:rPr>
            </m:ctrlPr>
          </m:sSubPr>
          <m:e>
            <m:r>
              <w:rPr>
                <w:rFonts w:ascii="Cambria Math" w:hAnsi="Cambria Math" w:cs="Calibri"/>
                <w:w w:val="108"/>
                <w:sz w:val="18"/>
                <w:szCs w:val="18"/>
              </w:rPr>
              <m:t>N</m:t>
            </m:r>
          </m:e>
          <m:sub>
            <m:r>
              <w:rPr>
                <w:rFonts w:ascii="Cambria Math" w:hAnsi="Cambria Math" w:cs="Calibri"/>
                <w:w w:val="108"/>
                <w:sz w:val="18"/>
                <w:szCs w:val="18"/>
              </w:rPr>
              <m:t>t</m:t>
            </m:r>
          </m:sub>
        </m:sSub>
      </m:oMath>
      <w:r w:rsidR="003F3ABB" w:rsidRPr="003F3ABB">
        <w:rPr>
          <w:rFonts w:ascii="Calibri" w:hAnsi="Calibri" w:cs="Calibri"/>
          <w:w w:val="108"/>
          <w:sz w:val="18"/>
          <w:szCs w:val="18"/>
        </w:rPr>
        <w:t xml:space="preserve"> is the total number of paired observations and </w:t>
      </w:r>
      <m:oMath>
        <m:sSub>
          <m:sSubPr>
            <m:ctrlPr>
              <w:rPr>
                <w:rFonts w:ascii="Cambria Math" w:hAnsi="Cambria Math" w:cs="Calibri"/>
                <w:i/>
                <w:w w:val="108"/>
                <w:sz w:val="18"/>
                <w:szCs w:val="18"/>
              </w:rPr>
            </m:ctrlPr>
          </m:sSubPr>
          <m:e>
            <m:r>
              <w:rPr>
                <w:rFonts w:ascii="Cambria Math" w:hAnsi="Cambria Math" w:cs="Calibri"/>
                <w:w w:val="108"/>
                <w:sz w:val="18"/>
                <w:szCs w:val="18"/>
              </w:rPr>
              <m:t>N</m:t>
            </m:r>
          </m:e>
          <m:sub>
            <m:r>
              <w:rPr>
                <w:rFonts w:ascii="Cambria Math" w:hAnsi="Cambria Math" w:cs="Calibri"/>
                <w:w w:val="108"/>
                <w:sz w:val="18"/>
                <w:szCs w:val="18"/>
              </w:rPr>
              <m:t>p</m:t>
            </m:r>
          </m:sub>
        </m:sSub>
      </m:oMath>
      <w:r w:rsidR="003F3ABB" w:rsidRPr="003F3ABB">
        <w:rPr>
          <w:rFonts w:ascii="Calibri" w:hAnsi="Calibri" w:cs="Calibri"/>
          <w:w w:val="108"/>
          <w:sz w:val="18"/>
          <w:szCs w:val="18"/>
        </w:rPr>
        <w:t xml:space="preserve"> is the observed number of parameters with </w:t>
      </w:r>
      <w:r w:rsidR="00180F73">
        <w:rPr>
          <w:rFonts w:ascii="Calibri" w:hAnsi="Calibri" w:cs="Calibri"/>
          <w:w w:val="108"/>
          <w:sz w:val="18"/>
          <w:szCs w:val="18"/>
        </w:rPr>
        <w:t xml:space="preserve">the </w:t>
      </w:r>
      <w:r w:rsidR="003F3ABB" w:rsidRPr="003F3ABB">
        <w:rPr>
          <w:rFonts w:ascii="Calibri" w:hAnsi="Calibri" w:cs="Calibri"/>
          <w:w w:val="108"/>
          <w:sz w:val="18"/>
          <w:szCs w:val="18"/>
        </w:rPr>
        <w:t xml:space="preserve">same </w:t>
      </w:r>
      <w:proofErr w:type="gramStart"/>
      <w:r w:rsidR="003F3ABB" w:rsidRPr="003F3ABB">
        <w:rPr>
          <w:rFonts w:ascii="Calibri" w:hAnsi="Calibri" w:cs="Calibri"/>
          <w:w w:val="108"/>
          <w:sz w:val="18"/>
          <w:szCs w:val="18"/>
        </w:rPr>
        <w:t>order.</w:t>
      </w:r>
      <w:proofErr w:type="gramEnd"/>
      <w:r w:rsidR="003F3ABB" w:rsidRPr="003F3ABB">
        <w:rPr>
          <w:rFonts w:ascii="Calibri" w:hAnsi="Calibri" w:cs="Calibri"/>
          <w:w w:val="108"/>
          <w:sz w:val="18"/>
          <w:szCs w:val="18"/>
        </w:rPr>
        <w:t xml:space="preserve"> </w:t>
      </w:r>
    </w:p>
    <w:p w14:paraId="7FE06C63" w14:textId="2F38D11C" w:rsidR="003F3ABB" w:rsidRPr="003F3ABB" w:rsidRDefault="00431152" w:rsidP="00AF1C8B">
      <w:pPr>
        <w:spacing w:line="480" w:lineRule="auto"/>
        <w:rPr>
          <w:rFonts w:ascii="Calibri" w:hAnsi="Calibri" w:cs="Calibri"/>
          <w:w w:val="108"/>
          <w:sz w:val="18"/>
          <w:szCs w:val="18"/>
          <w:lang w:eastAsia="zh-CN"/>
        </w:rPr>
      </w:pPr>
      <m:oMath>
        <m:sSub>
          <m:sSubPr>
            <m:ctrlPr>
              <w:rPr>
                <w:rFonts w:ascii="Cambria Math" w:hAnsi="Cambria Math" w:cs="Calibri"/>
                <w:i/>
                <w:w w:val="108"/>
                <w:sz w:val="18"/>
                <w:szCs w:val="18"/>
              </w:rPr>
            </m:ctrlPr>
          </m:sSubPr>
          <m:e>
            <m:r>
              <w:rPr>
                <w:rFonts w:ascii="Cambria Math" w:hAnsi="Cambria Math" w:cs="Calibri"/>
                <w:w w:val="108"/>
                <w:sz w:val="18"/>
                <w:szCs w:val="18"/>
              </w:rPr>
              <m:t>P</m:t>
            </m:r>
          </m:e>
          <m:sub>
            <m:r>
              <w:rPr>
                <w:rFonts w:ascii="Cambria Math" w:hAnsi="Cambria Math" w:cs="Calibri"/>
                <w:w w:val="108"/>
                <w:sz w:val="18"/>
                <w:szCs w:val="18"/>
              </w:rPr>
              <m:t>e</m:t>
            </m:r>
          </m:sub>
        </m:sSub>
      </m:oMath>
      <w:r w:rsidR="003F3ABB" w:rsidRPr="003F3ABB">
        <w:rPr>
          <w:rFonts w:ascii="Calibri" w:hAnsi="Calibri" w:cs="Calibri"/>
          <w:w w:val="108"/>
          <w:sz w:val="18"/>
          <w:szCs w:val="18"/>
        </w:rPr>
        <w:t xml:space="preserve"> is the hypothetical probability of chance agreement (expected agreement) where </w:t>
      </w:r>
      <w:r w:rsidR="003F3ABB" w:rsidRPr="003F3ABB">
        <w:rPr>
          <w:rFonts w:ascii="Calibri" w:hAnsi="Calibri" w:cs="Calibri"/>
          <w:i/>
          <w:iCs/>
          <w:w w:val="108"/>
          <w:sz w:val="18"/>
          <w:szCs w:val="18"/>
        </w:rPr>
        <w:t>N</w:t>
      </w:r>
      <w:r w:rsidR="003F3ABB" w:rsidRPr="003F3ABB">
        <w:rPr>
          <w:rFonts w:ascii="Calibri" w:hAnsi="Calibri" w:cs="Calibri"/>
          <w:w w:val="108"/>
          <w:sz w:val="18"/>
          <w:szCs w:val="18"/>
        </w:rPr>
        <w:t xml:space="preserve"> is </w:t>
      </w:r>
      <w:r w:rsidR="00180F73">
        <w:rPr>
          <w:rFonts w:ascii="Calibri" w:hAnsi="Calibri" w:cs="Calibri"/>
          <w:w w:val="108"/>
          <w:sz w:val="18"/>
          <w:szCs w:val="18"/>
        </w:rPr>
        <w:t xml:space="preserve">the </w:t>
      </w:r>
      <w:r w:rsidR="003F3ABB" w:rsidRPr="003F3ABB">
        <w:rPr>
          <w:rFonts w:ascii="Calibri" w:hAnsi="Calibri" w:cs="Calibri"/>
          <w:w w:val="108"/>
          <w:sz w:val="18"/>
          <w:szCs w:val="18"/>
        </w:rPr>
        <w:t xml:space="preserve">total number of </w:t>
      </w:r>
      <w:proofErr w:type="gramStart"/>
      <w:r w:rsidR="003F3ABB" w:rsidRPr="003F3ABB">
        <w:rPr>
          <w:rFonts w:ascii="Calibri" w:hAnsi="Calibri" w:cs="Calibri"/>
          <w:w w:val="108"/>
          <w:sz w:val="18"/>
          <w:szCs w:val="18"/>
        </w:rPr>
        <w:t>parameters.</w:t>
      </w:r>
      <w:proofErr w:type="gramEnd"/>
      <w:r w:rsidR="003F3ABB" w:rsidRPr="003F3ABB">
        <w:rPr>
          <w:rFonts w:ascii="Calibri" w:hAnsi="Calibri" w:cs="Calibri"/>
          <w:w w:val="108"/>
          <w:sz w:val="18"/>
          <w:szCs w:val="18"/>
        </w:rPr>
        <w:t xml:space="preserve"> In our case, each parameter only has one unique position to be placed per subcatchment. Assuming the parameter ranks were independent among subcatchme</w:t>
      </w:r>
      <w:r w:rsidR="00180F73">
        <w:rPr>
          <w:rFonts w:ascii="Calibri" w:hAnsi="Calibri" w:cs="Calibri"/>
          <w:w w:val="108"/>
          <w:sz w:val="18"/>
          <w:szCs w:val="18"/>
        </w:rPr>
        <w:t>n</w:t>
      </w:r>
      <w:r w:rsidR="003F3ABB" w:rsidRPr="003F3ABB">
        <w:rPr>
          <w:rFonts w:ascii="Calibri" w:hAnsi="Calibri" w:cs="Calibri"/>
          <w:w w:val="108"/>
          <w:sz w:val="18"/>
          <w:szCs w:val="18"/>
        </w:rPr>
        <w:t xml:space="preserve">ts, each parameter has a probability of  </w:t>
      </w:r>
      <m:oMath>
        <m:f>
          <m:fPr>
            <m:ctrlPr>
              <w:rPr>
                <w:rFonts w:ascii="Cambria Math" w:hAnsi="Cambria Math" w:cs="Calibri"/>
                <w:i/>
                <w:w w:val="108"/>
                <w:sz w:val="18"/>
                <w:szCs w:val="18"/>
              </w:rPr>
            </m:ctrlPr>
          </m:fPr>
          <m:num>
            <m:r>
              <w:rPr>
                <w:rFonts w:ascii="Cambria Math" w:hAnsi="Cambria Math" w:cs="Calibri"/>
                <w:w w:val="108"/>
                <w:sz w:val="18"/>
                <w:szCs w:val="18"/>
              </w:rPr>
              <m:t>1</m:t>
            </m:r>
          </m:num>
          <m:den>
            <m:r>
              <w:rPr>
                <w:rFonts w:ascii="Cambria Math" w:hAnsi="Cambria Math" w:cs="Calibri"/>
                <w:w w:val="108"/>
                <w:sz w:val="18"/>
                <w:szCs w:val="18"/>
              </w:rPr>
              <m:t>N</m:t>
            </m:r>
          </m:den>
        </m:f>
      </m:oMath>
      <w:r w:rsidR="003F3ABB" w:rsidRPr="003F3ABB">
        <w:rPr>
          <w:rFonts w:ascii="Calibri" w:hAnsi="Calibri" w:cs="Calibri"/>
          <w:w w:val="108"/>
          <w:sz w:val="18"/>
          <w:szCs w:val="18"/>
        </w:rPr>
        <w:t xml:space="preserve"> to be assigned to each position. Therefore, the total probability of two parameters sharing the rank position, also </w:t>
      </w:r>
      <w:r w:rsidR="003F3ABB" w:rsidRPr="003F3ABB">
        <w:rPr>
          <w:rFonts w:ascii="Calibri" w:hAnsi="Calibri" w:cs="Calibri"/>
          <w:w w:val="108"/>
          <w:sz w:val="18"/>
          <w:szCs w:val="18"/>
          <w:lang w:eastAsia="zh-CN"/>
        </w:rPr>
        <w:t>te</w:t>
      </w:r>
      <w:r w:rsidR="003F3ABB" w:rsidRPr="003F3ABB">
        <w:rPr>
          <w:rFonts w:ascii="Calibri" w:hAnsi="Calibri" w:cs="Calibri"/>
          <w:w w:val="108"/>
          <w:sz w:val="18"/>
          <w:szCs w:val="18"/>
        </w:rPr>
        <w:t xml:space="preserve">rmed as </w:t>
      </w:r>
      <m:oMath>
        <m:sSub>
          <m:sSubPr>
            <m:ctrlPr>
              <w:rPr>
                <w:rFonts w:ascii="Cambria Math" w:hAnsi="Cambria Math" w:cs="Calibri"/>
                <w:i/>
                <w:w w:val="108"/>
                <w:sz w:val="18"/>
                <w:szCs w:val="18"/>
              </w:rPr>
            </m:ctrlPr>
          </m:sSubPr>
          <m:e>
            <m:r>
              <w:rPr>
                <w:rFonts w:ascii="Cambria Math" w:hAnsi="Cambria Math" w:cs="Calibri"/>
                <w:w w:val="108"/>
                <w:sz w:val="18"/>
                <w:szCs w:val="18"/>
              </w:rPr>
              <m:t>P</m:t>
            </m:r>
          </m:e>
          <m:sub>
            <m:r>
              <w:rPr>
                <w:rFonts w:ascii="Cambria Math" w:hAnsi="Cambria Math" w:cs="Calibri"/>
                <w:w w:val="108"/>
                <w:sz w:val="18"/>
                <w:szCs w:val="18"/>
              </w:rPr>
              <m:t>e</m:t>
            </m:r>
          </m:sub>
        </m:sSub>
      </m:oMath>
      <w:r w:rsidR="003F3ABB" w:rsidRPr="003F3ABB">
        <w:rPr>
          <w:rFonts w:ascii="Calibri" w:hAnsi="Calibri" w:cs="Calibri"/>
          <w:w w:val="108"/>
          <w:sz w:val="18"/>
          <w:szCs w:val="18"/>
        </w:rPr>
        <w:t xml:space="preserve">, is  </w:t>
      </w:r>
      <m:oMath>
        <m:nary>
          <m:naryPr>
            <m:chr m:val="∑"/>
            <m:limLoc m:val="undOvr"/>
            <m:ctrlPr>
              <w:rPr>
                <w:rFonts w:ascii="Cambria Math" w:hAnsi="Cambria Math" w:cs="Calibri"/>
                <w:i/>
                <w:w w:val="108"/>
                <w:sz w:val="18"/>
                <w:szCs w:val="18"/>
              </w:rPr>
            </m:ctrlPr>
          </m:naryPr>
          <m:sub>
            <m:r>
              <w:rPr>
                <w:rFonts w:ascii="Cambria Math" w:hAnsi="Cambria Math" w:cs="Calibri"/>
                <w:w w:val="108"/>
                <w:sz w:val="18"/>
                <w:szCs w:val="18"/>
              </w:rPr>
              <m:t>1</m:t>
            </m:r>
          </m:sub>
          <m:sup>
            <m:r>
              <w:rPr>
                <w:rFonts w:ascii="Cambria Math" w:hAnsi="Cambria Math" w:cs="Calibri"/>
                <w:w w:val="108"/>
                <w:sz w:val="18"/>
                <w:szCs w:val="18"/>
              </w:rPr>
              <m:t>N</m:t>
            </m:r>
          </m:sup>
          <m:e>
            <m:f>
              <m:fPr>
                <m:ctrlPr>
                  <w:rPr>
                    <w:rFonts w:ascii="Cambria Math" w:hAnsi="Cambria Math" w:cs="Calibri"/>
                    <w:i/>
                    <w:w w:val="108"/>
                    <w:sz w:val="18"/>
                    <w:szCs w:val="18"/>
                  </w:rPr>
                </m:ctrlPr>
              </m:fPr>
              <m:num>
                <m:r>
                  <w:rPr>
                    <w:rFonts w:ascii="Cambria Math" w:hAnsi="Cambria Math" w:cs="Calibri"/>
                    <w:w w:val="108"/>
                    <w:sz w:val="18"/>
                    <w:szCs w:val="18"/>
                  </w:rPr>
                  <m:t>1</m:t>
                </m:r>
              </m:num>
              <m:den>
                <m:sSup>
                  <m:sSupPr>
                    <m:ctrlPr>
                      <w:rPr>
                        <w:rFonts w:ascii="Cambria Math" w:hAnsi="Cambria Math" w:cs="Calibri"/>
                        <w:i/>
                        <w:w w:val="108"/>
                        <w:sz w:val="18"/>
                        <w:szCs w:val="18"/>
                      </w:rPr>
                    </m:ctrlPr>
                  </m:sSupPr>
                  <m:e>
                    <m:r>
                      <w:rPr>
                        <w:rFonts w:ascii="Cambria Math" w:hAnsi="Cambria Math" w:cs="Calibri"/>
                        <w:w w:val="108"/>
                        <w:sz w:val="18"/>
                        <w:szCs w:val="18"/>
                      </w:rPr>
                      <m:t>N</m:t>
                    </m:r>
                  </m:e>
                  <m:sup>
                    <m:r>
                      <w:rPr>
                        <w:rFonts w:ascii="Cambria Math" w:hAnsi="Cambria Math" w:cs="Calibri"/>
                        <w:w w:val="108"/>
                        <w:sz w:val="18"/>
                        <w:szCs w:val="18"/>
                      </w:rPr>
                      <m:t>2</m:t>
                    </m:r>
                  </m:sup>
                </m:sSup>
              </m:den>
            </m:f>
          </m:e>
        </m:nary>
      </m:oMath>
      <w:r w:rsidR="003F3ABB" w:rsidRPr="003F3ABB">
        <w:rPr>
          <w:rFonts w:ascii="Calibri" w:hAnsi="Calibri" w:cs="Calibri"/>
          <w:w w:val="108"/>
          <w:sz w:val="18"/>
          <w:szCs w:val="18"/>
        </w:rPr>
        <w:t xml:space="preserve">, which is simplified as </w:t>
      </w:r>
      <m:oMath>
        <m:f>
          <m:fPr>
            <m:ctrlPr>
              <w:rPr>
                <w:rFonts w:ascii="Cambria Math" w:hAnsi="Cambria Math" w:cs="Calibri"/>
                <w:i/>
                <w:w w:val="108"/>
                <w:sz w:val="18"/>
                <w:szCs w:val="18"/>
              </w:rPr>
            </m:ctrlPr>
          </m:fPr>
          <m:num>
            <m:r>
              <w:rPr>
                <w:rFonts w:ascii="Cambria Math" w:hAnsi="Cambria Math" w:cs="Calibri"/>
                <w:w w:val="108"/>
                <w:sz w:val="18"/>
                <w:szCs w:val="18"/>
              </w:rPr>
              <m:t>1</m:t>
            </m:r>
          </m:num>
          <m:den>
            <m:r>
              <w:rPr>
                <w:rFonts w:ascii="Cambria Math" w:hAnsi="Cambria Math" w:cs="Calibri"/>
                <w:w w:val="108"/>
                <w:sz w:val="18"/>
                <w:szCs w:val="18"/>
              </w:rPr>
              <m:t>N</m:t>
            </m:r>
          </m:den>
        </m:f>
      </m:oMath>
      <w:r w:rsidR="003F3ABB" w:rsidRPr="003F3ABB">
        <w:rPr>
          <w:rFonts w:ascii="Calibri" w:hAnsi="Calibri" w:cs="Calibri"/>
          <w:w w:val="108"/>
          <w:sz w:val="18"/>
          <w:szCs w:val="18"/>
        </w:rPr>
        <w:t xml:space="preserve">  (eq. (6)).</w:t>
      </w:r>
    </w:p>
    <w:p w14:paraId="5FAB21D3"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We did not include a traditional model calibration here, but we calculated the Nash–Sutcliffe efficiency</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{"citationID":"V40cN6ZG","properties":{"formattedCitation":"\\super 47\\nosupersub{}","plainCitation":"47","noteIndex":0},"citationItems":[{"id":217,"uris":["http://zotero.org/users/6556211/items/TAK8ZLI7"],"uri":["http://zotero.org/users/6556211/items/TAK8ZLI7"],"itemData":{"id":217,"type":"article-journal","abstract":"The Nash–Sutcliffe efﬁciency index ͑Ef͒ is a widely used and potentially reliable statistic for assessing the goodness of ﬁt of hydrologic models; however, a method for estimating the statistical signiﬁcance of sample values has not been documented. Also, factors that contribute to poor sample values are not well understood. This research focuses on the interpretation of sample values of Ef. Speciﬁcally, the objectives were to present an approximation of the sampling distribution of the index; provide a method for conducting hypothesis tests and computing conﬁdence intervals for sample values; and identify the effects of factors that inﬂuence sample values of Ef including the sample size, outliers, bias in magnitude, time-offset bias of hydrograph models, and the sampling interval of hydrologic data. Actual hydrologic data and hypothetical analyses were used to show these effects. The analyses show that outliers can signiﬁcantly inﬂuence sample values of Ef. Time-offset bias and bias in magnitude can have an adverse effect on Ef. The time step at which the data are recorded appears to be an insigniﬁcant factor unless the sample size is small. The Nash–Sutcliffe index can be a reliable goodnessof-ﬁt statistic if it is properly interpreted.","container-title":"Journal of Hydrologic Engineering","DOI":"10.1061/(ASCE)1084-0699(2006)11:6(597)","ISSN":"1084-0699, 1943-5584","issue":"6","journalAbbreviation":"J. Hydrol. Eng.","language":"en","page":"597-602","source":"DOI.org (Crossref)","title":"Evaluation of the Nash–Sutcliffe Efficiency Index","volume":"11","author":[{"family":"McCuen","given":"Richard H."},{"family":"Knight","given":"Zachary"},{"family":"Cutter","given":"A. Gillian"}],"issued":{"date-parts":[["2006",11]]}}}],"schema":"https://github.com/citation-style-language/schema/raw/master/csl-citation.json"}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47</w:t>
      </w:r>
      <w:r w:rsidRPr="003F3ABB">
        <w:rPr>
          <w:rFonts w:ascii="Calibri" w:hAnsi="Calibri" w:cs="Calibri"/>
          <w:w w:val="108"/>
          <w:sz w:val="18"/>
          <w:szCs w:val="18"/>
        </w:rPr>
        <w:fldChar w:fldCharType="end"/>
      </w:r>
      <w:r w:rsidRPr="003F3ABB">
        <w:rPr>
          <w:rFonts w:ascii="Calibri" w:hAnsi="Calibri" w:cs="Calibri"/>
          <w:w w:val="108"/>
          <w:sz w:val="18"/>
          <w:szCs w:val="18"/>
        </w:rPr>
        <w:t xml:space="preserve"> indicating fitness of model outputs to the observation (eq. (7)) after each simulation by comparing modelling results to the monitored pipe flow data. A Nash-Sutcliffe efficiency closer to 1 suggests a better simulation was achieved.</w:t>
      </w:r>
    </w:p>
    <w:p w14:paraId="433D9244" w14:textId="77777777" w:rsidR="003F3ABB" w:rsidRPr="003F3ABB" w:rsidRDefault="003F3ABB" w:rsidP="00AF1C8B">
      <w:pPr>
        <w:spacing w:line="480" w:lineRule="auto"/>
        <w:rPr>
          <w:rFonts w:ascii="Calibri" w:hAnsi="Calibri" w:cs="Calibri"/>
          <w:w w:val="108"/>
          <w:sz w:val="18"/>
          <w:szCs w:val="18"/>
        </w:rPr>
      </w:pPr>
      <m:oMath>
        <m:r>
          <w:rPr>
            <w:rFonts w:ascii="Cambria Math" w:hAnsi="Cambria Math" w:cs="Calibri"/>
            <w:w w:val="108"/>
            <w:sz w:val="18"/>
            <w:szCs w:val="18"/>
          </w:rPr>
          <m:t xml:space="preserve">E=1- </m:t>
        </m:r>
        <m:f>
          <m:fPr>
            <m:ctrlPr>
              <w:rPr>
                <w:rFonts w:ascii="Cambria Math" w:hAnsi="Cambria Math" w:cs="Calibri"/>
                <w:w w:val="108"/>
                <w:sz w:val="18"/>
                <w:szCs w:val="18"/>
              </w:rPr>
            </m:ctrlPr>
          </m:fPr>
          <m:num>
            <m:nary>
              <m:naryPr>
                <m:chr m:val="∑"/>
                <m:limLoc m:val="undOvr"/>
                <m:ctrlPr>
                  <w:rPr>
                    <w:rFonts w:ascii="Cambria Math" w:hAnsi="Cambria Math" w:cs="Calibri"/>
                    <w:i/>
                    <w:w w:val="108"/>
                    <w:sz w:val="18"/>
                    <w:szCs w:val="18"/>
                  </w:rPr>
                </m:ctrlPr>
              </m:naryPr>
              <m:sub>
                <m:r>
                  <w:rPr>
                    <w:rFonts w:ascii="Cambria Math" w:hAnsi="Cambria Math" w:cs="Calibri"/>
                    <w:w w:val="108"/>
                    <w:sz w:val="18"/>
                    <w:szCs w:val="18"/>
                  </w:rPr>
                  <m:t>i=1</m:t>
                </m:r>
              </m:sub>
              <m:sup>
                <m:r>
                  <w:rPr>
                    <w:rFonts w:ascii="Cambria Math" w:hAnsi="Cambria Math" w:cs="Calibri"/>
                    <w:w w:val="108"/>
                    <w:sz w:val="18"/>
                    <w:szCs w:val="18"/>
                  </w:rPr>
                  <m:t>n</m:t>
                </m:r>
              </m:sup>
              <m:e>
                <m:sSup>
                  <m:sSupPr>
                    <m:ctrlPr>
                      <w:rPr>
                        <w:rFonts w:ascii="Cambria Math" w:hAnsi="Cambria Math" w:cs="Calibri"/>
                        <w:i/>
                        <w:w w:val="108"/>
                        <w:sz w:val="18"/>
                        <w:szCs w:val="18"/>
                      </w:rPr>
                    </m:ctrlPr>
                  </m:sSupPr>
                  <m:e>
                    <m:r>
                      <w:rPr>
                        <w:rFonts w:ascii="Cambria Math" w:hAnsi="Cambria Math" w:cs="Calibri"/>
                        <w:w w:val="108"/>
                        <w:sz w:val="18"/>
                        <w:szCs w:val="18"/>
                      </w:rPr>
                      <m:t>(</m:t>
                    </m:r>
                    <m:sSub>
                      <m:sSubPr>
                        <m:ctrlPr>
                          <w:rPr>
                            <w:rFonts w:ascii="Cambria Math" w:hAnsi="Cambria Math" w:cs="Calibri"/>
                            <w:i/>
                            <w:w w:val="108"/>
                            <w:sz w:val="18"/>
                            <w:szCs w:val="18"/>
                          </w:rPr>
                        </m:ctrlPr>
                      </m:sSubPr>
                      <m:e>
                        <m:r>
                          <w:rPr>
                            <w:rFonts w:ascii="Cambria Math" w:hAnsi="Cambria Math" w:cs="Calibri"/>
                            <w:w w:val="108"/>
                            <w:sz w:val="18"/>
                            <w:szCs w:val="18"/>
                          </w:rPr>
                          <m:t>Q</m:t>
                        </m:r>
                      </m:e>
                      <m:sub>
                        <m:r>
                          <w:rPr>
                            <w:rFonts w:ascii="Cambria Math" w:hAnsi="Cambria Math" w:cs="Calibri"/>
                            <w:w w:val="108"/>
                            <w:sz w:val="18"/>
                            <w:szCs w:val="18"/>
                          </w:rPr>
                          <m:t xml:space="preserve">o,i </m:t>
                        </m:r>
                      </m:sub>
                    </m:sSub>
                    <m:r>
                      <w:rPr>
                        <w:rFonts w:ascii="Cambria Math" w:hAnsi="Cambria Math" w:cs="Calibri"/>
                        <w:w w:val="108"/>
                        <w:sz w:val="18"/>
                        <w:szCs w:val="18"/>
                      </w:rPr>
                      <m:t xml:space="preserve">- </m:t>
                    </m:r>
                    <m:sSub>
                      <m:sSubPr>
                        <m:ctrlPr>
                          <w:rPr>
                            <w:rFonts w:ascii="Cambria Math" w:hAnsi="Cambria Math" w:cs="Calibri"/>
                            <w:i/>
                            <w:w w:val="108"/>
                            <w:sz w:val="18"/>
                            <w:szCs w:val="18"/>
                          </w:rPr>
                        </m:ctrlPr>
                      </m:sSubPr>
                      <m:e>
                        <m:r>
                          <w:rPr>
                            <w:rFonts w:ascii="Cambria Math" w:hAnsi="Cambria Math" w:cs="Calibri"/>
                            <w:w w:val="108"/>
                            <w:sz w:val="18"/>
                            <w:szCs w:val="18"/>
                          </w:rPr>
                          <m:t>Q</m:t>
                        </m:r>
                      </m:e>
                      <m:sub>
                        <m:r>
                          <w:rPr>
                            <w:rFonts w:ascii="Cambria Math" w:hAnsi="Cambria Math" w:cs="Calibri"/>
                            <w:w w:val="108"/>
                            <w:sz w:val="18"/>
                            <w:szCs w:val="18"/>
                          </w:rPr>
                          <m:t xml:space="preserve">s,i </m:t>
                        </m:r>
                      </m:sub>
                    </m:sSub>
                    <m:r>
                      <w:rPr>
                        <w:rFonts w:ascii="Cambria Math" w:hAnsi="Cambria Math" w:cs="Calibri"/>
                        <w:w w:val="108"/>
                        <w:sz w:val="18"/>
                        <w:szCs w:val="18"/>
                      </w:rPr>
                      <m:t>)</m:t>
                    </m:r>
                  </m:e>
                  <m:sup>
                    <m:r>
                      <w:rPr>
                        <w:rFonts w:ascii="Cambria Math" w:hAnsi="Cambria Math" w:cs="Calibri"/>
                        <w:w w:val="108"/>
                        <w:sz w:val="18"/>
                        <w:szCs w:val="18"/>
                      </w:rPr>
                      <m:t>2</m:t>
                    </m:r>
                  </m:sup>
                </m:sSup>
              </m:e>
            </m:nary>
          </m:num>
          <m:den>
            <m:nary>
              <m:naryPr>
                <m:chr m:val="∑"/>
                <m:limLoc m:val="undOvr"/>
                <m:ctrlPr>
                  <w:rPr>
                    <w:rFonts w:ascii="Cambria Math" w:hAnsi="Cambria Math" w:cs="Calibri"/>
                    <w:i/>
                    <w:w w:val="108"/>
                    <w:sz w:val="18"/>
                    <w:szCs w:val="18"/>
                  </w:rPr>
                </m:ctrlPr>
              </m:naryPr>
              <m:sub>
                <m:r>
                  <w:rPr>
                    <w:rFonts w:ascii="Cambria Math" w:hAnsi="Cambria Math" w:cs="Calibri"/>
                    <w:w w:val="108"/>
                    <w:sz w:val="18"/>
                    <w:szCs w:val="18"/>
                  </w:rPr>
                  <m:t>i=1</m:t>
                </m:r>
              </m:sub>
              <m:sup>
                <m:r>
                  <w:rPr>
                    <w:rFonts w:ascii="Cambria Math" w:hAnsi="Cambria Math" w:cs="Calibri"/>
                    <w:w w:val="108"/>
                    <w:sz w:val="18"/>
                    <w:szCs w:val="18"/>
                  </w:rPr>
                  <m:t>n</m:t>
                </m:r>
              </m:sup>
              <m:e>
                <m:sSup>
                  <m:sSupPr>
                    <m:ctrlPr>
                      <w:rPr>
                        <w:rFonts w:ascii="Cambria Math" w:hAnsi="Cambria Math" w:cs="Calibri"/>
                        <w:i/>
                        <w:w w:val="108"/>
                        <w:sz w:val="18"/>
                        <w:szCs w:val="18"/>
                      </w:rPr>
                    </m:ctrlPr>
                  </m:sSupPr>
                  <m:e>
                    <m:r>
                      <w:rPr>
                        <w:rFonts w:ascii="Cambria Math" w:hAnsi="Cambria Math" w:cs="Calibri"/>
                        <w:w w:val="108"/>
                        <w:sz w:val="18"/>
                        <w:szCs w:val="18"/>
                      </w:rPr>
                      <m:t>(</m:t>
                    </m:r>
                    <m:sSub>
                      <m:sSubPr>
                        <m:ctrlPr>
                          <w:rPr>
                            <w:rFonts w:ascii="Cambria Math" w:hAnsi="Cambria Math" w:cs="Calibri"/>
                            <w:i/>
                            <w:w w:val="108"/>
                            <w:sz w:val="18"/>
                            <w:szCs w:val="18"/>
                          </w:rPr>
                        </m:ctrlPr>
                      </m:sSubPr>
                      <m:e>
                        <m:r>
                          <w:rPr>
                            <w:rFonts w:ascii="Cambria Math" w:hAnsi="Cambria Math" w:cs="Calibri"/>
                            <w:w w:val="108"/>
                            <w:sz w:val="18"/>
                            <w:szCs w:val="18"/>
                          </w:rPr>
                          <m:t>Q</m:t>
                        </m:r>
                      </m:e>
                      <m:sub>
                        <m:r>
                          <w:rPr>
                            <w:rFonts w:ascii="Cambria Math" w:hAnsi="Cambria Math" w:cs="Calibri"/>
                            <w:w w:val="108"/>
                            <w:sz w:val="18"/>
                            <w:szCs w:val="18"/>
                          </w:rPr>
                          <m:t xml:space="preserve">o,i </m:t>
                        </m:r>
                      </m:sub>
                    </m:sSub>
                    <m:r>
                      <w:rPr>
                        <w:rFonts w:ascii="Cambria Math" w:hAnsi="Cambria Math" w:cs="Calibri"/>
                        <w:w w:val="108"/>
                        <w:sz w:val="18"/>
                        <w:szCs w:val="18"/>
                      </w:rPr>
                      <m:t xml:space="preserve">- </m:t>
                    </m:r>
                    <m:acc>
                      <m:accPr>
                        <m:chr m:val="̅"/>
                        <m:ctrlPr>
                          <w:rPr>
                            <w:rFonts w:ascii="Cambria Math" w:hAnsi="Cambria Math" w:cs="Calibri"/>
                            <w:i/>
                            <w:w w:val="108"/>
                            <w:sz w:val="18"/>
                            <w:szCs w:val="18"/>
                          </w:rPr>
                        </m:ctrlPr>
                      </m:accPr>
                      <m:e>
                        <m:sSub>
                          <m:sSubPr>
                            <m:ctrlPr>
                              <w:rPr>
                                <w:rFonts w:ascii="Cambria Math" w:hAnsi="Cambria Math" w:cs="Calibri"/>
                                <w:i/>
                                <w:w w:val="108"/>
                                <w:sz w:val="18"/>
                                <w:szCs w:val="18"/>
                              </w:rPr>
                            </m:ctrlPr>
                          </m:sSubPr>
                          <m:e>
                            <m:r>
                              <w:rPr>
                                <w:rFonts w:ascii="Cambria Math" w:hAnsi="Cambria Math" w:cs="Calibri"/>
                                <w:w w:val="108"/>
                                <w:sz w:val="18"/>
                                <w:szCs w:val="18"/>
                              </w:rPr>
                              <m:t>Q</m:t>
                            </m:r>
                          </m:e>
                          <m:sub>
                            <m:r>
                              <w:rPr>
                                <w:rFonts w:ascii="Cambria Math" w:hAnsi="Cambria Math" w:cs="Calibri"/>
                                <w:w w:val="108"/>
                                <w:sz w:val="18"/>
                                <w:szCs w:val="18"/>
                              </w:rPr>
                              <m:t>O</m:t>
                            </m:r>
                          </m:sub>
                        </m:sSub>
                      </m:e>
                    </m:acc>
                    <m:r>
                      <w:rPr>
                        <w:rFonts w:ascii="Cambria Math" w:hAnsi="Cambria Math" w:cs="Calibri"/>
                        <w:w w:val="108"/>
                        <w:sz w:val="18"/>
                        <w:szCs w:val="18"/>
                      </w:rPr>
                      <m:t>)</m:t>
                    </m:r>
                  </m:e>
                  <m:sup>
                    <m:r>
                      <w:rPr>
                        <w:rFonts w:ascii="Cambria Math" w:hAnsi="Cambria Math" w:cs="Calibri"/>
                        <w:w w:val="108"/>
                        <w:sz w:val="18"/>
                        <w:szCs w:val="18"/>
                      </w:rPr>
                      <m:t>2</m:t>
                    </m:r>
                  </m:sup>
                </m:sSup>
              </m:e>
            </m:nary>
          </m:den>
        </m:f>
      </m:oMath>
      <w:r w:rsidRPr="003F3ABB">
        <w:rPr>
          <w:rFonts w:ascii="Calibri" w:hAnsi="Calibri" w:cs="Calibri"/>
          <w:w w:val="108"/>
          <w:sz w:val="18"/>
          <w:szCs w:val="18"/>
        </w:rPr>
        <w:t xml:space="preserve">     (7)                </w:t>
      </w:r>
    </w:p>
    <w:p w14:paraId="2C2102C9"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 xml:space="preserve">Here, </w:t>
      </w:r>
      <m:oMath>
        <m:sSub>
          <m:sSubPr>
            <m:ctrlPr>
              <w:rPr>
                <w:rFonts w:ascii="Cambria Math" w:hAnsi="Cambria Math" w:cs="Calibri"/>
                <w:w w:val="108"/>
                <w:sz w:val="18"/>
                <w:szCs w:val="18"/>
              </w:rPr>
            </m:ctrlPr>
          </m:sSubPr>
          <m:e>
            <m:r>
              <w:rPr>
                <w:rFonts w:ascii="Cambria Math" w:hAnsi="Cambria Math" w:cs="Calibri"/>
                <w:w w:val="108"/>
                <w:sz w:val="18"/>
                <w:szCs w:val="18"/>
              </w:rPr>
              <m:t>Q</m:t>
            </m:r>
          </m:e>
          <m:sub>
            <m:r>
              <w:rPr>
                <w:rFonts w:ascii="Cambria Math" w:hAnsi="Cambria Math" w:cs="Calibri"/>
                <w:w w:val="108"/>
                <w:sz w:val="18"/>
                <w:szCs w:val="18"/>
              </w:rPr>
              <m:t>o</m:t>
            </m:r>
            <m:r>
              <m:rPr>
                <m:sty m:val="p"/>
              </m:rPr>
              <w:rPr>
                <w:rFonts w:ascii="Cambria Math" w:hAnsi="Cambria Math" w:cs="Calibri"/>
                <w:w w:val="108"/>
                <w:sz w:val="18"/>
                <w:szCs w:val="18"/>
              </w:rPr>
              <m:t>,</m:t>
            </m:r>
            <m:r>
              <w:rPr>
                <w:rFonts w:ascii="Cambria Math" w:hAnsi="Cambria Math" w:cs="Calibri"/>
                <w:w w:val="108"/>
                <w:sz w:val="18"/>
                <w:szCs w:val="18"/>
              </w:rPr>
              <m:t>i</m:t>
            </m:r>
            <m:r>
              <m:rPr>
                <m:sty m:val="p"/>
              </m:rPr>
              <w:rPr>
                <w:rFonts w:ascii="Cambria Math" w:hAnsi="Cambria Math" w:cs="Calibri"/>
                <w:w w:val="108"/>
                <w:sz w:val="18"/>
                <w:szCs w:val="18"/>
              </w:rPr>
              <m:t xml:space="preserve"> </m:t>
            </m:r>
          </m:sub>
        </m:sSub>
      </m:oMath>
      <w:r w:rsidRPr="003F3ABB">
        <w:rPr>
          <w:rFonts w:ascii="Calibri" w:hAnsi="Calibri" w:cs="Calibri"/>
          <w:w w:val="108"/>
          <w:sz w:val="18"/>
          <w:szCs w:val="18"/>
        </w:rPr>
        <w:t xml:space="preserve"> and </w:t>
      </w:r>
      <m:oMath>
        <m:sSub>
          <m:sSubPr>
            <m:ctrlPr>
              <w:rPr>
                <w:rFonts w:ascii="Cambria Math" w:hAnsi="Cambria Math" w:cs="Calibri"/>
                <w:w w:val="108"/>
                <w:sz w:val="18"/>
                <w:szCs w:val="18"/>
              </w:rPr>
            </m:ctrlPr>
          </m:sSubPr>
          <m:e>
            <m:r>
              <w:rPr>
                <w:rFonts w:ascii="Cambria Math" w:hAnsi="Cambria Math" w:cs="Calibri"/>
                <w:w w:val="108"/>
                <w:sz w:val="18"/>
                <w:szCs w:val="18"/>
              </w:rPr>
              <m:t>Q</m:t>
            </m:r>
          </m:e>
          <m:sub>
            <m:r>
              <w:rPr>
                <w:rFonts w:ascii="Cambria Math" w:hAnsi="Cambria Math" w:cs="Calibri"/>
                <w:w w:val="108"/>
                <w:sz w:val="18"/>
                <w:szCs w:val="18"/>
              </w:rPr>
              <m:t>s</m:t>
            </m:r>
            <m:r>
              <m:rPr>
                <m:sty m:val="p"/>
              </m:rPr>
              <w:rPr>
                <w:rFonts w:ascii="Cambria Math" w:hAnsi="Cambria Math" w:cs="Calibri"/>
                <w:w w:val="108"/>
                <w:sz w:val="18"/>
                <w:szCs w:val="18"/>
              </w:rPr>
              <m:t>,</m:t>
            </m:r>
            <m:r>
              <w:rPr>
                <w:rFonts w:ascii="Cambria Math" w:hAnsi="Cambria Math" w:cs="Calibri"/>
                <w:w w:val="108"/>
                <w:sz w:val="18"/>
                <w:szCs w:val="18"/>
              </w:rPr>
              <m:t>i</m:t>
            </m:r>
            <m:r>
              <m:rPr>
                <m:sty m:val="p"/>
              </m:rPr>
              <w:rPr>
                <w:rFonts w:ascii="Cambria Math" w:hAnsi="Cambria Math" w:cs="Calibri"/>
                <w:w w:val="108"/>
                <w:sz w:val="18"/>
                <w:szCs w:val="18"/>
              </w:rPr>
              <m:t xml:space="preserve"> </m:t>
            </m:r>
          </m:sub>
        </m:sSub>
      </m:oMath>
      <w:r w:rsidRPr="003F3ABB">
        <w:rPr>
          <w:rFonts w:ascii="Calibri" w:hAnsi="Calibri" w:cs="Calibri"/>
          <w:w w:val="108"/>
          <w:sz w:val="18"/>
          <w:szCs w:val="18"/>
        </w:rPr>
        <w:t xml:space="preserve">are the observed and simulated flow discharge values, respectively, and </w:t>
      </w:r>
      <m:oMath>
        <m:acc>
          <m:accPr>
            <m:chr m:val="̅"/>
            <m:ctrlPr>
              <w:rPr>
                <w:rFonts w:ascii="Cambria Math" w:hAnsi="Cambria Math" w:cs="Calibri"/>
                <w:w w:val="108"/>
                <w:sz w:val="18"/>
                <w:szCs w:val="18"/>
              </w:rPr>
            </m:ctrlPr>
          </m:accPr>
          <m:e>
            <m:sSub>
              <m:sSubPr>
                <m:ctrlPr>
                  <w:rPr>
                    <w:rFonts w:ascii="Cambria Math" w:hAnsi="Cambria Math" w:cs="Calibri"/>
                    <w:w w:val="108"/>
                    <w:sz w:val="18"/>
                    <w:szCs w:val="18"/>
                  </w:rPr>
                </m:ctrlPr>
              </m:sSubPr>
              <m:e>
                <m:r>
                  <w:rPr>
                    <w:rFonts w:ascii="Cambria Math" w:hAnsi="Cambria Math" w:cs="Calibri"/>
                    <w:w w:val="108"/>
                    <w:sz w:val="18"/>
                    <w:szCs w:val="18"/>
                  </w:rPr>
                  <m:t>Q</m:t>
                </m:r>
              </m:e>
              <m:sub>
                <m:r>
                  <w:rPr>
                    <w:rFonts w:ascii="Cambria Math" w:hAnsi="Cambria Math" w:cs="Calibri"/>
                    <w:w w:val="108"/>
                    <w:sz w:val="18"/>
                    <w:szCs w:val="18"/>
                  </w:rPr>
                  <m:t>O</m:t>
                </m:r>
                <m:r>
                  <m:rPr>
                    <m:sty m:val="p"/>
                  </m:rPr>
                  <w:rPr>
                    <w:rFonts w:ascii="Cambria Math" w:hAnsi="Cambria Math" w:cs="Calibri"/>
                    <w:w w:val="108"/>
                    <w:sz w:val="18"/>
                    <w:szCs w:val="18"/>
                  </w:rPr>
                  <m:t xml:space="preserve"> </m:t>
                </m:r>
              </m:sub>
            </m:sSub>
          </m:e>
        </m:acc>
      </m:oMath>
      <w:r w:rsidRPr="003F3ABB">
        <w:rPr>
          <w:rFonts w:ascii="Calibri" w:hAnsi="Calibri" w:cs="Calibri"/>
          <w:w w:val="108"/>
          <w:sz w:val="18"/>
          <w:szCs w:val="18"/>
        </w:rPr>
        <w:t xml:space="preserve"> is the observed mean flow.  </w:t>
      </w:r>
    </w:p>
    <w:p w14:paraId="0974A8D2"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 xml:space="preserve">The Nash–Sutcliffe efficiency was also included in our sensitivity analyses, in addition to the single indicators mentioned above. Because we varied model parameters simultaneously, we expected to see a relatively wide range of values of Nash–Sutcliffe efficiency. We chose the 5% best and 5% worst simulations (highest efficiency and lowest efficiency, respectively) to further evaluate the parameter settings that most improve model performance.  </w:t>
      </w:r>
    </w:p>
    <w:p w14:paraId="5B7D44EC"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 xml:space="preserve">We calculated the difference (eq. (8)) in parameter values between the best and worst simulations (5%) for each model element (i.e., each subcatchment or pipe). The differences were then normalized by dividing the mean of the parameters to eliminate the influence of different units. The differences in eq. (8) were calculated by both type of parameters and each specific subcatchment or pipe. </w:t>
      </w:r>
    </w:p>
    <w:p w14:paraId="6FC9FA42" w14:textId="77777777" w:rsidR="003F3ABB" w:rsidRPr="003F3ABB" w:rsidRDefault="00431152" w:rsidP="00AF1C8B">
      <w:pPr>
        <w:spacing w:line="480" w:lineRule="auto"/>
        <w:rPr>
          <w:rFonts w:ascii="Calibri" w:hAnsi="Calibri" w:cs="Calibri"/>
          <w:w w:val="108"/>
          <w:sz w:val="18"/>
          <w:szCs w:val="18"/>
        </w:rPr>
      </w:pPr>
      <m:oMath>
        <m:sSub>
          <m:sSubPr>
            <m:ctrlPr>
              <w:rPr>
                <w:rFonts w:ascii="Cambria Math" w:hAnsi="Cambria Math" w:cs="Calibri"/>
                <w:w w:val="108"/>
                <w:sz w:val="18"/>
                <w:szCs w:val="18"/>
              </w:rPr>
            </m:ctrlPr>
          </m:sSubPr>
          <m:e>
            <m:r>
              <m:rPr>
                <m:sty m:val="p"/>
              </m:rPr>
              <w:rPr>
                <w:rFonts w:ascii="Cambria Math" w:hAnsi="Cambria Math" w:cs="Calibri"/>
                <w:w w:val="108"/>
                <w:sz w:val="18"/>
                <w:szCs w:val="18"/>
              </w:rPr>
              <m:t>∆</m:t>
            </m:r>
          </m:e>
          <m:sub>
            <m:r>
              <w:rPr>
                <w:rFonts w:ascii="Cambria Math" w:hAnsi="Cambria Math" w:cs="Calibri"/>
                <w:w w:val="108"/>
                <w:sz w:val="18"/>
                <w:szCs w:val="18"/>
              </w:rPr>
              <m:t>p</m:t>
            </m:r>
            <m:r>
              <m:rPr>
                <m:sty m:val="p"/>
              </m:rPr>
              <w:rPr>
                <w:rFonts w:ascii="Cambria Math" w:hAnsi="Cambria Math" w:cs="Calibri"/>
                <w:w w:val="108"/>
                <w:sz w:val="18"/>
                <w:szCs w:val="18"/>
              </w:rPr>
              <m:t>,</m:t>
            </m:r>
            <m:r>
              <w:rPr>
                <w:rFonts w:ascii="Cambria Math" w:hAnsi="Cambria Math" w:cs="Calibri"/>
                <w:w w:val="108"/>
                <w:sz w:val="18"/>
                <w:szCs w:val="18"/>
              </w:rPr>
              <m:t>c</m:t>
            </m:r>
          </m:sub>
        </m:sSub>
      </m:oMath>
      <w:r w:rsidR="003F3ABB" w:rsidRPr="003F3ABB">
        <w:rPr>
          <w:rFonts w:ascii="Calibri" w:hAnsi="Calibri" w:cs="Calibri"/>
          <w:w w:val="108"/>
          <w:sz w:val="18"/>
          <w:szCs w:val="18"/>
        </w:rPr>
        <w:t xml:space="preserve">= </w:t>
      </w:r>
      <m:oMath>
        <m:f>
          <m:fPr>
            <m:ctrlPr>
              <w:rPr>
                <w:rFonts w:ascii="Cambria Math" w:hAnsi="Cambria Math" w:cs="Calibri"/>
                <w:w w:val="108"/>
                <w:sz w:val="18"/>
                <w:szCs w:val="18"/>
              </w:rPr>
            </m:ctrlPr>
          </m:fPr>
          <m:num>
            <m:acc>
              <m:accPr>
                <m:chr m:val="̅"/>
                <m:ctrlPr>
                  <w:rPr>
                    <w:rFonts w:ascii="Cambria Math" w:hAnsi="Cambria Math" w:cs="Calibri"/>
                    <w:w w:val="108"/>
                    <w:sz w:val="18"/>
                    <w:szCs w:val="18"/>
                  </w:rPr>
                </m:ctrlPr>
              </m:accPr>
              <m:e>
                <m:sSub>
                  <m:sSubPr>
                    <m:ctrlPr>
                      <w:rPr>
                        <w:rFonts w:ascii="Cambria Math" w:hAnsi="Cambria Math" w:cs="Calibri"/>
                        <w:w w:val="108"/>
                        <w:sz w:val="18"/>
                        <w:szCs w:val="18"/>
                      </w:rPr>
                    </m:ctrlPr>
                  </m:sSubPr>
                  <m:e>
                    <m:r>
                      <w:rPr>
                        <w:rFonts w:ascii="Cambria Math" w:hAnsi="Cambria Math" w:cs="Calibri"/>
                        <w:w w:val="108"/>
                        <w:sz w:val="18"/>
                        <w:szCs w:val="18"/>
                      </w:rPr>
                      <m:t>Best</m:t>
                    </m:r>
                  </m:e>
                  <m:sub>
                    <m:r>
                      <m:rPr>
                        <m:sty m:val="p"/>
                      </m:rPr>
                      <w:rPr>
                        <w:rFonts w:ascii="Cambria Math" w:hAnsi="Cambria Math" w:cs="Calibri"/>
                        <w:w w:val="108"/>
                        <w:sz w:val="18"/>
                        <w:szCs w:val="18"/>
                      </w:rPr>
                      <m:t>5%</m:t>
                    </m:r>
                  </m:sub>
                </m:sSub>
              </m:e>
            </m:acc>
            <m:r>
              <m:rPr>
                <m:nor/>
              </m:rPr>
              <w:rPr>
                <w:rFonts w:ascii="Calibri" w:hAnsi="Calibri" w:cs="Calibri"/>
                <w:w w:val="108"/>
                <w:sz w:val="18"/>
                <w:szCs w:val="18"/>
              </w:rPr>
              <m:t> – </m:t>
            </m:r>
            <m:acc>
              <m:accPr>
                <m:chr m:val="̅"/>
                <m:ctrlPr>
                  <w:rPr>
                    <w:rFonts w:ascii="Cambria Math" w:hAnsi="Cambria Math" w:cs="Calibri"/>
                    <w:w w:val="108"/>
                    <w:sz w:val="18"/>
                    <w:szCs w:val="18"/>
                  </w:rPr>
                </m:ctrlPr>
              </m:accPr>
              <m:e>
                <m:sSub>
                  <m:sSubPr>
                    <m:ctrlPr>
                      <w:rPr>
                        <w:rFonts w:ascii="Cambria Math" w:hAnsi="Cambria Math" w:cs="Calibri"/>
                        <w:w w:val="108"/>
                        <w:sz w:val="18"/>
                        <w:szCs w:val="18"/>
                      </w:rPr>
                    </m:ctrlPr>
                  </m:sSubPr>
                  <m:e>
                    <m:r>
                      <w:rPr>
                        <w:rFonts w:ascii="Cambria Math" w:hAnsi="Cambria Math" w:cs="Calibri"/>
                        <w:w w:val="108"/>
                        <w:sz w:val="18"/>
                        <w:szCs w:val="18"/>
                      </w:rPr>
                      <m:t>Worst</m:t>
                    </m:r>
                  </m:e>
                  <m:sub>
                    <m:r>
                      <m:rPr>
                        <m:sty m:val="p"/>
                      </m:rPr>
                      <w:rPr>
                        <w:rFonts w:ascii="Cambria Math" w:hAnsi="Cambria Math" w:cs="Calibri"/>
                        <w:w w:val="108"/>
                        <w:sz w:val="18"/>
                        <w:szCs w:val="18"/>
                      </w:rPr>
                      <m:t>5%</m:t>
                    </m:r>
                  </m:sub>
                </m:sSub>
              </m:e>
            </m:acc>
          </m:num>
          <m:den>
            <m:r>
              <w:rPr>
                <w:rFonts w:ascii="Cambria Math" w:hAnsi="Cambria Math" w:cs="Calibri"/>
                <w:w w:val="108"/>
                <w:sz w:val="18"/>
                <w:szCs w:val="18"/>
              </w:rPr>
              <m:t>Mean</m:t>
            </m:r>
          </m:den>
        </m:f>
      </m:oMath>
      <w:r w:rsidR="003F3ABB" w:rsidRPr="003F3ABB">
        <w:rPr>
          <w:rFonts w:ascii="Calibri" w:hAnsi="Calibri" w:cs="Calibri"/>
          <w:w w:val="108"/>
          <w:sz w:val="18"/>
          <w:szCs w:val="18"/>
        </w:rPr>
        <w:t xml:space="preserve">          </w:t>
      </w:r>
      <w:proofErr w:type="gramStart"/>
      <w:r w:rsidR="003F3ABB" w:rsidRPr="003F3ABB">
        <w:rPr>
          <w:rFonts w:ascii="Calibri" w:hAnsi="Calibri" w:cs="Calibri"/>
          <w:w w:val="108"/>
          <w:sz w:val="18"/>
          <w:szCs w:val="18"/>
        </w:rPr>
        <w:t xml:space="preserve">   (</w:t>
      </w:r>
      <w:proofErr w:type="gramEnd"/>
      <w:r w:rsidR="003F3ABB" w:rsidRPr="003F3ABB">
        <w:rPr>
          <w:rFonts w:ascii="Calibri" w:hAnsi="Calibri" w:cs="Calibri"/>
          <w:w w:val="108"/>
          <w:sz w:val="18"/>
          <w:szCs w:val="18"/>
        </w:rPr>
        <w:t xml:space="preserve">8)  </w:t>
      </w:r>
    </w:p>
    <w:p w14:paraId="32929EBA"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 xml:space="preserve">We then calculated the sum of the absolute differences as the parameter contributions when improving Nash–Sutcliffe efficiency from the worst to best (eq. (9) – eq. (10)). We also normalized the contribution of each subcatchment by dividing by its area, so we could eliminate the influence of the shape of the area and compare it with the contribution per area (eq. (11)). </w:t>
      </w:r>
    </w:p>
    <w:p w14:paraId="3DE01D03" w14:textId="77777777" w:rsidR="003F3ABB" w:rsidRPr="003F3ABB" w:rsidRDefault="00431152" w:rsidP="00AF1C8B">
      <w:pPr>
        <w:spacing w:line="480" w:lineRule="auto"/>
        <w:rPr>
          <w:rFonts w:ascii="Calibri" w:hAnsi="Calibri" w:cs="Calibri"/>
          <w:w w:val="108"/>
          <w:sz w:val="18"/>
          <w:szCs w:val="18"/>
        </w:rPr>
      </w:pPr>
      <m:oMath>
        <m:sSub>
          <m:sSubPr>
            <m:ctrlPr>
              <w:rPr>
                <w:rFonts w:ascii="Cambria Math" w:hAnsi="Cambria Math" w:cs="Calibri"/>
                <w:w w:val="108"/>
                <w:sz w:val="18"/>
                <w:szCs w:val="18"/>
              </w:rPr>
            </m:ctrlPr>
          </m:sSubPr>
          <m:e>
            <m:r>
              <m:rPr>
                <m:nor/>
              </m:rPr>
              <w:rPr>
                <w:rFonts w:ascii="Calibri" w:hAnsi="Calibri" w:cs="Calibri"/>
                <w:w w:val="108"/>
                <w:sz w:val="18"/>
                <w:szCs w:val="18"/>
              </w:rPr>
              <m:t>Contribution</m:t>
            </m:r>
          </m:e>
          <m:sub>
            <m:r>
              <w:rPr>
                <w:rFonts w:ascii="Cambria Math" w:hAnsi="Cambria Math" w:cs="Calibri"/>
                <w:w w:val="108"/>
                <w:sz w:val="18"/>
                <w:szCs w:val="18"/>
              </w:rPr>
              <m:t>p</m:t>
            </m:r>
          </m:sub>
        </m:sSub>
      </m:oMath>
      <w:r w:rsidR="003F3ABB" w:rsidRPr="003F3ABB">
        <w:rPr>
          <w:rFonts w:ascii="Calibri" w:hAnsi="Calibri" w:cs="Calibri"/>
          <w:w w:val="108"/>
          <w:sz w:val="18"/>
          <w:szCs w:val="18"/>
        </w:rPr>
        <w:t xml:space="preserve"> =</w:t>
      </w:r>
      <m:oMath>
        <m:f>
          <m:fPr>
            <m:ctrlPr>
              <w:rPr>
                <w:rFonts w:ascii="Cambria Math" w:hAnsi="Cambria Math" w:cs="Calibri"/>
                <w:w w:val="108"/>
                <w:sz w:val="18"/>
                <w:szCs w:val="18"/>
              </w:rPr>
            </m:ctrlPr>
          </m:fPr>
          <m:num>
            <m:nary>
              <m:naryPr>
                <m:chr m:val="∑"/>
                <m:subHide m:val="1"/>
                <m:supHide m:val="1"/>
                <m:ctrlPr>
                  <w:rPr>
                    <w:rFonts w:ascii="Cambria Math" w:hAnsi="Cambria Math" w:cs="Calibri"/>
                    <w:w w:val="108"/>
                    <w:sz w:val="18"/>
                    <w:szCs w:val="18"/>
                  </w:rPr>
                </m:ctrlPr>
              </m:naryPr>
              <m:sub/>
              <m:sup/>
              <m:e>
                <m:r>
                  <m:rPr>
                    <m:sty m:val="p"/>
                  </m:rPr>
                  <w:rPr>
                    <w:rFonts w:ascii="Cambria Math" w:hAnsi="Cambria Math" w:cs="Calibri"/>
                    <w:w w:val="108"/>
                    <w:sz w:val="18"/>
                    <w:szCs w:val="18"/>
                  </w:rPr>
                  <m:t>(|</m:t>
                </m:r>
                <m:sSub>
                  <m:sSubPr>
                    <m:ctrlPr>
                      <w:rPr>
                        <w:rFonts w:ascii="Cambria Math" w:hAnsi="Cambria Math" w:cs="Calibri"/>
                        <w:w w:val="108"/>
                        <w:sz w:val="18"/>
                        <w:szCs w:val="18"/>
                      </w:rPr>
                    </m:ctrlPr>
                  </m:sSubPr>
                  <m:e>
                    <m:r>
                      <m:rPr>
                        <m:sty m:val="p"/>
                      </m:rPr>
                      <w:rPr>
                        <w:rFonts w:ascii="Cambria Math" w:hAnsi="Cambria Math" w:cs="Calibri"/>
                        <w:w w:val="108"/>
                        <w:sz w:val="18"/>
                        <w:szCs w:val="18"/>
                      </w:rPr>
                      <m:t>∆</m:t>
                    </m:r>
                  </m:e>
                  <m:sub>
                    <m:r>
                      <m:rPr>
                        <m:sty m:val="p"/>
                      </m:rPr>
                      <w:rPr>
                        <w:rFonts w:ascii="Cambria Math" w:hAnsi="Cambria Math" w:cs="Calibri"/>
                        <w:w w:val="108"/>
                        <w:sz w:val="18"/>
                        <w:szCs w:val="18"/>
                      </w:rPr>
                      <m:t>p</m:t>
                    </m:r>
                  </m:sub>
                </m:sSub>
                <m:r>
                  <m:rPr>
                    <m:sty m:val="p"/>
                  </m:rPr>
                  <w:rPr>
                    <w:rFonts w:ascii="Cambria Math" w:hAnsi="Cambria Math" w:cs="Calibri"/>
                    <w:w w:val="108"/>
                    <w:sz w:val="18"/>
                    <w:szCs w:val="18"/>
                  </w:rPr>
                  <m:t>|</m:t>
                </m:r>
              </m:e>
            </m:nary>
            <m:r>
              <m:rPr>
                <m:sty m:val="p"/>
              </m:rPr>
              <w:rPr>
                <w:rFonts w:ascii="Cambria Math" w:hAnsi="Cambria Math" w:cs="Calibri"/>
                <w:w w:val="108"/>
                <w:sz w:val="18"/>
                <w:szCs w:val="18"/>
              </w:rPr>
              <m:t>)</m:t>
            </m:r>
          </m:num>
          <m:den>
            <m:nary>
              <m:naryPr>
                <m:chr m:val="∑"/>
                <m:subHide m:val="1"/>
                <m:supHide m:val="1"/>
                <m:ctrlPr>
                  <w:rPr>
                    <w:rFonts w:ascii="Cambria Math" w:hAnsi="Cambria Math" w:cs="Calibri"/>
                    <w:w w:val="108"/>
                    <w:sz w:val="18"/>
                    <w:szCs w:val="18"/>
                  </w:rPr>
                </m:ctrlPr>
              </m:naryPr>
              <m:sub/>
              <m:sup/>
              <m:e>
                <m:r>
                  <m:rPr>
                    <m:sty m:val="p"/>
                  </m:rPr>
                  <w:rPr>
                    <w:rFonts w:ascii="Cambria Math" w:hAnsi="Cambria Math" w:cs="Calibri"/>
                    <w:w w:val="108"/>
                    <w:sz w:val="18"/>
                    <w:szCs w:val="18"/>
                  </w:rPr>
                  <m:t>(|</m:t>
                </m:r>
                <m:sSub>
                  <m:sSubPr>
                    <m:ctrlPr>
                      <w:rPr>
                        <w:rFonts w:ascii="Cambria Math" w:hAnsi="Cambria Math" w:cs="Calibri"/>
                        <w:w w:val="108"/>
                        <w:sz w:val="18"/>
                        <w:szCs w:val="18"/>
                      </w:rPr>
                    </m:ctrlPr>
                  </m:sSubPr>
                  <m:e>
                    <m:r>
                      <m:rPr>
                        <m:sty m:val="p"/>
                      </m:rPr>
                      <w:rPr>
                        <w:rFonts w:ascii="Cambria Math" w:hAnsi="Cambria Math" w:cs="Calibri"/>
                        <w:w w:val="108"/>
                        <w:sz w:val="18"/>
                        <w:szCs w:val="18"/>
                      </w:rPr>
                      <m:t>∆</m:t>
                    </m:r>
                  </m:e>
                  <m:sub>
                    <m:r>
                      <m:rPr>
                        <m:sty m:val="p"/>
                      </m:rPr>
                      <w:rPr>
                        <w:rFonts w:ascii="Cambria Math" w:hAnsi="Cambria Math" w:cs="Calibri"/>
                        <w:w w:val="108"/>
                        <w:sz w:val="18"/>
                        <w:szCs w:val="18"/>
                      </w:rPr>
                      <m:t>p,c</m:t>
                    </m:r>
                  </m:sub>
                </m:sSub>
                <m:r>
                  <m:rPr>
                    <m:sty m:val="p"/>
                  </m:rPr>
                  <w:rPr>
                    <w:rFonts w:ascii="Cambria Math" w:hAnsi="Cambria Math" w:cs="Calibri"/>
                    <w:w w:val="108"/>
                    <w:sz w:val="18"/>
                    <w:szCs w:val="18"/>
                  </w:rPr>
                  <m:t>|</m:t>
                </m:r>
              </m:e>
            </m:nary>
            <m:r>
              <m:rPr>
                <m:sty m:val="p"/>
              </m:rPr>
              <w:rPr>
                <w:rFonts w:ascii="Cambria Math" w:hAnsi="Cambria Math" w:cs="Calibri"/>
                <w:w w:val="108"/>
                <w:sz w:val="18"/>
                <w:szCs w:val="18"/>
              </w:rPr>
              <m:t>)</m:t>
            </m:r>
          </m:den>
        </m:f>
      </m:oMath>
      <w:r w:rsidR="003F3ABB" w:rsidRPr="003F3ABB">
        <w:rPr>
          <w:rFonts w:ascii="Calibri" w:hAnsi="Calibri" w:cs="Calibri"/>
          <w:w w:val="108"/>
          <w:sz w:val="18"/>
          <w:szCs w:val="18"/>
        </w:rPr>
        <w:t xml:space="preserve">               </w:t>
      </w:r>
      <w:proofErr w:type="gramStart"/>
      <w:r w:rsidR="003F3ABB" w:rsidRPr="003F3ABB">
        <w:rPr>
          <w:rFonts w:ascii="Calibri" w:hAnsi="Calibri" w:cs="Calibri"/>
          <w:w w:val="108"/>
          <w:sz w:val="18"/>
          <w:szCs w:val="18"/>
        </w:rPr>
        <w:t xml:space="preserve">   (</w:t>
      </w:r>
      <w:proofErr w:type="gramEnd"/>
      <w:r w:rsidR="003F3ABB" w:rsidRPr="003F3ABB">
        <w:rPr>
          <w:rFonts w:ascii="Calibri" w:hAnsi="Calibri" w:cs="Calibri"/>
          <w:w w:val="108"/>
          <w:sz w:val="18"/>
          <w:szCs w:val="18"/>
        </w:rPr>
        <w:t xml:space="preserve">9)                                                                                               </w:t>
      </w:r>
    </w:p>
    <w:p w14:paraId="59C5D4F4" w14:textId="77777777" w:rsidR="003F3ABB" w:rsidRPr="003F3ABB" w:rsidRDefault="00431152" w:rsidP="00AF1C8B">
      <w:pPr>
        <w:spacing w:line="480" w:lineRule="auto"/>
        <w:rPr>
          <w:rFonts w:ascii="Calibri" w:hAnsi="Calibri" w:cs="Calibri"/>
          <w:w w:val="108"/>
          <w:sz w:val="18"/>
          <w:szCs w:val="18"/>
        </w:rPr>
      </w:pPr>
      <m:oMath>
        <m:sSub>
          <m:sSubPr>
            <m:ctrlPr>
              <w:rPr>
                <w:rFonts w:ascii="Cambria Math" w:hAnsi="Cambria Math" w:cs="Calibri"/>
                <w:w w:val="108"/>
                <w:sz w:val="18"/>
                <w:szCs w:val="18"/>
              </w:rPr>
            </m:ctrlPr>
          </m:sSubPr>
          <m:e>
            <m:r>
              <m:rPr>
                <m:nor/>
              </m:rPr>
              <w:rPr>
                <w:rFonts w:ascii="Calibri" w:hAnsi="Calibri" w:cs="Calibri"/>
                <w:w w:val="108"/>
                <w:sz w:val="18"/>
                <w:szCs w:val="18"/>
              </w:rPr>
              <m:t>Contribution</m:t>
            </m:r>
          </m:e>
          <m:sub>
            <m:r>
              <w:rPr>
                <w:rFonts w:ascii="Cambria Math" w:hAnsi="Cambria Math" w:cs="Calibri"/>
                <w:w w:val="108"/>
                <w:sz w:val="18"/>
                <w:szCs w:val="18"/>
              </w:rPr>
              <m:t>c</m:t>
            </m:r>
          </m:sub>
        </m:sSub>
      </m:oMath>
      <w:r w:rsidR="003F3ABB" w:rsidRPr="003F3ABB">
        <w:rPr>
          <w:rFonts w:ascii="Calibri" w:hAnsi="Calibri" w:cs="Calibri"/>
          <w:w w:val="108"/>
          <w:sz w:val="18"/>
          <w:szCs w:val="18"/>
        </w:rPr>
        <w:t xml:space="preserve"> =</w:t>
      </w:r>
      <m:oMath>
        <m:r>
          <m:rPr>
            <m:sty m:val="p"/>
          </m:rPr>
          <w:rPr>
            <w:rFonts w:ascii="Cambria Math" w:hAnsi="Cambria Math" w:cs="Calibri"/>
            <w:w w:val="108"/>
            <w:sz w:val="18"/>
            <w:szCs w:val="18"/>
          </w:rPr>
          <m:t> </m:t>
        </m:r>
        <m:f>
          <m:fPr>
            <m:ctrlPr>
              <w:rPr>
                <w:rFonts w:ascii="Cambria Math" w:hAnsi="Cambria Math" w:cs="Calibri"/>
                <w:w w:val="108"/>
                <w:sz w:val="18"/>
                <w:szCs w:val="18"/>
              </w:rPr>
            </m:ctrlPr>
          </m:fPr>
          <m:num>
            <m:nary>
              <m:naryPr>
                <m:chr m:val="∑"/>
                <m:subHide m:val="1"/>
                <m:supHide m:val="1"/>
                <m:ctrlPr>
                  <w:rPr>
                    <w:rFonts w:ascii="Cambria Math" w:hAnsi="Cambria Math" w:cs="Calibri"/>
                    <w:w w:val="108"/>
                    <w:sz w:val="18"/>
                    <w:szCs w:val="18"/>
                  </w:rPr>
                </m:ctrlPr>
              </m:naryPr>
              <m:sub/>
              <m:sup/>
              <m:e>
                <m:r>
                  <m:rPr>
                    <m:sty m:val="p"/>
                  </m:rPr>
                  <w:rPr>
                    <w:rFonts w:ascii="Cambria Math" w:hAnsi="Cambria Math" w:cs="Calibri"/>
                    <w:w w:val="108"/>
                    <w:sz w:val="18"/>
                    <w:szCs w:val="18"/>
                  </w:rPr>
                  <m:t>(|</m:t>
                </m:r>
                <m:sSub>
                  <m:sSubPr>
                    <m:ctrlPr>
                      <w:rPr>
                        <w:rFonts w:ascii="Cambria Math" w:hAnsi="Cambria Math" w:cs="Calibri"/>
                        <w:w w:val="108"/>
                        <w:sz w:val="18"/>
                        <w:szCs w:val="18"/>
                      </w:rPr>
                    </m:ctrlPr>
                  </m:sSubPr>
                  <m:e>
                    <m:r>
                      <m:rPr>
                        <m:sty m:val="p"/>
                      </m:rPr>
                      <w:rPr>
                        <w:rFonts w:ascii="Cambria Math" w:hAnsi="Cambria Math" w:cs="Calibri"/>
                        <w:w w:val="108"/>
                        <w:sz w:val="18"/>
                        <w:szCs w:val="18"/>
                      </w:rPr>
                      <m:t>∆</m:t>
                    </m:r>
                  </m:e>
                  <m:sub>
                    <m:r>
                      <m:rPr>
                        <m:sty m:val="p"/>
                      </m:rPr>
                      <w:rPr>
                        <w:rFonts w:ascii="Cambria Math" w:hAnsi="Cambria Math" w:cs="Calibri"/>
                        <w:w w:val="108"/>
                        <w:sz w:val="18"/>
                        <w:szCs w:val="18"/>
                      </w:rPr>
                      <m:t>c</m:t>
                    </m:r>
                  </m:sub>
                </m:sSub>
                <m:r>
                  <m:rPr>
                    <m:sty m:val="p"/>
                  </m:rPr>
                  <w:rPr>
                    <w:rFonts w:ascii="Cambria Math" w:hAnsi="Cambria Math" w:cs="Calibri"/>
                    <w:w w:val="108"/>
                    <w:sz w:val="18"/>
                    <w:szCs w:val="18"/>
                  </w:rPr>
                  <m:t>|</m:t>
                </m:r>
              </m:e>
            </m:nary>
            <m:r>
              <m:rPr>
                <m:sty m:val="p"/>
              </m:rPr>
              <w:rPr>
                <w:rFonts w:ascii="Cambria Math" w:hAnsi="Cambria Math" w:cs="Calibri"/>
                <w:w w:val="108"/>
                <w:sz w:val="18"/>
                <w:szCs w:val="18"/>
              </w:rPr>
              <m:t>)</m:t>
            </m:r>
          </m:num>
          <m:den>
            <m:nary>
              <m:naryPr>
                <m:chr m:val="∑"/>
                <m:subHide m:val="1"/>
                <m:supHide m:val="1"/>
                <m:ctrlPr>
                  <w:rPr>
                    <w:rFonts w:ascii="Cambria Math" w:hAnsi="Cambria Math" w:cs="Calibri"/>
                    <w:w w:val="108"/>
                    <w:sz w:val="18"/>
                    <w:szCs w:val="18"/>
                  </w:rPr>
                </m:ctrlPr>
              </m:naryPr>
              <m:sub/>
              <m:sup/>
              <m:e>
                <m:r>
                  <m:rPr>
                    <m:sty m:val="p"/>
                  </m:rPr>
                  <w:rPr>
                    <w:rFonts w:ascii="Cambria Math" w:hAnsi="Cambria Math" w:cs="Calibri"/>
                    <w:w w:val="108"/>
                    <w:sz w:val="18"/>
                    <w:szCs w:val="18"/>
                  </w:rPr>
                  <m:t>(|</m:t>
                </m:r>
                <m:sSub>
                  <m:sSubPr>
                    <m:ctrlPr>
                      <w:rPr>
                        <w:rFonts w:ascii="Cambria Math" w:hAnsi="Cambria Math" w:cs="Calibri"/>
                        <w:w w:val="108"/>
                        <w:sz w:val="18"/>
                        <w:szCs w:val="18"/>
                      </w:rPr>
                    </m:ctrlPr>
                  </m:sSubPr>
                  <m:e>
                    <m:r>
                      <m:rPr>
                        <m:sty m:val="p"/>
                      </m:rPr>
                      <w:rPr>
                        <w:rFonts w:ascii="Cambria Math" w:hAnsi="Cambria Math" w:cs="Calibri"/>
                        <w:w w:val="108"/>
                        <w:sz w:val="18"/>
                        <w:szCs w:val="18"/>
                      </w:rPr>
                      <m:t>∆</m:t>
                    </m:r>
                  </m:e>
                  <m:sub>
                    <m:r>
                      <m:rPr>
                        <m:sty m:val="p"/>
                      </m:rPr>
                      <w:rPr>
                        <w:rFonts w:ascii="Cambria Math" w:hAnsi="Cambria Math" w:cs="Calibri"/>
                        <w:w w:val="108"/>
                        <w:sz w:val="18"/>
                        <w:szCs w:val="18"/>
                      </w:rPr>
                      <m:t>p,c</m:t>
                    </m:r>
                  </m:sub>
                </m:sSub>
                <m:r>
                  <m:rPr>
                    <m:sty m:val="p"/>
                  </m:rPr>
                  <w:rPr>
                    <w:rFonts w:ascii="Cambria Math" w:hAnsi="Cambria Math" w:cs="Calibri"/>
                    <w:w w:val="108"/>
                    <w:sz w:val="18"/>
                    <w:szCs w:val="18"/>
                  </w:rPr>
                  <m:t>|</m:t>
                </m:r>
              </m:e>
            </m:nary>
            <m:r>
              <m:rPr>
                <m:sty m:val="p"/>
              </m:rPr>
              <w:rPr>
                <w:rFonts w:ascii="Cambria Math" w:hAnsi="Cambria Math" w:cs="Calibri"/>
                <w:w w:val="108"/>
                <w:sz w:val="18"/>
                <w:szCs w:val="18"/>
              </w:rPr>
              <m:t>)</m:t>
            </m:r>
          </m:den>
        </m:f>
      </m:oMath>
      <w:r w:rsidR="003F3ABB" w:rsidRPr="003F3ABB">
        <w:rPr>
          <w:rFonts w:ascii="Calibri" w:hAnsi="Calibri" w:cs="Calibri"/>
          <w:w w:val="108"/>
          <w:sz w:val="18"/>
          <w:szCs w:val="18"/>
        </w:rPr>
        <w:t xml:space="preserve">              </w:t>
      </w:r>
      <w:proofErr w:type="gramStart"/>
      <w:r w:rsidR="003F3ABB" w:rsidRPr="003F3ABB">
        <w:rPr>
          <w:rFonts w:ascii="Calibri" w:hAnsi="Calibri" w:cs="Calibri"/>
          <w:w w:val="108"/>
          <w:sz w:val="18"/>
          <w:szCs w:val="18"/>
        </w:rPr>
        <w:t xml:space="preserve">   (</w:t>
      </w:r>
      <w:proofErr w:type="gramEnd"/>
      <w:r w:rsidR="003F3ABB" w:rsidRPr="003F3ABB">
        <w:rPr>
          <w:rFonts w:ascii="Calibri" w:hAnsi="Calibri" w:cs="Calibri"/>
          <w:w w:val="108"/>
          <w:sz w:val="18"/>
          <w:szCs w:val="18"/>
        </w:rPr>
        <w:t xml:space="preserve">10)                                                                                           </w:t>
      </w:r>
    </w:p>
    <w:p w14:paraId="15877ED1" w14:textId="77777777" w:rsidR="003F3ABB" w:rsidRPr="003F3ABB" w:rsidRDefault="00431152" w:rsidP="00AF1C8B">
      <w:pPr>
        <w:spacing w:line="480" w:lineRule="auto"/>
        <w:rPr>
          <w:rFonts w:ascii="Calibri" w:hAnsi="Calibri" w:cs="Calibri"/>
          <w:w w:val="108"/>
          <w:sz w:val="18"/>
          <w:szCs w:val="18"/>
        </w:rPr>
      </w:pPr>
      <m:oMath>
        <m:sSub>
          <m:sSubPr>
            <m:ctrlPr>
              <w:rPr>
                <w:rFonts w:ascii="Cambria Math" w:hAnsi="Cambria Math" w:cs="Calibri"/>
                <w:w w:val="108"/>
                <w:sz w:val="18"/>
                <w:szCs w:val="18"/>
              </w:rPr>
            </m:ctrlPr>
          </m:sSubPr>
          <m:e>
            <m:r>
              <m:rPr>
                <m:sty m:val="p"/>
              </m:rPr>
              <w:rPr>
                <w:rFonts w:ascii="Cambria Math" w:hAnsi="Cambria Math" w:cs="Calibri"/>
                <w:w w:val="108"/>
                <w:sz w:val="18"/>
                <w:szCs w:val="18"/>
              </w:rPr>
              <m:t>Contribution'</m:t>
            </m:r>
          </m:e>
          <m:sub>
            <m:r>
              <m:rPr>
                <m:sty m:val="p"/>
              </m:rPr>
              <w:rPr>
                <w:rFonts w:ascii="Cambria Math" w:hAnsi="Cambria Math" w:cs="Calibri"/>
                <w:w w:val="108"/>
                <w:sz w:val="18"/>
                <w:szCs w:val="18"/>
              </w:rPr>
              <m:t>c</m:t>
            </m:r>
          </m:sub>
        </m:sSub>
        <m:r>
          <m:rPr>
            <m:sty m:val="p"/>
          </m:rPr>
          <w:rPr>
            <w:rFonts w:ascii="Cambria Math" w:hAnsi="Cambria Math" w:cs="Calibri"/>
            <w:w w:val="108"/>
            <w:sz w:val="18"/>
            <w:szCs w:val="18"/>
          </w:rPr>
          <m:t> </m:t>
        </m:r>
      </m:oMath>
      <w:r w:rsidR="003F3ABB" w:rsidRPr="003F3ABB">
        <w:rPr>
          <w:rFonts w:ascii="Calibri" w:hAnsi="Calibri" w:cs="Calibri"/>
          <w:w w:val="108"/>
          <w:sz w:val="18"/>
          <w:szCs w:val="18"/>
        </w:rPr>
        <w:t xml:space="preserve">= </w:t>
      </w:r>
      <m:oMath>
        <m:f>
          <m:fPr>
            <m:ctrlPr>
              <w:rPr>
                <w:rFonts w:ascii="Cambria Math" w:hAnsi="Cambria Math" w:cs="Calibri"/>
                <w:w w:val="108"/>
                <w:sz w:val="18"/>
                <w:szCs w:val="18"/>
              </w:rPr>
            </m:ctrlPr>
          </m:fPr>
          <m:num>
            <m:sSub>
              <m:sSubPr>
                <m:ctrlPr>
                  <w:rPr>
                    <w:rFonts w:ascii="Cambria Math" w:hAnsi="Cambria Math" w:cs="Calibri"/>
                    <w:w w:val="108"/>
                    <w:sz w:val="18"/>
                    <w:szCs w:val="18"/>
                  </w:rPr>
                </m:ctrlPr>
              </m:sSubPr>
              <m:e>
                <m:r>
                  <m:rPr>
                    <m:sty m:val="p"/>
                  </m:rPr>
                  <w:rPr>
                    <w:rFonts w:ascii="Cambria Math" w:hAnsi="Cambria Math" w:cs="Calibri"/>
                    <w:w w:val="108"/>
                    <w:sz w:val="18"/>
                    <w:szCs w:val="18"/>
                  </w:rPr>
                  <m:t>Contribution</m:t>
                </m:r>
              </m:e>
              <m:sub>
                <m:r>
                  <w:rPr>
                    <w:rFonts w:ascii="Cambria Math" w:hAnsi="Cambria Math" w:cs="Calibri"/>
                    <w:w w:val="108"/>
                    <w:sz w:val="18"/>
                    <w:szCs w:val="18"/>
                  </w:rPr>
                  <m:t>c</m:t>
                </m:r>
              </m:sub>
            </m:sSub>
          </m:num>
          <m:den>
            <m:sSub>
              <m:sSubPr>
                <m:ctrlPr>
                  <w:rPr>
                    <w:rFonts w:ascii="Cambria Math" w:hAnsi="Cambria Math" w:cs="Calibri"/>
                    <w:w w:val="108"/>
                    <w:sz w:val="18"/>
                    <w:szCs w:val="18"/>
                  </w:rPr>
                </m:ctrlPr>
              </m:sSubPr>
              <m:e>
                <m:r>
                  <w:rPr>
                    <w:rFonts w:ascii="Cambria Math" w:hAnsi="Cambria Math" w:cs="Calibri"/>
                    <w:w w:val="108"/>
                    <w:sz w:val="18"/>
                    <w:szCs w:val="18"/>
                  </w:rPr>
                  <m:t>Area</m:t>
                </m:r>
              </m:e>
              <m:sub>
                <m:r>
                  <w:rPr>
                    <w:rFonts w:ascii="Cambria Math" w:hAnsi="Cambria Math" w:cs="Calibri"/>
                    <w:w w:val="108"/>
                    <w:sz w:val="18"/>
                    <w:szCs w:val="18"/>
                  </w:rPr>
                  <m:t>c</m:t>
                </m:r>
              </m:sub>
            </m:sSub>
          </m:den>
        </m:f>
      </m:oMath>
      <w:r w:rsidR="003F3ABB" w:rsidRPr="003F3ABB">
        <w:rPr>
          <w:rFonts w:ascii="Calibri" w:hAnsi="Calibri" w:cs="Calibri"/>
          <w:w w:val="108"/>
          <w:sz w:val="18"/>
          <w:szCs w:val="18"/>
        </w:rPr>
        <w:t xml:space="preserve">    </w:t>
      </w:r>
      <w:proofErr w:type="gramStart"/>
      <w:r w:rsidR="003F3ABB" w:rsidRPr="003F3ABB">
        <w:rPr>
          <w:rFonts w:ascii="Calibri" w:hAnsi="Calibri" w:cs="Calibri"/>
          <w:w w:val="108"/>
          <w:sz w:val="18"/>
          <w:szCs w:val="18"/>
        </w:rPr>
        <w:t xml:space="preserve">   (</w:t>
      </w:r>
      <w:proofErr w:type="gramEnd"/>
      <w:r w:rsidR="003F3ABB" w:rsidRPr="003F3ABB">
        <w:rPr>
          <w:rFonts w:ascii="Calibri" w:hAnsi="Calibri" w:cs="Calibri"/>
          <w:w w:val="108"/>
          <w:sz w:val="18"/>
          <w:szCs w:val="18"/>
        </w:rPr>
        <w:t xml:space="preserve">11)                                                                                                     </w:t>
      </w:r>
    </w:p>
    <w:p w14:paraId="0A18DA2A" w14:textId="77777777" w:rsidR="003F3ABB" w:rsidRPr="003F3ABB" w:rsidRDefault="003F3ABB" w:rsidP="00AF1C8B">
      <w:pPr>
        <w:pStyle w:val="RSCB01ARTAbstract"/>
        <w:spacing w:line="480" w:lineRule="auto"/>
        <w:rPr>
          <w:rFonts w:ascii="Calibri" w:hAnsi="Calibri" w:cs="Calibri"/>
          <w:noProof w:val="0"/>
          <w:w w:val="108"/>
          <w:sz w:val="18"/>
          <w:szCs w:val="18"/>
          <w:lang w:eastAsia="en-US"/>
        </w:rPr>
      </w:pPr>
      <w:r w:rsidRPr="003F3ABB">
        <w:rPr>
          <w:rFonts w:ascii="Calibri" w:hAnsi="Calibri" w:cs="Calibri"/>
          <w:noProof w:val="0"/>
          <w:w w:val="108"/>
          <w:sz w:val="18"/>
          <w:szCs w:val="18"/>
          <w:lang w:eastAsia="en-US"/>
        </w:rPr>
        <w:t xml:space="preserve">In these equations, </w:t>
      </w:r>
      <w:r w:rsidRPr="003F3ABB">
        <w:rPr>
          <w:rFonts w:ascii="Calibri" w:hAnsi="Calibri" w:cs="Calibri"/>
          <w:i/>
          <w:iCs/>
          <w:noProof w:val="0"/>
          <w:w w:val="108"/>
          <w:sz w:val="18"/>
          <w:szCs w:val="18"/>
          <w:lang w:eastAsia="en-US"/>
        </w:rPr>
        <w:t>p</w:t>
      </w:r>
      <w:r w:rsidRPr="003F3ABB">
        <w:rPr>
          <w:rFonts w:ascii="Calibri" w:hAnsi="Calibri" w:cs="Calibri"/>
          <w:noProof w:val="0"/>
          <w:w w:val="108"/>
          <w:sz w:val="18"/>
          <w:szCs w:val="18"/>
          <w:lang w:eastAsia="en-US"/>
        </w:rPr>
        <w:t xml:space="preserve"> indicates the parameters whereas </w:t>
      </w:r>
      <w:r w:rsidRPr="003F3ABB">
        <w:rPr>
          <w:rFonts w:ascii="Calibri" w:hAnsi="Calibri" w:cs="Calibri"/>
          <w:i/>
          <w:iCs/>
          <w:noProof w:val="0"/>
          <w:w w:val="108"/>
          <w:sz w:val="18"/>
          <w:szCs w:val="18"/>
          <w:lang w:eastAsia="en-US"/>
        </w:rPr>
        <w:t xml:space="preserve">c </w:t>
      </w:r>
      <w:r w:rsidRPr="003F3ABB">
        <w:rPr>
          <w:rFonts w:ascii="Calibri" w:hAnsi="Calibri" w:cs="Calibri"/>
          <w:noProof w:val="0"/>
          <w:w w:val="108"/>
          <w:sz w:val="18"/>
          <w:szCs w:val="18"/>
          <w:lang w:eastAsia="en-US"/>
        </w:rPr>
        <w:t>indicates model elements (i.e., subcatchment or pipe)</w:t>
      </w:r>
    </w:p>
    <w:p w14:paraId="7676469C" w14:textId="77777777" w:rsidR="003F3ABB" w:rsidRPr="003F3ABB" w:rsidRDefault="003F3ABB" w:rsidP="00AF1C8B">
      <w:pPr>
        <w:pStyle w:val="RSCB04AHeadingSection"/>
        <w:spacing w:line="480" w:lineRule="auto"/>
        <w:rPr>
          <w:rFonts w:ascii="Calibri" w:hAnsi="Calibri" w:cs="Calibri"/>
        </w:rPr>
      </w:pPr>
      <w:r w:rsidRPr="003F3ABB">
        <w:rPr>
          <w:rFonts w:ascii="Calibri" w:hAnsi="Calibri" w:cs="Calibri"/>
        </w:rPr>
        <w:t>Results and discussion</w:t>
      </w:r>
    </w:p>
    <w:p w14:paraId="327FC835" w14:textId="77777777" w:rsidR="003F3ABB" w:rsidRPr="003F3ABB" w:rsidRDefault="003F3ABB" w:rsidP="00AF1C8B">
      <w:pPr>
        <w:pStyle w:val="RSCB06BHeadingSub-Section"/>
        <w:spacing w:line="480" w:lineRule="auto"/>
        <w:rPr>
          <w:rFonts w:ascii="Calibri" w:hAnsi="Calibri" w:cs="Calibri"/>
        </w:rPr>
      </w:pPr>
      <w:r w:rsidRPr="003F3ABB">
        <w:rPr>
          <w:rFonts w:ascii="Calibri" w:hAnsi="Calibri" w:cs="Calibri"/>
        </w:rPr>
        <w:t xml:space="preserve">Model performance </w:t>
      </w:r>
    </w:p>
    <w:p w14:paraId="6B3064B4"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The simulation results were compared with observed pipe flow in April 2008. The model performed well based on both Nash–Sutcliffe efficiency</w:t>
      </w:r>
      <w:r w:rsidRPr="003F3ABB" w:rsidDel="005C2B4D">
        <w:rPr>
          <w:rFonts w:ascii="Calibri" w:hAnsi="Calibri" w:cs="Calibri"/>
          <w:w w:val="108"/>
          <w:sz w:val="18"/>
          <w:szCs w:val="18"/>
        </w:rPr>
        <w:t xml:space="preserve"> </w:t>
      </w:r>
      <w:r w:rsidRPr="003F3ABB">
        <w:rPr>
          <w:rFonts w:ascii="Calibri" w:hAnsi="Calibri" w:cs="Calibri"/>
          <w:w w:val="108"/>
          <w:sz w:val="18"/>
          <w:szCs w:val="18"/>
        </w:rPr>
        <w:t>metrics and visual comparisons (Fig. 2). The Nash–Sutcliffe efficiency was calculated for 1000 simulations (Fig. 2 (A)). Although we did not implement any model calibration, simulations present good fits of observed pipe flow, with Nash–Sutcliffe efficiency that range from 0.41 to 0.85 for the 1000 simulations. Most of the simulations yield a good number</w:t>
      </w:r>
      <w:r w:rsidRPr="003F3ABB" w:rsidDel="00094522">
        <w:rPr>
          <w:rFonts w:ascii="Calibri" w:hAnsi="Calibri" w:cs="Calibri"/>
          <w:w w:val="108"/>
          <w:sz w:val="18"/>
          <w:szCs w:val="18"/>
        </w:rPr>
        <w:t xml:space="preserve"> </w:t>
      </w:r>
      <w:r w:rsidRPr="003F3ABB">
        <w:rPr>
          <w:rFonts w:ascii="Calibri" w:hAnsi="Calibri" w:cs="Calibri"/>
          <w:w w:val="108"/>
          <w:sz w:val="18"/>
          <w:szCs w:val="18"/>
        </w:rPr>
        <w:t xml:space="preserve">and the most frequent efficiency is 0.72. The monitored flows were within the 95% confidence interval (CI) of model simulations and were close (RMSE of 1.47) to the geometric means derived from them (Fig 2B). For example, results for late April indicate that despite high variability suggested by the 95% CI, our model captures the flow patterns around multiple rain events (Fig. 2C – D). The shapes and magnitudes of flows are well predicted by the geometric mean and the time to peak also corresponds well with most observed data. However, it should be noted that we did not consider evapotranspiration in the current model, which could lead to an over-estimation for water generation. This may be one reason that some </w:t>
      </w:r>
      <w:r w:rsidRPr="003F3ABB">
        <w:rPr>
          <w:rFonts w:ascii="Calibri" w:hAnsi="Calibri" w:cs="Calibri"/>
          <w:w w:val="108"/>
          <w:sz w:val="18"/>
          <w:szCs w:val="18"/>
          <w:lang w:eastAsia="zh-CN"/>
        </w:rPr>
        <w:t xml:space="preserve">flow </w:t>
      </w:r>
      <w:r w:rsidRPr="003F3ABB">
        <w:rPr>
          <w:rFonts w:ascii="Calibri" w:hAnsi="Calibri" w:cs="Calibri"/>
          <w:w w:val="108"/>
          <w:sz w:val="18"/>
          <w:szCs w:val="18"/>
        </w:rPr>
        <w:t>peaks of the geometric mean were slightly higher than the monitored flow.</w:t>
      </w:r>
    </w:p>
    <w:p w14:paraId="3A944A39" w14:textId="77777777" w:rsidR="003F3ABB" w:rsidRPr="003F3ABB" w:rsidRDefault="003F3ABB" w:rsidP="00AF1C8B">
      <w:pPr>
        <w:spacing w:line="480" w:lineRule="auto"/>
        <w:rPr>
          <w:rFonts w:ascii="Calibri" w:hAnsi="Calibri" w:cs="Calibri"/>
          <w:w w:val="108"/>
          <w:sz w:val="18"/>
          <w:szCs w:val="18"/>
        </w:rPr>
        <w:sectPr w:rsidR="003F3ABB" w:rsidRPr="003F3ABB" w:rsidSect="00445A76">
          <w:type w:val="continuous"/>
          <w:pgSz w:w="11907" w:h="16840" w:code="9"/>
          <w:pgMar w:top="1009" w:right="851" w:bottom="1758" w:left="851" w:header="851" w:footer="1049" w:gutter="0"/>
          <w:lnNumType w:countBy="1" w:restart="continuous"/>
          <w:cols w:space="227"/>
          <w:titlePg/>
          <w:docGrid w:linePitch="360"/>
        </w:sectPr>
      </w:pPr>
      <w:r w:rsidRPr="003F3ABB">
        <w:rPr>
          <w:rFonts w:ascii="Calibri" w:hAnsi="Calibri" w:cs="Calibri"/>
          <w:w w:val="108"/>
          <w:sz w:val="18"/>
          <w:szCs w:val="18"/>
        </w:rPr>
        <w:t xml:space="preserve">Based on this strength of agreement, the Thiessen polygon method was demonstrated appropriately for partitioning our subcatchments. This approach has a major advantage in that it requires relatively minimal effort, especially for larger </w:t>
      </w:r>
      <w:proofErr w:type="spellStart"/>
      <w:r w:rsidRPr="003F3ABB">
        <w:rPr>
          <w:rFonts w:ascii="Calibri" w:hAnsi="Calibri" w:cs="Calibri"/>
          <w:w w:val="108"/>
          <w:sz w:val="18"/>
          <w:szCs w:val="18"/>
        </w:rPr>
        <w:t>sewersheds</w:t>
      </w:r>
      <w:proofErr w:type="spellEnd"/>
      <w:r w:rsidRPr="003F3ABB">
        <w:rPr>
          <w:rFonts w:ascii="Calibri" w:hAnsi="Calibri" w:cs="Calibri"/>
          <w:w w:val="108"/>
          <w:sz w:val="18"/>
          <w:szCs w:val="18"/>
        </w:rPr>
        <w:t>, by making the simplifying assumption of no flow across subcatchments. Our results suggest this strategy is feasible for long-term simulations, in addition to previous use in single event simulatons</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{"citationID":"8qOiDiUi","properties":{"formattedCitation":"\\super 48\\nosupersub{}","plainCitation":"48","noteIndex":0},"citationItems":[{"id":243,"uris":["http://zotero.org/users/6556211/items/GGQH4BK2"],"uri":["http://zotero.org/users/6556211/items/GGQH4BK2"],"itemData":{"id":243,"type":"article-journal","abstract":"A model for simulating combined drainage networks in Chuangfang river basin of Kunming City based on the Storm Water Management Model was established. The type and period of using water base on residential area, marketplace, school area, and guesthouse area Kunming city were introduced into the model, and their infection for drainage system was research. The results show that simulation results of two outlets flow have coherence with monitoring data based two typical rainfall in Kunming, the Nash-Sutcliffe efficiency coefficient is 0.71-0.82. And the model can be using analyze ‘bottleneck’ nodes and restricting conduits, simulating the running status of drainage network of combined drainage at raining and draining peak time of sewage water. The research provide strong technical support for rebuild drainage network in Kunming or other city.","container-title":"Applied Mechanics and Materials","DOI":"10.4028/www.scientific.net/AMM.170-173.2380","ISSN":"1662-7482","journalAbbreviation":"AMM","language":"en","page":"2380-2385","source":"DOI.org (Crossref)","title":"Research for Combined Drainage Networks in Chuanfang River Basin of Kunming City Based on SWMM","volume":"170-173","author":[{"family":"Zhu","given":"Xiao Min"},{"family":"Huang","given":"Bing"},{"family":"Wang","given":"Shu Dong"},{"family":"Zheng","given":"Jin Long"},{"family":"Yao","given":"Bo"},{"family":"Chen","given":"Su"}],"issued":{"date-parts":[["2012",5]]}}}],"schema":"https://github.com/citation-style-language/schema/raw/master/csl-citation.json"}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48</w:t>
      </w:r>
      <w:r w:rsidRPr="003F3ABB">
        <w:rPr>
          <w:rFonts w:ascii="Calibri" w:hAnsi="Calibri" w:cs="Calibri"/>
          <w:w w:val="108"/>
          <w:sz w:val="18"/>
          <w:szCs w:val="18"/>
        </w:rPr>
        <w:fldChar w:fldCharType="end"/>
      </w:r>
      <w:r w:rsidRPr="003F3ABB">
        <w:rPr>
          <w:rFonts w:ascii="Calibri" w:hAnsi="Calibri" w:cs="Calibri"/>
          <w:w w:val="108"/>
          <w:sz w:val="18"/>
          <w:szCs w:val="18"/>
        </w:rPr>
        <w:t>. This method assigns the surface water to a sewer inlet by the shortest flow path. It works well in our model, because the simplification of sewer system network nodes</w:t>
      </w:r>
      <w:r w:rsidRPr="003F3ABB" w:rsidDel="000A19D7">
        <w:rPr>
          <w:rFonts w:ascii="Calibri" w:hAnsi="Calibri" w:cs="Calibri"/>
          <w:w w:val="108"/>
          <w:sz w:val="18"/>
          <w:szCs w:val="18"/>
        </w:rPr>
        <w:t xml:space="preserve"> </w:t>
      </w:r>
      <w:r w:rsidRPr="003F3ABB">
        <w:rPr>
          <w:rFonts w:ascii="Calibri" w:hAnsi="Calibri" w:cs="Calibri"/>
          <w:w w:val="108"/>
          <w:sz w:val="18"/>
          <w:szCs w:val="18"/>
        </w:rPr>
        <w:t>was based on 5 meters, preserving most original nodes as possible (94% of simplified nodes were at original locations). This generated more subcatchments, but increased subcatchment homogeneity and reduced potential errors from uncertainties in flow direction (to pipe inlets). However, when re-routing surface flow or having a simplified sewer network with sparse nodes, the model may not work as well as a model developed using high resolution data. Even though the low resolution model had the capability to predict total runoff as high resolution model, the peak flow was affected by model resolution.</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{"citationID":"wZuBd8X8","properties":{"formattedCitation":"\\super 20\\nosupersub{}","plainCitation":"20","noteIndex":0},"citationItems":[{"id":158,"uris":["http://zotero.org/users/6556211/items/NTV8NEKK"],"uri":["http://zotero.org/users/6556211/items/NTV8NEKK"],"itemData":{"id":158,"type":"article-journal","abstract":"Hydrological model simulations can be applied to evaluate the performance of low impact development (LID) tools in urban areas. However, the assessment for large-scale urban areas remains a challenge due to the required high spatial resolution and limited availability of ﬁeld measurements for model calibration. This study proposes a methodology to parameterize a hydrological model (SWMM) with sufﬁciently high spatial resolution and direct accessibility of model parameters for LID performance simulation applicable to a large-scale ungauged urban area. Based on calibrated high-resolution models for three smallscale study catchments (6–12 ha), we evaluated how constraints implied by large-scale urban modelling, such as data limitations, affect the model results. The high-resolution surface representation, resulting in subcatchments of uniform surface types, reduced the number of calibration parameters. Calibration conducted independently for all catchments yielded similar parameter values for same surface types in each study catchment. These results suggest the applicability of the parameter values calibrated for high resolution models to be regionalized to larger, ungauged urban areas. The accessibility of surface speciﬁc model parameters for LID simulation is then also retained. Conducted perturbations in spatial resolution through sewer network truncation showed that while the runoff volume was mostly unaffected by resolution perturbations, lower resolutions resulted in over-simulation of peak ﬂows due to excessively rapid catchment response to storm events. Our results suggest that a hydrological model where parameter values are adopted from high-resolution models and that is developed based on a minimum conduit diameter of 300 mm provides good simulation performance and is applicable to large-scale urban areas with reasonable effort.","container-title":"Journal of Hydrology","DOI":"10.1016/j.jhydrol.2014.03.013","ISSN":"00221694","journalAbbreviation":"Journal of Hydrology","language":"en","page":"482-497","source":"DOI.org (Crossref)","title":"Spatial resolution considerations for urban hydrological modelling","volume":"512","author":[{"family":"Krebs","given":"G."},{"family":"Kokkonen","given":"T."},{"family":"Valtanen","given":"M."},{"family":"Setälä","given":"H."},{"family":"Koivusalo","given":"H."}],"issued":{"date-parts":[["2014",5]]}}}],"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20</w:t>
      </w:r>
      <w:r w:rsidRPr="003F3ABB">
        <w:rPr>
          <w:rFonts w:ascii="Calibri" w:hAnsi="Calibri" w:cs="Calibri"/>
          <w:w w:val="108"/>
          <w:sz w:val="18"/>
          <w:szCs w:val="18"/>
        </w:rPr>
        <w:fldChar w:fldCharType="end"/>
      </w:r>
      <w:r w:rsidRPr="003F3ABB">
        <w:rPr>
          <w:rFonts w:ascii="Calibri" w:hAnsi="Calibri" w:cs="Calibri"/>
          <w:w w:val="108"/>
          <w:sz w:val="18"/>
          <w:szCs w:val="18"/>
        </w:rPr>
        <w:t xml:space="preserve"> Based on this model performance, the assumed parameter distributions were also reasonable; we next investigated how they reflected the sensitivity of model predictions to the changes in key parameter values. </w:t>
      </w:r>
    </w:p>
    <w:p w14:paraId="65F037DC"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noProof/>
          <w:w w:val="108"/>
          <w:sz w:val="18"/>
          <w:szCs w:val="18"/>
        </w:rPr>
        <w:lastRenderedPageBreak/>
        <w:drawing>
          <wp:inline distT="0" distB="0" distL="0" distR="0" wp14:anchorId="6CD7AA1D" wp14:editId="28A606E3">
            <wp:extent cx="6480175" cy="6597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certainty.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80175" cy="6597650"/>
                    </a:xfrm>
                    <a:prstGeom prst="rect">
                      <a:avLst/>
                    </a:prstGeom>
                  </pic:spPr>
                </pic:pic>
              </a:graphicData>
            </a:graphic>
          </wp:inline>
        </w:drawing>
      </w:r>
    </w:p>
    <w:p w14:paraId="4B9BD3E1" w14:textId="68D3625B" w:rsidR="003F3ABB" w:rsidRPr="003F3ABB" w:rsidRDefault="003F3ABB" w:rsidP="00AF1C8B">
      <w:pPr>
        <w:pStyle w:val="Caption"/>
        <w:spacing w:line="480" w:lineRule="auto"/>
        <w:rPr>
          <w:rFonts w:ascii="Calibri" w:hAnsi="Calibri" w:cs="Calibri"/>
          <w:bCs w:val="0"/>
          <w:w w:val="108"/>
          <w:sz w:val="18"/>
        </w:rPr>
      </w:pPr>
      <w:r w:rsidRPr="003F3ABB">
        <w:rPr>
          <w:rFonts w:ascii="Calibri" w:hAnsi="Calibri" w:cs="Calibri"/>
          <w:bCs w:val="0"/>
          <w:w w:val="108"/>
          <w:sz w:val="18"/>
        </w:rPr>
        <w:t xml:space="preserve">Fig. </w:t>
      </w:r>
      <w:r w:rsidRPr="003F3ABB">
        <w:rPr>
          <w:rFonts w:ascii="Calibri" w:hAnsi="Calibri" w:cs="Calibri"/>
          <w:bCs w:val="0"/>
          <w:w w:val="108"/>
          <w:sz w:val="18"/>
        </w:rPr>
        <w:fldChar w:fldCharType="begin"/>
      </w:r>
      <w:r w:rsidRPr="003F3ABB">
        <w:rPr>
          <w:rFonts w:ascii="Calibri" w:hAnsi="Calibri" w:cs="Calibri"/>
          <w:bCs w:val="0"/>
          <w:w w:val="108"/>
          <w:sz w:val="18"/>
        </w:rPr>
        <w:instrText xml:space="preserve"> SEQ Fig. \* ARABIC </w:instrText>
      </w:r>
      <w:r w:rsidRPr="003F3ABB">
        <w:rPr>
          <w:rFonts w:ascii="Calibri" w:hAnsi="Calibri" w:cs="Calibri"/>
          <w:bCs w:val="0"/>
          <w:w w:val="108"/>
          <w:sz w:val="18"/>
        </w:rPr>
        <w:fldChar w:fldCharType="separate"/>
      </w:r>
      <w:r w:rsidRPr="003F3ABB">
        <w:rPr>
          <w:rFonts w:ascii="Calibri" w:hAnsi="Calibri" w:cs="Calibri"/>
          <w:bCs w:val="0"/>
          <w:noProof/>
          <w:w w:val="108"/>
          <w:sz w:val="18"/>
        </w:rPr>
        <w:t>2</w:t>
      </w:r>
      <w:r w:rsidRPr="003F3ABB">
        <w:rPr>
          <w:rFonts w:ascii="Calibri" w:hAnsi="Calibri" w:cs="Calibri"/>
          <w:bCs w:val="0"/>
          <w:w w:val="108"/>
          <w:sz w:val="18"/>
        </w:rPr>
        <w:fldChar w:fldCharType="end"/>
      </w:r>
      <w:r w:rsidRPr="003F3ABB">
        <w:rPr>
          <w:rFonts w:ascii="Calibri" w:hAnsi="Calibri" w:cs="Calibri"/>
          <w:bCs w:val="0"/>
          <w:w w:val="108"/>
          <w:sz w:val="18"/>
        </w:rPr>
        <w:t xml:space="preserve"> Model performance considering 1000 Monte Carlo simulations in comparison to observed pipe flow:</w:t>
      </w:r>
      <w:r w:rsidRPr="003F3ABB">
        <w:rPr>
          <w:rFonts w:ascii="Calibri" w:hAnsi="Calibri" w:cs="Calibri"/>
          <w:w w:val="108"/>
          <w:sz w:val="18"/>
        </w:rPr>
        <w:t xml:space="preserve"> A – histogram of Nash-Sutcliffe efficiency based on 1000 simulation B –simulation results compared with observed pipe flow for the month of April, 2008; C – detailed simulation, April 19</w:t>
      </w:r>
      <w:r w:rsidRPr="003F3ABB">
        <w:rPr>
          <w:rFonts w:ascii="Calibri" w:hAnsi="Calibri" w:cs="Calibri"/>
          <w:w w:val="108"/>
          <w:sz w:val="18"/>
          <w:vertAlign w:val="superscript"/>
        </w:rPr>
        <w:t>th</w:t>
      </w:r>
      <w:r w:rsidRPr="003F3ABB">
        <w:rPr>
          <w:rFonts w:ascii="Calibri" w:hAnsi="Calibri" w:cs="Calibri"/>
          <w:w w:val="108"/>
          <w:sz w:val="18"/>
        </w:rPr>
        <w:t xml:space="preserve"> to 21</w:t>
      </w:r>
      <w:r w:rsidRPr="003F3ABB">
        <w:rPr>
          <w:rFonts w:ascii="Calibri" w:hAnsi="Calibri" w:cs="Calibri"/>
          <w:w w:val="108"/>
          <w:sz w:val="18"/>
          <w:vertAlign w:val="superscript"/>
        </w:rPr>
        <w:t>st</w:t>
      </w:r>
      <w:r w:rsidRPr="003F3ABB">
        <w:rPr>
          <w:rFonts w:ascii="Calibri" w:hAnsi="Calibri" w:cs="Calibri"/>
          <w:w w:val="108"/>
          <w:sz w:val="18"/>
        </w:rPr>
        <w:t xml:space="preserve">  ; D – detailed simulation,  April 27</w:t>
      </w:r>
      <w:r w:rsidRPr="003F3ABB">
        <w:rPr>
          <w:rFonts w:ascii="Calibri" w:hAnsi="Calibri" w:cs="Calibri"/>
          <w:w w:val="108"/>
          <w:sz w:val="18"/>
          <w:vertAlign w:val="superscript"/>
        </w:rPr>
        <w:t>th</w:t>
      </w:r>
      <w:r w:rsidRPr="003F3ABB">
        <w:rPr>
          <w:rFonts w:ascii="Calibri" w:hAnsi="Calibri" w:cs="Calibri"/>
          <w:w w:val="108"/>
          <w:sz w:val="18"/>
        </w:rPr>
        <w:t xml:space="preserve"> to 29</w:t>
      </w:r>
      <w:r w:rsidRPr="003F3ABB">
        <w:rPr>
          <w:rFonts w:ascii="Calibri" w:hAnsi="Calibri" w:cs="Calibri"/>
          <w:w w:val="108"/>
          <w:sz w:val="18"/>
          <w:vertAlign w:val="superscript"/>
        </w:rPr>
        <w:t>th</w:t>
      </w:r>
      <w:r w:rsidRPr="003F3ABB">
        <w:rPr>
          <w:rFonts w:ascii="Calibri" w:hAnsi="Calibri" w:cs="Calibri"/>
          <w:w w:val="108"/>
          <w:sz w:val="18"/>
        </w:rPr>
        <w:t xml:space="preserve">.    </w:t>
      </w:r>
    </w:p>
    <w:p w14:paraId="39F29498" w14:textId="4545FE98" w:rsidR="003F3ABB" w:rsidRPr="003F3ABB" w:rsidRDefault="003F3ABB" w:rsidP="00AF1C8B">
      <w:pPr>
        <w:spacing w:line="480" w:lineRule="auto"/>
        <w:rPr>
          <w:rFonts w:ascii="Calibri" w:hAnsi="Calibri" w:cs="Calibri"/>
          <w:w w:val="108"/>
          <w:sz w:val="18"/>
          <w:szCs w:val="18"/>
        </w:rPr>
        <w:sectPr w:rsidR="003F3ABB" w:rsidRPr="003F3ABB" w:rsidSect="00445A76">
          <w:type w:val="continuous"/>
          <w:pgSz w:w="11907" w:h="16840" w:code="9"/>
          <w:pgMar w:top="1009" w:right="851" w:bottom="1758" w:left="851" w:header="851" w:footer="1049" w:gutter="0"/>
          <w:lnNumType w:countBy="1" w:restart="continuous"/>
          <w:cols w:space="227"/>
          <w:titlePg/>
          <w:docGrid w:linePitch="360"/>
        </w:sectPr>
      </w:pPr>
      <w:r w:rsidRPr="003F3ABB">
        <w:rPr>
          <w:rFonts w:ascii="Calibri" w:hAnsi="Calibri" w:cs="Calibri"/>
          <w:w w:val="108"/>
          <w:sz w:val="18"/>
          <w:szCs w:val="18"/>
        </w:rPr>
        <w:t xml:space="preserve">                                                                                  </w:t>
      </w:r>
    </w:p>
    <w:p w14:paraId="2A3B56AC" w14:textId="77777777" w:rsidR="003F3ABB" w:rsidRPr="003F3ABB" w:rsidRDefault="003F3ABB" w:rsidP="00AF1C8B">
      <w:pPr>
        <w:spacing w:line="480" w:lineRule="auto"/>
        <w:rPr>
          <w:rFonts w:ascii="Calibri" w:hAnsi="Calibri" w:cs="Calibri"/>
          <w:w w:val="108"/>
          <w:sz w:val="18"/>
          <w:szCs w:val="18"/>
        </w:rPr>
        <w:sectPr w:rsidR="003F3ABB" w:rsidRPr="003F3ABB" w:rsidSect="00445A76">
          <w:type w:val="continuous"/>
          <w:pgSz w:w="11907" w:h="16840" w:code="9"/>
          <w:pgMar w:top="1009" w:right="851" w:bottom="1758" w:left="851" w:header="851" w:footer="1049" w:gutter="0"/>
          <w:lnNumType w:countBy="1" w:restart="continuous"/>
          <w:cols w:space="227"/>
          <w:titlePg/>
          <w:docGrid w:linePitch="360"/>
        </w:sectPr>
      </w:pPr>
    </w:p>
    <w:p w14:paraId="4178DAF4" w14:textId="77777777" w:rsidR="003F3ABB" w:rsidRPr="003F3ABB" w:rsidRDefault="003F3ABB" w:rsidP="00AF1C8B">
      <w:pPr>
        <w:pStyle w:val="RSCB06BHeadingSub-Section"/>
        <w:spacing w:line="480" w:lineRule="auto"/>
        <w:rPr>
          <w:rFonts w:ascii="Calibri" w:hAnsi="Calibri" w:cs="Calibri"/>
        </w:rPr>
      </w:pPr>
      <w:r w:rsidRPr="003F3ABB">
        <w:rPr>
          <w:rFonts w:ascii="Calibri" w:hAnsi="Calibri" w:cs="Calibri"/>
        </w:rPr>
        <w:t>Model parameter sensitivity analyses</w:t>
      </w:r>
    </w:p>
    <w:p w14:paraId="54748DA5" w14:textId="5AE21904"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lastRenderedPageBreak/>
        <w:t xml:space="preserve">Based on 1000 Monte Carlo simulations, Spearman correlation coefficients were calculated for three different model outputs: total runoff, peak flow and maximum pipe flow (Fig. 3). The size of </w:t>
      </w:r>
      <w:r w:rsidR="00391E07">
        <w:rPr>
          <w:rFonts w:ascii="Calibri" w:hAnsi="Calibri" w:cs="Calibri"/>
          <w:w w:val="108"/>
          <w:sz w:val="18"/>
          <w:szCs w:val="18"/>
        </w:rPr>
        <w:t xml:space="preserve">each </w:t>
      </w:r>
      <w:r w:rsidRPr="003F3ABB">
        <w:rPr>
          <w:rFonts w:ascii="Calibri" w:hAnsi="Calibri" w:cs="Calibri"/>
          <w:w w:val="108"/>
          <w:sz w:val="18"/>
          <w:szCs w:val="18"/>
        </w:rPr>
        <w:t>polygon, that is</w:t>
      </w:r>
      <w:r w:rsidR="00391E07">
        <w:rPr>
          <w:rFonts w:ascii="Calibri" w:hAnsi="Calibri" w:cs="Calibri"/>
          <w:w w:val="108"/>
          <w:sz w:val="18"/>
          <w:szCs w:val="18"/>
        </w:rPr>
        <w:t>, the</w:t>
      </w:r>
      <w:r w:rsidRPr="003F3ABB">
        <w:rPr>
          <w:rFonts w:ascii="Calibri" w:hAnsi="Calibri" w:cs="Calibri"/>
          <w:w w:val="108"/>
          <w:sz w:val="18"/>
          <w:szCs w:val="18"/>
        </w:rPr>
        <w:t xml:space="preserve"> subcatchment area, had the highest correlation coefficient and almost dominated the influence of</w:t>
      </w:r>
      <w:r w:rsidRPr="003F3ABB" w:rsidDel="00934D0C">
        <w:rPr>
          <w:rFonts w:ascii="Calibri" w:hAnsi="Calibri" w:cs="Calibri"/>
          <w:w w:val="108"/>
          <w:sz w:val="18"/>
          <w:szCs w:val="18"/>
        </w:rPr>
        <w:t xml:space="preserve"> </w:t>
      </w:r>
      <w:r w:rsidRPr="003F3ABB">
        <w:rPr>
          <w:rFonts w:ascii="Calibri" w:hAnsi="Calibri" w:cs="Calibri"/>
          <w:w w:val="108"/>
          <w:sz w:val="18"/>
          <w:szCs w:val="18"/>
        </w:rPr>
        <w:t>parameters on total runoff (Fig.3A).  SWMM treat</w:t>
      </w:r>
      <w:r w:rsidR="00391E07">
        <w:rPr>
          <w:rFonts w:ascii="Calibri" w:hAnsi="Calibri" w:cs="Calibri"/>
          <w:w w:val="108"/>
          <w:sz w:val="18"/>
          <w:szCs w:val="18"/>
        </w:rPr>
        <w:t>s</w:t>
      </w:r>
      <w:r w:rsidRPr="003F3ABB">
        <w:rPr>
          <w:rFonts w:ascii="Calibri" w:hAnsi="Calibri" w:cs="Calibri"/>
          <w:w w:val="108"/>
          <w:sz w:val="18"/>
          <w:szCs w:val="18"/>
        </w:rPr>
        <w:t xml:space="preserve"> subcatchments as reservoirs; the area </w:t>
      </w:r>
      <w:r w:rsidR="00391E07">
        <w:rPr>
          <w:rFonts w:ascii="Calibri" w:hAnsi="Calibri" w:cs="Calibri"/>
          <w:w w:val="108"/>
          <w:sz w:val="18"/>
          <w:szCs w:val="18"/>
        </w:rPr>
        <w:t>i</w:t>
      </w:r>
      <w:r w:rsidRPr="003F3ABB">
        <w:rPr>
          <w:rFonts w:ascii="Calibri" w:hAnsi="Calibri" w:cs="Calibri"/>
          <w:w w:val="108"/>
          <w:sz w:val="18"/>
          <w:szCs w:val="18"/>
        </w:rPr>
        <w:t>s</w:t>
      </w:r>
      <w:r w:rsidR="00391E07">
        <w:rPr>
          <w:rFonts w:ascii="Calibri" w:hAnsi="Calibri" w:cs="Calibri"/>
          <w:w w:val="108"/>
          <w:sz w:val="18"/>
          <w:szCs w:val="18"/>
        </w:rPr>
        <w:t xml:space="preserve"> therefore</w:t>
      </w:r>
      <w:r w:rsidRPr="003F3ABB">
        <w:rPr>
          <w:rFonts w:ascii="Calibri" w:hAnsi="Calibri" w:cs="Calibri"/>
          <w:w w:val="108"/>
          <w:sz w:val="18"/>
          <w:szCs w:val="18"/>
        </w:rPr>
        <w:t xml:space="preserve"> the parameter that determines the capacity of the polygons. As the polygons shrunk or enlarged, the entire model configuration was modified and the water generation within each subcatchment was subsequently influenced. As we ignored the surface water exchange, the area was highly important to adjust water quantity distribution</w:t>
      </w:r>
      <w:r w:rsidR="00391E07">
        <w:rPr>
          <w:rFonts w:ascii="Calibri" w:hAnsi="Calibri" w:cs="Calibri"/>
          <w:w w:val="108"/>
          <w:sz w:val="18"/>
          <w:szCs w:val="18"/>
        </w:rPr>
        <w:t>s</w:t>
      </w:r>
      <w:r w:rsidRPr="003F3ABB">
        <w:rPr>
          <w:rFonts w:ascii="Calibri" w:hAnsi="Calibri" w:cs="Calibri"/>
          <w:w w:val="108"/>
          <w:sz w:val="18"/>
          <w:szCs w:val="18"/>
        </w:rPr>
        <w:t xml:space="preserve"> across the model system.  In our method, each subcatchment includes one node. The water flow schemes can also be reshaped by adjusting the number of polygons, which is determined by the number of nodes (also represented by the radius for node merger). This also suggests the model is sensitive to the simplifications of sewer network. The second most important parameter is the imperviousness, which also has a large positive impact relative to others. The imperviousness plays a role for subcatchment subdivision (impervious and pervious area) and determines the amount of area in subcatchment that directly yield surface flow during rainfall events. </w:t>
      </w:r>
    </w:p>
    <w:p w14:paraId="166AC5F7" w14:textId="77777777" w:rsidR="003F3ABB" w:rsidRPr="003F3ABB" w:rsidRDefault="003F3ABB" w:rsidP="00AF1C8B">
      <w:pPr>
        <w:spacing w:line="480" w:lineRule="auto"/>
        <w:rPr>
          <w:rFonts w:ascii="Calibri" w:hAnsi="Calibri" w:cs="Calibri"/>
          <w:w w:val="108"/>
          <w:sz w:val="18"/>
          <w:szCs w:val="18"/>
        </w:rPr>
        <w:sectPr w:rsidR="003F3ABB" w:rsidRPr="003F3ABB" w:rsidSect="00445A76">
          <w:type w:val="continuous"/>
          <w:pgSz w:w="11907" w:h="16840" w:code="9"/>
          <w:pgMar w:top="1009" w:right="851" w:bottom="1758" w:left="851" w:header="851" w:footer="1049" w:gutter="0"/>
          <w:lnNumType w:countBy="1" w:restart="continuous"/>
          <w:cols w:space="227"/>
          <w:titlePg/>
          <w:docGrid w:linePitch="360"/>
        </w:sectPr>
      </w:pPr>
    </w:p>
    <w:p w14:paraId="19395219" w14:textId="77777777" w:rsidR="003F3ABB" w:rsidRPr="003F3ABB" w:rsidRDefault="003F3ABB" w:rsidP="00AF1C8B">
      <w:pPr>
        <w:keepNext/>
        <w:spacing w:line="480" w:lineRule="auto"/>
        <w:jc w:val="center"/>
        <w:rPr>
          <w:rFonts w:ascii="Calibri" w:hAnsi="Calibri" w:cs="Calibri"/>
        </w:rPr>
      </w:pPr>
      <w:r w:rsidRPr="003F3ABB">
        <w:rPr>
          <w:rFonts w:ascii="Calibri" w:hAnsi="Calibri" w:cs="Calibri"/>
          <w:noProof/>
          <w:w w:val="108"/>
          <w:sz w:val="18"/>
          <w:szCs w:val="18"/>
        </w:rPr>
        <w:lastRenderedPageBreak/>
        <w:drawing>
          <wp:inline distT="0" distB="0" distL="0" distR="0" wp14:anchorId="0462EFAF" wp14:editId="6291CF69">
            <wp:extent cx="5361410" cy="729558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pearman.tif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81693" cy="7323190"/>
                    </a:xfrm>
                    <a:prstGeom prst="rect">
                      <a:avLst/>
                    </a:prstGeom>
                  </pic:spPr>
                </pic:pic>
              </a:graphicData>
            </a:graphic>
          </wp:inline>
        </w:drawing>
      </w:r>
    </w:p>
    <w:p w14:paraId="470F59DB" w14:textId="77777777" w:rsidR="003F3ABB" w:rsidRPr="003F3ABB" w:rsidRDefault="003F3ABB" w:rsidP="00AF1C8B">
      <w:pPr>
        <w:pStyle w:val="Caption"/>
        <w:spacing w:line="480" w:lineRule="auto"/>
        <w:jc w:val="center"/>
        <w:rPr>
          <w:rFonts w:ascii="Calibri" w:hAnsi="Calibri" w:cs="Calibri"/>
          <w:bCs w:val="0"/>
          <w:w w:val="108"/>
          <w:sz w:val="18"/>
        </w:rPr>
        <w:sectPr w:rsidR="003F3ABB" w:rsidRPr="003F3ABB" w:rsidSect="00445A76">
          <w:type w:val="continuous"/>
          <w:pgSz w:w="11907" w:h="16840" w:code="9"/>
          <w:pgMar w:top="1009" w:right="851" w:bottom="1758" w:left="851" w:header="851" w:footer="1049" w:gutter="0"/>
          <w:lnNumType w:countBy="1" w:restart="continuous"/>
          <w:cols w:space="227"/>
          <w:titlePg/>
          <w:docGrid w:linePitch="360"/>
        </w:sectPr>
      </w:pPr>
      <w:r w:rsidRPr="003F3ABB">
        <w:rPr>
          <w:rFonts w:ascii="Calibri" w:hAnsi="Calibri" w:cs="Calibri"/>
          <w:bCs w:val="0"/>
          <w:w w:val="108"/>
          <w:sz w:val="18"/>
        </w:rPr>
        <w:t xml:space="preserve">Fig. </w:t>
      </w:r>
      <w:r w:rsidRPr="003F3ABB">
        <w:rPr>
          <w:rFonts w:ascii="Calibri" w:hAnsi="Calibri" w:cs="Calibri"/>
          <w:bCs w:val="0"/>
          <w:w w:val="108"/>
          <w:sz w:val="18"/>
        </w:rPr>
        <w:fldChar w:fldCharType="begin"/>
      </w:r>
      <w:r w:rsidRPr="003F3ABB">
        <w:rPr>
          <w:rFonts w:ascii="Calibri" w:hAnsi="Calibri" w:cs="Calibri"/>
          <w:bCs w:val="0"/>
          <w:w w:val="108"/>
          <w:sz w:val="18"/>
        </w:rPr>
        <w:instrText xml:space="preserve"> SEQ Fig. \* ARABIC </w:instrText>
      </w:r>
      <w:r w:rsidRPr="003F3ABB">
        <w:rPr>
          <w:rFonts w:ascii="Calibri" w:hAnsi="Calibri" w:cs="Calibri"/>
          <w:bCs w:val="0"/>
          <w:w w:val="108"/>
          <w:sz w:val="18"/>
        </w:rPr>
        <w:fldChar w:fldCharType="separate"/>
      </w:r>
      <w:r w:rsidRPr="003F3ABB">
        <w:rPr>
          <w:rFonts w:ascii="Calibri" w:hAnsi="Calibri" w:cs="Calibri"/>
          <w:bCs w:val="0"/>
          <w:noProof/>
          <w:w w:val="108"/>
          <w:sz w:val="18"/>
        </w:rPr>
        <w:t>3</w:t>
      </w:r>
      <w:r w:rsidRPr="003F3ABB">
        <w:rPr>
          <w:rFonts w:ascii="Calibri" w:hAnsi="Calibri" w:cs="Calibri"/>
          <w:bCs w:val="0"/>
          <w:w w:val="108"/>
          <w:sz w:val="18"/>
        </w:rPr>
        <w:fldChar w:fldCharType="end"/>
      </w:r>
      <w:r w:rsidRPr="003F3ABB">
        <w:rPr>
          <w:rFonts w:ascii="Calibri" w:hAnsi="Calibri" w:cs="Calibri"/>
          <w:bCs w:val="0"/>
          <w:w w:val="108"/>
          <w:sz w:val="18"/>
        </w:rPr>
        <w:t xml:space="preserve"> Spearman correlation coefficients in subcatchments: A – runoff; B – peak flow; C – maximum pipe flow</w:t>
      </w:r>
    </w:p>
    <w:p w14:paraId="32F6F90E"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 xml:space="preserve">The remaining parameters all have boxplots (Fig. 3 (A)) with a median of zero that cover positive and negative signs in the range of the Spearman coefficient, indicating that these parameters have no consistent decreasing or increasing effects on total runoff. </w:t>
      </w:r>
    </w:p>
    <w:p w14:paraId="47BD6766"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 xml:space="preserve">The influence of parameters on the predictions of peak flow is much clearer in both their magnitudes and signs (Fig. 3B). The size </w:t>
      </w:r>
      <w:r w:rsidRPr="003F3ABB">
        <w:rPr>
          <w:rFonts w:ascii="Calibri" w:hAnsi="Calibri" w:cs="Calibri"/>
          <w:w w:val="108"/>
          <w:sz w:val="18"/>
          <w:szCs w:val="18"/>
        </w:rPr>
        <w:lastRenderedPageBreak/>
        <w:t>of polygon (area) is still highly important as it is to controlling total runoff, because the total runoff is derived from the integration of flow. The next most important parameter is debatable, since both imperviousness and Manning’s roughness (in the impervious area) have similar magnitudes, but different signs. While imperviousness and Manning’s roughness may covary in reality, parameters were randomly drawn from independent assumed distributions. The resulting coefficients did not suggest a relationship between these two parameters. The imperviousness determines the percent of area to generate water directly, which leads to the positive sign. Manning’s roughness has a negative influence because this parameter is used to represent the surface friction and will delay surface flow. Width and slope also have comparable influence to one another; for example, steeper slope would speed up the flow rate and the wider width increases the cross-section when the ponded depth (eq. (1)) is solved over a time step, leading to increased flow. The remaining parameters have similar ranges of low values and cross the zero line.  Our findings of parameter influence on the predicted surface are similar to previous work that identified the importance of imperviousness</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{"citationID":"e2TjxG3U","properties":{"formattedCitation":"\\super 49\\nosupersub{}","plainCitation":"49","noteIndex":0},"citationItems":[{"id":141,"uris":["http://zotero.org/users/6556211/items/ZPQMDK9C"],"uri":["http://zotero.org/users/6556211/items/ZPQMDK9C"],"itemData":{"id":141,"type":"article-journal","abstract":"The significance of uncertainty analysis (UA) to quantify reliability of model simulations is being recognized. Consequently, literature on parameter and predictive uncertainty assessment of water resources models has been rising. Applications dealing with urban drainage systems are, however, very limited. This study applies formal Bayesian approach for uncertainty analysis of a widely used storm water management model and illustrates the methodology using a highly urbanized watershed in the Los Angeles Basin, California. A flexible likelihood function that accommodates heteroscedasticity, non-normality, and temporal correlation of model residuals has been used for the study along with a Markov-chain Monte Carlo-based sampling scheme. The solution of the UA model has been compared with the solution of the conventional calibration methodology widely practiced in water resources modeling. Results indicate that the maximum likelihood sol­ ution determined using the UA model produced runoff simulations that are of comparable accuracy with the solution of the traditional calibration method while also accurately characterizing structure of the model residuals. The UA model also successfully determined both parameter uncertainty and total predictive uncertainty for the watershed. Contribution of parameter uncertainty to total predictive uncertainty was found insignificant for the study watershed, underlying the importance of other sources of uncertainty, including data and model struc­ ture. Overall, the UA methodology proved promising for sensitivity analysis, calibration, parameter uncertainty, and total predictive uncer­ tainty analysis of urban storm water management models. DOI: 10.1061/(ASCE)HE.1943-5584.0000705. © 2013 American Society of Civil Engineers.","container-title":"Journal of Hydrologic Engineering","DOI":"10.1061/(ASCE)HE.1943-5584.0000705","ISSN":"1084-0699, 1943-5584","issue":"10","journalAbbreviation":"J. Hydrol. Eng.","language":"en","page":"1360-1371","source":"DOI.org (Crossref)","title":"Bayesian Approach for Uncertainty Analysis of an Urban Storm Water Model and Its Application to a Heavily Urbanized Watershed","volume":"18","author":[{"family":"Muleta","given":"Misgana K."},{"family":"McMillan","given":"Jonathan"},{"family":"Amenu","given":"Geremew G."},{"family":"Burian","given":"Steven J."}],"issued":{"date-parts":[["2013",10]]}}}],"schema":"https://github.com/citation-style-language/schema/raw/master/csl-citation.json"}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49</w:t>
      </w:r>
      <w:r w:rsidRPr="003F3ABB">
        <w:rPr>
          <w:rFonts w:ascii="Calibri" w:hAnsi="Calibri" w:cs="Calibri"/>
          <w:w w:val="108"/>
          <w:sz w:val="18"/>
          <w:szCs w:val="18"/>
        </w:rPr>
        <w:fldChar w:fldCharType="end"/>
      </w:r>
      <w:r w:rsidRPr="003F3ABB">
        <w:rPr>
          <w:rFonts w:ascii="Calibri" w:hAnsi="Calibri" w:cs="Calibri"/>
          <w:w w:val="108"/>
          <w:sz w:val="18"/>
          <w:szCs w:val="18"/>
        </w:rPr>
        <w:t xml:space="preserve"> and area</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{"citationID":"AfoNvNAb","properties":{"formattedCitation":"\\super 24\\nosupersub{}","plainCitation":"24","noteIndex":0},"citationItems":[{"id":164,"uris":["http://zotero.org/users/6556211/items/2GNK9H6C"],"uri":["http://zotero.org/users/6556211/items/2GNK9H6C"],"itemData":{"id":164,"type":"article-journal","abstract":"The intention of this paper is to evaluate the sensitivity of the Storm Water Management Model (SWMM) output to its input parameters. A global parameter sensitivity analysis is conducted in order to determine which parameters mostly affect the model simulation results. Two different methods of sensitivity analysis are applied in this study. The first one is the partial rank correlation coefficient (PRCC) which measures nonlinear but monotonic relationships between model inputs and outputs. The second one is based on the mutual information which provides a general measure of the strength of the non-monotonic association between two variables. Both methods are based on the Latin Hypercube Sampling (LHS) of the parameter space, and thus the same datasets can be used to obtain both measures of sensitivity. The utility of the PRCC and the mutual information analysis methods are illustrated by analyzing a complex SWMM model. The sensitivity analysis revealed that only a few key input variables are contributing significantly to the model outputs; PRCCs and mutual information are calculated and used to determine and rank the importance of these key parameters. This study shows that the partial rank correlation coefficient and mutual information analysis can be considered effective methods for assessing the sensitivity of the SWMM model to the uncertainty in its input parameters.","container-title":"Entropy","DOI":"10.3390/e16115738","ISSN":"1099-4300","issue":"11","journalAbbreviation":"Entropy","language":"en","page":"5738-5752","source":"DOI.org (Crossref)","title":"Sensitivity Analysis for Urban Drainage Modeling Using Mutual Information","volume":"16","author":[{"family":"Li","given":"Chuanqi"},{"family":"Wang","given":"Wei"},{"family":"Xiong","given":"Jianzhi"},{"family":"Chen","given":"Pengyu"}],"issued":{"date-parts":[["2014",11,3]]}}}],"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24</w:t>
      </w:r>
      <w:r w:rsidRPr="003F3ABB">
        <w:rPr>
          <w:rFonts w:ascii="Calibri" w:hAnsi="Calibri" w:cs="Calibri"/>
          <w:w w:val="108"/>
          <w:sz w:val="18"/>
          <w:szCs w:val="18"/>
        </w:rPr>
        <w:fldChar w:fldCharType="end"/>
      </w:r>
      <w:r w:rsidRPr="003F3ABB">
        <w:rPr>
          <w:rFonts w:ascii="Calibri" w:hAnsi="Calibri" w:cs="Calibri"/>
          <w:w w:val="108"/>
          <w:sz w:val="18"/>
          <w:szCs w:val="18"/>
        </w:rPr>
        <w:t xml:space="preserve">. </w:t>
      </w:r>
    </w:p>
    <w:p w14:paraId="4834A1AD"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For the pipe parameters, considering the complexity of our model, we only included three parameters, two geometric parameters (pipe diameter and length) and the Manning’s roughness. We simplified sewer networks, so the geometric parameters were not the actual pipe attributes anymore and were similar to the Manning’s roughness to be determined. All Spearman correlation coefficients for these parameters have a zero median, but the pipe diameter and length show substantial fat tails that span a wide range of influence, indicating that the geometric parameters can have higher influence on the routing of flow (Fig. 3C). These results are consistent with the findings of influence of conduit geometry on karst systems by Peterson and Wicks (2006), in which the majority of flow travelled through conduits and were then discharged by an outlet spring.</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{"citationID":"FFsk3fy6","properties":{"formattedCitation":"\\super 25\\nosupersub{}","plainCitation":"25","noteIndex":0},"citationItems":[{"id":201,"uris":["http://zotero.org/users/6556211/items/4QFDXCP2"],"uri":["http://zotero.org/users/6556211/items/4QFDXCP2"],"itemData":{"id":201,"type":"article-journal","abstract":"Questions about the importance of conduit geometry and about the values of hydraulic parameters in controlling ground-water ﬂow and solute transport through karstic aquifers have remained largely speculative. One goal of this project was to assess the role that the conduit geometry and the hydraulic parameters have on controlling transport dynamics within karstic aquifers. The storm water management model (SWMM) was applied to the Devil’s Icebox–Connor’s Cave System in central Missouri, USA. Simulations with incremental changes to conduit geometry or hydraulic parameters were performed with the output compared to a calibrated baseline model. Ten percent changes in the length or width of a conduit produced statistically signiﬁcant different ﬂuid ﬂow responses. The model exhibited minimal sensitivity to slope and inﬁltration rates; however, slight changes in Manning’s roughness coefﬁcient can highly alter the simulated output.","container-title":"Journal of Hydrology","DOI":"10.1016/j.jhydrol.2006.02.017","ISSN":"00221694","issue":"1-2","journalAbbreviation":"Journal of Hydrology","language":"en","page":"294-305","source":"DOI.org (Crossref)","title":"Assessing the importance of conduit geometry and physical parameters in karst systems using the storm water management model (SWMM)","volume":"329","author":[{"family":"Peterson","given":"Eric W."},{"family":"Wicks","given":"Carol M."}],"issued":{"date-parts":[["2006",9]]}}}],"schema":"https://github.com/citation-style-language/schema/raw/master/csl-citation.json"}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25</w:t>
      </w:r>
      <w:r w:rsidRPr="003F3ABB">
        <w:rPr>
          <w:rFonts w:ascii="Calibri" w:hAnsi="Calibri" w:cs="Calibri"/>
          <w:w w:val="108"/>
          <w:sz w:val="18"/>
          <w:szCs w:val="18"/>
        </w:rPr>
        <w:fldChar w:fldCharType="end"/>
      </w:r>
      <w:r w:rsidRPr="003F3ABB">
        <w:rPr>
          <w:rFonts w:ascii="Calibri" w:hAnsi="Calibri" w:cs="Calibri"/>
          <w:w w:val="108"/>
          <w:sz w:val="18"/>
          <w:szCs w:val="18"/>
        </w:rPr>
        <w:t xml:space="preserve">  In that study, the flow routing in anisotropic aquifer systems was closely linked to the geometry of the conduits, and minor changes in the geometry led to significant changes in the flow.</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{"citationID":"xPLQ2KmX","properties":{"formattedCitation":"\\super 25\\nosupersub{}","plainCitation":"25","noteIndex":0},"citationItems":[{"id":201,"uris":["http://zotero.org/users/6556211/items/4QFDXCP2"],"uri":["http://zotero.org/users/6556211/items/4QFDXCP2"],"itemData":{"id":201,"type":"article-journal","abstract":"Questions about the importance of conduit geometry and about the values of hydraulic parameters in controlling ground-water ﬂow and solute transport through karstic aquifers have remained largely speculative. One goal of this project was to assess the role that the conduit geometry and the hydraulic parameters have on controlling transport dynamics within karstic aquifers. The storm water management model (SWMM) was applied to the Devil’s Icebox–Connor’s Cave System in central Missouri, USA. Simulations with incremental changes to conduit geometry or hydraulic parameters were performed with the output compared to a calibrated baseline model. Ten percent changes in the length or width of a conduit produced statistically signiﬁcant different ﬂuid ﬂow responses. The model exhibited minimal sensitivity to slope and inﬁltration rates; however, slight changes in Manning’s roughness coefﬁcient can highly alter the simulated output.","container-title":"Journal of Hydrology","DOI":"10.1016/j.jhydrol.2006.02.017","ISSN":"00221694","issue":"1-2","journalAbbreviation":"Journal of Hydrology","language":"en","page":"294-305","source":"DOI.org (Crossref)","title":"Assessing the importance of conduit geometry and physical parameters in karst systems using the storm water management model (SWMM)","volume":"329","author":[{"family":"Peterson","given":"Eric W."},{"family":"Wicks","given":"Carol M."}],"issued":{"date-parts":[["2006",9]]}}}],"schema":"https://github.com/citation-style-language/schema/raw/master/csl-citation.json"}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25</w:t>
      </w:r>
      <w:r w:rsidRPr="003F3ABB">
        <w:rPr>
          <w:rFonts w:ascii="Calibri" w:hAnsi="Calibri" w:cs="Calibri"/>
          <w:w w:val="108"/>
          <w:sz w:val="18"/>
          <w:szCs w:val="18"/>
        </w:rPr>
        <w:fldChar w:fldCharType="end"/>
      </w:r>
      <w:r w:rsidRPr="003F3ABB">
        <w:rPr>
          <w:rFonts w:ascii="Calibri" w:hAnsi="Calibri" w:cs="Calibri"/>
          <w:w w:val="108"/>
          <w:sz w:val="18"/>
          <w:szCs w:val="18"/>
        </w:rPr>
        <w:t xml:space="preserve"> We considered the influence of geometry in our sensitivity analysis, so this may have obscured the influence of the pipe Manning’s roughness.</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{"citationID":"rsPOvedS","properties":{"formattedCitation":"\\super 24\\nosupersub{}","plainCitation":"24","noteIndex":0},"citationItems":[{"id":164,"uris":["http://zotero.org/users/6556211/items/2GNK9H6C"],"uri":["http://zotero.org/users/6556211/items/2GNK9H6C"],"itemData":{"id":164,"type":"article-journal","abstract":"The intention of this paper is to evaluate the sensitivity of the Storm Water Management Model (SWMM) output to its input parameters. A global parameter sensitivity analysis is conducted in order to determine which parameters mostly affect the model simulation results. Two different methods of sensitivity analysis are applied in this study. The first one is the partial rank correlation coefficient (PRCC) which measures nonlinear but monotonic relationships between model inputs and outputs. The second one is based on the mutual information which provides a general measure of the strength of the non-monotonic association between two variables. Both methods are based on the Latin Hypercube Sampling (LHS) of the parameter space, and thus the same datasets can be used to obtain both measures of sensitivity. The utility of the PRCC and the mutual information analysis methods are illustrated by analyzing a complex SWMM model. The sensitivity analysis revealed that only a few key input variables are contributing significantly to the model outputs; PRCCs and mutual information are calculated and used to determine and rank the importance of these key parameters. This study shows that the partial rank correlation coefficient and mutual information analysis can be considered effective methods for assessing the sensitivity of the SWMM model to the uncertainty in its input parameters.","container-title":"Entropy","DOI":"10.3390/e16115738","ISSN":"1099-4300","issue":"11","journalAbbreviation":"Entropy","language":"en","page":"5738-5752","source":"DOI.org (Crossref)","title":"Sensitivity Analysis for Urban Drainage Modeling Using Mutual Information","volume":"16","author":[{"family":"Li","given":"Chuanqi"},{"family":"Wang","given":"Wei"},{"family":"Xiong","given":"Jianzhi"},{"family":"Chen","given":"Pengyu"}],"issued":{"date-parts":[["2014",11,3]]}}}],"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24</w:t>
      </w:r>
      <w:r w:rsidRPr="003F3ABB">
        <w:rPr>
          <w:rFonts w:ascii="Calibri" w:hAnsi="Calibri" w:cs="Calibri"/>
          <w:w w:val="108"/>
          <w:sz w:val="18"/>
          <w:szCs w:val="18"/>
        </w:rPr>
        <w:fldChar w:fldCharType="end"/>
      </w:r>
      <w:r w:rsidRPr="003F3ABB">
        <w:rPr>
          <w:rFonts w:ascii="Calibri" w:hAnsi="Calibri" w:cs="Calibri"/>
          <w:w w:val="108"/>
          <w:sz w:val="18"/>
          <w:szCs w:val="18"/>
        </w:rPr>
        <w:t xml:space="preserve"> </w:t>
      </w:r>
    </w:p>
    <w:p w14:paraId="262B39B9" w14:textId="77777777" w:rsidR="003F3ABB" w:rsidRPr="003F3ABB" w:rsidRDefault="003F3ABB" w:rsidP="00AF1C8B">
      <w:pPr>
        <w:pStyle w:val="RSCB06BHeadingSub-Section"/>
        <w:spacing w:line="480" w:lineRule="auto"/>
        <w:rPr>
          <w:rFonts w:ascii="Calibri" w:hAnsi="Calibri" w:cs="Calibri"/>
        </w:rPr>
      </w:pPr>
      <w:r w:rsidRPr="003F3ABB">
        <w:rPr>
          <w:rFonts w:ascii="Calibri" w:hAnsi="Calibri" w:cs="Calibri"/>
        </w:rPr>
        <w:t xml:space="preserve">Parameter importance ranking analysis  </w:t>
      </w:r>
    </w:p>
    <w:p w14:paraId="635239CF"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 xml:space="preserve">In evaluating the Spearman correlation coefficients, a number of parameters had similar low influence on the overall outputs (zero median and within a range between -0.2 and 0.2), making it difficult to </w:t>
      </w:r>
      <w:r w:rsidRPr="003F3ABB">
        <w:rPr>
          <w:rFonts w:ascii="Calibri" w:hAnsi="Calibri" w:cs="Calibri"/>
          <w:w w:val="108"/>
          <w:sz w:val="18"/>
          <w:szCs w:val="18"/>
          <w:lang w:eastAsia="zh-CN"/>
        </w:rPr>
        <w:t>compare them</w:t>
      </w:r>
      <w:r w:rsidRPr="003F3ABB">
        <w:rPr>
          <w:rFonts w:ascii="Calibri" w:hAnsi="Calibri" w:cs="Calibri"/>
          <w:w w:val="108"/>
          <w:sz w:val="18"/>
          <w:szCs w:val="18"/>
        </w:rPr>
        <w:t>. Therefore, after evaluating the overall influence of parameters on these three outputs, we next explored the parameter importance ranking within individual model elements (that is, specific subcatchments and pipes). We ranked parameters by their coefficients for each element to assess the agreement in parameter rankings. The kappa coefficient was calculated by comparing parameter ranks based on the order of the absolute Spearman correlation coefficients for all pairs of subcatchments and pipes.  Kappa is scaled from -1 to 1, where values closer to 1 indicate a more perfect match in ranks, whereas negative values mean the agreement is less than chance</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{"citationID":"2DyF20Rg","properties":{"formattedCitation":"\\super 50\\nosupersub{}","plainCitation":"50","noteIndex":0},"citationItems":[{"id":146,"uris":["http://zotero.org/users/6556211/items/NSXF45RK"],"uri":["http://zotero.org/users/6556211/items/NSXF45RK"],"itemData":{"id":146,"type":"article-journal","container-title":"Family Medicine","language":"en","page":"360-363","source":"Zotero","title":"Understanding Interobserver Agreement: The Kappa Statistic","volume":"37","author":[{"family":"Viera","given":"Anthony J"},{"family":"Garrett","given":"Joanne M"}],"issued":{"date-parts":[["2005"]]}}}],"schema":"https://github.com/citation-style-language/schema/raw/master/csl-citation.json"}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50</w:t>
      </w:r>
      <w:r w:rsidRPr="003F3ABB">
        <w:rPr>
          <w:rFonts w:ascii="Calibri" w:hAnsi="Calibri" w:cs="Calibri"/>
          <w:w w:val="108"/>
          <w:sz w:val="18"/>
          <w:szCs w:val="18"/>
        </w:rPr>
        <w:fldChar w:fldCharType="end"/>
      </w:r>
      <w:r w:rsidRPr="003F3ABB">
        <w:rPr>
          <w:rFonts w:ascii="Calibri" w:hAnsi="Calibri" w:cs="Calibri"/>
          <w:w w:val="108"/>
          <w:sz w:val="18"/>
          <w:szCs w:val="18"/>
        </w:rPr>
        <w:t xml:space="preserve">. For both total surface runoff and peak flow, the top five parameter ranks are more consistent than when all parameter ranks are considered (Fig. 4). The consistency of parameter ranks for peak flow has more uncertainty compared to total runoff. However, the median of </w:t>
      </w:r>
      <w:r w:rsidRPr="003F3ABB">
        <w:rPr>
          <w:rFonts w:ascii="Calibri" w:hAnsi="Calibri" w:cs="Calibri"/>
          <w:w w:val="108"/>
          <w:sz w:val="18"/>
          <w:szCs w:val="18"/>
        </w:rPr>
        <w:lastRenderedPageBreak/>
        <w:t>the peak flow ranking was higher than the runoff ranking which means it is more probable for the subcatchments having peak flows to share similar parameter importance ranks. The third quartile of the top five ranks for peak flow reaches a kappa coefficient of 1.0 which means that many of the subcatchments share parameter ranks.</w:t>
      </w:r>
    </w:p>
    <w:p w14:paraId="64809E9A" w14:textId="77777777" w:rsidR="003F3ABB" w:rsidRPr="003F3ABB" w:rsidRDefault="003F3ABB" w:rsidP="00AF1C8B">
      <w:pPr>
        <w:keepNext/>
        <w:spacing w:line="480" w:lineRule="auto"/>
        <w:jc w:val="center"/>
        <w:rPr>
          <w:rFonts w:ascii="Calibri" w:hAnsi="Calibri" w:cs="Calibri"/>
        </w:rPr>
      </w:pPr>
      <w:r w:rsidRPr="003F3ABB">
        <w:rPr>
          <w:rFonts w:ascii="Calibri" w:hAnsi="Calibri" w:cs="Calibri"/>
          <w:noProof/>
          <w:w w:val="108"/>
          <w:sz w:val="18"/>
          <w:szCs w:val="18"/>
        </w:rPr>
        <w:drawing>
          <wp:inline distT="0" distB="0" distL="0" distR="0" wp14:anchorId="0ECEC9E3" wp14:editId="0F851FAE">
            <wp:extent cx="3870371" cy="2937846"/>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appas.tif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98982" cy="2959563"/>
                    </a:xfrm>
                    <a:prstGeom prst="rect">
                      <a:avLst/>
                    </a:prstGeom>
                  </pic:spPr>
                </pic:pic>
              </a:graphicData>
            </a:graphic>
          </wp:inline>
        </w:drawing>
      </w:r>
    </w:p>
    <w:p w14:paraId="35516312" w14:textId="77777777" w:rsidR="003F3ABB" w:rsidRPr="003F3ABB" w:rsidRDefault="003F3ABB" w:rsidP="00AF1C8B">
      <w:pPr>
        <w:pStyle w:val="Caption"/>
        <w:spacing w:line="480" w:lineRule="auto"/>
        <w:rPr>
          <w:rFonts w:ascii="Calibri" w:hAnsi="Calibri" w:cs="Calibri"/>
          <w:bCs w:val="0"/>
          <w:w w:val="108"/>
          <w:sz w:val="18"/>
        </w:rPr>
      </w:pPr>
      <w:r w:rsidRPr="003F3ABB">
        <w:rPr>
          <w:rFonts w:ascii="Calibri" w:hAnsi="Calibri" w:cs="Calibri"/>
          <w:bCs w:val="0"/>
          <w:w w:val="108"/>
          <w:sz w:val="18"/>
        </w:rPr>
        <w:t xml:space="preserve">Fig. </w:t>
      </w:r>
      <w:r w:rsidRPr="003F3ABB">
        <w:rPr>
          <w:rFonts w:ascii="Calibri" w:hAnsi="Calibri" w:cs="Calibri"/>
          <w:bCs w:val="0"/>
          <w:w w:val="108"/>
          <w:sz w:val="18"/>
        </w:rPr>
        <w:fldChar w:fldCharType="begin"/>
      </w:r>
      <w:r w:rsidRPr="003F3ABB">
        <w:rPr>
          <w:rFonts w:ascii="Calibri" w:hAnsi="Calibri" w:cs="Calibri"/>
          <w:bCs w:val="0"/>
          <w:w w:val="108"/>
          <w:sz w:val="18"/>
        </w:rPr>
        <w:instrText xml:space="preserve"> SEQ Fig. \* ARABIC </w:instrText>
      </w:r>
      <w:r w:rsidRPr="003F3ABB">
        <w:rPr>
          <w:rFonts w:ascii="Calibri" w:hAnsi="Calibri" w:cs="Calibri"/>
          <w:bCs w:val="0"/>
          <w:w w:val="108"/>
          <w:sz w:val="18"/>
        </w:rPr>
        <w:fldChar w:fldCharType="separate"/>
      </w:r>
      <w:r w:rsidRPr="003F3ABB">
        <w:rPr>
          <w:rFonts w:ascii="Calibri" w:hAnsi="Calibri" w:cs="Calibri"/>
          <w:bCs w:val="0"/>
          <w:noProof/>
          <w:w w:val="108"/>
          <w:sz w:val="18"/>
        </w:rPr>
        <w:t>4</w:t>
      </w:r>
      <w:r w:rsidRPr="003F3ABB">
        <w:rPr>
          <w:rFonts w:ascii="Calibri" w:hAnsi="Calibri" w:cs="Calibri"/>
          <w:bCs w:val="0"/>
          <w:w w:val="108"/>
          <w:sz w:val="18"/>
        </w:rPr>
        <w:fldChar w:fldCharType="end"/>
      </w:r>
      <w:r w:rsidRPr="003F3ABB">
        <w:rPr>
          <w:rFonts w:ascii="Calibri" w:hAnsi="Calibri" w:cs="Calibri"/>
          <w:bCs w:val="0"/>
          <w:w w:val="108"/>
          <w:sz w:val="18"/>
        </w:rPr>
        <w:t xml:space="preserve"> Kappa coefficients based on comparison of all parameters and top five most important parameters for total runoff, peak flow, and maximum pipe flow</w:t>
      </w:r>
    </w:p>
    <w:p w14:paraId="0E527D50" w14:textId="77777777" w:rsidR="003F3ABB" w:rsidRPr="003F3ABB" w:rsidRDefault="003F3ABB" w:rsidP="00AF1C8B">
      <w:pPr>
        <w:pStyle w:val="Caption"/>
        <w:keepNext/>
        <w:spacing w:line="480" w:lineRule="auto"/>
        <w:jc w:val="center"/>
        <w:rPr>
          <w:rFonts w:ascii="Calibri" w:hAnsi="Calibri" w:cs="Calibri"/>
          <w:bCs w:val="0"/>
          <w:w w:val="108"/>
          <w:sz w:val="18"/>
        </w:rPr>
      </w:pPr>
      <w:r w:rsidRPr="003F3ABB">
        <w:rPr>
          <w:rFonts w:ascii="Calibri" w:hAnsi="Calibri" w:cs="Calibri"/>
          <w:bCs w:val="0"/>
          <w:w w:val="108"/>
          <w:sz w:val="18"/>
        </w:rPr>
        <w:t xml:space="preserve">Table </w:t>
      </w:r>
      <w:r w:rsidRPr="003F3ABB">
        <w:rPr>
          <w:rFonts w:ascii="Calibri" w:hAnsi="Calibri" w:cs="Calibri"/>
          <w:bCs w:val="0"/>
          <w:w w:val="108"/>
          <w:sz w:val="18"/>
        </w:rPr>
        <w:fldChar w:fldCharType="begin"/>
      </w:r>
      <w:r w:rsidRPr="003F3ABB">
        <w:rPr>
          <w:rFonts w:ascii="Calibri" w:hAnsi="Calibri" w:cs="Calibri"/>
          <w:bCs w:val="0"/>
          <w:w w:val="108"/>
          <w:sz w:val="18"/>
        </w:rPr>
        <w:instrText xml:space="preserve"> SEQ Table \* ARABIC </w:instrText>
      </w:r>
      <w:r w:rsidRPr="003F3ABB">
        <w:rPr>
          <w:rFonts w:ascii="Calibri" w:hAnsi="Calibri" w:cs="Calibri"/>
          <w:bCs w:val="0"/>
          <w:w w:val="108"/>
          <w:sz w:val="18"/>
        </w:rPr>
        <w:fldChar w:fldCharType="separate"/>
      </w:r>
      <w:r w:rsidRPr="003F3ABB">
        <w:rPr>
          <w:rFonts w:ascii="Calibri" w:hAnsi="Calibri" w:cs="Calibri"/>
          <w:bCs w:val="0"/>
          <w:w w:val="108"/>
          <w:sz w:val="18"/>
        </w:rPr>
        <w:t>3</w:t>
      </w:r>
      <w:r w:rsidRPr="003F3ABB">
        <w:rPr>
          <w:rFonts w:ascii="Calibri" w:hAnsi="Calibri" w:cs="Calibri"/>
          <w:bCs w:val="0"/>
          <w:w w:val="108"/>
          <w:sz w:val="18"/>
        </w:rPr>
        <w:fldChar w:fldCharType="end"/>
      </w:r>
      <w:r w:rsidRPr="003F3ABB">
        <w:rPr>
          <w:rFonts w:ascii="Calibri" w:hAnsi="Calibri" w:cs="Calibri"/>
          <w:bCs w:val="0"/>
          <w:w w:val="108"/>
          <w:sz w:val="18"/>
        </w:rPr>
        <w:t xml:space="preserve"> Main parameter rank sets and the probability of each set of top five parameter ranks for peak flow</w:t>
      </w:r>
    </w:p>
    <w:tbl>
      <w:tblPr>
        <w:tblStyle w:val="TableGrid"/>
        <w:tblW w:w="0" w:type="auto"/>
        <w:jc w:val="center"/>
        <w:tblLayout w:type="fixed"/>
        <w:tblLook w:val="04A0" w:firstRow="1" w:lastRow="0" w:firstColumn="1" w:lastColumn="0" w:noHBand="0" w:noVBand="1"/>
      </w:tblPr>
      <w:tblGrid>
        <w:gridCol w:w="895"/>
        <w:gridCol w:w="1260"/>
        <w:gridCol w:w="720"/>
        <w:gridCol w:w="1080"/>
        <w:gridCol w:w="1080"/>
        <w:gridCol w:w="720"/>
        <w:gridCol w:w="990"/>
      </w:tblGrid>
      <w:tr w:rsidR="003F3ABB" w:rsidRPr="003F3ABB" w14:paraId="451D86CE" w14:textId="77777777" w:rsidTr="003F3ABB">
        <w:trPr>
          <w:jc w:val="center"/>
        </w:trPr>
        <w:tc>
          <w:tcPr>
            <w:tcW w:w="895" w:type="dxa"/>
          </w:tcPr>
          <w:p w14:paraId="0D9E1C64" w14:textId="77777777" w:rsidR="003F3ABB" w:rsidRPr="003F3ABB" w:rsidRDefault="003F3ABB" w:rsidP="00AF1C8B">
            <w:pPr>
              <w:spacing w:after="160" w:line="480" w:lineRule="auto"/>
              <w:jc w:val="center"/>
              <w:rPr>
                <w:rFonts w:ascii="Calibri" w:hAnsi="Calibri" w:cs="Calibri"/>
                <w:w w:val="108"/>
                <w:sz w:val="18"/>
                <w:szCs w:val="18"/>
              </w:rPr>
            </w:pPr>
          </w:p>
        </w:tc>
        <w:tc>
          <w:tcPr>
            <w:tcW w:w="1260" w:type="dxa"/>
          </w:tcPr>
          <w:p w14:paraId="05B3CFE5"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Probability</w:t>
            </w:r>
          </w:p>
        </w:tc>
        <w:tc>
          <w:tcPr>
            <w:tcW w:w="720" w:type="dxa"/>
            <w:vAlign w:val="center"/>
          </w:tcPr>
          <w:p w14:paraId="5E3B3412"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No. 1</w:t>
            </w:r>
          </w:p>
        </w:tc>
        <w:tc>
          <w:tcPr>
            <w:tcW w:w="1080" w:type="dxa"/>
            <w:vAlign w:val="center"/>
          </w:tcPr>
          <w:p w14:paraId="20497301"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No. 2</w:t>
            </w:r>
          </w:p>
        </w:tc>
        <w:tc>
          <w:tcPr>
            <w:tcW w:w="1080" w:type="dxa"/>
            <w:vAlign w:val="center"/>
          </w:tcPr>
          <w:p w14:paraId="3CCDA662"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No. 3</w:t>
            </w:r>
          </w:p>
        </w:tc>
        <w:tc>
          <w:tcPr>
            <w:tcW w:w="720" w:type="dxa"/>
            <w:vAlign w:val="center"/>
          </w:tcPr>
          <w:p w14:paraId="3874E035"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No. 4</w:t>
            </w:r>
          </w:p>
        </w:tc>
        <w:tc>
          <w:tcPr>
            <w:tcW w:w="990" w:type="dxa"/>
            <w:vAlign w:val="center"/>
          </w:tcPr>
          <w:p w14:paraId="76CA2C97"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No. 5</w:t>
            </w:r>
          </w:p>
        </w:tc>
      </w:tr>
      <w:tr w:rsidR="003F3ABB" w:rsidRPr="003F3ABB" w14:paraId="52B34262" w14:textId="77777777" w:rsidTr="003F3ABB">
        <w:trPr>
          <w:jc w:val="center"/>
        </w:trPr>
        <w:tc>
          <w:tcPr>
            <w:tcW w:w="895" w:type="dxa"/>
          </w:tcPr>
          <w:p w14:paraId="18C960AF"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 xml:space="preserve">Set1 </w:t>
            </w:r>
          </w:p>
        </w:tc>
        <w:tc>
          <w:tcPr>
            <w:tcW w:w="1260" w:type="dxa"/>
          </w:tcPr>
          <w:p w14:paraId="008ED6DF"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54%</w:t>
            </w:r>
          </w:p>
        </w:tc>
        <w:tc>
          <w:tcPr>
            <w:tcW w:w="720" w:type="dxa"/>
            <w:vAlign w:val="center"/>
          </w:tcPr>
          <w:p w14:paraId="02D5CC75"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area</w:t>
            </w:r>
          </w:p>
        </w:tc>
        <w:tc>
          <w:tcPr>
            <w:tcW w:w="1080" w:type="dxa"/>
            <w:vAlign w:val="center"/>
          </w:tcPr>
          <w:p w14:paraId="5F1154C2"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imper</w:t>
            </w:r>
          </w:p>
        </w:tc>
        <w:tc>
          <w:tcPr>
            <w:tcW w:w="1080" w:type="dxa"/>
            <w:vAlign w:val="center"/>
          </w:tcPr>
          <w:p w14:paraId="36ED7AEB"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N-imper</w:t>
            </w:r>
          </w:p>
        </w:tc>
        <w:tc>
          <w:tcPr>
            <w:tcW w:w="720" w:type="dxa"/>
            <w:vAlign w:val="center"/>
          </w:tcPr>
          <w:p w14:paraId="4F914BD5"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width</w:t>
            </w:r>
          </w:p>
        </w:tc>
        <w:tc>
          <w:tcPr>
            <w:tcW w:w="990" w:type="dxa"/>
            <w:vAlign w:val="center"/>
          </w:tcPr>
          <w:p w14:paraId="141708A4"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slope</w:t>
            </w:r>
          </w:p>
        </w:tc>
      </w:tr>
      <w:tr w:rsidR="003F3ABB" w:rsidRPr="003F3ABB" w14:paraId="3BECC438" w14:textId="77777777" w:rsidTr="003F3ABB">
        <w:trPr>
          <w:jc w:val="center"/>
        </w:trPr>
        <w:tc>
          <w:tcPr>
            <w:tcW w:w="895" w:type="dxa"/>
          </w:tcPr>
          <w:p w14:paraId="42069C64"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Set2</w:t>
            </w:r>
          </w:p>
        </w:tc>
        <w:tc>
          <w:tcPr>
            <w:tcW w:w="1260" w:type="dxa"/>
          </w:tcPr>
          <w:p w14:paraId="12AA8CA9"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17%</w:t>
            </w:r>
          </w:p>
        </w:tc>
        <w:tc>
          <w:tcPr>
            <w:tcW w:w="720" w:type="dxa"/>
            <w:vAlign w:val="center"/>
          </w:tcPr>
          <w:p w14:paraId="33E2EB30"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area</w:t>
            </w:r>
          </w:p>
        </w:tc>
        <w:tc>
          <w:tcPr>
            <w:tcW w:w="1080" w:type="dxa"/>
            <w:vAlign w:val="center"/>
          </w:tcPr>
          <w:p w14:paraId="23656855"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N-imper</w:t>
            </w:r>
          </w:p>
        </w:tc>
        <w:tc>
          <w:tcPr>
            <w:tcW w:w="1080" w:type="dxa"/>
            <w:vAlign w:val="center"/>
          </w:tcPr>
          <w:p w14:paraId="04603AD5"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imper</w:t>
            </w:r>
          </w:p>
        </w:tc>
        <w:tc>
          <w:tcPr>
            <w:tcW w:w="720" w:type="dxa"/>
            <w:vAlign w:val="center"/>
          </w:tcPr>
          <w:p w14:paraId="7ABDA876"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width</w:t>
            </w:r>
          </w:p>
        </w:tc>
        <w:tc>
          <w:tcPr>
            <w:tcW w:w="990" w:type="dxa"/>
            <w:vAlign w:val="center"/>
          </w:tcPr>
          <w:p w14:paraId="58F4A1B7"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slope</w:t>
            </w:r>
          </w:p>
        </w:tc>
      </w:tr>
      <w:tr w:rsidR="003F3ABB" w:rsidRPr="003F3ABB" w14:paraId="5FE7E0D8" w14:textId="77777777" w:rsidTr="003F3ABB">
        <w:trPr>
          <w:jc w:val="center"/>
        </w:trPr>
        <w:tc>
          <w:tcPr>
            <w:tcW w:w="895" w:type="dxa"/>
          </w:tcPr>
          <w:p w14:paraId="053070EA"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Set3</w:t>
            </w:r>
          </w:p>
        </w:tc>
        <w:tc>
          <w:tcPr>
            <w:tcW w:w="1260" w:type="dxa"/>
          </w:tcPr>
          <w:p w14:paraId="2E6868F2"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16%</w:t>
            </w:r>
          </w:p>
        </w:tc>
        <w:tc>
          <w:tcPr>
            <w:tcW w:w="720" w:type="dxa"/>
            <w:vAlign w:val="center"/>
          </w:tcPr>
          <w:p w14:paraId="768EDEA2"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area</w:t>
            </w:r>
          </w:p>
        </w:tc>
        <w:tc>
          <w:tcPr>
            <w:tcW w:w="1080" w:type="dxa"/>
            <w:vAlign w:val="center"/>
          </w:tcPr>
          <w:p w14:paraId="61FFDB12"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imper</w:t>
            </w:r>
          </w:p>
        </w:tc>
        <w:tc>
          <w:tcPr>
            <w:tcW w:w="1080" w:type="dxa"/>
            <w:vAlign w:val="center"/>
          </w:tcPr>
          <w:p w14:paraId="2F8422DF"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N-imper</w:t>
            </w:r>
          </w:p>
        </w:tc>
        <w:tc>
          <w:tcPr>
            <w:tcW w:w="720" w:type="dxa"/>
            <w:vAlign w:val="center"/>
          </w:tcPr>
          <w:p w14:paraId="7B3A9CF9"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slope</w:t>
            </w:r>
          </w:p>
        </w:tc>
        <w:tc>
          <w:tcPr>
            <w:tcW w:w="990" w:type="dxa"/>
            <w:vAlign w:val="center"/>
          </w:tcPr>
          <w:p w14:paraId="12A5061A"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width</w:t>
            </w:r>
          </w:p>
        </w:tc>
      </w:tr>
      <w:tr w:rsidR="003F3ABB" w:rsidRPr="003F3ABB" w14:paraId="784094E4" w14:textId="77777777" w:rsidTr="003F3ABB">
        <w:trPr>
          <w:jc w:val="center"/>
        </w:trPr>
        <w:tc>
          <w:tcPr>
            <w:tcW w:w="895" w:type="dxa"/>
          </w:tcPr>
          <w:p w14:paraId="5DA9B0A8"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Set4</w:t>
            </w:r>
          </w:p>
        </w:tc>
        <w:tc>
          <w:tcPr>
            <w:tcW w:w="1260" w:type="dxa"/>
          </w:tcPr>
          <w:p w14:paraId="51EB1657" w14:textId="77777777" w:rsidR="003F3ABB" w:rsidRPr="003F3ABB" w:rsidRDefault="003F3ABB" w:rsidP="00AF1C8B">
            <w:pPr>
              <w:spacing w:line="480" w:lineRule="auto"/>
              <w:jc w:val="center"/>
              <w:rPr>
                <w:rFonts w:ascii="Calibri" w:hAnsi="Calibri" w:cs="Calibri"/>
                <w:w w:val="108"/>
                <w:sz w:val="18"/>
                <w:szCs w:val="18"/>
              </w:rPr>
            </w:pPr>
            <w:r w:rsidRPr="003F3ABB">
              <w:rPr>
                <w:rFonts w:ascii="Calibri" w:hAnsi="Calibri" w:cs="Calibri"/>
                <w:w w:val="108"/>
                <w:sz w:val="18"/>
                <w:szCs w:val="18"/>
              </w:rPr>
              <w:t>7%</w:t>
            </w:r>
          </w:p>
        </w:tc>
        <w:tc>
          <w:tcPr>
            <w:tcW w:w="720" w:type="dxa"/>
            <w:vAlign w:val="center"/>
          </w:tcPr>
          <w:p w14:paraId="42C4E45E"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area</w:t>
            </w:r>
          </w:p>
        </w:tc>
        <w:tc>
          <w:tcPr>
            <w:tcW w:w="1080" w:type="dxa"/>
            <w:vAlign w:val="center"/>
          </w:tcPr>
          <w:p w14:paraId="1679BF0C"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N-imper</w:t>
            </w:r>
          </w:p>
        </w:tc>
        <w:tc>
          <w:tcPr>
            <w:tcW w:w="1080" w:type="dxa"/>
            <w:vAlign w:val="center"/>
          </w:tcPr>
          <w:p w14:paraId="57A2DB1E"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imper</w:t>
            </w:r>
          </w:p>
        </w:tc>
        <w:tc>
          <w:tcPr>
            <w:tcW w:w="720" w:type="dxa"/>
            <w:vAlign w:val="center"/>
          </w:tcPr>
          <w:p w14:paraId="1DBCEABD"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slope</w:t>
            </w:r>
          </w:p>
        </w:tc>
        <w:tc>
          <w:tcPr>
            <w:tcW w:w="990" w:type="dxa"/>
            <w:vAlign w:val="center"/>
          </w:tcPr>
          <w:p w14:paraId="73860A28" w14:textId="77777777" w:rsidR="003F3ABB" w:rsidRPr="003F3ABB" w:rsidRDefault="003F3ABB" w:rsidP="00AF1C8B">
            <w:pPr>
              <w:spacing w:after="160" w:line="480" w:lineRule="auto"/>
              <w:jc w:val="center"/>
              <w:rPr>
                <w:rFonts w:ascii="Calibri" w:hAnsi="Calibri" w:cs="Calibri"/>
                <w:w w:val="108"/>
                <w:sz w:val="18"/>
                <w:szCs w:val="18"/>
              </w:rPr>
            </w:pPr>
            <w:r w:rsidRPr="003F3ABB">
              <w:rPr>
                <w:rFonts w:ascii="Calibri" w:hAnsi="Calibri" w:cs="Calibri"/>
                <w:w w:val="108"/>
                <w:sz w:val="18"/>
                <w:szCs w:val="18"/>
              </w:rPr>
              <w:t>width</w:t>
            </w:r>
          </w:p>
        </w:tc>
      </w:tr>
    </w:tbl>
    <w:p w14:paraId="609CF27A" w14:textId="77777777" w:rsidR="003F3ABB" w:rsidRPr="003F3ABB" w:rsidRDefault="003F3ABB" w:rsidP="00AF1C8B">
      <w:pPr>
        <w:spacing w:line="480" w:lineRule="auto"/>
        <w:rPr>
          <w:rFonts w:ascii="Calibri" w:hAnsi="Calibri" w:cs="Calibri"/>
          <w:w w:val="108"/>
          <w:sz w:val="18"/>
          <w:szCs w:val="18"/>
        </w:rPr>
      </w:pPr>
    </w:p>
    <w:p w14:paraId="000F11B5" w14:textId="32C768DC"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 xml:space="preserve">We can assemble the parameter ranks of peak flow into a matrix (638 × 11). The rows represented the specific parameter rank sets for subcatchments and columns represented the ranked parameters. We separately calculated the probabilities based on the rank sets of subcatchments (Table 3) and ordered parameter at each position </w:t>
      </w:r>
      <w:r w:rsidRPr="003F3ABB">
        <w:rPr>
          <w:rFonts w:ascii="Calibri" w:hAnsi="Calibri" w:cs="Calibri"/>
          <w:w w:val="108"/>
          <w:sz w:val="18"/>
          <w:szCs w:val="18"/>
          <w:lang w:eastAsia="zh-CN"/>
        </w:rPr>
        <w:t>(Fig. 6)</w:t>
      </w:r>
      <w:r w:rsidRPr="003F3ABB">
        <w:rPr>
          <w:rFonts w:ascii="Calibri" w:hAnsi="Calibri" w:cs="Calibri"/>
          <w:w w:val="108"/>
          <w:sz w:val="18"/>
          <w:szCs w:val="18"/>
        </w:rPr>
        <w:t>, representing by its occurred proportion to all subcat</w:t>
      </w:r>
      <w:r w:rsidR="00180F73">
        <w:rPr>
          <w:rFonts w:ascii="Calibri" w:hAnsi="Calibri" w:cs="Calibri"/>
          <w:w w:val="108"/>
          <w:sz w:val="18"/>
          <w:szCs w:val="18"/>
        </w:rPr>
        <w:t>c</w:t>
      </w:r>
      <w:r w:rsidRPr="003F3ABB">
        <w:rPr>
          <w:rFonts w:ascii="Calibri" w:hAnsi="Calibri" w:cs="Calibri"/>
          <w:w w:val="108"/>
          <w:sz w:val="18"/>
          <w:szCs w:val="18"/>
        </w:rPr>
        <w:t xml:space="preserve">hments. Four sets of parameter ranks have 94% probability to explain their rank orders (Table 3). The rank set 1 </w:t>
      </w:r>
      <w:proofErr w:type="gramStart"/>
      <w:r w:rsidRPr="003F3ABB">
        <w:rPr>
          <w:rFonts w:ascii="Calibri" w:hAnsi="Calibri" w:cs="Calibri"/>
          <w:w w:val="108"/>
          <w:sz w:val="18"/>
          <w:szCs w:val="18"/>
        </w:rPr>
        <w:t>accounts</w:t>
      </w:r>
      <w:proofErr w:type="gramEnd"/>
      <w:r w:rsidRPr="003F3ABB">
        <w:rPr>
          <w:rFonts w:ascii="Calibri" w:hAnsi="Calibri" w:cs="Calibri"/>
          <w:w w:val="108"/>
          <w:sz w:val="18"/>
          <w:szCs w:val="18"/>
        </w:rPr>
        <w:t xml:space="preserve"> for 54% of the total subcatchments, much higher than other sets.  We can also evaluate the distribution of the parameter rank </w:t>
      </w:r>
      <w:r w:rsidRPr="003F3ABB">
        <w:rPr>
          <w:rFonts w:ascii="Calibri" w:hAnsi="Calibri" w:cs="Calibri"/>
          <w:w w:val="108"/>
          <w:sz w:val="18"/>
          <w:szCs w:val="18"/>
        </w:rPr>
        <w:lastRenderedPageBreak/>
        <w:t xml:space="preserve">sets across all 638 subcatchments (Fig. 5). For all four sets, the area is always the most important parameter, but the imperviousness and Manning’s roughness (in the impervious area) switch at the next position. If we combined set 1 and set 3 where imperviousness has the same order, the subcatchments are mostly located far from the center of our </w:t>
      </w:r>
      <w:proofErr w:type="spellStart"/>
      <w:r w:rsidRPr="003F3ABB">
        <w:rPr>
          <w:rFonts w:ascii="Calibri" w:hAnsi="Calibri" w:cs="Calibri"/>
          <w:w w:val="108"/>
          <w:sz w:val="18"/>
          <w:szCs w:val="18"/>
        </w:rPr>
        <w:t>sewershed</w:t>
      </w:r>
      <w:proofErr w:type="spellEnd"/>
      <w:r w:rsidRPr="003F3ABB">
        <w:rPr>
          <w:rFonts w:ascii="Calibri" w:hAnsi="Calibri" w:cs="Calibri"/>
          <w:w w:val="108"/>
          <w:sz w:val="18"/>
          <w:szCs w:val="18"/>
        </w:rPr>
        <w:t xml:space="preserve">. These areas are highly impervious, so they are more sensitive to the change of percent of imperviousness, which directly determines the area that generates water flow immediately during a rainfall event.  </w:t>
      </w:r>
    </w:p>
    <w:p w14:paraId="5D2708FF" w14:textId="77777777" w:rsidR="003F3ABB" w:rsidRPr="003F3ABB" w:rsidRDefault="003F3ABB" w:rsidP="00AF1C8B">
      <w:pPr>
        <w:spacing w:line="480" w:lineRule="auto"/>
        <w:rPr>
          <w:rFonts w:ascii="Calibri" w:hAnsi="Calibri" w:cs="Calibri"/>
          <w:w w:val="108"/>
          <w:sz w:val="18"/>
          <w:szCs w:val="18"/>
        </w:rPr>
        <w:sectPr w:rsidR="003F3ABB" w:rsidRPr="003F3ABB" w:rsidSect="00445A76">
          <w:type w:val="continuous"/>
          <w:pgSz w:w="11907" w:h="16840" w:code="9"/>
          <w:pgMar w:top="1009" w:right="851" w:bottom="1758" w:left="851" w:header="851" w:footer="1049" w:gutter="0"/>
          <w:lnNumType w:countBy="1" w:restart="continuous"/>
          <w:cols w:space="227"/>
          <w:titlePg/>
          <w:docGrid w:linePitch="360"/>
        </w:sectPr>
      </w:pPr>
      <w:r w:rsidRPr="003F3ABB">
        <w:rPr>
          <w:rFonts w:ascii="Calibri" w:hAnsi="Calibri" w:cs="Calibri"/>
          <w:w w:val="108"/>
          <w:sz w:val="18"/>
          <w:szCs w:val="18"/>
        </w:rPr>
        <w:t xml:space="preserve">We further focused on the mean values of the associated parameters and found that when rank switching happens the parameter with the higher mean value will show up at the forward position. For example, the mean of imperviousness is larger in the subcatchments in rank set 1 than in set 2, so the imperviousness is placed at the second place in set 2. Thus, a parameter with a higher estimated value would be more important. In other words, the surface properties influence how the physical parameters influence the water generation in the model.  For example, the highly pervious areas (set 2 and set 4) were not as sensitive to imperviousness, since the green surfaces are large enough that increasing a little impervious area would not dramatically change the conditions of water reception and infiltration.  </w:t>
      </w:r>
    </w:p>
    <w:p w14:paraId="3D90F9FA" w14:textId="77777777" w:rsidR="003F3ABB" w:rsidRPr="003F3ABB" w:rsidRDefault="003F3ABB" w:rsidP="00AF1C8B">
      <w:pPr>
        <w:keepNext/>
        <w:spacing w:line="480" w:lineRule="auto"/>
        <w:jc w:val="center"/>
        <w:rPr>
          <w:rFonts w:ascii="Calibri" w:hAnsi="Calibri" w:cs="Calibri"/>
          <w:noProof/>
          <w:w w:val="108"/>
          <w:sz w:val="18"/>
          <w:szCs w:val="18"/>
        </w:rPr>
      </w:pPr>
      <w:r w:rsidRPr="003F3ABB">
        <w:rPr>
          <w:rFonts w:ascii="Calibri" w:hAnsi="Calibri" w:cs="Calibri"/>
          <w:noProof/>
          <w:w w:val="108"/>
          <w:sz w:val="18"/>
          <w:szCs w:val="18"/>
        </w:rPr>
        <w:drawing>
          <wp:inline distT="0" distB="0" distL="0" distR="0" wp14:anchorId="2BE35D6C" wp14:editId="4C83CAF4">
            <wp:extent cx="6124956" cy="4677156"/>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anks_dis.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4956" cy="4677156"/>
                    </a:xfrm>
                    <a:prstGeom prst="rect">
                      <a:avLst/>
                    </a:prstGeom>
                  </pic:spPr>
                </pic:pic>
              </a:graphicData>
            </a:graphic>
          </wp:inline>
        </w:drawing>
      </w:r>
    </w:p>
    <w:p w14:paraId="7DD2BD0A" w14:textId="3D7F6A9D" w:rsidR="003F3ABB" w:rsidRPr="003F3ABB" w:rsidRDefault="003F3ABB" w:rsidP="00AF1C8B">
      <w:pPr>
        <w:pStyle w:val="Caption"/>
        <w:spacing w:line="480" w:lineRule="auto"/>
        <w:jc w:val="center"/>
        <w:rPr>
          <w:rFonts w:ascii="Calibri" w:hAnsi="Calibri" w:cs="Calibri"/>
          <w:bCs w:val="0"/>
          <w:w w:val="108"/>
          <w:sz w:val="18"/>
        </w:rPr>
        <w:sectPr w:rsidR="003F3ABB" w:rsidRPr="003F3ABB" w:rsidSect="00445A76">
          <w:type w:val="continuous"/>
          <w:pgSz w:w="11907" w:h="16840" w:code="9"/>
          <w:pgMar w:top="1009" w:right="851" w:bottom="1758" w:left="851" w:header="851" w:footer="1049" w:gutter="0"/>
          <w:lnNumType w:countBy="1" w:restart="continuous"/>
          <w:cols w:space="227"/>
          <w:titlePg/>
          <w:docGrid w:linePitch="360"/>
        </w:sectPr>
      </w:pPr>
      <w:r w:rsidRPr="003F3ABB">
        <w:rPr>
          <w:rFonts w:ascii="Calibri" w:hAnsi="Calibri" w:cs="Calibri"/>
          <w:bCs w:val="0"/>
          <w:w w:val="108"/>
          <w:sz w:val="18"/>
        </w:rPr>
        <w:t xml:space="preserve">Fig. </w:t>
      </w:r>
      <w:r w:rsidRPr="003F3ABB">
        <w:rPr>
          <w:rFonts w:ascii="Calibri" w:hAnsi="Calibri" w:cs="Calibri"/>
          <w:bCs w:val="0"/>
          <w:w w:val="108"/>
          <w:sz w:val="18"/>
        </w:rPr>
        <w:fldChar w:fldCharType="begin"/>
      </w:r>
      <w:r w:rsidRPr="003F3ABB">
        <w:rPr>
          <w:rFonts w:ascii="Calibri" w:hAnsi="Calibri" w:cs="Calibri"/>
          <w:bCs w:val="0"/>
          <w:w w:val="108"/>
          <w:sz w:val="18"/>
        </w:rPr>
        <w:instrText xml:space="preserve"> SEQ Fig. \* ARABIC </w:instrText>
      </w:r>
      <w:r w:rsidRPr="003F3ABB">
        <w:rPr>
          <w:rFonts w:ascii="Calibri" w:hAnsi="Calibri" w:cs="Calibri"/>
          <w:bCs w:val="0"/>
          <w:w w:val="108"/>
          <w:sz w:val="18"/>
        </w:rPr>
        <w:fldChar w:fldCharType="separate"/>
      </w:r>
      <w:r w:rsidRPr="003F3ABB">
        <w:rPr>
          <w:rFonts w:ascii="Calibri" w:hAnsi="Calibri" w:cs="Calibri"/>
          <w:bCs w:val="0"/>
          <w:noProof/>
          <w:w w:val="108"/>
          <w:sz w:val="18"/>
        </w:rPr>
        <w:t>5</w:t>
      </w:r>
      <w:r w:rsidRPr="003F3ABB">
        <w:rPr>
          <w:rFonts w:ascii="Calibri" w:hAnsi="Calibri" w:cs="Calibri"/>
          <w:bCs w:val="0"/>
          <w:w w:val="108"/>
          <w:sz w:val="18"/>
        </w:rPr>
        <w:fldChar w:fldCharType="end"/>
      </w:r>
      <w:r w:rsidRPr="003F3ABB">
        <w:rPr>
          <w:rFonts w:ascii="Calibri" w:hAnsi="Calibri" w:cs="Calibri"/>
          <w:bCs w:val="0"/>
          <w:w w:val="108"/>
          <w:sz w:val="18"/>
        </w:rPr>
        <w:t xml:space="preserve"> Distribution of top five parameter sets across all the subcatchments (</w:t>
      </w:r>
      <w:r w:rsidR="00180F73">
        <w:rPr>
          <w:rFonts w:ascii="Calibri" w:hAnsi="Calibri" w:cs="Calibri"/>
          <w:bCs w:val="0"/>
          <w:w w:val="108"/>
          <w:sz w:val="18"/>
        </w:rPr>
        <w:t>p</w:t>
      </w:r>
      <w:r w:rsidRPr="003F3ABB">
        <w:rPr>
          <w:rFonts w:ascii="Calibri" w:hAnsi="Calibri" w:cs="Calibri"/>
          <w:bCs w:val="0"/>
          <w:w w:val="108"/>
          <w:sz w:val="18"/>
        </w:rPr>
        <w:t>arameter sets shown in Table 3).</w:t>
      </w:r>
    </w:p>
    <w:p w14:paraId="18AB24F1" w14:textId="77777777" w:rsidR="003F3ABB" w:rsidRPr="003F3ABB" w:rsidRDefault="003F3ABB" w:rsidP="00AF1C8B">
      <w:pPr>
        <w:keepNext/>
        <w:spacing w:line="480" w:lineRule="auto"/>
        <w:rPr>
          <w:rFonts w:ascii="Calibri" w:hAnsi="Calibri" w:cs="Calibri"/>
          <w:noProof/>
          <w:w w:val="108"/>
          <w:sz w:val="18"/>
          <w:szCs w:val="18"/>
        </w:rPr>
        <w:sectPr w:rsidR="003F3ABB" w:rsidRPr="003F3ABB" w:rsidSect="00445A76">
          <w:type w:val="continuous"/>
          <w:pgSz w:w="11907" w:h="16840" w:code="9"/>
          <w:pgMar w:top="1009" w:right="851" w:bottom="1758" w:left="851" w:header="851" w:footer="1049" w:gutter="0"/>
          <w:lnNumType w:countBy="1" w:restart="continuous"/>
          <w:cols w:space="227"/>
          <w:titlePg/>
          <w:docGrid w:linePitch="360"/>
        </w:sectPr>
      </w:pPr>
      <w:r w:rsidRPr="003F3ABB">
        <w:rPr>
          <w:rFonts w:ascii="Calibri" w:hAnsi="Calibri" w:cs="Calibri"/>
          <w:w w:val="108"/>
          <w:sz w:val="18"/>
          <w:szCs w:val="18"/>
        </w:rPr>
        <w:lastRenderedPageBreak/>
        <w:t xml:space="preserve">The proportion of each parameter occurred at each rank position clearly shows that area is always the first one (Fig. 6), corresponding to the first column in Table 3. Imperviousness has the highest probability (76%) to be ranked as the second most important parameter. As discussed above, the entire </w:t>
      </w:r>
      <w:proofErr w:type="spellStart"/>
      <w:r w:rsidRPr="003F3ABB">
        <w:rPr>
          <w:rFonts w:ascii="Calibri" w:hAnsi="Calibri" w:cs="Calibri"/>
          <w:w w:val="108"/>
          <w:sz w:val="18"/>
          <w:szCs w:val="18"/>
        </w:rPr>
        <w:t>sewershed</w:t>
      </w:r>
      <w:proofErr w:type="spellEnd"/>
      <w:r w:rsidRPr="003F3ABB">
        <w:rPr>
          <w:rFonts w:ascii="Calibri" w:hAnsi="Calibri" w:cs="Calibri"/>
          <w:w w:val="108"/>
          <w:sz w:val="18"/>
          <w:szCs w:val="18"/>
        </w:rPr>
        <w:t xml:space="preserve"> has a large portion of highly impervious area, so the imperviousness was reasonably ranked at the second position with high probability. In general, all the dominant parameters have probabilities larger than 70% in their respective rank positions. When ranking parameters by highest probability at each position, the order is area, imperviousness, imperviousness Manning’s roughness, width, and slope. This is the same rank order as the parameter rank set 1. </w:t>
      </w:r>
    </w:p>
    <w:p w14:paraId="78B4F236" w14:textId="77777777" w:rsidR="003F3ABB" w:rsidRPr="003F3ABB" w:rsidRDefault="003F3ABB" w:rsidP="00AF1C8B">
      <w:pPr>
        <w:keepNext/>
        <w:spacing w:line="480" w:lineRule="auto"/>
        <w:jc w:val="center"/>
        <w:rPr>
          <w:rFonts w:ascii="Calibri" w:hAnsi="Calibri" w:cs="Calibri"/>
          <w:noProof/>
          <w:w w:val="108"/>
          <w:sz w:val="18"/>
          <w:szCs w:val="18"/>
        </w:rPr>
        <w:sectPr w:rsidR="003F3ABB" w:rsidRPr="003F3ABB" w:rsidSect="00445A76">
          <w:type w:val="continuous"/>
          <w:pgSz w:w="11907" w:h="16840" w:code="9"/>
          <w:pgMar w:top="1009" w:right="851" w:bottom="1758" w:left="851" w:header="851" w:footer="1049" w:gutter="0"/>
          <w:lnNumType w:countBy="1" w:restart="continuous"/>
          <w:cols w:space="227"/>
          <w:titlePg/>
          <w:docGrid w:linePitch="360"/>
        </w:sectPr>
      </w:pPr>
      <w:r w:rsidRPr="003F3ABB">
        <w:rPr>
          <w:rFonts w:ascii="Calibri" w:hAnsi="Calibri" w:cs="Calibri"/>
          <w:noProof/>
          <w:w w:val="108"/>
          <w:sz w:val="18"/>
          <w:szCs w:val="18"/>
        </w:rPr>
        <w:drawing>
          <wp:inline distT="0" distB="0" distL="0" distR="0" wp14:anchorId="770DE0DB" wp14:editId="6A78392D">
            <wp:extent cx="2869692" cy="2116836"/>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eak_five.tif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69692" cy="2116836"/>
                    </a:xfrm>
                    <a:prstGeom prst="rect">
                      <a:avLst/>
                    </a:prstGeom>
                  </pic:spPr>
                </pic:pic>
              </a:graphicData>
            </a:graphic>
          </wp:inline>
        </w:drawing>
      </w:r>
    </w:p>
    <w:p w14:paraId="50BCF874" w14:textId="7B32B6E2" w:rsidR="003F3ABB" w:rsidRPr="003F3ABB" w:rsidRDefault="003F3ABB" w:rsidP="00AF1C8B">
      <w:pPr>
        <w:spacing w:line="480" w:lineRule="auto"/>
        <w:jc w:val="center"/>
        <w:rPr>
          <w:rFonts w:ascii="Calibri" w:hAnsi="Calibri" w:cs="Calibri"/>
          <w:w w:val="108"/>
          <w:sz w:val="18"/>
        </w:rPr>
        <w:sectPr w:rsidR="003F3ABB" w:rsidRPr="003F3ABB" w:rsidSect="00445A76">
          <w:type w:val="continuous"/>
          <w:pgSz w:w="11907" w:h="16840" w:code="9"/>
          <w:pgMar w:top="1009" w:right="851" w:bottom="1758" w:left="851" w:header="851" w:footer="1049" w:gutter="0"/>
          <w:lnNumType w:countBy="1" w:restart="continuous"/>
          <w:cols w:space="227"/>
          <w:titlePg/>
          <w:docGrid w:linePitch="360"/>
        </w:sectPr>
      </w:pPr>
      <w:r w:rsidRPr="003F3ABB">
        <w:rPr>
          <w:rFonts w:ascii="Calibri" w:hAnsi="Calibri" w:cs="Calibri"/>
          <w:w w:val="108"/>
          <w:sz w:val="18"/>
        </w:rPr>
        <w:t xml:space="preserve">Fig. </w:t>
      </w:r>
      <w:r w:rsidRPr="003F3ABB">
        <w:rPr>
          <w:rFonts w:ascii="Calibri" w:hAnsi="Calibri" w:cs="Calibri"/>
          <w:w w:val="108"/>
          <w:sz w:val="18"/>
        </w:rPr>
        <w:fldChar w:fldCharType="begin"/>
      </w:r>
      <w:r w:rsidRPr="003F3ABB">
        <w:rPr>
          <w:rFonts w:ascii="Calibri" w:hAnsi="Calibri" w:cs="Calibri"/>
          <w:w w:val="108"/>
          <w:sz w:val="18"/>
        </w:rPr>
        <w:instrText xml:space="preserve"> SEQ Fig. \* ARABIC </w:instrText>
      </w:r>
      <w:r w:rsidRPr="003F3ABB">
        <w:rPr>
          <w:rFonts w:ascii="Calibri" w:hAnsi="Calibri" w:cs="Calibri"/>
          <w:w w:val="108"/>
          <w:sz w:val="18"/>
        </w:rPr>
        <w:fldChar w:fldCharType="separate"/>
      </w:r>
      <w:r w:rsidRPr="003F3ABB">
        <w:rPr>
          <w:rFonts w:ascii="Calibri" w:hAnsi="Calibri" w:cs="Calibri"/>
          <w:noProof/>
          <w:w w:val="108"/>
          <w:sz w:val="18"/>
        </w:rPr>
        <w:t>6</w:t>
      </w:r>
      <w:r w:rsidRPr="003F3ABB">
        <w:rPr>
          <w:rFonts w:ascii="Calibri" w:hAnsi="Calibri" w:cs="Calibri"/>
          <w:w w:val="108"/>
          <w:sz w:val="18"/>
        </w:rPr>
        <w:fldChar w:fldCharType="end"/>
      </w:r>
      <w:r w:rsidRPr="003F3ABB">
        <w:rPr>
          <w:rFonts w:ascii="Calibri" w:hAnsi="Calibri" w:cs="Calibri"/>
          <w:w w:val="108"/>
          <w:sz w:val="18"/>
        </w:rPr>
        <w:t xml:space="preserve"> Probability of each parameter </w:t>
      </w:r>
      <w:r w:rsidR="00180F73">
        <w:rPr>
          <w:rFonts w:ascii="Calibri" w:hAnsi="Calibri" w:cs="Calibri"/>
          <w:w w:val="108"/>
          <w:sz w:val="18"/>
        </w:rPr>
        <w:t>i</w:t>
      </w:r>
      <w:r w:rsidRPr="003F3ABB">
        <w:rPr>
          <w:rFonts w:ascii="Calibri" w:hAnsi="Calibri" w:cs="Calibri"/>
          <w:w w:val="108"/>
          <w:sz w:val="18"/>
        </w:rPr>
        <w:t xml:space="preserve">n </w:t>
      </w:r>
      <w:r w:rsidR="00180F73">
        <w:rPr>
          <w:rFonts w:ascii="Calibri" w:hAnsi="Calibri" w:cs="Calibri"/>
          <w:w w:val="108"/>
          <w:sz w:val="18"/>
        </w:rPr>
        <w:t xml:space="preserve">the </w:t>
      </w:r>
      <w:r w:rsidRPr="003F3ABB">
        <w:rPr>
          <w:rFonts w:ascii="Calibri" w:hAnsi="Calibri" w:cs="Calibri"/>
          <w:w w:val="108"/>
          <w:sz w:val="18"/>
        </w:rPr>
        <w:t>top five rank positions.</w:t>
      </w:r>
    </w:p>
    <w:p w14:paraId="7C945746" w14:textId="77777777" w:rsidR="003F3ABB" w:rsidRPr="003F3ABB" w:rsidRDefault="003F3ABB" w:rsidP="00AF1C8B">
      <w:pPr>
        <w:pStyle w:val="RSCB06BHeadingSub-Section"/>
        <w:spacing w:line="480" w:lineRule="auto"/>
        <w:rPr>
          <w:rFonts w:ascii="Calibri" w:hAnsi="Calibri" w:cs="Calibri"/>
        </w:rPr>
      </w:pPr>
      <w:r w:rsidRPr="003F3ABB">
        <w:rPr>
          <w:rFonts w:ascii="Calibri" w:hAnsi="Calibri" w:cs="Calibri"/>
        </w:rPr>
        <w:t xml:space="preserve">Parameter contribution to model performance </w:t>
      </w:r>
    </w:p>
    <w:p w14:paraId="61E5102A" w14:textId="77777777" w:rsidR="003F3ABB" w:rsidRPr="003F3ABB" w:rsidRDefault="003F3ABB" w:rsidP="00AF1C8B">
      <w:pPr>
        <w:spacing w:line="480" w:lineRule="auto"/>
        <w:rPr>
          <w:rFonts w:ascii="Calibri" w:hAnsi="Calibri" w:cs="Calibri"/>
          <w:w w:val="108"/>
          <w:sz w:val="18"/>
          <w:szCs w:val="18"/>
        </w:rPr>
        <w:sectPr w:rsidR="003F3ABB" w:rsidRPr="003F3ABB" w:rsidSect="00445A76">
          <w:type w:val="continuous"/>
          <w:pgSz w:w="11907" w:h="16840" w:code="9"/>
          <w:pgMar w:top="1009" w:right="851" w:bottom="1758" w:left="851" w:header="851" w:footer="1049" w:gutter="0"/>
          <w:lnNumType w:countBy="1" w:restart="continuous"/>
          <w:cols w:space="227"/>
          <w:titlePg/>
          <w:docGrid w:linePitch="360"/>
        </w:sectPr>
      </w:pPr>
      <w:r w:rsidRPr="003F3ABB">
        <w:rPr>
          <w:rFonts w:ascii="Calibri" w:hAnsi="Calibri" w:cs="Calibri"/>
          <w:w w:val="108"/>
          <w:sz w:val="18"/>
          <w:szCs w:val="18"/>
        </w:rPr>
        <w:t>In the Nash-Sutcliffe efficiency, the model outputs were nested together into one expression that presented the fitness of the simulations over each time step relative to the corresponding measurements. This differs from evaluating the influence of parameters on a single output index (e.g. peak flow). We therefore explored improvements in model performance (Nash-Sutcliffe efficiency) by observing the change of parameter values. As the model became more accurate with higher levels of the Nash-Sutcliffe efficiency, the corresponding parameters selected across the LHS based Monte Carlo sample should improve from worse to better, with parameters that underwent the largest change from worst to better having the greatest influence. We used this as an alternative means of evaluating the contribution of parameters to model performance (Fig. 7). These global parameter contributions show similarity to single model output sensitivities. The imperviousness still had substantial contribution, but the area impacts were not as obvious as in the sensitivity analysis. The parameters representing surface properties also have evident influence. Infiltration, impervious depression storage, and Manning’s roughness (in pervious area) together reach nearly 65% of the total contribution. The influence of pipe length and diameter had a contribution as high as 92%</w:t>
      </w:r>
      <w:r w:rsidRPr="003F3ABB">
        <w:rPr>
          <w:rFonts w:ascii="Calibri" w:hAnsi="Calibri" w:cs="Calibri"/>
          <w:w w:val="108"/>
          <w:sz w:val="18"/>
          <w:szCs w:val="18"/>
          <w:lang w:eastAsia="zh-CN"/>
        </w:rPr>
        <w:t xml:space="preserve">, highlighting again the importance of the geometric parameters. </w:t>
      </w:r>
    </w:p>
    <w:p w14:paraId="2BA9FF4A" w14:textId="77777777" w:rsidR="003F3ABB" w:rsidRPr="003F3ABB" w:rsidRDefault="003F3ABB" w:rsidP="00AF1C8B">
      <w:pPr>
        <w:keepNext/>
        <w:spacing w:line="480" w:lineRule="auto"/>
        <w:jc w:val="center"/>
        <w:rPr>
          <w:rFonts w:ascii="Calibri" w:hAnsi="Calibri" w:cs="Calibri"/>
        </w:rPr>
      </w:pPr>
      <w:r w:rsidRPr="003F3ABB">
        <w:rPr>
          <w:rFonts w:ascii="Calibri" w:hAnsi="Calibri" w:cs="Calibri"/>
          <w:noProof/>
          <w:w w:val="108"/>
          <w:sz w:val="18"/>
          <w:szCs w:val="18"/>
        </w:rPr>
        <w:lastRenderedPageBreak/>
        <w:drawing>
          <wp:inline distT="0" distB="0" distL="0" distR="0" wp14:anchorId="21366ADC" wp14:editId="3FAE48E6">
            <wp:extent cx="6018276" cy="2773680"/>
            <wp:effectExtent l="0" t="0" r="1905"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ash_sum.tif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18276" cy="2773680"/>
                    </a:xfrm>
                    <a:prstGeom prst="rect">
                      <a:avLst/>
                    </a:prstGeom>
                  </pic:spPr>
                </pic:pic>
              </a:graphicData>
            </a:graphic>
          </wp:inline>
        </w:drawing>
      </w:r>
    </w:p>
    <w:p w14:paraId="33B3802B" w14:textId="5EC386CF" w:rsidR="003F3ABB" w:rsidRPr="003F3ABB" w:rsidRDefault="003F3ABB" w:rsidP="00AF1C8B">
      <w:pPr>
        <w:pStyle w:val="Caption"/>
        <w:spacing w:line="480" w:lineRule="auto"/>
        <w:jc w:val="center"/>
        <w:rPr>
          <w:rFonts w:ascii="Calibri" w:hAnsi="Calibri" w:cs="Calibri"/>
        </w:rPr>
      </w:pPr>
      <w:r w:rsidRPr="003F3ABB">
        <w:rPr>
          <w:rFonts w:ascii="Calibri" w:hAnsi="Calibri" w:cs="Calibri"/>
          <w:bCs w:val="0"/>
          <w:w w:val="108"/>
          <w:sz w:val="18"/>
        </w:rPr>
        <w:t xml:space="preserve">Fig. </w:t>
      </w:r>
      <w:r w:rsidRPr="003F3ABB">
        <w:rPr>
          <w:rFonts w:ascii="Calibri" w:hAnsi="Calibri" w:cs="Calibri"/>
          <w:bCs w:val="0"/>
          <w:w w:val="108"/>
          <w:sz w:val="18"/>
        </w:rPr>
        <w:fldChar w:fldCharType="begin"/>
      </w:r>
      <w:r w:rsidRPr="003F3ABB">
        <w:rPr>
          <w:rFonts w:ascii="Calibri" w:hAnsi="Calibri" w:cs="Calibri"/>
          <w:bCs w:val="0"/>
          <w:w w:val="108"/>
          <w:sz w:val="18"/>
        </w:rPr>
        <w:instrText xml:space="preserve"> SEQ Fig. \* ARABIC </w:instrText>
      </w:r>
      <w:r w:rsidRPr="003F3ABB">
        <w:rPr>
          <w:rFonts w:ascii="Calibri" w:hAnsi="Calibri" w:cs="Calibri"/>
          <w:bCs w:val="0"/>
          <w:w w:val="108"/>
          <w:sz w:val="18"/>
        </w:rPr>
        <w:fldChar w:fldCharType="separate"/>
      </w:r>
      <w:r w:rsidRPr="003F3ABB">
        <w:rPr>
          <w:rFonts w:ascii="Calibri" w:hAnsi="Calibri" w:cs="Calibri"/>
          <w:bCs w:val="0"/>
          <w:noProof/>
          <w:w w:val="108"/>
          <w:sz w:val="18"/>
        </w:rPr>
        <w:t>7</w:t>
      </w:r>
      <w:r w:rsidRPr="003F3ABB">
        <w:rPr>
          <w:rFonts w:ascii="Calibri" w:hAnsi="Calibri" w:cs="Calibri"/>
          <w:bCs w:val="0"/>
          <w:w w:val="108"/>
          <w:sz w:val="18"/>
        </w:rPr>
        <w:fldChar w:fldCharType="end"/>
      </w:r>
      <w:r w:rsidRPr="003F3ABB">
        <w:rPr>
          <w:rFonts w:ascii="Calibri" w:hAnsi="Calibri" w:cs="Calibri"/>
          <w:bCs w:val="0"/>
          <w:w w:val="108"/>
          <w:sz w:val="18"/>
        </w:rPr>
        <w:t xml:space="preserve"> Parameter contribution to achieve better model performance </w:t>
      </w:r>
      <w:r w:rsidR="00180F73">
        <w:rPr>
          <w:rFonts w:ascii="Calibri" w:hAnsi="Calibri" w:cs="Calibri"/>
          <w:bCs w:val="0"/>
          <w:w w:val="108"/>
          <w:sz w:val="18"/>
        </w:rPr>
        <w:t>for</w:t>
      </w:r>
      <w:r w:rsidRPr="003F3ABB">
        <w:rPr>
          <w:rFonts w:ascii="Calibri" w:hAnsi="Calibri" w:cs="Calibri"/>
          <w:bCs w:val="0"/>
          <w:w w:val="108"/>
          <w:sz w:val="18"/>
        </w:rPr>
        <w:t xml:space="preserve"> subcatchments and pipes.</w:t>
      </w:r>
    </w:p>
    <w:p w14:paraId="0848B3A3" w14:textId="77777777" w:rsidR="003F3ABB" w:rsidRPr="003F3ABB" w:rsidRDefault="003F3ABB" w:rsidP="00AF1C8B">
      <w:pPr>
        <w:pStyle w:val="Caption"/>
        <w:spacing w:line="480" w:lineRule="auto"/>
        <w:jc w:val="center"/>
        <w:rPr>
          <w:rFonts w:ascii="Calibri" w:hAnsi="Calibri" w:cs="Calibri"/>
          <w:bCs w:val="0"/>
          <w:w w:val="108"/>
          <w:sz w:val="18"/>
        </w:rPr>
        <w:sectPr w:rsidR="003F3ABB" w:rsidRPr="003F3ABB" w:rsidSect="00445A76">
          <w:type w:val="continuous"/>
          <w:pgSz w:w="11907" w:h="16840" w:code="9"/>
          <w:pgMar w:top="1009" w:right="851" w:bottom="1758" w:left="851" w:header="851" w:footer="1049" w:gutter="0"/>
          <w:lnNumType w:countBy="1" w:restart="continuous"/>
          <w:cols w:space="227"/>
          <w:titlePg/>
          <w:docGrid w:linePitch="360"/>
        </w:sectPr>
      </w:pPr>
    </w:p>
    <w:p w14:paraId="682028AA" w14:textId="77777777" w:rsidR="003F3ABB" w:rsidRPr="003F3ABB" w:rsidRDefault="003F3ABB" w:rsidP="00AF1C8B">
      <w:pPr>
        <w:spacing w:line="480" w:lineRule="auto"/>
        <w:rPr>
          <w:rFonts w:ascii="Calibri" w:hAnsi="Calibri" w:cs="Calibri"/>
          <w:w w:val="108"/>
          <w:sz w:val="18"/>
          <w:szCs w:val="18"/>
        </w:rPr>
        <w:sectPr w:rsidR="003F3ABB" w:rsidRPr="003F3ABB" w:rsidSect="00445A76">
          <w:type w:val="continuous"/>
          <w:pgSz w:w="11907" w:h="16840" w:code="9"/>
          <w:pgMar w:top="1009" w:right="851" w:bottom="1758" w:left="851" w:header="851" w:footer="1049" w:gutter="0"/>
          <w:lnNumType w:countBy="1" w:restart="continuous"/>
          <w:cols w:space="227"/>
          <w:titlePg/>
          <w:docGrid w:linePitch="360"/>
        </w:sectPr>
      </w:pPr>
      <w:r w:rsidRPr="003F3ABB">
        <w:rPr>
          <w:rFonts w:ascii="Calibri" w:hAnsi="Calibri" w:cs="Calibri"/>
          <w:w w:val="108"/>
          <w:sz w:val="18"/>
          <w:szCs w:val="18"/>
        </w:rPr>
        <w:t xml:space="preserve">In addition, we investigated the contribution of each model element (Fig. 8) to model performance. The model elements in the central area in Fig. 8 contribute minimally to performance. This is Schenley Park, park land with low imperviousness. The area surrounding this circle are highly impervious with low Manning’s roughness. </w:t>
      </w:r>
      <w:r w:rsidRPr="003F3ABB">
        <w:rPr>
          <w:rFonts w:ascii="Calibri" w:hAnsi="Calibri" w:cs="Calibri"/>
          <w:w w:val="108"/>
          <w:sz w:val="18"/>
          <w:szCs w:val="18"/>
          <w:lang w:eastAsia="zh-CN"/>
        </w:rPr>
        <w:t>The distribution of model element contributions</w:t>
      </w:r>
      <w:r w:rsidRPr="003F3ABB">
        <w:rPr>
          <w:rFonts w:ascii="Calibri" w:hAnsi="Calibri" w:cs="Calibri"/>
          <w:w w:val="108"/>
          <w:sz w:val="18"/>
          <w:szCs w:val="18"/>
        </w:rPr>
        <w:t xml:space="preserve"> can be linked to the influence of parameters on peak flow. We’ve eliminated the influence of area (eq. (11)), so the water generation is highly related to imperviousness and Manning’s roughness. The peak flow was related negatively to the Manning’s roughness and positively to imperviousness, so the surrounding area would generate relatively high flow rates and the change of parameters on the area contribution more to model performance. Under this condition, the highly impervious area would generate more surface water and have more contribution than the central area. The pipes that received water from the subcatchments with high contribution contribute a lot to model performance, as do corresponding downstream pipes. We assumed all the conduits had the same diameter initially, but the pipe diameters vary based on water conveyance capacity. The diameter from the best simulation ranged from 2.15 ft to 39 ft. The actual upstream pipe diameters are mostly less than 3 ft based on available data. After simplification, even those pipes can have larger diameters due to merging multiple pipes; 8 ft is still a large initial setting for upstream pipes. The pipe segments close to the end-node reach a diameter as large as 14 ft based on the sewer data, but in our system, the diameter could also be much larger due to the merged nodes and reduced pipe segments. For those downstream pipes assuming uniform pipe diameter is likely not appropriate given increased contributions from the upstream sewer network. When initial settings were adjusted to improve model performance, downstream pipes had larger cross-section to allow more water to flow in and out and maintain the stability of the simulation. </w:t>
      </w:r>
    </w:p>
    <w:p w14:paraId="34C4E14B" w14:textId="77777777" w:rsidR="003F3ABB" w:rsidRPr="003F3ABB" w:rsidRDefault="003F3ABB" w:rsidP="00AF1C8B">
      <w:pPr>
        <w:keepNext/>
        <w:spacing w:line="480" w:lineRule="auto"/>
        <w:jc w:val="center"/>
        <w:rPr>
          <w:rFonts w:ascii="Calibri" w:hAnsi="Calibri" w:cs="Calibri"/>
        </w:rPr>
      </w:pPr>
      <w:r w:rsidRPr="003F3ABB">
        <w:rPr>
          <w:rFonts w:ascii="Calibri" w:hAnsi="Calibri" w:cs="Calibri"/>
          <w:noProof/>
          <w:w w:val="108"/>
          <w:sz w:val="18"/>
          <w:szCs w:val="18"/>
        </w:rPr>
        <w:lastRenderedPageBreak/>
        <w:drawing>
          <wp:inline distT="0" distB="0" distL="0" distR="0" wp14:anchorId="1C2F6444" wp14:editId="61264DD5">
            <wp:extent cx="6124956" cy="4677156"/>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4956" cy="4677156"/>
                    </a:xfrm>
                    <a:prstGeom prst="rect">
                      <a:avLst/>
                    </a:prstGeom>
                  </pic:spPr>
                </pic:pic>
              </a:graphicData>
            </a:graphic>
          </wp:inline>
        </w:drawing>
      </w:r>
    </w:p>
    <w:p w14:paraId="0003C46E" w14:textId="77777777" w:rsidR="003F3ABB" w:rsidRPr="003F3ABB" w:rsidRDefault="003F3ABB" w:rsidP="00AF1C8B">
      <w:pPr>
        <w:pStyle w:val="Caption"/>
        <w:spacing w:line="480" w:lineRule="auto"/>
        <w:jc w:val="center"/>
        <w:rPr>
          <w:rFonts w:ascii="Calibri" w:hAnsi="Calibri" w:cs="Calibri"/>
          <w:noProof/>
          <w:w w:val="108"/>
          <w:sz w:val="18"/>
        </w:rPr>
      </w:pPr>
      <w:r w:rsidRPr="003F3ABB">
        <w:rPr>
          <w:rFonts w:ascii="Calibri" w:hAnsi="Calibri" w:cs="Calibri"/>
          <w:bCs w:val="0"/>
          <w:w w:val="108"/>
          <w:sz w:val="18"/>
        </w:rPr>
        <w:t xml:space="preserve">Fig. </w:t>
      </w:r>
      <w:r w:rsidRPr="003F3ABB">
        <w:rPr>
          <w:rFonts w:ascii="Calibri" w:hAnsi="Calibri" w:cs="Calibri"/>
          <w:bCs w:val="0"/>
          <w:w w:val="108"/>
          <w:sz w:val="18"/>
        </w:rPr>
        <w:fldChar w:fldCharType="begin"/>
      </w:r>
      <w:r w:rsidRPr="003F3ABB">
        <w:rPr>
          <w:rFonts w:ascii="Calibri" w:hAnsi="Calibri" w:cs="Calibri"/>
          <w:bCs w:val="0"/>
          <w:w w:val="108"/>
          <w:sz w:val="18"/>
        </w:rPr>
        <w:instrText xml:space="preserve"> SEQ Fig. \* ARABIC </w:instrText>
      </w:r>
      <w:r w:rsidRPr="003F3ABB">
        <w:rPr>
          <w:rFonts w:ascii="Calibri" w:hAnsi="Calibri" w:cs="Calibri"/>
          <w:bCs w:val="0"/>
          <w:w w:val="108"/>
          <w:sz w:val="18"/>
        </w:rPr>
        <w:fldChar w:fldCharType="separate"/>
      </w:r>
      <w:r w:rsidRPr="003F3ABB">
        <w:rPr>
          <w:rFonts w:ascii="Calibri" w:hAnsi="Calibri" w:cs="Calibri"/>
          <w:bCs w:val="0"/>
          <w:w w:val="108"/>
          <w:sz w:val="18"/>
        </w:rPr>
        <w:t>8</w:t>
      </w:r>
      <w:r w:rsidRPr="003F3ABB">
        <w:rPr>
          <w:rFonts w:ascii="Calibri" w:hAnsi="Calibri" w:cs="Calibri"/>
          <w:bCs w:val="0"/>
          <w:w w:val="108"/>
          <w:sz w:val="18"/>
        </w:rPr>
        <w:fldChar w:fldCharType="end"/>
      </w:r>
      <w:r w:rsidRPr="003F3ABB">
        <w:rPr>
          <w:rFonts w:ascii="Calibri" w:hAnsi="Calibri" w:cs="Calibri"/>
          <w:bCs w:val="0"/>
          <w:w w:val="108"/>
          <w:sz w:val="18"/>
        </w:rPr>
        <w:t xml:space="preserve"> Contribution of model elements (subcatchments or pipes) to Nash-Sutcliffe performance.</w:t>
      </w:r>
    </w:p>
    <w:p w14:paraId="2B935CB2" w14:textId="77777777" w:rsidR="003F3ABB" w:rsidRPr="003F3ABB" w:rsidRDefault="003F3ABB" w:rsidP="00AF1C8B">
      <w:pPr>
        <w:pStyle w:val="Caption"/>
        <w:spacing w:line="480" w:lineRule="auto"/>
        <w:jc w:val="center"/>
        <w:rPr>
          <w:rFonts w:ascii="Calibri" w:hAnsi="Calibri" w:cs="Calibri"/>
          <w:bCs w:val="0"/>
          <w:w w:val="108"/>
          <w:sz w:val="18"/>
        </w:rPr>
        <w:sectPr w:rsidR="003F3ABB" w:rsidRPr="003F3ABB" w:rsidSect="00445A76">
          <w:type w:val="continuous"/>
          <w:pgSz w:w="11907" w:h="16840" w:code="9"/>
          <w:pgMar w:top="1009" w:right="851" w:bottom="1758" w:left="851" w:header="851" w:footer="1049" w:gutter="0"/>
          <w:lnNumType w:countBy="1" w:restart="continuous"/>
          <w:cols w:space="227"/>
          <w:titlePg/>
          <w:docGrid w:linePitch="360"/>
        </w:sectPr>
      </w:pPr>
    </w:p>
    <w:p w14:paraId="4F57DD00" w14:textId="77777777" w:rsidR="003F3ABB" w:rsidRPr="003F3ABB" w:rsidRDefault="003F3ABB" w:rsidP="00AF1C8B">
      <w:pPr>
        <w:pStyle w:val="RSCB04AHeadingSection"/>
        <w:spacing w:line="480" w:lineRule="auto"/>
        <w:rPr>
          <w:rFonts w:ascii="Calibri" w:hAnsi="Calibri" w:cs="Calibri"/>
        </w:rPr>
      </w:pPr>
      <w:r w:rsidRPr="003F3ABB">
        <w:rPr>
          <w:rFonts w:ascii="Calibri" w:hAnsi="Calibri" w:cs="Calibri"/>
        </w:rPr>
        <w:t>Conclusions</w:t>
      </w:r>
    </w:p>
    <w:p w14:paraId="78C62379"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 xml:space="preserve">In this study we built a </w:t>
      </w:r>
      <w:proofErr w:type="spellStart"/>
      <w:r w:rsidRPr="003F3ABB">
        <w:rPr>
          <w:rFonts w:ascii="Calibri" w:hAnsi="Calibri" w:cs="Calibri"/>
          <w:w w:val="108"/>
          <w:sz w:val="18"/>
          <w:szCs w:val="18"/>
        </w:rPr>
        <w:t>sewershed</w:t>
      </w:r>
      <w:proofErr w:type="spellEnd"/>
      <w:r w:rsidRPr="003F3ABB">
        <w:rPr>
          <w:rFonts w:ascii="Calibri" w:hAnsi="Calibri" w:cs="Calibri"/>
          <w:w w:val="108"/>
          <w:sz w:val="18"/>
          <w:szCs w:val="18"/>
        </w:rPr>
        <w:t xml:space="preserve"> urban stormwater model using low-resolution data. We constructed the model subcatchment configuration by the Thiessen polygon method, assuming no re-routed flow between subcatchments, and a simplified sewer network generated by merging nodes and pipe segments. Despite no traditional calibration procedure, our model, based on a Monte Carlo sample of 1000 simulations, predicted flow patterns well over the month of April 2008. The Nash-Sutcliffe efficiency, ranged from 0.41 to 0.85, with a frequency mode of 0.72 (Fig. 2A). This indicates that the methods we applied to build this </w:t>
      </w:r>
      <w:proofErr w:type="spellStart"/>
      <w:r w:rsidRPr="003F3ABB">
        <w:rPr>
          <w:rFonts w:ascii="Calibri" w:hAnsi="Calibri" w:cs="Calibri"/>
          <w:w w:val="108"/>
          <w:sz w:val="18"/>
          <w:szCs w:val="18"/>
        </w:rPr>
        <w:t>sewershed</w:t>
      </w:r>
      <w:proofErr w:type="spellEnd"/>
      <w:r w:rsidRPr="003F3ABB">
        <w:rPr>
          <w:rFonts w:ascii="Calibri" w:hAnsi="Calibri" w:cs="Calibri"/>
          <w:w w:val="108"/>
          <w:sz w:val="18"/>
          <w:szCs w:val="18"/>
        </w:rPr>
        <w:t xml:space="preserve"> model can work well even with relatively low-resolution data for a multi-event month-long simulation.</w:t>
      </w:r>
    </w:p>
    <w:p w14:paraId="644BD2A4"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 xml:space="preserve">We identified the influence of SWMM parameters on three model outputs: surface runoff volume, peak flow and maximum pipe flow.  In our </w:t>
      </w:r>
      <w:r w:rsidRPr="003F3ABB">
        <w:rPr>
          <w:rFonts w:ascii="Calibri" w:hAnsi="Calibri" w:cs="Calibri"/>
          <w:w w:val="108"/>
          <w:sz w:val="18"/>
          <w:szCs w:val="18"/>
          <w:lang w:eastAsia="zh-CN"/>
        </w:rPr>
        <w:t>changeable</w:t>
      </w:r>
      <w:r w:rsidRPr="003F3ABB">
        <w:rPr>
          <w:rFonts w:ascii="Calibri" w:hAnsi="Calibri" w:cs="Calibri"/>
          <w:w w:val="108"/>
          <w:sz w:val="18"/>
          <w:szCs w:val="18"/>
        </w:rPr>
        <w:t xml:space="preserve"> model configurations, total runoff predicted by SWMM is highly sensitive to the size of polygons (subcatchment area) and imperviousness. In addition, Manning’s roughness (in the impervious area), width and slope play important roles in determining peak flow. The pipe maximum flow is most sensitive to the pipe geometry (diameter and length). </w:t>
      </w:r>
    </w:p>
    <w:p w14:paraId="4BDCB6D1"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lastRenderedPageBreak/>
        <w:t>Parameter ranks for all parameters across all model elements vary and the agreement of parameter importance ranks are not very strong, especially with the consideration of total runoff. However, the first five most important parameters that control the peak flow are consistent. Other studies have previously sought to identify the influence of parameters on model outputs, but usually yielded different emphases</w:t>
      </w:r>
      <w:r w:rsidRPr="003F3ABB">
        <w:rPr>
          <w:rFonts w:ascii="Calibri" w:hAnsi="Calibri" w:cs="Calibri"/>
          <w:w w:val="108"/>
          <w:sz w:val="18"/>
          <w:szCs w:val="18"/>
        </w:rPr>
        <w:fldChar w:fldCharType="begin"/>
      </w:r>
      <w:r w:rsidRPr="003F3ABB">
        <w:rPr>
          <w:rFonts w:ascii="Calibri" w:hAnsi="Calibri" w:cs="Calibri"/>
          <w:w w:val="108"/>
          <w:sz w:val="18"/>
          <w:szCs w:val="18"/>
        </w:rPr>
        <w:instrText xml:space="preserve"> ADDIN ZOTERO_ITEM CSL_CITATION {"citationID":"p4rQZuyN","properties":{"formattedCitation":"\\super 24\\nosupersub{}","plainCitation":"24","noteIndex":0},"citationItems":[{"id":164,"uris":["http://zotero.org/users/6556211/items/2GNK9H6C"],"uri":["http://zotero.org/users/6556211/items/2GNK9H6C"],"itemData":{"id":164,"type":"article-journal","abstract":"The intention of this paper is to evaluate the sensitivity of the Storm Water Management Model (SWMM) output to its input parameters. A global parameter sensitivity analysis is conducted in order to determine which parameters mostly affect the model simulation results. Two different methods of sensitivity analysis are applied in this study. The first one is the partial rank correlation coefficient (PRCC) which measures nonlinear but monotonic relationships between model inputs and outputs. The second one is based on the mutual information which provides a general measure of the strength of the non-monotonic association between two variables. Both methods are based on the Latin Hypercube Sampling (LHS) of the parameter space, and thus the same datasets can be used to obtain both measures of sensitivity. The utility of the PRCC and the mutual information analysis methods are illustrated by analyzing a complex SWMM model. The sensitivity analysis revealed that only a few key input variables are contributing significantly to the model outputs; PRCCs and mutual information are calculated and used to determine and rank the importance of these key parameters. This study shows that the partial rank correlation coefficient and mutual information analysis can be considered effective methods for assessing the sensitivity of the SWMM model to the uncertainty in its input parameters.","container-title":"Entropy","DOI":"10.3390/e16115738","ISSN":"1099-4300","issue":"11","journalAbbreviation":"Entropy","language":"en","page":"5738-5752","source":"DOI.org (Crossref)","title":"Sensitivity Analysis for Urban Drainage Modeling Using Mutual Information","volume":"16","author":[{"family":"Li","given":"Chuanqi"},{"family":"Wang","given":"Wei"},{"family":"Xiong","given":"Jianzhi"},{"family":"Chen","given":"Pengyu"}],"issued":{"date-parts":[["2014",11,3]]}}}],"schema":"https://github.com/citation-style-language/schema/raw/master/csl-citation.json"} </w:instrText>
      </w:r>
      <w:r w:rsidRPr="003F3ABB">
        <w:rPr>
          <w:rFonts w:ascii="Calibri" w:hAnsi="Calibri" w:cs="Calibri"/>
          <w:w w:val="108"/>
          <w:sz w:val="18"/>
          <w:szCs w:val="18"/>
        </w:rPr>
        <w:fldChar w:fldCharType="separate"/>
      </w:r>
      <w:r w:rsidRPr="003F3ABB">
        <w:rPr>
          <w:rFonts w:ascii="Calibri" w:hAnsi="Calibri" w:cs="Calibri"/>
          <w:sz w:val="18"/>
          <w:szCs w:val="24"/>
          <w:vertAlign w:val="superscript"/>
        </w:rPr>
        <w:t>24</w:t>
      </w:r>
      <w:r w:rsidRPr="003F3ABB">
        <w:rPr>
          <w:rFonts w:ascii="Calibri" w:hAnsi="Calibri" w:cs="Calibri"/>
          <w:w w:val="108"/>
          <w:sz w:val="18"/>
          <w:szCs w:val="18"/>
        </w:rPr>
        <w:fldChar w:fldCharType="end"/>
      </w:r>
      <w:r w:rsidRPr="003F3ABB">
        <w:rPr>
          <w:rFonts w:ascii="Calibri" w:hAnsi="Calibri" w:cs="Calibri"/>
          <w:w w:val="108"/>
          <w:sz w:val="18"/>
          <w:szCs w:val="18"/>
        </w:rPr>
        <w:t>. Based on the consistency of our parameter rank set analysis and the probability for each parameter, it suggests that area, imperviousness, impervious Manning’s roughness, width and slope have the highest influence on peak flow simulation, in order of decreasing importance. These parameter ranks can provide modelers a priority list of parameters for calibrating models to predict peak flow.</w:t>
      </w:r>
    </w:p>
    <w:p w14:paraId="6D5E5693"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 xml:space="preserve">The parameter contribution to model performance shows the similarity to the influence of parameters on the three model outputs. The area, Manning’s roughness (in the impervious area), imperviousness and width have 35% of the total parameter contribution. Meanwhile, the filtration parameters (maximum infiltration rate, minimum infiltration rate and decay rate) related to the Horton method and Manning’s roughness (in the </w:t>
      </w:r>
      <w:proofErr w:type="spellStart"/>
      <w:r w:rsidRPr="003F3ABB">
        <w:rPr>
          <w:rFonts w:ascii="Calibri" w:hAnsi="Calibri" w:cs="Calibri"/>
          <w:w w:val="108"/>
          <w:sz w:val="18"/>
          <w:szCs w:val="18"/>
        </w:rPr>
        <w:t>pervious</w:t>
      </w:r>
      <w:proofErr w:type="spellEnd"/>
      <w:r w:rsidRPr="003F3ABB">
        <w:rPr>
          <w:rFonts w:ascii="Calibri" w:hAnsi="Calibri" w:cs="Calibri"/>
          <w:w w:val="108"/>
          <w:sz w:val="18"/>
          <w:szCs w:val="18"/>
        </w:rPr>
        <w:t xml:space="preserve"> area) contribute as well, but we did not observe these influences based on the single parameter analysis (Fig. 3). This indicates the focus of consecutive simulations or some typical indicator would lead to different directions on the emphasis of parameter influence. However, the size of polygon (subcatchment area) and imperviousness were always identified, meaning the two parameters were essential for heterogenous subcatchments based on low resolution data partitioning (Thiessen polygon). In all, the parameter influence was related to the physical surface properties. The parameters in highly impervious area had the most influence on the model performance. </w:t>
      </w:r>
    </w:p>
    <w:p w14:paraId="572C3FC2"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 xml:space="preserve">In all, the method we proposed to efficiently build </w:t>
      </w:r>
      <w:proofErr w:type="spellStart"/>
      <w:r w:rsidRPr="003F3ABB">
        <w:rPr>
          <w:rFonts w:ascii="Calibri" w:hAnsi="Calibri" w:cs="Calibri"/>
          <w:w w:val="108"/>
          <w:sz w:val="18"/>
          <w:szCs w:val="18"/>
        </w:rPr>
        <w:t>sewershed</w:t>
      </w:r>
      <w:proofErr w:type="spellEnd"/>
      <w:r w:rsidRPr="003F3ABB">
        <w:rPr>
          <w:rFonts w:ascii="Calibri" w:hAnsi="Calibri" w:cs="Calibri"/>
          <w:w w:val="108"/>
          <w:sz w:val="18"/>
          <w:szCs w:val="18"/>
        </w:rPr>
        <w:t xml:space="preserve"> model networks is sensitive to simplified sewer network and Thiessen polygons. The shape of the polygon and the pipe geometry are critical to achieve good model simulations, influencing flow assignment and conveyance. Polygons can be easily draw based on spatial data and key parameters can be efficiently handed in each polygon and pipe segment by using low resolution data. Even when minimal detail is provided on topography and surface cover, the uncertainties of flow direction and conveyance can be reduced by keeping more of the original nodes and introducing more homogeneous polygons.  This suggests there are advantages to using the low-resolution data to build large-scale urban storm water models, for which these important parameters are easy to obtain. </w:t>
      </w:r>
    </w:p>
    <w:p w14:paraId="5796E724" w14:textId="77777777"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We explored the parameter influence separately on the land surface and in the pipe networks.</w:t>
      </w:r>
      <w:r w:rsidRPr="003F3ABB" w:rsidDel="00753AB7">
        <w:rPr>
          <w:rFonts w:ascii="Calibri" w:hAnsi="Calibri" w:cs="Calibri"/>
          <w:w w:val="108"/>
          <w:sz w:val="18"/>
          <w:szCs w:val="18"/>
        </w:rPr>
        <w:t xml:space="preserve"> </w:t>
      </w:r>
      <w:r w:rsidRPr="003F3ABB">
        <w:rPr>
          <w:rFonts w:ascii="Calibri" w:hAnsi="Calibri" w:cs="Calibri"/>
          <w:w w:val="108"/>
          <w:sz w:val="18"/>
          <w:szCs w:val="18"/>
        </w:rPr>
        <w:t xml:space="preserve">However, unlike individual subcatchments, the pipe network received water from the surface generation and flow was conveyed by the conduits. Therefore, the surface parameters influenced the pipe flow as well and the influence of the parameters entered into the pipe system as input variables and were </w:t>
      </w:r>
      <w:r w:rsidRPr="003F3ABB">
        <w:rPr>
          <w:rFonts w:ascii="Calibri" w:hAnsi="Calibri" w:cs="Calibri"/>
          <w:w w:val="108"/>
          <w:sz w:val="18"/>
          <w:szCs w:val="18"/>
          <w:lang w:eastAsia="zh-CN"/>
        </w:rPr>
        <w:t>transferred downstream</w:t>
      </w:r>
      <w:r w:rsidRPr="003F3ABB">
        <w:rPr>
          <w:rFonts w:ascii="Calibri" w:hAnsi="Calibri" w:cs="Calibri"/>
          <w:w w:val="108"/>
          <w:sz w:val="18"/>
          <w:szCs w:val="18"/>
        </w:rPr>
        <w:t xml:space="preserve">. Unfortunately, considering the uncertainty of connections between the pipe network and surface subcatchments, we could not fully analyze this nested influence. </w:t>
      </w:r>
    </w:p>
    <w:p w14:paraId="532E3EF9" w14:textId="77777777" w:rsidR="003F3ABB" w:rsidRPr="003F3ABB" w:rsidRDefault="003F3ABB" w:rsidP="00AF1C8B">
      <w:pPr>
        <w:spacing w:line="480" w:lineRule="auto"/>
        <w:rPr>
          <w:rFonts w:ascii="Calibri" w:hAnsi="Calibri" w:cs="Calibri"/>
          <w:lang w:eastAsia="zh-CN"/>
        </w:rPr>
      </w:pPr>
      <w:r w:rsidRPr="003F3ABB">
        <w:rPr>
          <w:rFonts w:ascii="Calibri" w:hAnsi="Calibri" w:cs="Calibri"/>
          <w:w w:val="108"/>
          <w:sz w:val="18"/>
          <w:szCs w:val="18"/>
        </w:rPr>
        <w:t>In addition, the results of parameter sensitivity analysis also need to be validated after model calibration to prove its effectiveness to improve model precision. All these issues should be included in future work so as to comprehensively understand parameter impacts on model performance and most efficient calibration strategies for larger-scale implementations of SWMM.</w:t>
      </w:r>
      <w:r w:rsidRPr="003F3ABB">
        <w:rPr>
          <w:rFonts w:ascii="Calibri" w:hAnsi="Calibri" w:cs="Calibri"/>
          <w:lang w:eastAsia="zh-CN"/>
        </w:rPr>
        <w:t xml:space="preserve"> </w:t>
      </w:r>
    </w:p>
    <w:p w14:paraId="3032A9B4" w14:textId="40210740" w:rsidR="003F3ABB" w:rsidRPr="003F3ABB" w:rsidRDefault="003F3ABB" w:rsidP="00AF1C8B">
      <w:pPr>
        <w:spacing w:line="480" w:lineRule="auto"/>
        <w:rPr>
          <w:rFonts w:ascii="Calibri" w:hAnsi="Calibri" w:cs="Calibri"/>
        </w:rPr>
      </w:pPr>
      <w:r w:rsidRPr="003F3ABB">
        <w:rPr>
          <w:rFonts w:ascii="Calibri" w:hAnsi="Calibri" w:cs="Calibri"/>
          <w:w w:val="108"/>
          <w:sz w:val="18"/>
          <w:szCs w:val="18"/>
        </w:rPr>
        <w:lastRenderedPageBreak/>
        <w:t xml:space="preserve">In this paper, we built a </w:t>
      </w:r>
      <w:proofErr w:type="spellStart"/>
      <w:r w:rsidRPr="003F3ABB">
        <w:rPr>
          <w:rFonts w:ascii="Calibri" w:hAnsi="Calibri" w:cs="Calibri"/>
          <w:w w:val="108"/>
          <w:sz w:val="18"/>
          <w:szCs w:val="18"/>
        </w:rPr>
        <w:t>sewershed</w:t>
      </w:r>
      <w:proofErr w:type="spellEnd"/>
      <w:r w:rsidRPr="003F3ABB">
        <w:rPr>
          <w:rFonts w:ascii="Calibri" w:hAnsi="Calibri" w:cs="Calibri"/>
          <w:w w:val="108"/>
          <w:sz w:val="18"/>
          <w:szCs w:val="18"/>
        </w:rPr>
        <w:t xml:space="preserve"> storm water model in SWMM</w:t>
      </w:r>
      <w:r w:rsidRPr="003F3ABB">
        <w:rPr>
          <w:rFonts w:ascii="Calibri" w:hAnsi="Calibri" w:cs="Calibri"/>
          <w:w w:val="108"/>
          <w:sz w:val="18"/>
          <w:szCs w:val="18"/>
          <w:lang w:eastAsia="zh-CN"/>
        </w:rPr>
        <w:t>,</w:t>
      </w:r>
      <w:r w:rsidRPr="003F3ABB">
        <w:rPr>
          <w:rFonts w:ascii="Calibri" w:hAnsi="Calibri" w:cs="Calibri"/>
          <w:w w:val="108"/>
          <w:sz w:val="18"/>
          <w:szCs w:val="18"/>
        </w:rPr>
        <w:t xml:space="preserve"> validated the feasibility of using the Thiessen polygon method to partition subcatchments with minimal effort and analy</w:t>
      </w:r>
      <w:r w:rsidR="00180F73">
        <w:rPr>
          <w:rFonts w:ascii="Calibri" w:hAnsi="Calibri" w:cs="Calibri"/>
          <w:w w:val="108"/>
          <w:sz w:val="18"/>
          <w:szCs w:val="18"/>
        </w:rPr>
        <w:t>z</w:t>
      </w:r>
      <w:r w:rsidRPr="003F3ABB">
        <w:rPr>
          <w:rFonts w:ascii="Calibri" w:hAnsi="Calibri" w:cs="Calibri"/>
          <w:w w:val="108"/>
          <w:sz w:val="18"/>
          <w:szCs w:val="18"/>
        </w:rPr>
        <w:t xml:space="preserve">ed the variation of parameter influence on model outputs and performance for various model elements. With these insights, it is possible to determine optimal model configurations using low resolution data, understand parameter effects on SWMM output and target the most important parameters in model calibration that improve performance both in terms of simple (e.g. single-parameter, single-element, single-output) and more complex (e.g. global) indicators. </w:t>
      </w:r>
    </w:p>
    <w:p w14:paraId="22A530AA" w14:textId="77777777" w:rsidR="003F3ABB" w:rsidRPr="003F3ABB" w:rsidRDefault="003F3ABB" w:rsidP="00AF1C8B">
      <w:pPr>
        <w:pStyle w:val="RSCB04AHeadingSection"/>
        <w:spacing w:line="480" w:lineRule="auto"/>
        <w:rPr>
          <w:rFonts w:ascii="Calibri" w:hAnsi="Calibri" w:cs="Calibri"/>
        </w:rPr>
      </w:pPr>
      <w:r w:rsidRPr="003F3ABB">
        <w:rPr>
          <w:rFonts w:ascii="Calibri" w:hAnsi="Calibri" w:cs="Calibri"/>
        </w:rPr>
        <w:t>Conflicts of interest</w:t>
      </w:r>
    </w:p>
    <w:p w14:paraId="1D4E7B3E" w14:textId="101BC716" w:rsidR="003F3ABB" w:rsidRPr="003F3ABB" w:rsidRDefault="003F3ABB" w:rsidP="00AF1C8B">
      <w:pPr>
        <w:spacing w:line="480" w:lineRule="auto"/>
        <w:rPr>
          <w:rFonts w:ascii="Calibri" w:hAnsi="Calibri" w:cs="Calibri"/>
          <w:w w:val="108"/>
          <w:sz w:val="18"/>
          <w:szCs w:val="18"/>
        </w:rPr>
      </w:pPr>
      <w:r w:rsidRPr="003F3ABB">
        <w:rPr>
          <w:rFonts w:ascii="Calibri" w:hAnsi="Calibri" w:cs="Calibri"/>
          <w:w w:val="108"/>
          <w:sz w:val="18"/>
          <w:szCs w:val="18"/>
        </w:rPr>
        <w:t>There are no conflicts to declare.</w:t>
      </w:r>
    </w:p>
    <w:p w14:paraId="66DAC845" w14:textId="77777777" w:rsidR="003F3ABB" w:rsidRPr="003F3ABB" w:rsidRDefault="003F3ABB" w:rsidP="00AF1C8B">
      <w:pPr>
        <w:pStyle w:val="RSCB04AHeadingSection"/>
        <w:spacing w:line="480" w:lineRule="auto"/>
        <w:rPr>
          <w:rFonts w:ascii="Calibri" w:hAnsi="Calibri" w:cs="Calibri"/>
          <w:lang w:val="en-US"/>
        </w:rPr>
      </w:pPr>
      <w:r w:rsidRPr="003F3ABB">
        <w:rPr>
          <w:rFonts w:ascii="Calibri" w:hAnsi="Calibri" w:cs="Calibri"/>
        </w:rPr>
        <w:t>Acknowledgements</w:t>
      </w:r>
    </w:p>
    <w:p w14:paraId="685DF213" w14:textId="78804CB6" w:rsidR="003F3ABB" w:rsidRPr="003F3ABB" w:rsidRDefault="003F3ABB" w:rsidP="00AF1C8B">
      <w:pPr>
        <w:pStyle w:val="RSCB04AHeadingSection"/>
        <w:spacing w:line="480" w:lineRule="auto"/>
        <w:rPr>
          <w:rFonts w:ascii="Calibri" w:hAnsi="Calibri" w:cs="Calibri"/>
        </w:rPr>
      </w:pPr>
      <w:r w:rsidRPr="003F3ABB">
        <w:rPr>
          <w:rFonts w:ascii="Calibri" w:hAnsi="Calibri" w:cs="Calibri"/>
          <w:b w:val="0"/>
          <w:bCs/>
          <w:w w:val="108"/>
          <w:sz w:val="18"/>
          <w:szCs w:val="18"/>
          <w:lang w:val="en-US"/>
        </w:rPr>
        <w:t xml:space="preserve">This material is based upon work supported by the National Science Foundation under Grant No. (NSF grant number 1854827). </w:t>
      </w:r>
      <w:r w:rsidRPr="003F3ABB">
        <w:rPr>
          <w:rFonts w:ascii="Calibri" w:hAnsi="Calibri" w:cs="Calibri"/>
          <w:b w:val="0"/>
          <w:bCs/>
          <w:w w:val="108"/>
          <w:sz w:val="18"/>
          <w:szCs w:val="18"/>
        </w:rPr>
        <w:t>We thank the Allegheny County Sanitary Authority for graciously providing sewer flow data and field data.</w:t>
      </w:r>
    </w:p>
    <w:p w14:paraId="771CA67B" w14:textId="77777777" w:rsidR="003F3ABB" w:rsidRPr="003F3ABB" w:rsidRDefault="003F3ABB" w:rsidP="00AF1C8B">
      <w:pPr>
        <w:pStyle w:val="RSCB04AHeadingSection"/>
        <w:spacing w:line="480" w:lineRule="auto"/>
        <w:rPr>
          <w:rFonts w:ascii="Calibri" w:hAnsi="Calibri" w:cs="Calibri"/>
        </w:rPr>
      </w:pPr>
      <w:r w:rsidRPr="003F3ABB">
        <w:rPr>
          <w:rFonts w:ascii="Calibri" w:hAnsi="Calibri" w:cs="Calibri"/>
        </w:rPr>
        <w:t>Notes and references</w:t>
      </w:r>
    </w:p>
    <w:p w14:paraId="310692BE"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szCs w:val="18"/>
        </w:rPr>
        <w:fldChar w:fldCharType="begin"/>
      </w:r>
      <w:r w:rsidRPr="003F3ABB">
        <w:rPr>
          <w:rFonts w:ascii="Calibri" w:hAnsi="Calibri" w:cs="Calibri"/>
          <w:sz w:val="18"/>
          <w:szCs w:val="18"/>
        </w:rPr>
        <w:instrText xml:space="preserve"> ADDIN ZOTERO_BIBL {"uncited":[],"omitted":[],"custom":[]} CSL_BIBLIOGRAPHY </w:instrText>
      </w:r>
      <w:r w:rsidRPr="003F3ABB">
        <w:rPr>
          <w:rFonts w:ascii="Calibri" w:hAnsi="Calibri" w:cs="Calibri"/>
          <w:sz w:val="18"/>
          <w:szCs w:val="18"/>
        </w:rPr>
        <w:fldChar w:fldCharType="separate"/>
      </w:r>
      <w:r w:rsidRPr="003F3ABB">
        <w:rPr>
          <w:rFonts w:ascii="Calibri" w:hAnsi="Calibri" w:cs="Calibri"/>
          <w:sz w:val="18"/>
        </w:rPr>
        <w:t>1</w:t>
      </w:r>
      <w:r w:rsidRPr="003F3ABB">
        <w:rPr>
          <w:rFonts w:ascii="Calibri" w:hAnsi="Calibri" w:cs="Calibri"/>
          <w:sz w:val="18"/>
        </w:rPr>
        <w:tab/>
        <w:t xml:space="preserve">C. L. Arnold and C. J. Gibbons, Impervious Surface Coverage: The Emergence of a Key Environmental Indicator, </w:t>
      </w:r>
      <w:r w:rsidRPr="003F3ABB">
        <w:rPr>
          <w:rFonts w:ascii="Calibri" w:hAnsi="Calibri" w:cs="Calibri"/>
          <w:i/>
          <w:iCs/>
          <w:sz w:val="18"/>
        </w:rPr>
        <w:t>J. Am. Plann. Assoc.</w:t>
      </w:r>
      <w:r w:rsidRPr="003F3ABB">
        <w:rPr>
          <w:rFonts w:ascii="Calibri" w:hAnsi="Calibri" w:cs="Calibri"/>
          <w:sz w:val="18"/>
        </w:rPr>
        <w:t xml:space="preserve">, 1996, </w:t>
      </w:r>
      <w:r w:rsidRPr="003F3ABB">
        <w:rPr>
          <w:rFonts w:ascii="Calibri" w:hAnsi="Calibri" w:cs="Calibri"/>
          <w:b/>
          <w:bCs/>
          <w:sz w:val="18"/>
        </w:rPr>
        <w:t>62</w:t>
      </w:r>
      <w:r w:rsidRPr="003F3ABB">
        <w:rPr>
          <w:rFonts w:ascii="Calibri" w:hAnsi="Calibri" w:cs="Calibri"/>
          <w:sz w:val="18"/>
        </w:rPr>
        <w:t>, 243–258.</w:t>
      </w:r>
    </w:p>
    <w:p w14:paraId="64384AE1"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2</w:t>
      </w:r>
      <w:r w:rsidRPr="003F3ABB">
        <w:rPr>
          <w:rFonts w:ascii="Calibri" w:hAnsi="Calibri" w:cs="Calibri"/>
          <w:sz w:val="18"/>
        </w:rPr>
        <w:tab/>
        <w:t xml:space="preserve">J. G. Lee, A. Selvakumar, K. Alvi, J. Riverson, J. X. Zhen, L. Shoemaker and F. Lai, A watershed-scale design optimization model for stormwater best management practices, </w:t>
      </w:r>
      <w:r w:rsidRPr="003F3ABB">
        <w:rPr>
          <w:rFonts w:ascii="Calibri" w:hAnsi="Calibri" w:cs="Calibri"/>
          <w:i/>
          <w:iCs/>
          <w:sz w:val="18"/>
        </w:rPr>
        <w:t>Environ. Model. Softw.</w:t>
      </w:r>
      <w:r w:rsidRPr="003F3ABB">
        <w:rPr>
          <w:rFonts w:ascii="Calibri" w:hAnsi="Calibri" w:cs="Calibri"/>
          <w:sz w:val="18"/>
        </w:rPr>
        <w:t xml:space="preserve">, 2012, </w:t>
      </w:r>
      <w:r w:rsidRPr="003F3ABB">
        <w:rPr>
          <w:rFonts w:ascii="Calibri" w:hAnsi="Calibri" w:cs="Calibri"/>
          <w:b/>
          <w:bCs/>
          <w:sz w:val="18"/>
        </w:rPr>
        <w:t>37</w:t>
      </w:r>
      <w:r w:rsidRPr="003F3ABB">
        <w:rPr>
          <w:rFonts w:ascii="Calibri" w:hAnsi="Calibri" w:cs="Calibri"/>
          <w:sz w:val="18"/>
        </w:rPr>
        <w:t>, 6–18.</w:t>
      </w:r>
    </w:p>
    <w:p w14:paraId="5E9D7AFE"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3</w:t>
      </w:r>
      <w:r w:rsidRPr="003F3ABB">
        <w:rPr>
          <w:rFonts w:ascii="Calibri" w:hAnsi="Calibri" w:cs="Calibri"/>
          <w:sz w:val="18"/>
        </w:rPr>
        <w:tab/>
        <w:t xml:space="preserve">T. R. Schueler, L. Fraley-McNeal and K. Cappiella, Is Impervious Cover Still Important? Review of Recent Research, </w:t>
      </w:r>
      <w:r w:rsidRPr="003F3ABB">
        <w:rPr>
          <w:rFonts w:ascii="Calibri" w:hAnsi="Calibri" w:cs="Calibri"/>
          <w:i/>
          <w:iCs/>
          <w:sz w:val="18"/>
        </w:rPr>
        <w:t>J. Hydrol. Eng.</w:t>
      </w:r>
      <w:r w:rsidRPr="003F3ABB">
        <w:rPr>
          <w:rFonts w:ascii="Calibri" w:hAnsi="Calibri" w:cs="Calibri"/>
          <w:sz w:val="18"/>
        </w:rPr>
        <w:t xml:space="preserve">, 2009, </w:t>
      </w:r>
      <w:r w:rsidRPr="003F3ABB">
        <w:rPr>
          <w:rFonts w:ascii="Calibri" w:hAnsi="Calibri" w:cs="Calibri"/>
          <w:b/>
          <w:bCs/>
          <w:sz w:val="18"/>
        </w:rPr>
        <w:t>14</w:t>
      </w:r>
      <w:r w:rsidRPr="003F3ABB">
        <w:rPr>
          <w:rFonts w:ascii="Calibri" w:hAnsi="Calibri" w:cs="Calibri"/>
          <w:sz w:val="18"/>
        </w:rPr>
        <w:t>, 309–315.</w:t>
      </w:r>
    </w:p>
    <w:p w14:paraId="5A8459A2"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4</w:t>
      </w:r>
      <w:r w:rsidRPr="003F3ABB">
        <w:rPr>
          <w:rFonts w:ascii="Calibri" w:hAnsi="Calibri" w:cs="Calibri"/>
          <w:sz w:val="18"/>
        </w:rPr>
        <w:tab/>
        <w:t xml:space="preserve">H. Li, L. J. Sharkey, W. F. Hunt and A. P. Davis, Mitigation of Impervious Surface Hydrology Using Bioretention in North Carolina and Maryland, </w:t>
      </w:r>
      <w:r w:rsidRPr="003F3ABB">
        <w:rPr>
          <w:rFonts w:ascii="Calibri" w:hAnsi="Calibri" w:cs="Calibri"/>
          <w:i/>
          <w:iCs/>
          <w:sz w:val="18"/>
        </w:rPr>
        <w:t>J. Hydrol. Eng.</w:t>
      </w:r>
      <w:r w:rsidRPr="003F3ABB">
        <w:rPr>
          <w:rFonts w:ascii="Calibri" w:hAnsi="Calibri" w:cs="Calibri"/>
          <w:sz w:val="18"/>
        </w:rPr>
        <w:t xml:space="preserve">, 2009, </w:t>
      </w:r>
      <w:r w:rsidRPr="003F3ABB">
        <w:rPr>
          <w:rFonts w:ascii="Calibri" w:hAnsi="Calibri" w:cs="Calibri"/>
          <w:b/>
          <w:bCs/>
          <w:sz w:val="18"/>
        </w:rPr>
        <w:t>14</w:t>
      </w:r>
      <w:r w:rsidRPr="003F3ABB">
        <w:rPr>
          <w:rFonts w:ascii="Calibri" w:hAnsi="Calibri" w:cs="Calibri"/>
          <w:sz w:val="18"/>
        </w:rPr>
        <w:t>, 407–415.</w:t>
      </w:r>
    </w:p>
    <w:p w14:paraId="226F8341"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5</w:t>
      </w:r>
      <w:r w:rsidRPr="003F3ABB">
        <w:rPr>
          <w:rFonts w:ascii="Calibri" w:hAnsi="Calibri" w:cs="Calibri"/>
          <w:sz w:val="18"/>
        </w:rPr>
        <w:tab/>
        <w:t xml:space="preserve">National Research Council, </w:t>
      </w:r>
      <w:r w:rsidRPr="003F3ABB">
        <w:rPr>
          <w:rFonts w:ascii="Calibri" w:hAnsi="Calibri" w:cs="Calibri"/>
          <w:i/>
          <w:iCs/>
          <w:sz w:val="18"/>
        </w:rPr>
        <w:t>Urban Stormwater Management in the United States</w:t>
      </w:r>
      <w:r w:rsidRPr="003F3ABB">
        <w:rPr>
          <w:rFonts w:ascii="Calibri" w:hAnsi="Calibri" w:cs="Calibri"/>
          <w:sz w:val="18"/>
        </w:rPr>
        <w:t>, National Research Council, Washington, DC: The National Academies Press, 2009.</w:t>
      </w:r>
    </w:p>
    <w:p w14:paraId="2B0B2191"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6</w:t>
      </w:r>
      <w:r w:rsidRPr="003F3ABB">
        <w:rPr>
          <w:rFonts w:ascii="Calibri" w:hAnsi="Calibri" w:cs="Calibri"/>
          <w:sz w:val="18"/>
        </w:rPr>
        <w:tab/>
        <w:t xml:space="preserve">L. S. Coffman, R. Goo and R. Frederick, in </w:t>
      </w:r>
      <w:r w:rsidRPr="003F3ABB">
        <w:rPr>
          <w:rFonts w:ascii="Calibri" w:hAnsi="Calibri" w:cs="Calibri"/>
          <w:i/>
          <w:iCs/>
          <w:sz w:val="18"/>
        </w:rPr>
        <w:t>Low-Impact Development: An Innovative Alternative Approach to Stormwater Management</w:t>
      </w:r>
      <w:r w:rsidRPr="003F3ABB">
        <w:rPr>
          <w:rFonts w:ascii="Calibri" w:hAnsi="Calibri" w:cs="Calibri"/>
          <w:sz w:val="18"/>
        </w:rPr>
        <w:t>, 1999, pp. 1–10.</w:t>
      </w:r>
    </w:p>
    <w:p w14:paraId="6513800E"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7</w:t>
      </w:r>
      <w:r w:rsidRPr="003F3ABB">
        <w:rPr>
          <w:rFonts w:ascii="Calibri" w:hAnsi="Calibri" w:cs="Calibri"/>
          <w:sz w:val="18"/>
        </w:rPr>
        <w:tab/>
        <w:t xml:space="preserve">L. M. Ahiablame, B. A. Engel and I. Chaubey, Effectiveness of Low Impact Development Practices: Literature Review and Suggestions for Future Research, </w:t>
      </w:r>
      <w:r w:rsidRPr="003F3ABB">
        <w:rPr>
          <w:rFonts w:ascii="Calibri" w:hAnsi="Calibri" w:cs="Calibri"/>
          <w:i/>
          <w:iCs/>
          <w:sz w:val="18"/>
        </w:rPr>
        <w:t>Water. Air. Soil Pollut.</w:t>
      </w:r>
      <w:r w:rsidRPr="003F3ABB">
        <w:rPr>
          <w:rFonts w:ascii="Calibri" w:hAnsi="Calibri" w:cs="Calibri"/>
          <w:sz w:val="18"/>
        </w:rPr>
        <w:t xml:space="preserve">, 2012, </w:t>
      </w:r>
      <w:r w:rsidRPr="003F3ABB">
        <w:rPr>
          <w:rFonts w:ascii="Calibri" w:hAnsi="Calibri" w:cs="Calibri"/>
          <w:b/>
          <w:bCs/>
          <w:sz w:val="18"/>
        </w:rPr>
        <w:t>223</w:t>
      </w:r>
      <w:r w:rsidRPr="003F3ABB">
        <w:rPr>
          <w:rFonts w:ascii="Calibri" w:hAnsi="Calibri" w:cs="Calibri"/>
          <w:sz w:val="18"/>
        </w:rPr>
        <w:t>, 4253–4273.</w:t>
      </w:r>
    </w:p>
    <w:p w14:paraId="382484C2"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lastRenderedPageBreak/>
        <w:t>8</w:t>
      </w:r>
      <w:r w:rsidRPr="003F3ABB">
        <w:rPr>
          <w:rFonts w:ascii="Calibri" w:hAnsi="Calibri" w:cs="Calibri"/>
          <w:sz w:val="18"/>
        </w:rPr>
        <w:tab/>
        <w:t xml:space="preserve">K. Eckart, Z. McPhee and T. Bolisetti, Performance and implementation of low impact development – A review, </w:t>
      </w:r>
      <w:r w:rsidRPr="003F3ABB">
        <w:rPr>
          <w:rFonts w:ascii="Calibri" w:hAnsi="Calibri" w:cs="Calibri"/>
          <w:i/>
          <w:iCs/>
          <w:sz w:val="18"/>
        </w:rPr>
        <w:t>Sci. Total Environ.</w:t>
      </w:r>
      <w:r w:rsidRPr="003F3ABB">
        <w:rPr>
          <w:rFonts w:ascii="Calibri" w:hAnsi="Calibri" w:cs="Calibri"/>
          <w:sz w:val="18"/>
        </w:rPr>
        <w:t xml:space="preserve">, 2017, </w:t>
      </w:r>
      <w:r w:rsidRPr="003F3ABB">
        <w:rPr>
          <w:rFonts w:ascii="Calibri" w:hAnsi="Calibri" w:cs="Calibri"/>
          <w:b/>
          <w:bCs/>
          <w:sz w:val="18"/>
        </w:rPr>
        <w:t>607–608</w:t>
      </w:r>
      <w:r w:rsidRPr="003F3ABB">
        <w:rPr>
          <w:rFonts w:ascii="Calibri" w:hAnsi="Calibri" w:cs="Calibri"/>
          <w:sz w:val="18"/>
        </w:rPr>
        <w:t>, 413–432.</w:t>
      </w:r>
    </w:p>
    <w:p w14:paraId="6C05E0FD"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9</w:t>
      </w:r>
      <w:r w:rsidRPr="003F3ABB">
        <w:rPr>
          <w:rFonts w:ascii="Calibri" w:hAnsi="Calibri" w:cs="Calibri"/>
          <w:sz w:val="18"/>
        </w:rPr>
        <w:tab/>
        <w:t xml:space="preserve">L.-Y. Tsai, C.-F. Chen, C.-H. Fan and J.-Y. Lin, Using the HSPF and SWMM Models in a High Pervious Watershed and Estimating Their Parameter Sensitivity, </w:t>
      </w:r>
      <w:r w:rsidRPr="003F3ABB">
        <w:rPr>
          <w:rFonts w:ascii="Calibri" w:hAnsi="Calibri" w:cs="Calibri"/>
          <w:i/>
          <w:iCs/>
          <w:sz w:val="18"/>
        </w:rPr>
        <w:t>Water</w:t>
      </w:r>
      <w:r w:rsidRPr="003F3ABB">
        <w:rPr>
          <w:rFonts w:ascii="Calibri" w:hAnsi="Calibri" w:cs="Calibri"/>
          <w:sz w:val="18"/>
        </w:rPr>
        <w:t xml:space="preserve">, 2017, </w:t>
      </w:r>
      <w:r w:rsidRPr="003F3ABB">
        <w:rPr>
          <w:rFonts w:ascii="Calibri" w:hAnsi="Calibri" w:cs="Calibri"/>
          <w:b/>
          <w:bCs/>
          <w:sz w:val="18"/>
        </w:rPr>
        <w:t>9</w:t>
      </w:r>
      <w:r w:rsidRPr="003F3ABB">
        <w:rPr>
          <w:rFonts w:ascii="Calibri" w:hAnsi="Calibri" w:cs="Calibri"/>
          <w:sz w:val="18"/>
        </w:rPr>
        <w:t>, 780.</w:t>
      </w:r>
    </w:p>
    <w:p w14:paraId="389533EF"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10</w:t>
      </w:r>
      <w:r w:rsidRPr="003F3ABB">
        <w:rPr>
          <w:rFonts w:ascii="Calibri" w:hAnsi="Calibri" w:cs="Calibri"/>
          <w:sz w:val="18"/>
        </w:rPr>
        <w:tab/>
        <w:t xml:space="preserve">L. A. Rossman, </w:t>
      </w:r>
      <w:r w:rsidRPr="003F3ABB">
        <w:rPr>
          <w:rFonts w:ascii="Calibri" w:hAnsi="Calibri" w:cs="Calibri"/>
          <w:i/>
          <w:iCs/>
          <w:sz w:val="18"/>
        </w:rPr>
        <w:t>Storm Water Management Model User’s Manual Version 5.1</w:t>
      </w:r>
      <w:r w:rsidRPr="003F3ABB">
        <w:rPr>
          <w:rFonts w:ascii="Calibri" w:hAnsi="Calibri" w:cs="Calibri"/>
          <w:sz w:val="18"/>
        </w:rPr>
        <w:t>, US EPA Office of Research and Development, Washington, DC, EPA/600/R-14/413 (NTIS EPA/600/R-14/413b), 2015.</w:t>
      </w:r>
    </w:p>
    <w:p w14:paraId="4EF63290"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11</w:t>
      </w:r>
      <w:r w:rsidRPr="003F3ABB">
        <w:rPr>
          <w:rFonts w:ascii="Calibri" w:hAnsi="Calibri" w:cs="Calibri"/>
          <w:sz w:val="18"/>
        </w:rPr>
        <w:tab/>
        <w:t xml:space="preserve">S. Jang, M. Cho, J. Yoon, Y. Yoon, S. Kim, G. Kim, L. Kim and H. Aksoy, Using SWMM as a tool for hydrologic impact assessment, </w:t>
      </w:r>
      <w:r w:rsidRPr="003F3ABB">
        <w:rPr>
          <w:rFonts w:ascii="Calibri" w:hAnsi="Calibri" w:cs="Calibri"/>
          <w:i/>
          <w:iCs/>
          <w:sz w:val="18"/>
        </w:rPr>
        <w:t>Desalination</w:t>
      </w:r>
      <w:r w:rsidRPr="003F3ABB">
        <w:rPr>
          <w:rFonts w:ascii="Calibri" w:hAnsi="Calibri" w:cs="Calibri"/>
          <w:sz w:val="18"/>
        </w:rPr>
        <w:t xml:space="preserve">, 2007, </w:t>
      </w:r>
      <w:r w:rsidRPr="003F3ABB">
        <w:rPr>
          <w:rFonts w:ascii="Calibri" w:hAnsi="Calibri" w:cs="Calibri"/>
          <w:b/>
          <w:bCs/>
          <w:sz w:val="18"/>
        </w:rPr>
        <w:t>212</w:t>
      </w:r>
      <w:r w:rsidRPr="003F3ABB">
        <w:rPr>
          <w:rFonts w:ascii="Calibri" w:hAnsi="Calibri" w:cs="Calibri"/>
          <w:sz w:val="18"/>
        </w:rPr>
        <w:t>, 344–356.</w:t>
      </w:r>
    </w:p>
    <w:p w14:paraId="55FE96E0"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12</w:t>
      </w:r>
      <w:r w:rsidRPr="003F3ABB">
        <w:rPr>
          <w:rFonts w:ascii="Calibri" w:hAnsi="Calibri" w:cs="Calibri"/>
          <w:sz w:val="18"/>
        </w:rPr>
        <w:tab/>
        <w:t xml:space="preserve">A. Alves, A. Sanchez, Z. Vojinovic, S. Seyoum, M. Babel and D. Brdjanovic, Evolutionary and Holistic Assessment of Green-Grey Infrastructure for CSO Reduction, </w:t>
      </w:r>
      <w:r w:rsidRPr="003F3ABB">
        <w:rPr>
          <w:rFonts w:ascii="Calibri" w:hAnsi="Calibri" w:cs="Calibri"/>
          <w:i/>
          <w:iCs/>
          <w:sz w:val="18"/>
        </w:rPr>
        <w:t>Water</w:t>
      </w:r>
      <w:r w:rsidRPr="003F3ABB">
        <w:rPr>
          <w:rFonts w:ascii="Calibri" w:hAnsi="Calibri" w:cs="Calibri"/>
          <w:sz w:val="18"/>
        </w:rPr>
        <w:t xml:space="preserve">, 2016, </w:t>
      </w:r>
      <w:r w:rsidRPr="003F3ABB">
        <w:rPr>
          <w:rFonts w:ascii="Calibri" w:hAnsi="Calibri" w:cs="Calibri"/>
          <w:b/>
          <w:bCs/>
          <w:sz w:val="18"/>
        </w:rPr>
        <w:t>8</w:t>
      </w:r>
      <w:r w:rsidRPr="003F3ABB">
        <w:rPr>
          <w:rFonts w:ascii="Calibri" w:hAnsi="Calibri" w:cs="Calibri"/>
          <w:sz w:val="18"/>
        </w:rPr>
        <w:t>, 402.</w:t>
      </w:r>
    </w:p>
    <w:p w14:paraId="22EF040A"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13</w:t>
      </w:r>
      <w:r w:rsidRPr="003F3ABB">
        <w:rPr>
          <w:rFonts w:ascii="Calibri" w:hAnsi="Calibri" w:cs="Calibri"/>
          <w:sz w:val="18"/>
        </w:rPr>
        <w:tab/>
        <w:t xml:space="preserve">A. Palla and I. Gnecco, Hydrologic modeling of Low Impact Development systems at the urban catchment scale, </w:t>
      </w:r>
      <w:r w:rsidRPr="003F3ABB">
        <w:rPr>
          <w:rFonts w:ascii="Calibri" w:hAnsi="Calibri" w:cs="Calibri"/>
          <w:i/>
          <w:iCs/>
          <w:sz w:val="18"/>
        </w:rPr>
        <w:t>J. Hydrol.</w:t>
      </w:r>
      <w:r w:rsidRPr="003F3ABB">
        <w:rPr>
          <w:rFonts w:ascii="Calibri" w:hAnsi="Calibri" w:cs="Calibri"/>
          <w:sz w:val="18"/>
        </w:rPr>
        <w:t xml:space="preserve">, 2015, </w:t>
      </w:r>
      <w:r w:rsidRPr="003F3ABB">
        <w:rPr>
          <w:rFonts w:ascii="Calibri" w:hAnsi="Calibri" w:cs="Calibri"/>
          <w:b/>
          <w:bCs/>
          <w:sz w:val="18"/>
        </w:rPr>
        <w:t>528</w:t>
      </w:r>
      <w:r w:rsidRPr="003F3ABB">
        <w:rPr>
          <w:rFonts w:ascii="Calibri" w:hAnsi="Calibri" w:cs="Calibri"/>
          <w:sz w:val="18"/>
        </w:rPr>
        <w:t>, 361–368.</w:t>
      </w:r>
    </w:p>
    <w:p w14:paraId="467AC65B"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14</w:t>
      </w:r>
      <w:r w:rsidRPr="003F3ABB">
        <w:rPr>
          <w:rFonts w:ascii="Calibri" w:hAnsi="Calibri" w:cs="Calibri"/>
          <w:sz w:val="18"/>
        </w:rPr>
        <w:tab/>
        <w:t xml:space="preserve">M. P. Abi Aad, M. T. Suidan and W. D. Shuster, Modeling Techniques of Best Management Practices: Rain Barrels and Rain Gardens Using EPA SWMM-5, </w:t>
      </w:r>
      <w:r w:rsidRPr="003F3ABB">
        <w:rPr>
          <w:rFonts w:ascii="Calibri" w:hAnsi="Calibri" w:cs="Calibri"/>
          <w:i/>
          <w:iCs/>
          <w:sz w:val="18"/>
        </w:rPr>
        <w:t>J. Hydrol. Eng.</w:t>
      </w:r>
      <w:r w:rsidRPr="003F3ABB">
        <w:rPr>
          <w:rFonts w:ascii="Calibri" w:hAnsi="Calibri" w:cs="Calibri"/>
          <w:sz w:val="18"/>
        </w:rPr>
        <w:t xml:space="preserve">, 2010, </w:t>
      </w:r>
      <w:r w:rsidRPr="003F3ABB">
        <w:rPr>
          <w:rFonts w:ascii="Calibri" w:hAnsi="Calibri" w:cs="Calibri"/>
          <w:b/>
          <w:bCs/>
          <w:sz w:val="18"/>
        </w:rPr>
        <w:t>15</w:t>
      </w:r>
      <w:r w:rsidRPr="003F3ABB">
        <w:rPr>
          <w:rFonts w:ascii="Calibri" w:hAnsi="Calibri" w:cs="Calibri"/>
          <w:sz w:val="18"/>
        </w:rPr>
        <w:t>, 434–443.</w:t>
      </w:r>
    </w:p>
    <w:p w14:paraId="6F1858EA"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15</w:t>
      </w:r>
      <w:r w:rsidRPr="003F3ABB">
        <w:rPr>
          <w:rFonts w:ascii="Calibri" w:hAnsi="Calibri" w:cs="Calibri"/>
          <w:sz w:val="18"/>
        </w:rPr>
        <w:tab/>
        <w:t xml:space="preserve">A.-K. McCall, R. Palmitessa, F. Blumensaat, E. Morgenroth and C. Ort, Modeling in-sewer transformations at catchment scale – implications on drug consumption estimates in wastewater-based epidemiology, </w:t>
      </w:r>
      <w:r w:rsidRPr="003F3ABB">
        <w:rPr>
          <w:rFonts w:ascii="Calibri" w:hAnsi="Calibri" w:cs="Calibri"/>
          <w:i/>
          <w:iCs/>
          <w:sz w:val="18"/>
        </w:rPr>
        <w:t>Water Res.</w:t>
      </w:r>
      <w:r w:rsidRPr="003F3ABB">
        <w:rPr>
          <w:rFonts w:ascii="Calibri" w:hAnsi="Calibri" w:cs="Calibri"/>
          <w:sz w:val="18"/>
        </w:rPr>
        <w:t xml:space="preserve">, 2017, </w:t>
      </w:r>
      <w:r w:rsidRPr="003F3ABB">
        <w:rPr>
          <w:rFonts w:ascii="Calibri" w:hAnsi="Calibri" w:cs="Calibri"/>
          <w:b/>
          <w:bCs/>
          <w:sz w:val="18"/>
        </w:rPr>
        <w:t>122</w:t>
      </w:r>
      <w:r w:rsidRPr="003F3ABB">
        <w:rPr>
          <w:rFonts w:ascii="Calibri" w:hAnsi="Calibri" w:cs="Calibri"/>
          <w:sz w:val="18"/>
        </w:rPr>
        <w:t>, 655–668.</w:t>
      </w:r>
    </w:p>
    <w:p w14:paraId="1417EA45"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16</w:t>
      </w:r>
      <w:r w:rsidRPr="003F3ABB">
        <w:rPr>
          <w:rFonts w:ascii="Calibri" w:hAnsi="Calibri" w:cs="Calibri"/>
          <w:sz w:val="18"/>
        </w:rPr>
        <w:tab/>
        <w:t xml:space="preserve">J. Lei and W. Schilling, Parameter Uncertainty Propagation Analysis for Urban Rainfall Runoff Modelling, </w:t>
      </w:r>
      <w:r w:rsidRPr="003F3ABB">
        <w:rPr>
          <w:rFonts w:ascii="Calibri" w:hAnsi="Calibri" w:cs="Calibri"/>
          <w:i/>
          <w:iCs/>
          <w:sz w:val="18"/>
        </w:rPr>
        <w:t>Water Sci. Technol.</w:t>
      </w:r>
      <w:r w:rsidRPr="003F3ABB">
        <w:rPr>
          <w:rFonts w:ascii="Calibri" w:hAnsi="Calibri" w:cs="Calibri"/>
          <w:sz w:val="18"/>
        </w:rPr>
        <w:t xml:space="preserve">, 1994, </w:t>
      </w:r>
      <w:r w:rsidRPr="003F3ABB">
        <w:rPr>
          <w:rFonts w:ascii="Calibri" w:hAnsi="Calibri" w:cs="Calibri"/>
          <w:b/>
          <w:bCs/>
          <w:sz w:val="18"/>
        </w:rPr>
        <w:t>29</w:t>
      </w:r>
      <w:r w:rsidRPr="003F3ABB">
        <w:rPr>
          <w:rFonts w:ascii="Calibri" w:hAnsi="Calibri" w:cs="Calibri"/>
          <w:sz w:val="18"/>
        </w:rPr>
        <w:t>, 145–154.</w:t>
      </w:r>
    </w:p>
    <w:p w14:paraId="748303D9"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17</w:t>
      </w:r>
      <w:r w:rsidRPr="003F3ABB">
        <w:rPr>
          <w:rFonts w:ascii="Calibri" w:hAnsi="Calibri" w:cs="Calibri"/>
          <w:sz w:val="18"/>
        </w:rPr>
        <w:tab/>
        <w:t xml:space="preserve">G. Del Giudice and R. Padulano, Sensitivity Analysis and Calibration of a Rainfall-Runoff Model with the Combined Use of EPA-SWMM and Genetic Algorithm, </w:t>
      </w:r>
      <w:r w:rsidRPr="003F3ABB">
        <w:rPr>
          <w:rFonts w:ascii="Calibri" w:hAnsi="Calibri" w:cs="Calibri"/>
          <w:i/>
          <w:iCs/>
          <w:sz w:val="18"/>
        </w:rPr>
        <w:t>Acta Geophys.</w:t>
      </w:r>
      <w:r w:rsidRPr="003F3ABB">
        <w:rPr>
          <w:rFonts w:ascii="Calibri" w:hAnsi="Calibri" w:cs="Calibri"/>
          <w:sz w:val="18"/>
        </w:rPr>
        <w:t xml:space="preserve">, 2016, </w:t>
      </w:r>
      <w:r w:rsidRPr="003F3ABB">
        <w:rPr>
          <w:rFonts w:ascii="Calibri" w:hAnsi="Calibri" w:cs="Calibri"/>
          <w:b/>
          <w:bCs/>
          <w:sz w:val="18"/>
        </w:rPr>
        <w:t>64</w:t>
      </w:r>
      <w:r w:rsidRPr="003F3ABB">
        <w:rPr>
          <w:rFonts w:ascii="Calibri" w:hAnsi="Calibri" w:cs="Calibri"/>
          <w:sz w:val="18"/>
        </w:rPr>
        <w:t>, 1755–1778.</w:t>
      </w:r>
    </w:p>
    <w:p w14:paraId="6137912B"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18</w:t>
      </w:r>
      <w:r w:rsidRPr="003F3ABB">
        <w:rPr>
          <w:rFonts w:ascii="Calibri" w:hAnsi="Calibri" w:cs="Calibri"/>
          <w:sz w:val="18"/>
        </w:rPr>
        <w:tab/>
        <w:t xml:space="preserve">M. Zellner, D. Massey, E. Minor and M. Gonzalez-Meler, Exploring the effects of green infrastructure placement on neighborhood-level flooding via spatially explicit simulations, </w:t>
      </w:r>
      <w:r w:rsidRPr="003F3ABB">
        <w:rPr>
          <w:rFonts w:ascii="Calibri" w:hAnsi="Calibri" w:cs="Calibri"/>
          <w:i/>
          <w:iCs/>
          <w:sz w:val="18"/>
        </w:rPr>
        <w:t>Comput. Environ. Urban Syst.</w:t>
      </w:r>
      <w:r w:rsidRPr="003F3ABB">
        <w:rPr>
          <w:rFonts w:ascii="Calibri" w:hAnsi="Calibri" w:cs="Calibri"/>
          <w:sz w:val="18"/>
        </w:rPr>
        <w:t xml:space="preserve">, 2016, </w:t>
      </w:r>
      <w:r w:rsidRPr="003F3ABB">
        <w:rPr>
          <w:rFonts w:ascii="Calibri" w:hAnsi="Calibri" w:cs="Calibri"/>
          <w:b/>
          <w:bCs/>
          <w:sz w:val="18"/>
        </w:rPr>
        <w:t>59</w:t>
      </w:r>
      <w:r w:rsidRPr="003F3ABB">
        <w:rPr>
          <w:rFonts w:ascii="Calibri" w:hAnsi="Calibri" w:cs="Calibri"/>
          <w:sz w:val="18"/>
        </w:rPr>
        <w:t>, 116–128.</w:t>
      </w:r>
    </w:p>
    <w:p w14:paraId="2BC909D8"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19</w:t>
      </w:r>
      <w:r w:rsidRPr="003F3ABB">
        <w:rPr>
          <w:rFonts w:ascii="Calibri" w:hAnsi="Calibri" w:cs="Calibri"/>
          <w:sz w:val="18"/>
        </w:rPr>
        <w:tab/>
        <w:t xml:space="preserve">G. Krebs, T. Kokkonen, M. Valtanen, H. Koivusalo and H. Setälä, A high resolution application of a stormwater management model (SWMM) using genetic parameter optimization, </w:t>
      </w:r>
      <w:r w:rsidRPr="003F3ABB">
        <w:rPr>
          <w:rFonts w:ascii="Calibri" w:hAnsi="Calibri" w:cs="Calibri"/>
          <w:i/>
          <w:iCs/>
          <w:sz w:val="18"/>
        </w:rPr>
        <w:t>Urban Water J.</w:t>
      </w:r>
      <w:r w:rsidRPr="003F3ABB">
        <w:rPr>
          <w:rFonts w:ascii="Calibri" w:hAnsi="Calibri" w:cs="Calibri"/>
          <w:sz w:val="18"/>
        </w:rPr>
        <w:t xml:space="preserve">, 2013, </w:t>
      </w:r>
      <w:r w:rsidRPr="003F3ABB">
        <w:rPr>
          <w:rFonts w:ascii="Calibri" w:hAnsi="Calibri" w:cs="Calibri"/>
          <w:b/>
          <w:bCs/>
          <w:sz w:val="18"/>
        </w:rPr>
        <w:t>10</w:t>
      </w:r>
      <w:r w:rsidRPr="003F3ABB">
        <w:rPr>
          <w:rFonts w:ascii="Calibri" w:hAnsi="Calibri" w:cs="Calibri"/>
          <w:sz w:val="18"/>
        </w:rPr>
        <w:t>, 394–410.</w:t>
      </w:r>
    </w:p>
    <w:p w14:paraId="5A8B7A89"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20</w:t>
      </w:r>
      <w:r w:rsidRPr="003F3ABB">
        <w:rPr>
          <w:rFonts w:ascii="Calibri" w:hAnsi="Calibri" w:cs="Calibri"/>
          <w:sz w:val="18"/>
        </w:rPr>
        <w:tab/>
        <w:t xml:space="preserve">G. Krebs, T. Kokkonen, M. Valtanen, H. Setälä and H. Koivusalo, Spatial resolution considerations for urban hydrological modelling, </w:t>
      </w:r>
      <w:r w:rsidRPr="003F3ABB">
        <w:rPr>
          <w:rFonts w:ascii="Calibri" w:hAnsi="Calibri" w:cs="Calibri"/>
          <w:i/>
          <w:iCs/>
          <w:sz w:val="18"/>
        </w:rPr>
        <w:t>J. Hydrol.</w:t>
      </w:r>
      <w:r w:rsidRPr="003F3ABB">
        <w:rPr>
          <w:rFonts w:ascii="Calibri" w:hAnsi="Calibri" w:cs="Calibri"/>
          <w:sz w:val="18"/>
        </w:rPr>
        <w:t xml:space="preserve">, 2014, </w:t>
      </w:r>
      <w:r w:rsidRPr="003F3ABB">
        <w:rPr>
          <w:rFonts w:ascii="Calibri" w:hAnsi="Calibri" w:cs="Calibri"/>
          <w:b/>
          <w:bCs/>
          <w:sz w:val="18"/>
        </w:rPr>
        <w:t>512</w:t>
      </w:r>
      <w:r w:rsidRPr="003F3ABB">
        <w:rPr>
          <w:rFonts w:ascii="Calibri" w:hAnsi="Calibri" w:cs="Calibri"/>
          <w:sz w:val="18"/>
        </w:rPr>
        <w:t>, 482–497.</w:t>
      </w:r>
    </w:p>
    <w:p w14:paraId="33E8B628"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21</w:t>
      </w:r>
      <w:r w:rsidRPr="003F3ABB">
        <w:rPr>
          <w:rFonts w:ascii="Calibri" w:hAnsi="Calibri" w:cs="Calibri"/>
          <w:sz w:val="18"/>
        </w:rPr>
        <w:tab/>
        <w:t xml:space="preserve">N. Sun, B. Hong and M. Hall, Assessment of the SWMM model uncertainties within the generalized likelihood uncertainty estimation (GLUE) framework for a high-resolution urban sewershed, </w:t>
      </w:r>
      <w:r w:rsidRPr="003F3ABB">
        <w:rPr>
          <w:rFonts w:ascii="Calibri" w:hAnsi="Calibri" w:cs="Calibri"/>
          <w:i/>
          <w:iCs/>
          <w:sz w:val="18"/>
        </w:rPr>
        <w:t>Hydrol. Process.</w:t>
      </w:r>
      <w:r w:rsidRPr="003F3ABB">
        <w:rPr>
          <w:rFonts w:ascii="Calibri" w:hAnsi="Calibri" w:cs="Calibri"/>
          <w:sz w:val="18"/>
        </w:rPr>
        <w:t xml:space="preserve">, 2013, </w:t>
      </w:r>
      <w:r w:rsidRPr="003F3ABB">
        <w:rPr>
          <w:rFonts w:ascii="Calibri" w:hAnsi="Calibri" w:cs="Calibri"/>
          <w:b/>
          <w:bCs/>
          <w:sz w:val="18"/>
        </w:rPr>
        <w:t>28</w:t>
      </w:r>
      <w:r w:rsidRPr="003F3ABB">
        <w:rPr>
          <w:rFonts w:ascii="Calibri" w:hAnsi="Calibri" w:cs="Calibri"/>
          <w:sz w:val="18"/>
        </w:rPr>
        <w:t>, 3018–3034.</w:t>
      </w:r>
    </w:p>
    <w:p w14:paraId="01A0F4F3"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22</w:t>
      </w:r>
      <w:r w:rsidRPr="003F3ABB">
        <w:rPr>
          <w:rFonts w:ascii="Calibri" w:hAnsi="Calibri" w:cs="Calibri"/>
          <w:sz w:val="18"/>
        </w:rPr>
        <w:tab/>
        <w:t xml:space="preserve">D. S. Bisht, C. Chatterjee, S. Kalakoti, P. Upadhyay, M. Sahoo and A. Panda, Modeling urban floods and drainage using SWMM and MIKE URBAN: a case study, </w:t>
      </w:r>
      <w:r w:rsidRPr="003F3ABB">
        <w:rPr>
          <w:rFonts w:ascii="Calibri" w:hAnsi="Calibri" w:cs="Calibri"/>
          <w:i/>
          <w:iCs/>
          <w:sz w:val="18"/>
        </w:rPr>
        <w:t>Nat. Hazards</w:t>
      </w:r>
      <w:r w:rsidRPr="003F3ABB">
        <w:rPr>
          <w:rFonts w:ascii="Calibri" w:hAnsi="Calibri" w:cs="Calibri"/>
          <w:sz w:val="18"/>
        </w:rPr>
        <w:t xml:space="preserve">, 2016, </w:t>
      </w:r>
      <w:r w:rsidRPr="003F3ABB">
        <w:rPr>
          <w:rFonts w:ascii="Calibri" w:hAnsi="Calibri" w:cs="Calibri"/>
          <w:b/>
          <w:bCs/>
          <w:sz w:val="18"/>
        </w:rPr>
        <w:t>84</w:t>
      </w:r>
      <w:r w:rsidRPr="003F3ABB">
        <w:rPr>
          <w:rFonts w:ascii="Calibri" w:hAnsi="Calibri" w:cs="Calibri"/>
          <w:sz w:val="18"/>
        </w:rPr>
        <w:t>, 749–776.</w:t>
      </w:r>
    </w:p>
    <w:p w14:paraId="16E1CEA5"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23</w:t>
      </w:r>
      <w:r w:rsidRPr="003F3ABB">
        <w:rPr>
          <w:rFonts w:ascii="Calibri" w:hAnsi="Calibri" w:cs="Calibri"/>
          <w:sz w:val="18"/>
        </w:rPr>
        <w:tab/>
        <w:t xml:space="preserve">M. Huang and S. Jin, A methodology for simple 2-D inundation analysis in urban area using SWMM and GIS, </w:t>
      </w:r>
      <w:r w:rsidRPr="003F3ABB">
        <w:rPr>
          <w:rFonts w:ascii="Calibri" w:hAnsi="Calibri" w:cs="Calibri"/>
          <w:i/>
          <w:iCs/>
          <w:sz w:val="18"/>
        </w:rPr>
        <w:t>Nat. Hazards</w:t>
      </w:r>
      <w:r w:rsidRPr="003F3ABB">
        <w:rPr>
          <w:rFonts w:ascii="Calibri" w:hAnsi="Calibri" w:cs="Calibri"/>
          <w:sz w:val="18"/>
        </w:rPr>
        <w:t xml:space="preserve">, 2019, </w:t>
      </w:r>
      <w:r w:rsidRPr="003F3ABB">
        <w:rPr>
          <w:rFonts w:ascii="Calibri" w:hAnsi="Calibri" w:cs="Calibri"/>
          <w:b/>
          <w:bCs/>
          <w:sz w:val="18"/>
        </w:rPr>
        <w:t>97</w:t>
      </w:r>
      <w:r w:rsidRPr="003F3ABB">
        <w:rPr>
          <w:rFonts w:ascii="Calibri" w:hAnsi="Calibri" w:cs="Calibri"/>
          <w:sz w:val="18"/>
        </w:rPr>
        <w:t>, 15–43.</w:t>
      </w:r>
    </w:p>
    <w:p w14:paraId="6FC1448A"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lastRenderedPageBreak/>
        <w:t>24</w:t>
      </w:r>
      <w:r w:rsidRPr="003F3ABB">
        <w:rPr>
          <w:rFonts w:ascii="Calibri" w:hAnsi="Calibri" w:cs="Calibri"/>
          <w:sz w:val="18"/>
        </w:rPr>
        <w:tab/>
        <w:t xml:space="preserve">C. Li, W. Wang, J. Xiong and P. Chen, Sensitivity Analysis for Urban Drainage Modeling Using Mutual Information, </w:t>
      </w:r>
      <w:r w:rsidRPr="003F3ABB">
        <w:rPr>
          <w:rFonts w:ascii="Calibri" w:hAnsi="Calibri" w:cs="Calibri"/>
          <w:i/>
          <w:iCs/>
          <w:sz w:val="18"/>
        </w:rPr>
        <w:t>Entropy</w:t>
      </w:r>
      <w:r w:rsidRPr="003F3ABB">
        <w:rPr>
          <w:rFonts w:ascii="Calibri" w:hAnsi="Calibri" w:cs="Calibri"/>
          <w:sz w:val="18"/>
        </w:rPr>
        <w:t xml:space="preserve">, 2014, </w:t>
      </w:r>
      <w:r w:rsidRPr="003F3ABB">
        <w:rPr>
          <w:rFonts w:ascii="Calibri" w:hAnsi="Calibri" w:cs="Calibri"/>
          <w:b/>
          <w:bCs/>
          <w:sz w:val="18"/>
        </w:rPr>
        <w:t>16</w:t>
      </w:r>
      <w:r w:rsidRPr="003F3ABB">
        <w:rPr>
          <w:rFonts w:ascii="Calibri" w:hAnsi="Calibri" w:cs="Calibri"/>
          <w:sz w:val="18"/>
        </w:rPr>
        <w:t>, 5738–5752.</w:t>
      </w:r>
    </w:p>
    <w:p w14:paraId="646F5B1A"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25</w:t>
      </w:r>
      <w:r w:rsidRPr="003F3ABB">
        <w:rPr>
          <w:rFonts w:ascii="Calibri" w:hAnsi="Calibri" w:cs="Calibri"/>
          <w:sz w:val="18"/>
        </w:rPr>
        <w:tab/>
        <w:t xml:space="preserve">E. W. Peterson and C. M. Wicks, Assessing the importance of conduit geometry and physical parameters in karst systems using the storm water management model (SWMM), </w:t>
      </w:r>
      <w:r w:rsidRPr="003F3ABB">
        <w:rPr>
          <w:rFonts w:ascii="Calibri" w:hAnsi="Calibri" w:cs="Calibri"/>
          <w:i/>
          <w:iCs/>
          <w:sz w:val="18"/>
        </w:rPr>
        <w:t>J. Hydrol.</w:t>
      </w:r>
      <w:r w:rsidRPr="003F3ABB">
        <w:rPr>
          <w:rFonts w:ascii="Calibri" w:hAnsi="Calibri" w:cs="Calibri"/>
          <w:sz w:val="18"/>
        </w:rPr>
        <w:t xml:space="preserve">, 2006, </w:t>
      </w:r>
      <w:r w:rsidRPr="003F3ABB">
        <w:rPr>
          <w:rFonts w:ascii="Calibri" w:hAnsi="Calibri" w:cs="Calibri"/>
          <w:b/>
          <w:bCs/>
          <w:sz w:val="18"/>
        </w:rPr>
        <w:t>329</w:t>
      </w:r>
      <w:r w:rsidRPr="003F3ABB">
        <w:rPr>
          <w:rFonts w:ascii="Calibri" w:hAnsi="Calibri" w:cs="Calibri"/>
          <w:sz w:val="18"/>
        </w:rPr>
        <w:t>, 294–305.</w:t>
      </w:r>
    </w:p>
    <w:p w14:paraId="1F06EB82"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26</w:t>
      </w:r>
      <w:r w:rsidRPr="003F3ABB">
        <w:rPr>
          <w:rFonts w:ascii="Calibri" w:hAnsi="Calibri" w:cs="Calibri"/>
          <w:sz w:val="18"/>
        </w:rPr>
        <w:tab/>
        <w:t xml:space="preserve">Atsuyuki Okabe, Barry Boots, Kokichi Sugihara and Sung Nok Chiu, </w:t>
      </w:r>
      <w:r w:rsidRPr="003F3ABB">
        <w:rPr>
          <w:rFonts w:ascii="Calibri" w:hAnsi="Calibri" w:cs="Calibri"/>
          <w:i/>
          <w:iCs/>
          <w:sz w:val="18"/>
        </w:rPr>
        <w:t>Spatial Tessellations: Concepts and Applications of Voronoi Diagrams, 2nd Edition</w:t>
      </w:r>
      <w:r w:rsidRPr="003F3ABB">
        <w:rPr>
          <w:rFonts w:ascii="Calibri" w:hAnsi="Calibri" w:cs="Calibri"/>
          <w:sz w:val="18"/>
        </w:rPr>
        <w:t>, Chichester, UK: John Wiley &amp; Sons., 2000.</w:t>
      </w:r>
    </w:p>
    <w:p w14:paraId="6785A5C1"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27</w:t>
      </w:r>
      <w:r w:rsidRPr="003F3ABB">
        <w:rPr>
          <w:rFonts w:ascii="Calibri" w:hAnsi="Calibri" w:cs="Calibri"/>
          <w:sz w:val="18"/>
        </w:rPr>
        <w:tab/>
        <w:t xml:space="preserve">K. G. Hopkins, D. J. Bain and E. M. Copeland, Reconstruction of a century of landscape modification and hydrologic change in a small urban watershed in Pittsburgh, PA, </w:t>
      </w:r>
      <w:r w:rsidRPr="003F3ABB">
        <w:rPr>
          <w:rFonts w:ascii="Calibri" w:hAnsi="Calibri" w:cs="Calibri"/>
          <w:i/>
          <w:iCs/>
          <w:sz w:val="18"/>
        </w:rPr>
        <w:t>Landsc. Ecol.</w:t>
      </w:r>
      <w:r w:rsidRPr="003F3ABB">
        <w:rPr>
          <w:rFonts w:ascii="Calibri" w:hAnsi="Calibri" w:cs="Calibri"/>
          <w:sz w:val="18"/>
        </w:rPr>
        <w:t xml:space="preserve">, 2014, </w:t>
      </w:r>
      <w:r w:rsidRPr="003F3ABB">
        <w:rPr>
          <w:rFonts w:ascii="Calibri" w:hAnsi="Calibri" w:cs="Calibri"/>
          <w:b/>
          <w:bCs/>
          <w:sz w:val="18"/>
        </w:rPr>
        <w:t>29</w:t>
      </w:r>
      <w:r w:rsidRPr="003F3ABB">
        <w:rPr>
          <w:rFonts w:ascii="Calibri" w:hAnsi="Calibri" w:cs="Calibri"/>
          <w:sz w:val="18"/>
        </w:rPr>
        <w:t>, 413–424.</w:t>
      </w:r>
    </w:p>
    <w:p w14:paraId="0D34BA8D"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28</w:t>
      </w:r>
      <w:r w:rsidRPr="003F3ABB">
        <w:rPr>
          <w:rFonts w:ascii="Calibri" w:hAnsi="Calibri" w:cs="Calibri"/>
          <w:sz w:val="18"/>
        </w:rPr>
        <w:tab/>
        <w:t xml:space="preserve">Allegheny County Division of Computer Services Geographic Information Systems Group, </w:t>
      </w:r>
      <w:r w:rsidRPr="003F3ABB">
        <w:rPr>
          <w:rFonts w:ascii="Calibri" w:hAnsi="Calibri" w:cs="Calibri"/>
          <w:i/>
          <w:iCs/>
          <w:sz w:val="18"/>
        </w:rPr>
        <w:t>Allegheny County Boundary</w:t>
      </w:r>
      <w:r w:rsidRPr="003F3ABB">
        <w:rPr>
          <w:rFonts w:ascii="Calibri" w:hAnsi="Calibri" w:cs="Calibri"/>
          <w:sz w:val="18"/>
        </w:rPr>
        <w:t>, 2016.</w:t>
      </w:r>
    </w:p>
    <w:p w14:paraId="3AE57A1B"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29</w:t>
      </w:r>
      <w:r w:rsidRPr="003F3ABB">
        <w:rPr>
          <w:rFonts w:ascii="Calibri" w:hAnsi="Calibri" w:cs="Calibri"/>
          <w:sz w:val="18"/>
        </w:rPr>
        <w:tab/>
        <w:t xml:space="preserve">Pennsylvania Department of Transportation, Bureau of Planning and Research, Cartographic Information Division, </w:t>
      </w:r>
      <w:r w:rsidRPr="003F3ABB">
        <w:rPr>
          <w:rFonts w:ascii="Calibri" w:hAnsi="Calibri" w:cs="Calibri"/>
          <w:i/>
          <w:iCs/>
          <w:sz w:val="18"/>
        </w:rPr>
        <w:t>PennDOT - Pennsylvania County Boundaries</w:t>
      </w:r>
      <w:r w:rsidRPr="003F3ABB">
        <w:rPr>
          <w:rFonts w:ascii="Calibri" w:hAnsi="Calibri" w:cs="Calibri"/>
          <w:sz w:val="18"/>
        </w:rPr>
        <w:t>, Harrisburg, PA, 2020.</w:t>
      </w:r>
    </w:p>
    <w:p w14:paraId="108A3135"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30</w:t>
      </w:r>
      <w:r w:rsidRPr="003F3ABB">
        <w:rPr>
          <w:rFonts w:ascii="Calibri" w:hAnsi="Calibri" w:cs="Calibri"/>
          <w:sz w:val="18"/>
        </w:rPr>
        <w:tab/>
        <w:t xml:space="preserve">Allegheny County Division of Computer Services Geographic Information Systems Group, </w:t>
      </w:r>
      <w:r w:rsidRPr="003F3ABB">
        <w:rPr>
          <w:rFonts w:ascii="Calibri" w:hAnsi="Calibri" w:cs="Calibri"/>
          <w:i/>
          <w:iCs/>
          <w:sz w:val="18"/>
        </w:rPr>
        <w:t>Allegheny County Lidar and Terrain Products</w:t>
      </w:r>
      <w:r w:rsidRPr="003F3ABB">
        <w:rPr>
          <w:rFonts w:ascii="Calibri" w:hAnsi="Calibri" w:cs="Calibri"/>
          <w:sz w:val="18"/>
        </w:rPr>
        <w:t>, 2017.</w:t>
      </w:r>
    </w:p>
    <w:p w14:paraId="208E781A"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31</w:t>
      </w:r>
      <w:r w:rsidRPr="003F3ABB">
        <w:rPr>
          <w:rFonts w:ascii="Calibri" w:hAnsi="Calibri" w:cs="Calibri"/>
          <w:sz w:val="18"/>
        </w:rPr>
        <w:tab/>
        <w:t>3 Rivers Wet Weather (3RWW), Rain Gauge and Calibrated Radar Rainfall Data, https://www.3riverswetweather.org/municipalities/calibrated-radar-rainfall-data.</w:t>
      </w:r>
    </w:p>
    <w:p w14:paraId="14A2399E" w14:textId="59F517C5"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32</w:t>
      </w:r>
      <w:r w:rsidRPr="003F3ABB">
        <w:rPr>
          <w:rFonts w:ascii="Calibri" w:hAnsi="Calibri" w:cs="Calibri"/>
          <w:sz w:val="18"/>
        </w:rPr>
        <w:tab/>
        <w:t>Allegheny County Sanitary Authority (ALCOSAN). (2020, March)., Conveyance and Treatment System with Regional Collection Syetem Outfalls, Retrieved from https://www.alcosan.org/docs/default-source/system-mapping/sanitary-sewer_-combined-sewer_outfalls_36x24_march2020.pdf</w:t>
      </w:r>
    </w:p>
    <w:p w14:paraId="2E891068"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33</w:t>
      </w:r>
      <w:r w:rsidRPr="003F3ABB">
        <w:rPr>
          <w:rFonts w:ascii="Calibri" w:hAnsi="Calibri" w:cs="Calibri"/>
          <w:sz w:val="18"/>
        </w:rPr>
        <w:tab/>
        <w:t xml:space="preserve">U.S. Geological Survey, </w:t>
      </w:r>
      <w:r w:rsidRPr="003F3ABB">
        <w:rPr>
          <w:rFonts w:ascii="Calibri" w:hAnsi="Calibri" w:cs="Calibri"/>
          <w:i/>
          <w:iCs/>
          <w:sz w:val="18"/>
        </w:rPr>
        <w:t>NLCD 2001 Land Cover (2011 Edition, amended 2014) - National Geospatial Data Asset (NGDA) Land Use Land Cover</w:t>
      </w:r>
      <w:r w:rsidRPr="003F3ABB">
        <w:rPr>
          <w:rFonts w:ascii="Calibri" w:hAnsi="Calibri" w:cs="Calibri"/>
          <w:sz w:val="18"/>
        </w:rPr>
        <w:t>, 2014.</w:t>
      </w:r>
    </w:p>
    <w:p w14:paraId="5B472D7C"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34</w:t>
      </w:r>
      <w:r w:rsidRPr="003F3ABB">
        <w:rPr>
          <w:rFonts w:ascii="Calibri" w:hAnsi="Calibri" w:cs="Calibri"/>
          <w:sz w:val="18"/>
        </w:rPr>
        <w:tab/>
        <w:t xml:space="preserve">U.S. Geological Survey, </w:t>
      </w:r>
      <w:r w:rsidRPr="003F3ABB">
        <w:rPr>
          <w:rFonts w:ascii="Calibri" w:hAnsi="Calibri" w:cs="Calibri"/>
          <w:i/>
          <w:iCs/>
          <w:sz w:val="18"/>
        </w:rPr>
        <w:t>USGS EROS Archive - Digital Elevation - Shuttle Radar Topography Mission (SRTM) 1 Arc-Second Global</w:t>
      </w:r>
      <w:r w:rsidRPr="003F3ABB">
        <w:rPr>
          <w:rFonts w:ascii="Calibri" w:hAnsi="Calibri" w:cs="Calibri"/>
          <w:sz w:val="18"/>
        </w:rPr>
        <w:t>, 2014.</w:t>
      </w:r>
    </w:p>
    <w:p w14:paraId="54A8E7BB"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35</w:t>
      </w:r>
      <w:r w:rsidRPr="003F3ABB">
        <w:rPr>
          <w:rFonts w:ascii="Calibri" w:hAnsi="Calibri" w:cs="Calibri"/>
          <w:sz w:val="18"/>
        </w:rPr>
        <w:tab/>
        <w:t xml:space="preserve">L. A. Rossman and Wayne C. Huber, </w:t>
      </w:r>
      <w:r w:rsidRPr="003F3ABB">
        <w:rPr>
          <w:rFonts w:ascii="Calibri" w:hAnsi="Calibri" w:cs="Calibri"/>
          <w:i/>
          <w:iCs/>
          <w:sz w:val="18"/>
        </w:rPr>
        <w:t>Storm Water Management Model Reference Manual Volume I – Hydrology</w:t>
      </w:r>
      <w:r w:rsidRPr="003F3ABB">
        <w:rPr>
          <w:rFonts w:ascii="Calibri" w:hAnsi="Calibri" w:cs="Calibri"/>
          <w:sz w:val="18"/>
        </w:rPr>
        <w:t>, US EPA Office of Research and Development, Washington, DC, EPA/600/R-15/162A, 2016.</w:t>
      </w:r>
    </w:p>
    <w:p w14:paraId="6ECECA2C"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36</w:t>
      </w:r>
      <w:r w:rsidRPr="003F3ABB">
        <w:rPr>
          <w:rFonts w:ascii="Calibri" w:hAnsi="Calibri" w:cs="Calibri"/>
          <w:sz w:val="18"/>
        </w:rPr>
        <w:tab/>
        <w:t xml:space="preserve">L. A. Rossman, </w:t>
      </w:r>
      <w:r w:rsidRPr="003F3ABB">
        <w:rPr>
          <w:rFonts w:ascii="Calibri" w:hAnsi="Calibri" w:cs="Calibri"/>
          <w:i/>
          <w:iCs/>
          <w:sz w:val="18"/>
        </w:rPr>
        <w:t>Storm Water Management Model Reference Manual Volume II – Hydraulics</w:t>
      </w:r>
      <w:r w:rsidRPr="003F3ABB">
        <w:rPr>
          <w:rFonts w:ascii="Calibri" w:hAnsi="Calibri" w:cs="Calibri"/>
          <w:sz w:val="18"/>
        </w:rPr>
        <w:t>, U.S. Environmental Protection Agency, Washington, DC, EPA/600/R-17/111, 2017.</w:t>
      </w:r>
    </w:p>
    <w:p w14:paraId="0E2EE0A4"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37</w:t>
      </w:r>
      <w:r w:rsidRPr="003F3ABB">
        <w:rPr>
          <w:rFonts w:ascii="Calibri" w:hAnsi="Calibri" w:cs="Calibri"/>
          <w:sz w:val="18"/>
        </w:rPr>
        <w:tab/>
        <w:t xml:space="preserve">Esri Inc, </w:t>
      </w:r>
      <w:r w:rsidRPr="003F3ABB">
        <w:rPr>
          <w:rFonts w:ascii="Calibri" w:hAnsi="Calibri" w:cs="Calibri"/>
          <w:i/>
          <w:iCs/>
          <w:sz w:val="18"/>
        </w:rPr>
        <w:t>ArcMap (version 10.5.1)</w:t>
      </w:r>
      <w:r w:rsidRPr="003F3ABB">
        <w:rPr>
          <w:rFonts w:ascii="Calibri" w:hAnsi="Calibri" w:cs="Calibri"/>
          <w:sz w:val="18"/>
        </w:rPr>
        <w:t>, Redlands, CA: Esri Inc, 2016.</w:t>
      </w:r>
    </w:p>
    <w:p w14:paraId="376CA15C"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38</w:t>
      </w:r>
      <w:r w:rsidRPr="003F3ABB">
        <w:rPr>
          <w:rFonts w:ascii="Calibri" w:hAnsi="Calibri" w:cs="Calibri"/>
          <w:sz w:val="18"/>
        </w:rPr>
        <w:tab/>
        <w:t xml:space="preserve">K. E. Brassel and D. Reif, A Procedure to Generate Thiessen Polygons, </w:t>
      </w:r>
      <w:r w:rsidRPr="003F3ABB">
        <w:rPr>
          <w:rFonts w:ascii="Calibri" w:hAnsi="Calibri" w:cs="Calibri"/>
          <w:i/>
          <w:iCs/>
          <w:sz w:val="18"/>
        </w:rPr>
        <w:t>Geogr. Anal.</w:t>
      </w:r>
      <w:r w:rsidRPr="003F3ABB">
        <w:rPr>
          <w:rFonts w:ascii="Calibri" w:hAnsi="Calibri" w:cs="Calibri"/>
          <w:sz w:val="18"/>
        </w:rPr>
        <w:t xml:space="preserve">, 2010, </w:t>
      </w:r>
      <w:r w:rsidRPr="003F3ABB">
        <w:rPr>
          <w:rFonts w:ascii="Calibri" w:hAnsi="Calibri" w:cs="Calibri"/>
          <w:b/>
          <w:bCs/>
          <w:sz w:val="18"/>
        </w:rPr>
        <w:t>11</w:t>
      </w:r>
      <w:r w:rsidRPr="003F3ABB">
        <w:rPr>
          <w:rFonts w:ascii="Calibri" w:hAnsi="Calibri" w:cs="Calibri"/>
          <w:sz w:val="18"/>
        </w:rPr>
        <w:t>, 289–303.</w:t>
      </w:r>
    </w:p>
    <w:p w14:paraId="5D771F96"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39</w:t>
      </w:r>
      <w:r w:rsidRPr="003F3ABB">
        <w:rPr>
          <w:rFonts w:ascii="Calibri" w:hAnsi="Calibri" w:cs="Calibri"/>
          <w:sz w:val="18"/>
        </w:rPr>
        <w:tab/>
        <w:t xml:space="preserve">U.S. EPA, </w:t>
      </w:r>
      <w:r w:rsidRPr="003F3ABB">
        <w:rPr>
          <w:rFonts w:ascii="Calibri" w:hAnsi="Calibri" w:cs="Calibri"/>
          <w:i/>
          <w:iCs/>
          <w:sz w:val="18"/>
        </w:rPr>
        <w:t>Estimating Change in Impervious Area (IA) and Directly Connected Impervious Areas (DCIA) for Massachusetts Small MS4 Permit</w:t>
      </w:r>
      <w:r w:rsidRPr="003F3ABB">
        <w:rPr>
          <w:rFonts w:ascii="Calibri" w:hAnsi="Calibri" w:cs="Calibri"/>
          <w:sz w:val="18"/>
        </w:rPr>
        <w:t>, Boston, MA, 2014.</w:t>
      </w:r>
    </w:p>
    <w:p w14:paraId="3E039D2D"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40</w:t>
      </w:r>
      <w:r w:rsidRPr="003F3ABB">
        <w:rPr>
          <w:rFonts w:ascii="Calibri" w:hAnsi="Calibri" w:cs="Calibri"/>
          <w:sz w:val="18"/>
        </w:rPr>
        <w:tab/>
        <w:t xml:space="preserve">R. E. Horton, An Approach Toward a Physical Interpretation of Infiltration-Capacity, </w:t>
      </w:r>
      <w:r w:rsidRPr="003F3ABB">
        <w:rPr>
          <w:rFonts w:ascii="Calibri" w:hAnsi="Calibri" w:cs="Calibri"/>
          <w:i/>
          <w:iCs/>
          <w:sz w:val="18"/>
        </w:rPr>
        <w:t>Soil Sci. Soc. Am. J.</w:t>
      </w:r>
      <w:r w:rsidRPr="003F3ABB">
        <w:rPr>
          <w:rFonts w:ascii="Calibri" w:hAnsi="Calibri" w:cs="Calibri"/>
          <w:sz w:val="18"/>
        </w:rPr>
        <w:t xml:space="preserve">, 1941, </w:t>
      </w:r>
      <w:r w:rsidRPr="003F3ABB">
        <w:rPr>
          <w:rFonts w:ascii="Calibri" w:hAnsi="Calibri" w:cs="Calibri"/>
          <w:b/>
          <w:bCs/>
          <w:sz w:val="18"/>
        </w:rPr>
        <w:t>5</w:t>
      </w:r>
      <w:r w:rsidRPr="003F3ABB">
        <w:rPr>
          <w:rFonts w:ascii="Calibri" w:hAnsi="Calibri" w:cs="Calibri"/>
          <w:sz w:val="18"/>
        </w:rPr>
        <w:t>, 399–417.</w:t>
      </w:r>
    </w:p>
    <w:p w14:paraId="2BB19F77"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41</w:t>
      </w:r>
      <w:r w:rsidRPr="003F3ABB">
        <w:rPr>
          <w:rFonts w:ascii="Calibri" w:hAnsi="Calibri" w:cs="Calibri"/>
          <w:sz w:val="18"/>
        </w:rPr>
        <w:tab/>
        <w:t xml:space="preserve">American Society of Civil Engineers and Water Environment Federation, </w:t>
      </w:r>
      <w:r w:rsidRPr="003F3ABB">
        <w:rPr>
          <w:rFonts w:ascii="Calibri" w:hAnsi="Calibri" w:cs="Calibri"/>
          <w:i/>
          <w:iCs/>
          <w:sz w:val="18"/>
        </w:rPr>
        <w:t>Design and Construction of Urban Stormwater Management Systems</w:t>
      </w:r>
      <w:r w:rsidRPr="003F3ABB">
        <w:rPr>
          <w:rFonts w:ascii="Calibri" w:hAnsi="Calibri" w:cs="Calibri"/>
          <w:sz w:val="18"/>
        </w:rPr>
        <w:t>, Reston, VA, 2018.</w:t>
      </w:r>
    </w:p>
    <w:p w14:paraId="583F6315"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lastRenderedPageBreak/>
        <w:t>42</w:t>
      </w:r>
      <w:r w:rsidRPr="003F3ABB">
        <w:rPr>
          <w:rFonts w:ascii="Calibri" w:hAnsi="Calibri" w:cs="Calibri"/>
          <w:sz w:val="18"/>
        </w:rPr>
        <w:tab/>
        <w:t xml:space="preserve">P. Bizier, Ed., </w:t>
      </w:r>
      <w:r w:rsidRPr="003F3ABB">
        <w:rPr>
          <w:rFonts w:ascii="Calibri" w:hAnsi="Calibri" w:cs="Calibri"/>
          <w:i/>
          <w:iCs/>
          <w:sz w:val="18"/>
        </w:rPr>
        <w:t>Gravity sanitary sewer design and construction</w:t>
      </w:r>
      <w:r w:rsidRPr="003F3ABB">
        <w:rPr>
          <w:rFonts w:ascii="Calibri" w:hAnsi="Calibri" w:cs="Calibri"/>
          <w:sz w:val="18"/>
        </w:rPr>
        <w:t>, American Society of Civil Engineers: Environmental &amp; Water Resources Institute; Water Environment Federation, Reston, Va., 2nd ed., 2007.</w:t>
      </w:r>
    </w:p>
    <w:p w14:paraId="12C90814"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43</w:t>
      </w:r>
      <w:r w:rsidRPr="003F3ABB">
        <w:rPr>
          <w:rFonts w:ascii="Calibri" w:hAnsi="Calibri" w:cs="Calibri"/>
          <w:sz w:val="18"/>
        </w:rPr>
        <w:tab/>
        <w:t xml:space="preserve">A. Saltelli, S. Tarantola and F. Campolongo, Sensitivity Analysis as an Ingredient of Modeling, </w:t>
      </w:r>
      <w:r w:rsidRPr="003F3ABB">
        <w:rPr>
          <w:rFonts w:ascii="Calibri" w:hAnsi="Calibri" w:cs="Calibri"/>
          <w:i/>
          <w:iCs/>
          <w:sz w:val="18"/>
        </w:rPr>
        <w:t>Stat. Sci.</w:t>
      </w:r>
      <w:r w:rsidRPr="003F3ABB">
        <w:rPr>
          <w:rFonts w:ascii="Calibri" w:hAnsi="Calibri" w:cs="Calibri"/>
          <w:sz w:val="18"/>
        </w:rPr>
        <w:t xml:space="preserve">, 2000, </w:t>
      </w:r>
      <w:r w:rsidRPr="003F3ABB">
        <w:rPr>
          <w:rFonts w:ascii="Calibri" w:hAnsi="Calibri" w:cs="Calibri"/>
          <w:b/>
          <w:bCs/>
          <w:sz w:val="18"/>
        </w:rPr>
        <w:t>15</w:t>
      </w:r>
      <w:r w:rsidRPr="003F3ABB">
        <w:rPr>
          <w:rFonts w:ascii="Calibri" w:hAnsi="Calibri" w:cs="Calibri"/>
          <w:sz w:val="18"/>
        </w:rPr>
        <w:t>, 377–395.</w:t>
      </w:r>
    </w:p>
    <w:p w14:paraId="4547ACE0"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44</w:t>
      </w:r>
      <w:r w:rsidRPr="003F3ABB">
        <w:rPr>
          <w:rFonts w:ascii="Calibri" w:hAnsi="Calibri" w:cs="Calibri"/>
          <w:sz w:val="18"/>
        </w:rPr>
        <w:tab/>
        <w:t xml:space="preserve">M. D. Mckay, R. J. Beckman and W. J. Conover, A Comparison of Three Methods for Selecting Values of Input Variables in the Analysis of Output from a Computer Code, </w:t>
      </w:r>
      <w:r w:rsidRPr="003F3ABB">
        <w:rPr>
          <w:rFonts w:ascii="Calibri" w:hAnsi="Calibri" w:cs="Calibri"/>
          <w:i/>
          <w:iCs/>
          <w:sz w:val="18"/>
        </w:rPr>
        <w:t>Technometrics</w:t>
      </w:r>
      <w:r w:rsidRPr="003F3ABB">
        <w:rPr>
          <w:rFonts w:ascii="Calibri" w:hAnsi="Calibri" w:cs="Calibri"/>
          <w:sz w:val="18"/>
        </w:rPr>
        <w:t xml:space="preserve">, 2000, </w:t>
      </w:r>
      <w:r w:rsidRPr="003F3ABB">
        <w:rPr>
          <w:rFonts w:ascii="Calibri" w:hAnsi="Calibri" w:cs="Calibri"/>
          <w:b/>
          <w:bCs/>
          <w:sz w:val="18"/>
        </w:rPr>
        <w:t>42</w:t>
      </w:r>
      <w:r w:rsidRPr="003F3ABB">
        <w:rPr>
          <w:rFonts w:ascii="Calibri" w:hAnsi="Calibri" w:cs="Calibri"/>
          <w:sz w:val="18"/>
        </w:rPr>
        <w:t>, 55–61.</w:t>
      </w:r>
    </w:p>
    <w:p w14:paraId="69BFDD65"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45</w:t>
      </w:r>
      <w:r w:rsidRPr="003F3ABB">
        <w:rPr>
          <w:rFonts w:ascii="Calibri" w:hAnsi="Calibri" w:cs="Calibri"/>
          <w:sz w:val="18"/>
        </w:rPr>
        <w:tab/>
        <w:t xml:space="preserve">C. Spearman, ‘General Intelligence,’ Objectively Determined and Measured, </w:t>
      </w:r>
      <w:r w:rsidRPr="003F3ABB">
        <w:rPr>
          <w:rFonts w:ascii="Calibri" w:hAnsi="Calibri" w:cs="Calibri"/>
          <w:i/>
          <w:iCs/>
          <w:sz w:val="18"/>
        </w:rPr>
        <w:t>Am. J. Psychol.</w:t>
      </w:r>
      <w:r w:rsidRPr="003F3ABB">
        <w:rPr>
          <w:rFonts w:ascii="Calibri" w:hAnsi="Calibri" w:cs="Calibri"/>
          <w:sz w:val="18"/>
        </w:rPr>
        <w:t xml:space="preserve">, 1904, </w:t>
      </w:r>
      <w:r w:rsidRPr="003F3ABB">
        <w:rPr>
          <w:rFonts w:ascii="Calibri" w:hAnsi="Calibri" w:cs="Calibri"/>
          <w:b/>
          <w:bCs/>
          <w:sz w:val="18"/>
        </w:rPr>
        <w:t>15</w:t>
      </w:r>
      <w:r w:rsidRPr="003F3ABB">
        <w:rPr>
          <w:rFonts w:ascii="Calibri" w:hAnsi="Calibri" w:cs="Calibri"/>
          <w:sz w:val="18"/>
        </w:rPr>
        <w:t>, 201–292.</w:t>
      </w:r>
    </w:p>
    <w:p w14:paraId="009D6B99"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46</w:t>
      </w:r>
      <w:r w:rsidRPr="003F3ABB">
        <w:rPr>
          <w:rFonts w:ascii="Calibri" w:hAnsi="Calibri" w:cs="Calibri"/>
          <w:sz w:val="18"/>
        </w:rPr>
        <w:tab/>
        <w:t xml:space="preserve">J. Cohen, A Coefficient of Agreement for Nominal Scales, </w:t>
      </w:r>
      <w:r w:rsidRPr="003F3ABB">
        <w:rPr>
          <w:rFonts w:ascii="Calibri" w:hAnsi="Calibri" w:cs="Calibri"/>
          <w:i/>
          <w:iCs/>
          <w:sz w:val="18"/>
        </w:rPr>
        <w:t>Educ. Psychol. Meas.</w:t>
      </w:r>
      <w:r w:rsidRPr="003F3ABB">
        <w:rPr>
          <w:rFonts w:ascii="Calibri" w:hAnsi="Calibri" w:cs="Calibri"/>
          <w:sz w:val="18"/>
        </w:rPr>
        <w:t xml:space="preserve">, 1960, </w:t>
      </w:r>
      <w:r w:rsidRPr="003F3ABB">
        <w:rPr>
          <w:rFonts w:ascii="Calibri" w:hAnsi="Calibri" w:cs="Calibri"/>
          <w:b/>
          <w:bCs/>
          <w:sz w:val="18"/>
        </w:rPr>
        <w:t>20</w:t>
      </w:r>
      <w:r w:rsidRPr="003F3ABB">
        <w:rPr>
          <w:rFonts w:ascii="Calibri" w:hAnsi="Calibri" w:cs="Calibri"/>
          <w:sz w:val="18"/>
        </w:rPr>
        <w:t>, 37–46.</w:t>
      </w:r>
    </w:p>
    <w:p w14:paraId="32358262"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47</w:t>
      </w:r>
      <w:r w:rsidRPr="003F3ABB">
        <w:rPr>
          <w:rFonts w:ascii="Calibri" w:hAnsi="Calibri" w:cs="Calibri"/>
          <w:sz w:val="18"/>
        </w:rPr>
        <w:tab/>
        <w:t xml:space="preserve">R. H. McCuen, Z. Knight and A. G. Cutter, Evaluation of the Nash–Sutcliffe Efficiency Index, </w:t>
      </w:r>
      <w:r w:rsidRPr="003F3ABB">
        <w:rPr>
          <w:rFonts w:ascii="Calibri" w:hAnsi="Calibri" w:cs="Calibri"/>
          <w:i/>
          <w:iCs/>
          <w:sz w:val="18"/>
        </w:rPr>
        <w:t>J. Hydrol. Eng.</w:t>
      </w:r>
      <w:r w:rsidRPr="003F3ABB">
        <w:rPr>
          <w:rFonts w:ascii="Calibri" w:hAnsi="Calibri" w:cs="Calibri"/>
          <w:sz w:val="18"/>
        </w:rPr>
        <w:t xml:space="preserve">, 2006, </w:t>
      </w:r>
      <w:r w:rsidRPr="003F3ABB">
        <w:rPr>
          <w:rFonts w:ascii="Calibri" w:hAnsi="Calibri" w:cs="Calibri"/>
          <w:b/>
          <w:bCs/>
          <w:sz w:val="18"/>
        </w:rPr>
        <w:t>11</w:t>
      </w:r>
      <w:r w:rsidRPr="003F3ABB">
        <w:rPr>
          <w:rFonts w:ascii="Calibri" w:hAnsi="Calibri" w:cs="Calibri"/>
          <w:sz w:val="18"/>
        </w:rPr>
        <w:t>, 597–602.</w:t>
      </w:r>
    </w:p>
    <w:p w14:paraId="49D7AD1D"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48</w:t>
      </w:r>
      <w:r w:rsidRPr="003F3ABB">
        <w:rPr>
          <w:rFonts w:ascii="Calibri" w:hAnsi="Calibri" w:cs="Calibri"/>
          <w:sz w:val="18"/>
        </w:rPr>
        <w:tab/>
        <w:t xml:space="preserve">X. M. Zhu, B. Huang, S. D. Wang, J. L. Zheng, B. Yao and S. Chen, Research for Combined Drainage Networks in Chuanfang River Basin of Kunming City Based on SWMM, </w:t>
      </w:r>
      <w:r w:rsidRPr="003F3ABB">
        <w:rPr>
          <w:rFonts w:ascii="Calibri" w:hAnsi="Calibri" w:cs="Calibri"/>
          <w:i/>
          <w:iCs/>
          <w:sz w:val="18"/>
        </w:rPr>
        <w:t>Appl. Mech. Mater.</w:t>
      </w:r>
      <w:r w:rsidRPr="003F3ABB">
        <w:rPr>
          <w:rFonts w:ascii="Calibri" w:hAnsi="Calibri" w:cs="Calibri"/>
          <w:sz w:val="18"/>
        </w:rPr>
        <w:t xml:space="preserve">, 2012, </w:t>
      </w:r>
      <w:r w:rsidRPr="003F3ABB">
        <w:rPr>
          <w:rFonts w:ascii="Calibri" w:hAnsi="Calibri" w:cs="Calibri"/>
          <w:b/>
          <w:bCs/>
          <w:sz w:val="18"/>
        </w:rPr>
        <w:t>170–173</w:t>
      </w:r>
      <w:r w:rsidRPr="003F3ABB">
        <w:rPr>
          <w:rFonts w:ascii="Calibri" w:hAnsi="Calibri" w:cs="Calibri"/>
          <w:sz w:val="18"/>
        </w:rPr>
        <w:t>, 2380–2385.</w:t>
      </w:r>
    </w:p>
    <w:p w14:paraId="721909C3" w14:textId="77777777" w:rsidR="003F3ABB" w:rsidRPr="003F3ABB" w:rsidRDefault="003F3ABB" w:rsidP="00AF1C8B">
      <w:pPr>
        <w:pStyle w:val="Bibliography"/>
        <w:spacing w:line="480" w:lineRule="auto"/>
        <w:rPr>
          <w:rFonts w:ascii="Calibri" w:hAnsi="Calibri" w:cs="Calibri"/>
          <w:sz w:val="18"/>
        </w:rPr>
      </w:pPr>
      <w:r w:rsidRPr="003F3ABB">
        <w:rPr>
          <w:rFonts w:ascii="Calibri" w:hAnsi="Calibri" w:cs="Calibri"/>
          <w:sz w:val="18"/>
        </w:rPr>
        <w:t>49</w:t>
      </w:r>
      <w:r w:rsidRPr="003F3ABB">
        <w:rPr>
          <w:rFonts w:ascii="Calibri" w:hAnsi="Calibri" w:cs="Calibri"/>
          <w:sz w:val="18"/>
        </w:rPr>
        <w:tab/>
        <w:t xml:space="preserve">M. K. Muleta, J. McMillan, G. G. Amenu and S. J. Burian, Bayesian Approach for Uncertainty Analysis of an Urban Storm Water Model and Its Application to a Heavily Urbanized Watershed, </w:t>
      </w:r>
      <w:r w:rsidRPr="003F3ABB">
        <w:rPr>
          <w:rFonts w:ascii="Calibri" w:hAnsi="Calibri" w:cs="Calibri"/>
          <w:i/>
          <w:iCs/>
          <w:sz w:val="18"/>
        </w:rPr>
        <w:t>J. Hydrol. Eng.</w:t>
      </w:r>
      <w:r w:rsidRPr="003F3ABB">
        <w:rPr>
          <w:rFonts w:ascii="Calibri" w:hAnsi="Calibri" w:cs="Calibri"/>
          <w:sz w:val="18"/>
        </w:rPr>
        <w:t xml:space="preserve">, 2013, </w:t>
      </w:r>
      <w:r w:rsidRPr="003F3ABB">
        <w:rPr>
          <w:rFonts w:ascii="Calibri" w:hAnsi="Calibri" w:cs="Calibri"/>
          <w:b/>
          <w:bCs/>
          <w:sz w:val="18"/>
        </w:rPr>
        <w:t>18</w:t>
      </w:r>
      <w:r w:rsidRPr="003F3ABB">
        <w:rPr>
          <w:rFonts w:ascii="Calibri" w:hAnsi="Calibri" w:cs="Calibri"/>
          <w:sz w:val="18"/>
        </w:rPr>
        <w:t>, 1360–1371.</w:t>
      </w:r>
    </w:p>
    <w:p w14:paraId="19DA55CB" w14:textId="51CB27DE" w:rsidR="007F3924" w:rsidRPr="003F3ABB" w:rsidRDefault="003F3ABB" w:rsidP="00AF1C8B">
      <w:pPr>
        <w:pStyle w:val="Bibliography"/>
        <w:spacing w:line="480" w:lineRule="auto"/>
        <w:rPr>
          <w:rFonts w:ascii="Calibri" w:hAnsi="Calibri" w:cs="Calibri"/>
        </w:rPr>
      </w:pPr>
      <w:r w:rsidRPr="003F3ABB">
        <w:rPr>
          <w:rFonts w:ascii="Calibri" w:hAnsi="Calibri" w:cs="Calibri"/>
          <w:sz w:val="18"/>
        </w:rPr>
        <w:t>50</w:t>
      </w:r>
      <w:r w:rsidRPr="003F3ABB">
        <w:rPr>
          <w:rFonts w:ascii="Calibri" w:hAnsi="Calibri" w:cs="Calibri"/>
          <w:sz w:val="18"/>
        </w:rPr>
        <w:tab/>
        <w:t xml:space="preserve">A. J. Viera and J. M. Garrett, Understanding Interobserver Agreement: The Kappa Statistic, </w:t>
      </w:r>
      <w:r w:rsidRPr="003F3ABB">
        <w:rPr>
          <w:rFonts w:ascii="Calibri" w:hAnsi="Calibri" w:cs="Calibri"/>
          <w:i/>
          <w:iCs/>
          <w:sz w:val="18"/>
        </w:rPr>
        <w:t>Fam. Med.</w:t>
      </w:r>
      <w:r w:rsidRPr="003F3ABB">
        <w:rPr>
          <w:rFonts w:ascii="Calibri" w:hAnsi="Calibri" w:cs="Calibri"/>
          <w:sz w:val="18"/>
        </w:rPr>
        <w:t xml:space="preserve">, 2005, </w:t>
      </w:r>
      <w:r w:rsidRPr="003F3ABB">
        <w:rPr>
          <w:rFonts w:ascii="Calibri" w:hAnsi="Calibri" w:cs="Calibri"/>
          <w:b/>
          <w:bCs/>
          <w:sz w:val="18"/>
        </w:rPr>
        <w:t>37</w:t>
      </w:r>
      <w:r w:rsidRPr="003F3ABB">
        <w:rPr>
          <w:rFonts w:ascii="Calibri" w:hAnsi="Calibri" w:cs="Calibri"/>
          <w:sz w:val="18"/>
        </w:rPr>
        <w:t>, 360–363.</w:t>
      </w:r>
      <w:r w:rsidRPr="003F3ABB">
        <w:rPr>
          <w:rFonts w:ascii="Calibri" w:hAnsi="Calibri" w:cs="Calibri"/>
          <w:sz w:val="18"/>
          <w:szCs w:val="18"/>
        </w:rPr>
        <w:fldChar w:fldCharType="end"/>
      </w:r>
    </w:p>
    <w:sectPr w:rsidR="007F3924" w:rsidRPr="003F3ABB" w:rsidSect="00445A76">
      <w:type w:val="continuous"/>
      <w:pgSz w:w="11907" w:h="16840" w:code="9"/>
      <w:pgMar w:top="1009" w:right="851" w:bottom="1758" w:left="851" w:header="851" w:footer="1049" w:gutter="0"/>
      <w:lnNumType w:countBy="1" w:restart="continuous"/>
      <w:cols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F2DCA5" w14:textId="77777777" w:rsidR="00431152" w:rsidRDefault="00431152" w:rsidP="003F3ABB">
      <w:pPr>
        <w:spacing w:after="0" w:line="240" w:lineRule="auto"/>
      </w:pPr>
      <w:r>
        <w:separator/>
      </w:r>
    </w:p>
  </w:endnote>
  <w:endnote w:type="continuationSeparator" w:id="0">
    <w:p w14:paraId="56F50D66" w14:textId="77777777" w:rsidR="00431152" w:rsidRDefault="00431152" w:rsidP="003F3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2020603050405020304"/>
    <w:charset w:val="00"/>
    <w:family w:val="roman"/>
    <w:pitch w:val="variable"/>
    <w:sig w:usb0="E0002AEF" w:usb1="C0007841" w:usb2="00000009" w:usb3="00000000" w:csb0="000001FF" w:csb1="00000000"/>
  </w:font>
  <w:font w:name="Italic">
    <w:panose1 w:val="020B0604020202020204"/>
    <w:charset w:val="00"/>
    <w:family w:val="auto"/>
    <w:pitch w:val="variable"/>
    <w:sig w:usb0="20002A87" w:usb1="00000000" w:usb2="00000000"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F8532C" w14:textId="77777777" w:rsidR="00431152" w:rsidRDefault="00431152" w:rsidP="003F3ABB">
      <w:pPr>
        <w:spacing w:after="0" w:line="240" w:lineRule="auto"/>
      </w:pPr>
      <w:r>
        <w:separator/>
      </w:r>
    </w:p>
  </w:footnote>
  <w:footnote w:type="continuationSeparator" w:id="0">
    <w:p w14:paraId="0A515EB3" w14:textId="77777777" w:rsidR="00431152" w:rsidRDefault="00431152" w:rsidP="003F3A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E4064A"/>
    <w:multiLevelType w:val="hybridMultilevel"/>
    <w:tmpl w:val="CFE8A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CB9"/>
    <w:rsid w:val="00002DB2"/>
    <w:rsid w:val="00012E06"/>
    <w:rsid w:val="00180F73"/>
    <w:rsid w:val="00181E6D"/>
    <w:rsid w:val="00194CB9"/>
    <w:rsid w:val="00391E07"/>
    <w:rsid w:val="003F3ABB"/>
    <w:rsid w:val="00431152"/>
    <w:rsid w:val="00445A76"/>
    <w:rsid w:val="004A7C3A"/>
    <w:rsid w:val="005E08C0"/>
    <w:rsid w:val="007F3924"/>
    <w:rsid w:val="00AF1C8B"/>
    <w:rsid w:val="00B37070"/>
    <w:rsid w:val="00BC0FB5"/>
    <w:rsid w:val="00BD0826"/>
    <w:rsid w:val="00CF6907"/>
    <w:rsid w:val="00D76DA2"/>
    <w:rsid w:val="00ED539D"/>
    <w:rsid w:val="00F70755"/>
    <w:rsid w:val="00FE22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D98C5"/>
  <w15:chartTrackingRefBased/>
  <w15:docId w15:val="{A3034DA6-9B5A-49C6-9AC5-11E102CE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3F3A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F3A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F3ABB"/>
    <w:pPr>
      <w:keepNext/>
      <w:keepLines/>
      <w:widowControl/>
      <w:spacing w:before="40" w:after="0" w:line="276" w:lineRule="auto"/>
      <w:jc w:val="left"/>
      <w:outlineLvl w:val="2"/>
    </w:pPr>
    <w:rPr>
      <w:rFonts w:asciiTheme="majorHAnsi" w:eastAsiaTheme="majorEastAsia" w:hAnsiTheme="majorHAnsi" w:cstheme="majorBidi"/>
      <w:color w:val="1F3763"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3ABB"/>
    <w:pPr>
      <w:tabs>
        <w:tab w:val="center" w:pos="4320"/>
        <w:tab w:val="right" w:pos="8640"/>
      </w:tabs>
      <w:spacing w:after="0" w:line="240" w:lineRule="auto"/>
    </w:pPr>
  </w:style>
  <w:style w:type="character" w:customStyle="1" w:styleId="HeaderChar">
    <w:name w:val="Header Char"/>
    <w:basedOn w:val="DefaultParagraphFont"/>
    <w:link w:val="Header"/>
    <w:uiPriority w:val="99"/>
    <w:rsid w:val="003F3ABB"/>
  </w:style>
  <w:style w:type="paragraph" w:styleId="Footer">
    <w:name w:val="footer"/>
    <w:basedOn w:val="Normal"/>
    <w:link w:val="FooterChar"/>
    <w:uiPriority w:val="99"/>
    <w:unhideWhenUsed/>
    <w:rsid w:val="003F3ABB"/>
    <w:pPr>
      <w:tabs>
        <w:tab w:val="center" w:pos="4320"/>
        <w:tab w:val="right" w:pos="8640"/>
      </w:tabs>
      <w:spacing w:after="0" w:line="240" w:lineRule="auto"/>
    </w:pPr>
  </w:style>
  <w:style w:type="character" w:customStyle="1" w:styleId="FooterChar">
    <w:name w:val="Footer Char"/>
    <w:basedOn w:val="DefaultParagraphFont"/>
    <w:link w:val="Footer"/>
    <w:uiPriority w:val="99"/>
    <w:rsid w:val="003F3ABB"/>
  </w:style>
  <w:style w:type="character" w:customStyle="1" w:styleId="Heading1Char">
    <w:name w:val="Heading 1 Char"/>
    <w:basedOn w:val="DefaultParagraphFont"/>
    <w:link w:val="Heading1"/>
    <w:uiPriority w:val="9"/>
    <w:rsid w:val="003F3AB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F3AB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F3ABB"/>
    <w:rPr>
      <w:rFonts w:asciiTheme="majorHAnsi" w:eastAsiaTheme="majorEastAsia" w:hAnsiTheme="majorHAnsi" w:cstheme="majorBidi"/>
      <w:color w:val="1F3763" w:themeColor="accent1" w:themeShade="7F"/>
      <w:sz w:val="24"/>
      <w:szCs w:val="24"/>
      <w:lang w:val="en-GB"/>
    </w:rPr>
  </w:style>
  <w:style w:type="paragraph" w:styleId="BalloonText">
    <w:name w:val="Balloon Text"/>
    <w:basedOn w:val="Normal"/>
    <w:link w:val="BalloonTextChar"/>
    <w:uiPriority w:val="99"/>
    <w:semiHidden/>
    <w:unhideWhenUsed/>
    <w:rsid w:val="003F3ABB"/>
    <w:pPr>
      <w:widowControl/>
      <w:spacing w:after="0" w:line="240" w:lineRule="auto"/>
      <w:jc w:val="left"/>
    </w:pPr>
    <w:rPr>
      <w:rFonts w:ascii="Tahoma" w:eastAsia="SimSun" w:hAnsi="Tahoma" w:cs="Tahoma"/>
      <w:sz w:val="16"/>
      <w:szCs w:val="16"/>
      <w:lang w:val="en-GB"/>
    </w:rPr>
  </w:style>
  <w:style w:type="character" w:customStyle="1" w:styleId="BalloonTextChar">
    <w:name w:val="Balloon Text Char"/>
    <w:basedOn w:val="DefaultParagraphFont"/>
    <w:link w:val="BalloonText"/>
    <w:uiPriority w:val="99"/>
    <w:semiHidden/>
    <w:rsid w:val="003F3ABB"/>
    <w:rPr>
      <w:rFonts w:ascii="Tahoma" w:eastAsia="SimSun" w:hAnsi="Tahoma" w:cs="Tahoma"/>
      <w:sz w:val="16"/>
      <w:szCs w:val="16"/>
      <w:lang w:val="en-GB"/>
    </w:rPr>
  </w:style>
  <w:style w:type="paragraph" w:customStyle="1" w:styleId="RSCH01PaperTitle">
    <w:name w:val="RSC H01 Paper Title"/>
    <w:basedOn w:val="Normal"/>
    <w:next w:val="Normal"/>
    <w:link w:val="RSCH01PaperTitleChar"/>
    <w:qFormat/>
    <w:rsid w:val="003F3ABB"/>
    <w:pPr>
      <w:widowControl/>
      <w:tabs>
        <w:tab w:val="left" w:pos="284"/>
      </w:tabs>
      <w:spacing w:before="400" w:line="240" w:lineRule="auto"/>
      <w:jc w:val="left"/>
    </w:pPr>
    <w:rPr>
      <w:rFonts w:asciiTheme="minorHAnsi" w:eastAsia="SimSun" w:hAnsiTheme="minorHAnsi" w:cs="Times New Roman"/>
      <w:b/>
      <w:sz w:val="29"/>
      <w:szCs w:val="32"/>
      <w:lang w:val="en-GB"/>
    </w:rPr>
  </w:style>
  <w:style w:type="paragraph" w:customStyle="1" w:styleId="RSCH02PaperAuthorsandByline">
    <w:name w:val="RSC H02 Paper Authors and Byline"/>
    <w:basedOn w:val="Normal"/>
    <w:link w:val="RSCH02PaperAuthorsandBylineChar"/>
    <w:qFormat/>
    <w:rsid w:val="003F3ABB"/>
    <w:pPr>
      <w:widowControl/>
      <w:spacing w:after="120" w:line="240" w:lineRule="exact"/>
      <w:jc w:val="left"/>
    </w:pPr>
    <w:rPr>
      <w:rFonts w:asciiTheme="minorHAnsi" w:eastAsia="SimSun" w:hAnsiTheme="minorHAnsi" w:cs="Times New Roman"/>
      <w:sz w:val="20"/>
      <w:lang w:val="en-GB"/>
    </w:rPr>
  </w:style>
  <w:style w:type="paragraph" w:customStyle="1" w:styleId="RSCB01ARTAbstract">
    <w:name w:val="RSC B01 ART Abstract"/>
    <w:basedOn w:val="Normal"/>
    <w:link w:val="RSCB01ARTAbstractChar"/>
    <w:qFormat/>
    <w:rsid w:val="003F3ABB"/>
    <w:pPr>
      <w:widowControl/>
      <w:spacing w:after="200" w:line="240" w:lineRule="exact"/>
    </w:pPr>
    <w:rPr>
      <w:rFonts w:asciiTheme="minorHAnsi" w:eastAsia="SimSun" w:hAnsiTheme="minorHAnsi"/>
      <w:noProof/>
      <w:sz w:val="16"/>
      <w:lang w:val="en-GB" w:eastAsia="en-GB"/>
    </w:rPr>
  </w:style>
  <w:style w:type="table" w:styleId="TableGrid">
    <w:name w:val="Table Grid"/>
    <w:basedOn w:val="TableNormal"/>
    <w:uiPriority w:val="39"/>
    <w:rsid w:val="003F3ABB"/>
    <w:pPr>
      <w:spacing w:after="0" w:line="240" w:lineRule="auto"/>
    </w:pPr>
    <w:rPr>
      <w:rFonts w:asciiTheme="minorHAnsi" w:eastAsia="SimSun" w:hAnsi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AHeadingSection"/>
    <w:link w:val="05BHeadingChar"/>
    <w:rsid w:val="003F3ABB"/>
    <w:pPr>
      <w:spacing w:before="160" w:line="240" w:lineRule="exact"/>
    </w:pPr>
    <w:rPr>
      <w:rFonts w:ascii="Times New Roman" w:hAnsi="Times New Roman" w:cs="Times New Roman"/>
      <w:sz w:val="18"/>
      <w:szCs w:val="18"/>
    </w:rPr>
  </w:style>
  <w:style w:type="paragraph" w:customStyle="1" w:styleId="RSCB02ArticleText">
    <w:name w:val="RSC B02 Article Text"/>
    <w:basedOn w:val="Normal"/>
    <w:link w:val="RSCB02ArticleTextChar"/>
    <w:qFormat/>
    <w:rsid w:val="003F3ABB"/>
    <w:pPr>
      <w:widowControl/>
      <w:spacing w:after="0" w:line="240" w:lineRule="exact"/>
    </w:pPr>
    <w:rPr>
      <w:rFonts w:asciiTheme="minorHAnsi" w:eastAsia="SimSun" w:hAnsiTheme="minorHAnsi" w:cs="Times New Roman"/>
      <w:w w:val="108"/>
      <w:sz w:val="18"/>
      <w:szCs w:val="18"/>
      <w:lang w:val="en-GB"/>
    </w:rPr>
  </w:style>
  <w:style w:type="character" w:customStyle="1" w:styleId="06CHeading">
    <w:name w:val="06 C Heading"/>
    <w:basedOn w:val="RSCB02ArticleTextChar"/>
    <w:uiPriority w:val="1"/>
    <w:rsid w:val="003F3ABB"/>
    <w:rPr>
      <w:rFonts w:ascii="Times New Roman" w:eastAsia="SimSun" w:hAnsi="Times New Roman" w:cs="Times New Roman"/>
      <w:b/>
      <w:smallCaps/>
      <w:w w:val="108"/>
      <w:sz w:val="18"/>
      <w:szCs w:val="18"/>
      <w:lang w:val="en-GB"/>
    </w:rPr>
  </w:style>
  <w:style w:type="character" w:customStyle="1" w:styleId="RSCB02ArticleTextChar">
    <w:name w:val="RSC B02 Article Text Char"/>
    <w:basedOn w:val="DefaultParagraphFont"/>
    <w:link w:val="RSCB02ArticleText"/>
    <w:rsid w:val="003F3ABB"/>
    <w:rPr>
      <w:rFonts w:asciiTheme="minorHAnsi" w:eastAsia="SimSun" w:hAnsiTheme="minorHAnsi" w:cs="Times New Roman"/>
      <w:w w:val="108"/>
      <w:sz w:val="18"/>
      <w:szCs w:val="18"/>
      <w:lang w:val="en-GB"/>
    </w:rPr>
  </w:style>
  <w:style w:type="paragraph" w:customStyle="1" w:styleId="09ListText">
    <w:name w:val="09 List Text"/>
    <w:basedOn w:val="RSCB02ArticleText"/>
    <w:link w:val="09ListTextChar"/>
    <w:rsid w:val="003F3ABB"/>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3F3ABB"/>
    <w:pPr>
      <w:numPr>
        <w:numId w:val="3"/>
      </w:numPr>
      <w:pBdr>
        <w:top w:val="single" w:sz="12" w:space="1" w:color="A6A6A6" w:themeColor="background1" w:themeShade="A6"/>
      </w:pBdr>
      <w:spacing w:after="0" w:line="240" w:lineRule="auto"/>
      <w:ind w:left="85" w:hanging="85"/>
      <w:suppressOverlap/>
    </w:pPr>
    <w:rPr>
      <w:rFonts w:asciiTheme="minorHAnsi" w:eastAsia="SimSun" w:hAnsiTheme="minorHAnsi" w:cs="Times New Roman"/>
      <w:i/>
      <w:w w:val="105"/>
      <w:sz w:val="14"/>
      <w:szCs w:val="14"/>
      <w:lang w:val="en-GB"/>
    </w:rPr>
  </w:style>
  <w:style w:type="paragraph" w:customStyle="1" w:styleId="RSCI02FigureSchemeChartwithtopbar">
    <w:name w:val="RSC I02 Figure/Scheme/Chart with top bar"/>
    <w:basedOn w:val="Normal"/>
    <w:link w:val="RSCI02FigureSchemeChartwithtopbarChar"/>
    <w:qFormat/>
    <w:rsid w:val="003F3ABB"/>
    <w:pPr>
      <w:widowControl/>
      <w:pBdr>
        <w:top w:val="single" w:sz="12" w:space="5" w:color="999999"/>
      </w:pBdr>
      <w:spacing w:before="120" w:after="40" w:line="240" w:lineRule="auto"/>
    </w:pPr>
    <w:rPr>
      <w:rFonts w:asciiTheme="minorHAnsi" w:eastAsia="SimSun" w:hAnsiTheme="minorHAnsi" w:cs="Times New Roman"/>
      <w:w w:val="108"/>
      <w:sz w:val="14"/>
      <w:szCs w:val="18"/>
      <w:lang w:val="en-GB"/>
    </w:rPr>
  </w:style>
  <w:style w:type="paragraph" w:customStyle="1" w:styleId="RSCI01FigureSchemeChartwithbottombar">
    <w:name w:val="RSC I01 Figure/Scheme/Chart with bottom bar"/>
    <w:basedOn w:val="Normal"/>
    <w:link w:val="RSCI01FigureSchemeChartwithbottombarChar"/>
    <w:qFormat/>
    <w:rsid w:val="003F3ABB"/>
    <w:pPr>
      <w:widowControl/>
      <w:pBdr>
        <w:bottom w:val="single" w:sz="12" w:space="5" w:color="999999"/>
      </w:pBdr>
      <w:spacing w:before="40" w:after="120" w:line="120" w:lineRule="exact"/>
    </w:pPr>
    <w:rPr>
      <w:rFonts w:asciiTheme="minorHAnsi" w:eastAsia="SimSun" w:hAnsiTheme="minorHAnsi" w:cstheme="minorHAnsi"/>
      <w:w w:val="108"/>
      <w:sz w:val="14"/>
      <w:szCs w:val="14"/>
      <w:lang w:val="en-GB"/>
    </w:rPr>
  </w:style>
  <w:style w:type="paragraph" w:customStyle="1" w:styleId="RSCI03FigureSchemeChartUncaptioned">
    <w:name w:val="RSC I03 Figure/Scheme/Chart Uncaptioned"/>
    <w:basedOn w:val="Normal"/>
    <w:link w:val="RSCI03FigureSchemeChartUncaptionedChar"/>
    <w:qFormat/>
    <w:rsid w:val="003F3ABB"/>
    <w:pPr>
      <w:widowControl/>
      <w:spacing w:before="160" w:line="240" w:lineRule="auto"/>
      <w:jc w:val="center"/>
    </w:pPr>
    <w:rPr>
      <w:rFonts w:asciiTheme="minorHAnsi" w:eastAsia="SimSun" w:hAnsiTheme="minorHAnsi" w:cs="Times New Roman"/>
      <w:sz w:val="16"/>
      <w:szCs w:val="16"/>
      <w:lang w:val="en-GB"/>
    </w:rPr>
  </w:style>
  <w:style w:type="paragraph" w:customStyle="1" w:styleId="RSCB03MathematicsGreeketc">
    <w:name w:val="RSC B03 Mathematics/Greek etc"/>
    <w:basedOn w:val="Normal"/>
    <w:link w:val="RSCB03MathematicsGreeketcChar"/>
    <w:qFormat/>
    <w:rsid w:val="003F3ABB"/>
    <w:pPr>
      <w:widowControl/>
      <w:tabs>
        <w:tab w:val="center" w:pos="2268"/>
        <w:tab w:val="right" w:pos="4536"/>
      </w:tabs>
      <w:spacing w:before="160" w:line="240" w:lineRule="auto"/>
      <w:jc w:val="left"/>
    </w:pPr>
    <w:rPr>
      <w:rFonts w:ascii="Times New Roman" w:eastAsia="SimSun" w:hAnsi="Times New Roman"/>
      <w:sz w:val="18"/>
      <w:lang w:val="en-GB"/>
    </w:rPr>
  </w:style>
  <w:style w:type="paragraph" w:customStyle="1" w:styleId="RSCB09Biography">
    <w:name w:val="RSC B09 Biography"/>
    <w:basedOn w:val="RSCB02ArticleText"/>
    <w:link w:val="RSCB09BiographyChar"/>
    <w:qFormat/>
    <w:rsid w:val="003F3ABB"/>
    <w:pPr>
      <w:pBdr>
        <w:top w:val="single" w:sz="6" w:space="1" w:color="auto"/>
      </w:pBdr>
    </w:pPr>
    <w:rPr>
      <w:i/>
    </w:rPr>
  </w:style>
  <w:style w:type="character" w:customStyle="1" w:styleId="RSCB09BiographyChar">
    <w:name w:val="RSC B09 Biography Char"/>
    <w:basedOn w:val="RSCB02ArticleTextChar"/>
    <w:link w:val="RSCB09Biography"/>
    <w:rsid w:val="003F3ABB"/>
    <w:rPr>
      <w:rFonts w:asciiTheme="minorHAnsi" w:eastAsia="SimSun" w:hAnsiTheme="minorHAnsi" w:cs="Times New Roman"/>
      <w:i/>
      <w:w w:val="108"/>
      <w:sz w:val="18"/>
      <w:szCs w:val="18"/>
      <w:lang w:val="en-GB"/>
    </w:rPr>
  </w:style>
  <w:style w:type="paragraph" w:customStyle="1" w:styleId="RSCF02FootnotestoTitleAuthors">
    <w:name w:val="RSC F02 Footnotes to Title/Authors"/>
    <w:basedOn w:val="Normal"/>
    <w:link w:val="RSCF02FootnotestoTitleAuthorsChar"/>
    <w:qFormat/>
    <w:rsid w:val="003F3ABB"/>
    <w:pPr>
      <w:widowControl/>
      <w:tabs>
        <w:tab w:val="left" w:pos="284"/>
      </w:tabs>
      <w:spacing w:after="0" w:line="240" w:lineRule="auto"/>
      <w:suppressOverlap/>
    </w:pPr>
    <w:rPr>
      <w:rFonts w:asciiTheme="minorHAnsi" w:eastAsia="SimSun" w:hAnsiTheme="minorHAnsi" w:cs="Times New Roman"/>
      <w:w w:val="105"/>
      <w:sz w:val="14"/>
      <w:szCs w:val="14"/>
      <w:lang w:val="en-GB"/>
    </w:rPr>
  </w:style>
  <w:style w:type="character" w:customStyle="1" w:styleId="RSCF01FootnoteAuthorAddressChar">
    <w:name w:val="RSC F01 Footnote Author Address Char"/>
    <w:basedOn w:val="DefaultParagraphFont"/>
    <w:link w:val="RSCF01FootnoteAuthorAddress"/>
    <w:rsid w:val="003F3ABB"/>
    <w:rPr>
      <w:rFonts w:asciiTheme="minorHAnsi" w:eastAsia="SimSun" w:hAnsiTheme="minorHAnsi" w:cs="Times New Roman"/>
      <w:i/>
      <w:w w:val="105"/>
      <w:sz w:val="14"/>
      <w:szCs w:val="14"/>
      <w:lang w:val="en-GB"/>
    </w:rPr>
  </w:style>
  <w:style w:type="paragraph" w:customStyle="1" w:styleId="RSCR02References">
    <w:name w:val="RSC R02 References"/>
    <w:basedOn w:val="RSCB02ArticleText"/>
    <w:link w:val="RSCR02ReferencesChar"/>
    <w:qFormat/>
    <w:rsid w:val="003F3ABB"/>
    <w:pPr>
      <w:numPr>
        <w:numId w:val="2"/>
      </w:numPr>
      <w:spacing w:line="200" w:lineRule="exact"/>
      <w:ind w:left="284" w:hanging="284"/>
    </w:pPr>
    <w:rPr>
      <w:w w:val="105"/>
    </w:rPr>
  </w:style>
  <w:style w:type="character" w:customStyle="1" w:styleId="RSCF02FootnotestoTitleAuthorsChar">
    <w:name w:val="RSC F02 Footnotes to Title/Authors Char"/>
    <w:basedOn w:val="DefaultParagraphFont"/>
    <w:link w:val="RSCF02FootnotestoTitleAuthors"/>
    <w:rsid w:val="003F3ABB"/>
    <w:rPr>
      <w:rFonts w:asciiTheme="minorHAnsi" w:eastAsia="SimSun" w:hAnsiTheme="minorHAnsi" w:cs="Times New Roman"/>
      <w:w w:val="105"/>
      <w:sz w:val="14"/>
      <w:szCs w:val="14"/>
      <w:lang w:val="en-GB"/>
    </w:rPr>
  </w:style>
  <w:style w:type="paragraph" w:styleId="NoSpacing">
    <w:name w:val="No Spacing"/>
    <w:uiPriority w:val="1"/>
    <w:rsid w:val="003F3ABB"/>
    <w:pPr>
      <w:spacing w:after="0" w:line="240" w:lineRule="auto"/>
    </w:pPr>
    <w:rPr>
      <w:rFonts w:asciiTheme="minorHAnsi" w:eastAsia="SimSun" w:hAnsiTheme="minorHAnsi"/>
      <w:lang w:val="en-GB"/>
    </w:rPr>
  </w:style>
  <w:style w:type="character" w:customStyle="1" w:styleId="RSCR02ReferencesChar">
    <w:name w:val="RSC R02 References Char"/>
    <w:basedOn w:val="DefaultParagraphFont"/>
    <w:link w:val="RSCR02References"/>
    <w:rsid w:val="003F3ABB"/>
    <w:rPr>
      <w:rFonts w:asciiTheme="minorHAnsi" w:eastAsia="SimSun" w:hAnsiTheme="minorHAnsi" w:cs="Times New Roman"/>
      <w:w w:val="105"/>
      <w:sz w:val="18"/>
      <w:szCs w:val="18"/>
      <w:lang w:val="en-GB"/>
    </w:rPr>
  </w:style>
  <w:style w:type="paragraph" w:customStyle="1" w:styleId="RSCB04AHeadingSection">
    <w:name w:val="RSC B04 A Heading (Section)"/>
    <w:basedOn w:val="Normal"/>
    <w:link w:val="RSCB04AHeadingSectionChar"/>
    <w:qFormat/>
    <w:rsid w:val="003F3ABB"/>
    <w:pPr>
      <w:widowControl/>
      <w:spacing w:before="400" w:after="80" w:line="240" w:lineRule="auto"/>
      <w:jc w:val="left"/>
    </w:pPr>
    <w:rPr>
      <w:rFonts w:asciiTheme="minorHAnsi" w:eastAsia="SimSun" w:hAnsiTheme="minorHAnsi"/>
      <w:b/>
      <w:sz w:val="24"/>
      <w:lang w:val="en-GB"/>
    </w:rPr>
  </w:style>
  <w:style w:type="character" w:customStyle="1" w:styleId="RSCH01PaperTitleChar">
    <w:name w:val="RSC H01 Paper Title Char"/>
    <w:basedOn w:val="DefaultParagraphFont"/>
    <w:link w:val="RSCH01PaperTitle"/>
    <w:rsid w:val="003F3ABB"/>
    <w:rPr>
      <w:rFonts w:asciiTheme="minorHAnsi" w:eastAsia="SimSun" w:hAnsiTheme="minorHAnsi" w:cs="Times New Roman"/>
      <w:b/>
      <w:sz w:val="29"/>
      <w:szCs w:val="32"/>
      <w:lang w:val="en-GB"/>
    </w:rPr>
  </w:style>
  <w:style w:type="character" w:customStyle="1" w:styleId="RSCH02PaperAuthorsandBylineChar">
    <w:name w:val="RSC H02 Paper Authors and Byline Char"/>
    <w:basedOn w:val="DefaultParagraphFont"/>
    <w:link w:val="RSCH02PaperAuthorsandByline"/>
    <w:rsid w:val="003F3ABB"/>
    <w:rPr>
      <w:rFonts w:asciiTheme="minorHAnsi" w:eastAsia="SimSun" w:hAnsiTheme="minorHAnsi" w:cs="Times New Roman"/>
      <w:sz w:val="20"/>
      <w:lang w:val="en-GB"/>
    </w:rPr>
  </w:style>
  <w:style w:type="character" w:customStyle="1" w:styleId="RSCB01ARTAbstractChar">
    <w:name w:val="RSC B01 ART Abstract Char"/>
    <w:basedOn w:val="DefaultParagraphFont"/>
    <w:link w:val="RSCB01ARTAbstract"/>
    <w:rsid w:val="003F3ABB"/>
    <w:rPr>
      <w:rFonts w:asciiTheme="minorHAnsi" w:eastAsia="SimSun" w:hAnsiTheme="minorHAnsi"/>
      <w:noProof/>
      <w:sz w:val="16"/>
      <w:lang w:val="en-GB" w:eastAsia="en-GB"/>
    </w:rPr>
  </w:style>
  <w:style w:type="character" w:customStyle="1" w:styleId="09ListTextChar">
    <w:name w:val="09 List Text Char"/>
    <w:basedOn w:val="RSCB02ArticleTextChar"/>
    <w:link w:val="09ListText"/>
    <w:rsid w:val="003F3ABB"/>
    <w:rPr>
      <w:rFonts w:asciiTheme="minorHAnsi" w:eastAsia="Times New Roman" w:hAnsiTheme="minorHAnsi" w:cs="Times New Roman"/>
      <w:w w:val="108"/>
      <w:sz w:val="18"/>
      <w:szCs w:val="18"/>
      <w:lang w:val="en-GB" w:eastAsia="en-GB"/>
    </w:rPr>
  </w:style>
  <w:style w:type="character" w:customStyle="1" w:styleId="RSCB04AHeadingSectionChar">
    <w:name w:val="RSC B04 A Heading (Section) Char"/>
    <w:basedOn w:val="DefaultParagraphFont"/>
    <w:link w:val="RSCB04AHeadingSection"/>
    <w:rsid w:val="003F3ABB"/>
    <w:rPr>
      <w:rFonts w:asciiTheme="minorHAnsi" w:eastAsia="SimSun" w:hAnsiTheme="minorHAnsi"/>
      <w:b/>
      <w:sz w:val="24"/>
      <w:lang w:val="en-GB"/>
    </w:rPr>
  </w:style>
  <w:style w:type="character" w:customStyle="1" w:styleId="05BHeadingChar">
    <w:name w:val="05 B Heading Char"/>
    <w:basedOn w:val="RSCB04AHeadingSectionChar"/>
    <w:link w:val="05BHeading"/>
    <w:rsid w:val="003F3ABB"/>
    <w:rPr>
      <w:rFonts w:ascii="Times New Roman" w:eastAsia="SimSun" w:hAnsi="Times New Roman" w:cs="Times New Roman"/>
      <w:b/>
      <w:sz w:val="18"/>
      <w:szCs w:val="18"/>
      <w:lang w:val="en-GB"/>
    </w:rPr>
  </w:style>
  <w:style w:type="paragraph" w:customStyle="1" w:styleId="RSCT01TableTitlewithtopbar">
    <w:name w:val="RSC T01 Table Title with top bar"/>
    <w:basedOn w:val="Normal"/>
    <w:link w:val="RSCT01TableTitlewithtopbarChar"/>
    <w:qFormat/>
    <w:rsid w:val="003F3ABB"/>
    <w:pPr>
      <w:keepNext/>
      <w:keepLines/>
      <w:widowControl/>
      <w:pBdr>
        <w:top w:val="single" w:sz="12" w:space="1" w:color="999999"/>
        <w:bottom w:val="single" w:sz="6" w:space="1" w:color="auto"/>
      </w:pBdr>
      <w:spacing w:before="120" w:after="120" w:line="200" w:lineRule="exact"/>
    </w:pPr>
    <w:rPr>
      <w:rFonts w:asciiTheme="minorHAnsi" w:eastAsia="Times New Roman" w:hAnsiTheme="minorHAnsi" w:cs="Times New Roman"/>
      <w:sz w:val="14"/>
      <w:szCs w:val="20"/>
      <w:lang w:val="en-GB" w:eastAsia="en-GB"/>
    </w:rPr>
  </w:style>
  <w:style w:type="character" w:customStyle="1" w:styleId="RSCI02FigureSchemeChartwithtopbarChar">
    <w:name w:val="RSC I02 Figure/Scheme/Chart with top bar Char"/>
    <w:basedOn w:val="DefaultParagraphFont"/>
    <w:link w:val="RSCI02FigureSchemeChartwithtopbar"/>
    <w:rsid w:val="003F3ABB"/>
    <w:rPr>
      <w:rFonts w:asciiTheme="minorHAnsi" w:eastAsia="SimSun" w:hAnsiTheme="minorHAnsi" w:cs="Times New Roman"/>
      <w:w w:val="108"/>
      <w:sz w:val="14"/>
      <w:szCs w:val="18"/>
      <w:lang w:val="en-GB"/>
    </w:rPr>
  </w:style>
  <w:style w:type="character" w:customStyle="1" w:styleId="RSCI01FigureSchemeChartwithbottombarChar">
    <w:name w:val="RSC I01 Figure/Scheme/Chart with bottom bar Char"/>
    <w:basedOn w:val="DefaultParagraphFont"/>
    <w:link w:val="RSCI01FigureSchemeChartwithbottombar"/>
    <w:rsid w:val="003F3ABB"/>
    <w:rPr>
      <w:rFonts w:asciiTheme="minorHAnsi" w:eastAsia="SimSun" w:hAnsiTheme="minorHAnsi" w:cstheme="minorHAnsi"/>
      <w:w w:val="108"/>
      <w:sz w:val="14"/>
      <w:szCs w:val="14"/>
      <w:lang w:val="en-GB"/>
    </w:rPr>
  </w:style>
  <w:style w:type="character" w:customStyle="1" w:styleId="RSCI03FigureSchemeChartUncaptionedChar">
    <w:name w:val="RSC I03 Figure/Scheme/Chart Uncaptioned Char"/>
    <w:basedOn w:val="DefaultParagraphFont"/>
    <w:link w:val="RSCI03FigureSchemeChartUncaptioned"/>
    <w:rsid w:val="003F3ABB"/>
    <w:rPr>
      <w:rFonts w:asciiTheme="minorHAnsi" w:eastAsia="SimSun" w:hAnsiTheme="minorHAnsi" w:cs="Times New Roman"/>
      <w:sz w:val="16"/>
      <w:szCs w:val="16"/>
      <w:lang w:val="en-GB"/>
    </w:rPr>
  </w:style>
  <w:style w:type="character" w:customStyle="1" w:styleId="RSCB03MathematicsGreeketcChar">
    <w:name w:val="RSC B03 Mathematics/Greek etc Char"/>
    <w:basedOn w:val="DefaultParagraphFont"/>
    <w:link w:val="RSCB03MathematicsGreeketc"/>
    <w:rsid w:val="003F3ABB"/>
    <w:rPr>
      <w:rFonts w:ascii="Times New Roman" w:eastAsia="SimSun" w:hAnsi="Times New Roman"/>
      <w:sz w:val="18"/>
      <w:lang w:val="en-GB"/>
    </w:rPr>
  </w:style>
  <w:style w:type="paragraph" w:customStyle="1" w:styleId="RSCT03TableBody">
    <w:name w:val="RSC T03 Table Body"/>
    <w:basedOn w:val="Normal"/>
    <w:link w:val="RSCT03TableBodyChar"/>
    <w:qFormat/>
    <w:rsid w:val="003F3ABB"/>
    <w:pPr>
      <w:keepNext/>
      <w:keepLines/>
      <w:widowControl/>
      <w:spacing w:after="0" w:line="220" w:lineRule="exact"/>
      <w:jc w:val="center"/>
    </w:pPr>
    <w:rPr>
      <w:rFonts w:asciiTheme="minorHAnsi" w:eastAsia="Times New Roman" w:hAnsiTheme="minorHAnsi" w:cs="Times New Roman"/>
      <w:sz w:val="16"/>
      <w:szCs w:val="16"/>
      <w:lang w:val="en-GB" w:eastAsia="en-GB"/>
    </w:rPr>
  </w:style>
  <w:style w:type="character" w:customStyle="1" w:styleId="RSCT01TableTitlewithtopbarChar">
    <w:name w:val="RSC T01 Table Title with top bar Char"/>
    <w:basedOn w:val="DefaultParagraphFont"/>
    <w:link w:val="RSCT01TableTitlewithtopbar"/>
    <w:rsid w:val="003F3ABB"/>
    <w:rPr>
      <w:rFonts w:asciiTheme="minorHAnsi" w:eastAsia="Times New Roman" w:hAnsiTheme="minorHAnsi" w:cs="Times New Roman"/>
      <w:sz w:val="14"/>
      <w:szCs w:val="20"/>
      <w:lang w:val="en-GB" w:eastAsia="en-GB"/>
    </w:rPr>
  </w:style>
  <w:style w:type="paragraph" w:customStyle="1" w:styleId="RSCT04TableFootnotewithbottombar">
    <w:name w:val="RSC T04 Table Footnote with bottom bar"/>
    <w:basedOn w:val="Normal"/>
    <w:link w:val="RSCT04TableFootnotewithbottombarChar"/>
    <w:qFormat/>
    <w:rsid w:val="003F3ABB"/>
    <w:pPr>
      <w:keepLines/>
      <w:widowControl/>
      <w:pBdr>
        <w:bottom w:val="single" w:sz="12" w:space="1" w:color="999999"/>
      </w:pBdr>
      <w:spacing w:before="120" w:line="200" w:lineRule="exact"/>
    </w:pPr>
    <w:rPr>
      <w:rFonts w:asciiTheme="minorHAnsi" w:eastAsia="Times New Roman" w:hAnsiTheme="minorHAnsi" w:cs="Times New Roman"/>
      <w:sz w:val="15"/>
      <w:szCs w:val="20"/>
      <w:lang w:val="en-GB" w:eastAsia="en-GB"/>
    </w:rPr>
  </w:style>
  <w:style w:type="character" w:customStyle="1" w:styleId="RSCT03TableBodyChar">
    <w:name w:val="RSC T03 Table Body Char"/>
    <w:basedOn w:val="DefaultParagraphFont"/>
    <w:link w:val="RSCT03TableBody"/>
    <w:rsid w:val="003F3ABB"/>
    <w:rPr>
      <w:rFonts w:asciiTheme="minorHAnsi" w:eastAsia="Times New Roman" w:hAnsiTheme="minorHAnsi" w:cs="Times New Roman"/>
      <w:sz w:val="16"/>
      <w:szCs w:val="16"/>
      <w:lang w:val="en-GB" w:eastAsia="en-GB"/>
    </w:rPr>
  </w:style>
  <w:style w:type="character" w:customStyle="1" w:styleId="RSCT04TableFootnotewithbottombarChar">
    <w:name w:val="RSC T04 Table Footnote with bottom bar Char"/>
    <w:basedOn w:val="DefaultParagraphFont"/>
    <w:link w:val="RSCT04TableFootnotewithbottombar"/>
    <w:rsid w:val="003F3ABB"/>
    <w:rPr>
      <w:rFonts w:asciiTheme="minorHAnsi" w:eastAsia="Times New Roman" w:hAnsiTheme="minorHAnsi" w:cs="Times New Roman"/>
      <w:sz w:val="15"/>
      <w:szCs w:val="20"/>
      <w:lang w:val="en-GB" w:eastAsia="en-GB"/>
    </w:rPr>
  </w:style>
  <w:style w:type="character" w:styleId="Hyperlink">
    <w:name w:val="Hyperlink"/>
    <w:basedOn w:val="DefaultParagraphFont"/>
    <w:uiPriority w:val="99"/>
    <w:unhideWhenUsed/>
    <w:rsid w:val="003F3ABB"/>
    <w:rPr>
      <w:color w:val="0563C1" w:themeColor="hyperlink"/>
      <w:u w:val="single"/>
    </w:rPr>
  </w:style>
  <w:style w:type="paragraph" w:styleId="ListParagraph">
    <w:name w:val="List Paragraph"/>
    <w:basedOn w:val="Normal"/>
    <w:uiPriority w:val="34"/>
    <w:qFormat/>
    <w:rsid w:val="003F3ABB"/>
    <w:pPr>
      <w:widowControl/>
      <w:spacing w:after="200" w:line="276" w:lineRule="auto"/>
      <w:ind w:left="720"/>
      <w:contextualSpacing/>
      <w:jc w:val="left"/>
    </w:pPr>
    <w:rPr>
      <w:rFonts w:asciiTheme="minorHAnsi" w:eastAsia="SimSun" w:hAnsiTheme="minorHAnsi"/>
      <w:lang w:val="en-GB"/>
    </w:rPr>
  </w:style>
  <w:style w:type="paragraph" w:styleId="Revision">
    <w:name w:val="Revision"/>
    <w:hidden/>
    <w:uiPriority w:val="99"/>
    <w:semiHidden/>
    <w:rsid w:val="003F3ABB"/>
    <w:pPr>
      <w:spacing w:after="0" w:line="240" w:lineRule="auto"/>
    </w:pPr>
    <w:rPr>
      <w:rFonts w:asciiTheme="minorHAnsi" w:eastAsia="SimSun" w:hAnsiTheme="minorHAnsi"/>
      <w:lang w:val="en-GB"/>
    </w:rPr>
  </w:style>
  <w:style w:type="paragraph" w:styleId="FootnoteText">
    <w:name w:val="footnote text"/>
    <w:basedOn w:val="Normal"/>
    <w:link w:val="FootnoteTextChar"/>
    <w:uiPriority w:val="99"/>
    <w:semiHidden/>
    <w:unhideWhenUsed/>
    <w:rsid w:val="003F3ABB"/>
    <w:pPr>
      <w:widowControl/>
      <w:spacing w:after="0" w:line="240" w:lineRule="auto"/>
      <w:jc w:val="left"/>
    </w:pPr>
    <w:rPr>
      <w:rFonts w:asciiTheme="minorHAnsi" w:eastAsia="SimSun" w:hAnsiTheme="minorHAnsi"/>
      <w:sz w:val="20"/>
      <w:szCs w:val="20"/>
      <w:lang w:val="en-GB"/>
    </w:rPr>
  </w:style>
  <w:style w:type="character" w:customStyle="1" w:styleId="FootnoteTextChar">
    <w:name w:val="Footnote Text Char"/>
    <w:basedOn w:val="DefaultParagraphFont"/>
    <w:link w:val="FootnoteText"/>
    <w:uiPriority w:val="99"/>
    <w:semiHidden/>
    <w:rsid w:val="003F3ABB"/>
    <w:rPr>
      <w:rFonts w:asciiTheme="minorHAnsi" w:eastAsia="SimSun" w:hAnsiTheme="minorHAnsi"/>
      <w:sz w:val="20"/>
      <w:szCs w:val="20"/>
      <w:lang w:val="en-GB"/>
    </w:rPr>
  </w:style>
  <w:style w:type="character" w:styleId="FootnoteReference">
    <w:name w:val="footnote reference"/>
    <w:basedOn w:val="DefaultParagraphFont"/>
    <w:uiPriority w:val="99"/>
    <w:semiHidden/>
    <w:unhideWhenUsed/>
    <w:rsid w:val="003F3ABB"/>
    <w:rPr>
      <w:vertAlign w:val="superscript"/>
    </w:rPr>
  </w:style>
  <w:style w:type="paragraph" w:styleId="NormalWeb">
    <w:name w:val="Normal (Web)"/>
    <w:basedOn w:val="Normal"/>
    <w:uiPriority w:val="99"/>
    <w:unhideWhenUsed/>
    <w:rsid w:val="003F3ABB"/>
    <w:pPr>
      <w:widowControl/>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styleId="Caption">
    <w:name w:val="caption"/>
    <w:basedOn w:val="Normal"/>
    <w:next w:val="Normal"/>
    <w:uiPriority w:val="35"/>
    <w:unhideWhenUsed/>
    <w:rsid w:val="003F3ABB"/>
    <w:pPr>
      <w:widowControl/>
      <w:spacing w:after="200" w:line="200" w:lineRule="exact"/>
      <w:jc w:val="left"/>
    </w:pPr>
    <w:rPr>
      <w:rFonts w:asciiTheme="minorHAnsi" w:eastAsia="SimSun" w:hAnsiTheme="minorHAnsi"/>
      <w:bCs/>
      <w:sz w:val="14"/>
      <w:szCs w:val="18"/>
      <w:lang w:val="en-GB"/>
    </w:rPr>
  </w:style>
  <w:style w:type="paragraph" w:customStyle="1" w:styleId="Style1">
    <w:name w:val="Style1"/>
    <w:basedOn w:val="RSCB02ArticleText"/>
    <w:link w:val="Style1Char"/>
    <w:rsid w:val="003F3ABB"/>
  </w:style>
  <w:style w:type="paragraph" w:customStyle="1" w:styleId="RSCT05TableFootnotewithoutbottombar">
    <w:name w:val="RSC T05 Table Footnote without bottom bar"/>
    <w:basedOn w:val="RSCT04TableFootnotewithbottombar"/>
    <w:link w:val="RSCT05TableFootnotewithoutbottombarChar"/>
    <w:qFormat/>
    <w:rsid w:val="003F3ABB"/>
    <w:pPr>
      <w:pBdr>
        <w:bottom w:val="none" w:sz="0" w:space="0" w:color="auto"/>
      </w:pBdr>
    </w:pPr>
  </w:style>
  <w:style w:type="character" w:customStyle="1" w:styleId="Style1Char">
    <w:name w:val="Style1 Char"/>
    <w:basedOn w:val="RSCB02ArticleTextChar"/>
    <w:link w:val="Style1"/>
    <w:rsid w:val="003F3ABB"/>
    <w:rPr>
      <w:rFonts w:asciiTheme="minorHAnsi" w:eastAsia="SimSun" w:hAnsiTheme="minorHAnsi" w:cs="Times New Roman"/>
      <w:w w:val="108"/>
      <w:sz w:val="18"/>
      <w:szCs w:val="18"/>
      <w:lang w:val="en-GB"/>
    </w:rPr>
  </w:style>
  <w:style w:type="paragraph" w:customStyle="1" w:styleId="RSCT02Tabletitlewithouttopbar">
    <w:name w:val="RSC T02 Table title without top bar"/>
    <w:basedOn w:val="RSCT01TableTitlewithtopbar"/>
    <w:link w:val="RSCT02TabletitlewithouttopbarChar"/>
    <w:qFormat/>
    <w:rsid w:val="003F3ABB"/>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3F3ABB"/>
    <w:rPr>
      <w:rFonts w:asciiTheme="minorHAnsi" w:eastAsia="Times New Roman" w:hAnsiTheme="minorHAnsi" w:cs="Times New Roman"/>
      <w:sz w:val="15"/>
      <w:szCs w:val="20"/>
      <w:lang w:val="en-GB" w:eastAsia="en-GB"/>
    </w:rPr>
  </w:style>
  <w:style w:type="paragraph" w:customStyle="1" w:styleId="RSCI04CaptiontoFigureSchemeChart">
    <w:name w:val="RSC I04 Caption to Figure/Scheme/Chart"/>
    <w:link w:val="RSCI04CaptiontoFigureSchemeChartChar"/>
    <w:qFormat/>
    <w:rsid w:val="003F3ABB"/>
    <w:pPr>
      <w:spacing w:after="200" w:line="200" w:lineRule="exact"/>
      <w:jc w:val="both"/>
    </w:pPr>
    <w:rPr>
      <w:rFonts w:asciiTheme="minorHAnsi" w:eastAsia="SimSun" w:hAnsiTheme="minorHAnsi"/>
      <w:bCs/>
      <w:sz w:val="14"/>
      <w:szCs w:val="18"/>
      <w:lang w:val="en-GB"/>
    </w:rPr>
  </w:style>
  <w:style w:type="character" w:customStyle="1" w:styleId="RSCT02TabletitlewithouttopbarChar">
    <w:name w:val="RSC T02 Table title without top bar Char"/>
    <w:basedOn w:val="RSCT01TableTitlewithtopbarChar"/>
    <w:link w:val="RSCT02Tabletitlewithouttopbar"/>
    <w:rsid w:val="003F3ABB"/>
    <w:rPr>
      <w:rFonts w:asciiTheme="minorHAnsi" w:eastAsia="Times New Roman" w:hAnsiTheme="minorHAnsi" w:cs="Times New Roman"/>
      <w:sz w:val="14"/>
      <w:szCs w:val="20"/>
      <w:lang w:val="en-GB" w:eastAsia="en-GB"/>
    </w:rPr>
  </w:style>
  <w:style w:type="paragraph" w:customStyle="1" w:styleId="RSCR01Footnotestomaintext">
    <w:name w:val="RSC R01 Footnotes to main text"/>
    <w:link w:val="RSCR01FootnotestomaintextChar"/>
    <w:qFormat/>
    <w:rsid w:val="003F3ABB"/>
    <w:pPr>
      <w:spacing w:after="200" w:line="200" w:lineRule="exact"/>
      <w:jc w:val="both"/>
    </w:pPr>
    <w:rPr>
      <w:rFonts w:asciiTheme="minorHAnsi" w:eastAsia="SimSun" w:hAnsiTheme="minorHAnsi"/>
      <w:bCs/>
      <w:sz w:val="18"/>
      <w:szCs w:val="18"/>
      <w:lang w:val="en-GB"/>
    </w:rPr>
  </w:style>
  <w:style w:type="character" w:customStyle="1" w:styleId="RSCI04CaptiontoFigureSchemeChartChar">
    <w:name w:val="RSC I04 Caption to Figure/Scheme/Chart Char"/>
    <w:basedOn w:val="DefaultParagraphFont"/>
    <w:link w:val="RSCI04CaptiontoFigureSchemeChart"/>
    <w:rsid w:val="003F3ABB"/>
    <w:rPr>
      <w:rFonts w:asciiTheme="minorHAnsi" w:eastAsia="SimSun" w:hAnsiTheme="minorHAnsi"/>
      <w:bCs/>
      <w:sz w:val="14"/>
      <w:szCs w:val="18"/>
      <w:lang w:val="en-GB"/>
    </w:rPr>
  </w:style>
  <w:style w:type="paragraph" w:customStyle="1" w:styleId="RSCM01ReceivedAccepted">
    <w:name w:val="RSC M01 Received/Accepted"/>
    <w:basedOn w:val="Normal"/>
    <w:link w:val="RSCM01ReceivedAcceptedChar"/>
    <w:qFormat/>
    <w:rsid w:val="003F3ABB"/>
    <w:pPr>
      <w:widowControl/>
      <w:spacing w:before="960" w:after="0" w:line="180" w:lineRule="exact"/>
      <w:contextualSpacing/>
      <w:jc w:val="left"/>
    </w:pPr>
    <w:rPr>
      <w:rFonts w:asciiTheme="minorHAnsi" w:eastAsiaTheme="minorEastAsia" w:hAnsiTheme="minorHAnsi"/>
      <w:noProof/>
      <w:sz w:val="14"/>
      <w:szCs w:val="14"/>
      <w:lang w:val="en-GB" w:eastAsia="en-GB"/>
    </w:rPr>
  </w:style>
  <w:style w:type="character" w:customStyle="1" w:styleId="RSCR01FootnotestomaintextChar">
    <w:name w:val="RSC R01 Footnotes to main text Char"/>
    <w:basedOn w:val="RSCI04CaptiontoFigureSchemeChartChar"/>
    <w:link w:val="RSCR01Footnotestomaintext"/>
    <w:rsid w:val="003F3ABB"/>
    <w:rPr>
      <w:rFonts w:asciiTheme="minorHAnsi" w:eastAsia="SimSun" w:hAnsiTheme="minorHAnsi"/>
      <w:bCs/>
      <w:sz w:val="18"/>
      <w:szCs w:val="18"/>
      <w:lang w:val="en-GB"/>
    </w:rPr>
  </w:style>
  <w:style w:type="paragraph" w:customStyle="1" w:styleId="RSCM02DOI">
    <w:name w:val="RSC M02 DOI"/>
    <w:basedOn w:val="Normal"/>
    <w:link w:val="RSCM02DOIChar"/>
    <w:qFormat/>
    <w:rsid w:val="003F3ABB"/>
    <w:pPr>
      <w:widowControl/>
      <w:spacing w:before="180" w:after="0" w:line="180" w:lineRule="exact"/>
      <w:jc w:val="left"/>
    </w:pPr>
    <w:rPr>
      <w:rFonts w:asciiTheme="minorHAnsi" w:eastAsia="SimSun" w:hAnsiTheme="minorHAnsi"/>
      <w:sz w:val="14"/>
      <w:szCs w:val="14"/>
      <w:lang w:val="en-GB"/>
    </w:rPr>
  </w:style>
  <w:style w:type="character" w:customStyle="1" w:styleId="RSCM01ReceivedAcceptedChar">
    <w:name w:val="RSC M01 Received/Accepted Char"/>
    <w:basedOn w:val="DefaultParagraphFont"/>
    <w:link w:val="RSCM01ReceivedAccepted"/>
    <w:rsid w:val="003F3ABB"/>
    <w:rPr>
      <w:rFonts w:asciiTheme="minorHAnsi" w:eastAsiaTheme="minorEastAsia" w:hAnsiTheme="minorHAnsi"/>
      <w:noProof/>
      <w:sz w:val="14"/>
      <w:szCs w:val="14"/>
      <w:lang w:val="en-GB" w:eastAsia="en-GB"/>
    </w:rPr>
  </w:style>
  <w:style w:type="paragraph" w:customStyle="1" w:styleId="RSCM03Website">
    <w:name w:val="RSC M03 Website"/>
    <w:basedOn w:val="Normal"/>
    <w:link w:val="RSCM03WebsiteChar"/>
    <w:qFormat/>
    <w:rsid w:val="003F3ABB"/>
    <w:pPr>
      <w:widowControl/>
      <w:spacing w:after="200" w:line="400" w:lineRule="exact"/>
      <w:jc w:val="left"/>
    </w:pPr>
    <w:rPr>
      <w:rFonts w:asciiTheme="minorHAnsi" w:eastAsia="SimSun" w:hAnsiTheme="minorHAnsi"/>
      <w:b/>
      <w:sz w:val="14"/>
      <w:szCs w:val="14"/>
      <w:lang w:val="en-GB"/>
    </w:rPr>
  </w:style>
  <w:style w:type="character" w:customStyle="1" w:styleId="RSCM02DOIChar">
    <w:name w:val="RSC M02 DOI Char"/>
    <w:basedOn w:val="DefaultParagraphFont"/>
    <w:link w:val="RSCM02DOI"/>
    <w:rsid w:val="003F3ABB"/>
    <w:rPr>
      <w:rFonts w:asciiTheme="minorHAnsi" w:eastAsia="SimSun" w:hAnsiTheme="minorHAnsi"/>
      <w:sz w:val="14"/>
      <w:szCs w:val="14"/>
      <w:lang w:val="en-GB"/>
    </w:rPr>
  </w:style>
  <w:style w:type="paragraph" w:customStyle="1" w:styleId="RSCB05AHeadingSection-standalone">
    <w:name w:val="RSC B05 A Heading (Section - stand alone)"/>
    <w:link w:val="RSCB05AHeadingSection-standaloneChar"/>
    <w:qFormat/>
    <w:rsid w:val="003F3ABB"/>
    <w:pPr>
      <w:spacing w:before="400" w:line="240" w:lineRule="auto"/>
    </w:pPr>
    <w:rPr>
      <w:rFonts w:asciiTheme="minorHAnsi" w:eastAsia="SimSun" w:hAnsiTheme="minorHAnsi" w:cs="Times New Roman"/>
      <w:sz w:val="24"/>
      <w:lang w:val="en-GB"/>
    </w:rPr>
  </w:style>
  <w:style w:type="character" w:customStyle="1" w:styleId="RSCM03WebsiteChar">
    <w:name w:val="RSC M03 Website Char"/>
    <w:basedOn w:val="DefaultParagraphFont"/>
    <w:link w:val="RSCM03Website"/>
    <w:rsid w:val="003F3ABB"/>
    <w:rPr>
      <w:rFonts w:asciiTheme="minorHAnsi" w:eastAsia="SimSun" w:hAnsiTheme="minorHAnsi"/>
      <w:b/>
      <w:sz w:val="14"/>
      <w:szCs w:val="14"/>
      <w:lang w:val="en-GB"/>
    </w:rPr>
  </w:style>
  <w:style w:type="paragraph" w:customStyle="1" w:styleId="RSCB06BHeadingSub-Section">
    <w:name w:val="RSC B06 B Heading (Sub-Section)"/>
    <w:link w:val="RSCB06BHeadingSub-SectionChar"/>
    <w:qFormat/>
    <w:rsid w:val="003F3ABB"/>
    <w:pPr>
      <w:spacing w:after="80" w:line="240" w:lineRule="exact"/>
    </w:pPr>
    <w:rPr>
      <w:rFonts w:asciiTheme="minorHAnsi" w:eastAsia="SimSun" w:hAnsiTheme="minorHAnsi"/>
      <w:b/>
      <w:sz w:val="18"/>
      <w:lang w:val="en-GB"/>
    </w:rPr>
  </w:style>
  <w:style w:type="character" w:customStyle="1" w:styleId="RSCB05AHeadingSection-standaloneChar">
    <w:name w:val="RSC B05 A Heading (Section - stand alone) Char"/>
    <w:basedOn w:val="RSCH02PaperAuthorsandBylineChar"/>
    <w:link w:val="RSCB05AHeadingSection-standalone"/>
    <w:rsid w:val="003F3ABB"/>
    <w:rPr>
      <w:rFonts w:asciiTheme="minorHAnsi" w:eastAsia="SimSun" w:hAnsiTheme="minorHAnsi" w:cs="Times New Roman"/>
      <w:sz w:val="24"/>
      <w:lang w:val="en-GB"/>
    </w:rPr>
  </w:style>
  <w:style w:type="paragraph" w:customStyle="1" w:styleId="RSCB07BHeadingSub-Section-standalone">
    <w:name w:val="RSC B07 B Heading (Sub-Section - stand alone)"/>
    <w:link w:val="RSCB07BHeadingSub-Section-standaloneChar"/>
    <w:qFormat/>
    <w:rsid w:val="003F3ABB"/>
    <w:pPr>
      <w:spacing w:before="160" w:after="80" w:line="240" w:lineRule="exact"/>
    </w:pPr>
    <w:rPr>
      <w:rFonts w:asciiTheme="minorHAnsi" w:eastAsia="SimSun" w:hAnsiTheme="minorHAnsi"/>
      <w:b/>
      <w:sz w:val="18"/>
      <w:lang w:val="en-GB"/>
    </w:rPr>
  </w:style>
  <w:style w:type="character" w:customStyle="1" w:styleId="RSCB06BHeadingSub-SectionChar">
    <w:name w:val="RSC B06 B Heading (Sub-Section) Char"/>
    <w:basedOn w:val="DefaultParagraphFont"/>
    <w:link w:val="RSCB06BHeadingSub-Section"/>
    <w:rsid w:val="003F3ABB"/>
    <w:rPr>
      <w:rFonts w:asciiTheme="minorHAnsi" w:eastAsia="SimSun" w:hAnsiTheme="minorHAnsi"/>
      <w:b/>
      <w:sz w:val="18"/>
      <w:lang w:val="en-GB"/>
    </w:rPr>
  </w:style>
  <w:style w:type="paragraph" w:customStyle="1" w:styleId="RSCB08CHeadingIn-line">
    <w:name w:val="RSC B08 C Heading (In-line)"/>
    <w:link w:val="RSCB08CHeadingIn-lineChar"/>
    <w:qFormat/>
    <w:rsid w:val="003F3ABB"/>
    <w:pPr>
      <w:spacing w:after="0" w:line="276" w:lineRule="auto"/>
    </w:pPr>
    <w:rPr>
      <w:rFonts w:asciiTheme="minorHAnsi" w:eastAsia="SimSun" w:hAnsiTheme="minorHAnsi"/>
      <w:b/>
      <w:sz w:val="18"/>
      <w:lang w:val="en-GB"/>
    </w:rPr>
  </w:style>
  <w:style w:type="character" w:customStyle="1" w:styleId="RSCB07BHeadingSub-Section-standaloneChar">
    <w:name w:val="RSC B07 B Heading (Sub-Section - stand alone) Char"/>
    <w:basedOn w:val="DefaultParagraphFont"/>
    <w:link w:val="RSCB07BHeadingSub-Section-standalone"/>
    <w:rsid w:val="003F3ABB"/>
    <w:rPr>
      <w:rFonts w:asciiTheme="minorHAnsi" w:eastAsia="SimSun" w:hAnsiTheme="minorHAnsi"/>
      <w:b/>
      <w:sz w:val="18"/>
      <w:lang w:val="en-GB"/>
    </w:rPr>
  </w:style>
  <w:style w:type="character" w:customStyle="1" w:styleId="RSCB08CHeadingIn-lineChar">
    <w:name w:val="RSC B08 C Heading (In-line) Char"/>
    <w:basedOn w:val="DefaultParagraphFont"/>
    <w:link w:val="RSCB08CHeadingIn-line"/>
    <w:rsid w:val="003F3ABB"/>
    <w:rPr>
      <w:rFonts w:asciiTheme="minorHAnsi" w:eastAsia="SimSun" w:hAnsiTheme="minorHAnsi"/>
      <w:b/>
      <w:sz w:val="18"/>
      <w:lang w:val="en-GB"/>
    </w:rPr>
  </w:style>
  <w:style w:type="paragraph" w:customStyle="1" w:styleId="RSCI05CaptiontoFigureSchemeChartwithbottombar">
    <w:name w:val="RSC I05 Caption to Figure/Scheme/Chart with bottom bar"/>
    <w:link w:val="RSCI05CaptiontoFigureSchemeChartwithbottombarChar"/>
    <w:qFormat/>
    <w:rsid w:val="003F3ABB"/>
    <w:pPr>
      <w:pBdr>
        <w:bottom w:val="single" w:sz="12" w:space="1" w:color="A6A6A6" w:themeColor="background1" w:themeShade="A6"/>
      </w:pBdr>
      <w:spacing w:after="200" w:line="276" w:lineRule="auto"/>
      <w:jc w:val="both"/>
    </w:pPr>
    <w:rPr>
      <w:rFonts w:asciiTheme="minorHAnsi" w:eastAsia="SimSun" w:hAnsiTheme="minorHAnsi"/>
      <w:bCs/>
      <w:sz w:val="14"/>
      <w:szCs w:val="18"/>
      <w:lang w:val="en-GB"/>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3F3ABB"/>
    <w:rPr>
      <w:rFonts w:asciiTheme="minorHAnsi" w:eastAsia="SimSun" w:hAnsiTheme="minorHAnsi"/>
      <w:bCs/>
      <w:sz w:val="14"/>
      <w:szCs w:val="18"/>
      <w:lang w:val="en-GB"/>
    </w:rPr>
  </w:style>
  <w:style w:type="paragraph" w:customStyle="1" w:styleId="04AHeading">
    <w:name w:val="04 A Heading"/>
    <w:basedOn w:val="Normal"/>
    <w:next w:val="Normal"/>
    <w:link w:val="04AHeadingChar"/>
    <w:rsid w:val="003F3ABB"/>
    <w:pPr>
      <w:widowControl/>
      <w:spacing w:before="240" w:after="120" w:line="240" w:lineRule="auto"/>
      <w:jc w:val="left"/>
    </w:pPr>
    <w:rPr>
      <w:rFonts w:ascii="Calibri" w:eastAsia="Calibri" w:hAnsi="Calibri" w:cs="Times New Roman"/>
      <w:b/>
      <w:lang w:val="en-GB"/>
    </w:rPr>
  </w:style>
  <w:style w:type="character" w:customStyle="1" w:styleId="04AHeadingChar">
    <w:name w:val="04 A Heading Char"/>
    <w:link w:val="04AHeading"/>
    <w:rsid w:val="003F3ABB"/>
    <w:rPr>
      <w:rFonts w:ascii="Calibri" w:eastAsia="Calibri" w:hAnsi="Calibri" w:cs="Times New Roman"/>
      <w:b/>
      <w:lang w:val="en-GB"/>
    </w:rPr>
  </w:style>
  <w:style w:type="paragraph" w:customStyle="1" w:styleId="08ArticleText">
    <w:name w:val="08 Article Text"/>
    <w:basedOn w:val="Normal"/>
    <w:link w:val="08ArticleTextChar"/>
    <w:rsid w:val="003F3ABB"/>
    <w:pPr>
      <w:widowControl/>
      <w:tabs>
        <w:tab w:val="left" w:pos="284"/>
      </w:tabs>
      <w:spacing w:after="0" w:line="240" w:lineRule="exact"/>
    </w:pPr>
    <w:rPr>
      <w:rFonts w:ascii="Times New Roman" w:eastAsia="Calibri" w:hAnsi="Times New Roman" w:cs="Times New Roman"/>
      <w:w w:val="108"/>
      <w:sz w:val="18"/>
      <w:szCs w:val="18"/>
      <w:lang w:val="en-GB"/>
    </w:rPr>
  </w:style>
  <w:style w:type="character" w:customStyle="1" w:styleId="08ArticleTextChar">
    <w:name w:val="08 Article Text Char"/>
    <w:link w:val="08ArticleText"/>
    <w:rsid w:val="003F3ABB"/>
    <w:rPr>
      <w:rFonts w:ascii="Times New Roman" w:eastAsia="Calibri" w:hAnsi="Times New Roman" w:cs="Times New Roman"/>
      <w:w w:val="108"/>
      <w:sz w:val="18"/>
      <w:szCs w:val="18"/>
      <w:lang w:val="en-GB"/>
    </w:rPr>
  </w:style>
  <w:style w:type="character" w:styleId="FollowedHyperlink">
    <w:name w:val="FollowedHyperlink"/>
    <w:basedOn w:val="DefaultParagraphFont"/>
    <w:uiPriority w:val="99"/>
    <w:semiHidden/>
    <w:unhideWhenUsed/>
    <w:rsid w:val="003F3ABB"/>
    <w:rPr>
      <w:color w:val="954F72" w:themeColor="followedHyperlink"/>
      <w:u w:val="single"/>
    </w:rPr>
  </w:style>
  <w:style w:type="paragraph" w:styleId="Title">
    <w:name w:val="Title"/>
    <w:basedOn w:val="Normal"/>
    <w:next w:val="Normal"/>
    <w:link w:val="TitleChar"/>
    <w:uiPriority w:val="10"/>
    <w:qFormat/>
    <w:rsid w:val="003F3A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ABB"/>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3F3ABB"/>
    <w:rPr>
      <w:sz w:val="16"/>
      <w:szCs w:val="16"/>
    </w:rPr>
  </w:style>
  <w:style w:type="paragraph" w:styleId="CommentText">
    <w:name w:val="annotation text"/>
    <w:basedOn w:val="Normal"/>
    <w:link w:val="CommentTextChar"/>
    <w:uiPriority w:val="99"/>
    <w:unhideWhenUsed/>
    <w:rsid w:val="003F3ABB"/>
    <w:pPr>
      <w:spacing w:line="240" w:lineRule="auto"/>
    </w:pPr>
    <w:rPr>
      <w:rFonts w:eastAsia="SimSun"/>
      <w:sz w:val="20"/>
      <w:szCs w:val="20"/>
    </w:rPr>
  </w:style>
  <w:style w:type="character" w:customStyle="1" w:styleId="CommentTextChar">
    <w:name w:val="Comment Text Char"/>
    <w:basedOn w:val="DefaultParagraphFont"/>
    <w:link w:val="CommentText"/>
    <w:uiPriority w:val="99"/>
    <w:rsid w:val="003F3ABB"/>
    <w:rPr>
      <w:rFonts w:eastAsia="SimSun"/>
      <w:sz w:val="20"/>
      <w:szCs w:val="20"/>
    </w:rPr>
  </w:style>
  <w:style w:type="character" w:customStyle="1" w:styleId="fontstyle01">
    <w:name w:val="fontstyle01"/>
    <w:basedOn w:val="DefaultParagraphFont"/>
    <w:rsid w:val="003F3ABB"/>
    <w:rPr>
      <w:rFonts w:ascii="TimesNewRomanPSMT" w:hAnsi="TimesNewRomanPSMT" w:hint="default"/>
      <w:b w:val="0"/>
      <w:bCs w:val="0"/>
      <w:i w:val="0"/>
      <w:iCs w:val="0"/>
      <w:color w:val="000000"/>
      <w:sz w:val="24"/>
      <w:szCs w:val="24"/>
    </w:rPr>
  </w:style>
  <w:style w:type="paragraph" w:styleId="Bibliography">
    <w:name w:val="Bibliography"/>
    <w:basedOn w:val="Normal"/>
    <w:next w:val="Normal"/>
    <w:uiPriority w:val="37"/>
    <w:unhideWhenUsed/>
    <w:rsid w:val="003F3ABB"/>
    <w:pPr>
      <w:widowControl/>
      <w:tabs>
        <w:tab w:val="left" w:pos="264"/>
      </w:tabs>
      <w:spacing w:after="0" w:line="240" w:lineRule="auto"/>
      <w:ind w:left="264" w:hanging="264"/>
      <w:jc w:val="left"/>
    </w:pPr>
    <w:rPr>
      <w:rFonts w:asciiTheme="minorHAnsi" w:eastAsia="SimSun" w:hAnsiTheme="minorHAnsi"/>
      <w:lang w:val="en-GB"/>
    </w:rPr>
  </w:style>
  <w:style w:type="paragraph" w:styleId="CommentSubject">
    <w:name w:val="annotation subject"/>
    <w:basedOn w:val="CommentText"/>
    <w:next w:val="CommentText"/>
    <w:link w:val="CommentSubjectChar"/>
    <w:uiPriority w:val="99"/>
    <w:semiHidden/>
    <w:unhideWhenUsed/>
    <w:rsid w:val="003F3ABB"/>
    <w:pPr>
      <w:widowControl/>
      <w:spacing w:after="200"/>
      <w:jc w:val="left"/>
    </w:pPr>
    <w:rPr>
      <w:rFonts w:asciiTheme="minorHAnsi" w:hAnsiTheme="minorHAnsi"/>
      <w:b/>
      <w:bCs/>
      <w:lang w:val="en-GB"/>
    </w:rPr>
  </w:style>
  <w:style w:type="character" w:customStyle="1" w:styleId="CommentSubjectChar">
    <w:name w:val="Comment Subject Char"/>
    <w:basedOn w:val="CommentTextChar"/>
    <w:link w:val="CommentSubject"/>
    <w:uiPriority w:val="99"/>
    <w:semiHidden/>
    <w:rsid w:val="003F3ABB"/>
    <w:rPr>
      <w:rFonts w:asciiTheme="minorHAnsi" w:eastAsia="SimSun" w:hAnsiTheme="minorHAnsi"/>
      <w:b/>
      <w:bCs/>
      <w:sz w:val="20"/>
      <w:szCs w:val="20"/>
      <w:lang w:val="en-GB"/>
    </w:rPr>
  </w:style>
  <w:style w:type="character" w:customStyle="1" w:styleId="fontstyle21">
    <w:name w:val="fontstyle21"/>
    <w:basedOn w:val="DefaultParagraphFont"/>
    <w:rsid w:val="003F3ABB"/>
    <w:rPr>
      <w:rFonts w:ascii="Italic" w:hAnsi="Italic" w:hint="default"/>
      <w:b w:val="0"/>
      <w:bCs w:val="0"/>
      <w:i/>
      <w:iCs/>
      <w:color w:val="000000"/>
      <w:sz w:val="24"/>
      <w:szCs w:val="24"/>
    </w:rPr>
  </w:style>
  <w:style w:type="character" w:styleId="PlaceholderText">
    <w:name w:val="Placeholder Text"/>
    <w:basedOn w:val="DefaultParagraphFont"/>
    <w:uiPriority w:val="99"/>
    <w:semiHidden/>
    <w:rsid w:val="003F3ABB"/>
    <w:rPr>
      <w:color w:val="808080"/>
    </w:rPr>
  </w:style>
  <w:style w:type="character" w:styleId="UnresolvedMention">
    <w:name w:val="Unresolved Mention"/>
    <w:basedOn w:val="DefaultParagraphFont"/>
    <w:uiPriority w:val="99"/>
    <w:semiHidden/>
    <w:unhideWhenUsed/>
    <w:rsid w:val="003F3ABB"/>
    <w:rPr>
      <w:color w:val="605E5C"/>
      <w:shd w:val="clear" w:color="auto" w:fill="E1DFDD"/>
    </w:rPr>
  </w:style>
  <w:style w:type="character" w:customStyle="1" w:styleId="texhtml">
    <w:name w:val="texhtml"/>
    <w:basedOn w:val="DefaultParagraphFont"/>
    <w:rsid w:val="003F3ABB"/>
  </w:style>
  <w:style w:type="character" w:styleId="LineNumber">
    <w:name w:val="line number"/>
    <w:basedOn w:val="DefaultParagraphFont"/>
    <w:uiPriority w:val="99"/>
    <w:semiHidden/>
    <w:unhideWhenUsed/>
    <w:rsid w:val="00445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4C5DF-1DC9-40EB-8212-47FA26B83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23</Pages>
  <Words>24361</Words>
  <Characters>138861</Characters>
  <Application>Microsoft Office Word</Application>
  <DocSecurity>0</DocSecurity>
  <Lines>1157</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Zhaokai Dong</dc:creator>
  <cp:keywords/>
  <dc:description/>
  <cp:lastModifiedBy>Ng, Carla</cp:lastModifiedBy>
  <cp:revision>4</cp:revision>
  <dcterms:created xsi:type="dcterms:W3CDTF">2020-09-04T14:54:00Z</dcterms:created>
  <dcterms:modified xsi:type="dcterms:W3CDTF">2020-09-04T20:31:00Z</dcterms:modified>
</cp:coreProperties>
</file>