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4E9B2" w14:textId="77777777" w:rsidR="0041344A" w:rsidRPr="00C52CE9" w:rsidRDefault="0041344A" w:rsidP="0041344A">
      <w:pPr>
        <w:spacing w:line="480" w:lineRule="auto"/>
        <w:jc w:val="center"/>
        <w:rPr>
          <w:rFonts w:ascii="Times New Roman" w:hAnsi="Times New Roman" w:cs="Times New Roman"/>
          <w:b/>
          <w:bCs/>
          <w:sz w:val="36"/>
          <w:szCs w:val="36"/>
        </w:rPr>
      </w:pPr>
      <w:r w:rsidRPr="00C52CE9">
        <w:rPr>
          <w:rFonts w:ascii="Times New Roman" w:hAnsi="Times New Roman" w:cs="Times New Roman"/>
          <w:b/>
          <w:bCs/>
          <w:sz w:val="36"/>
          <w:szCs w:val="36"/>
        </w:rPr>
        <w:t xml:space="preserve">Introducing Uncertainty Quantification to </w:t>
      </w:r>
      <w:r>
        <w:rPr>
          <w:rFonts w:ascii="Times New Roman" w:hAnsi="Times New Roman" w:cs="Times New Roman"/>
          <w:b/>
          <w:bCs/>
          <w:sz w:val="36"/>
          <w:szCs w:val="36"/>
        </w:rPr>
        <w:t xml:space="preserve">Techno-economic Models of Manufacturing </w:t>
      </w:r>
      <w:r w:rsidRPr="00C52CE9">
        <w:rPr>
          <w:rFonts w:ascii="Times New Roman" w:hAnsi="Times New Roman" w:cs="Times New Roman"/>
          <w:b/>
          <w:bCs/>
          <w:sz w:val="36"/>
          <w:szCs w:val="36"/>
        </w:rPr>
        <w:t>Field-Grown Plant-Made Product</w:t>
      </w:r>
      <w:r>
        <w:rPr>
          <w:rFonts w:ascii="Times New Roman" w:hAnsi="Times New Roman" w:cs="Times New Roman"/>
          <w:b/>
          <w:bCs/>
          <w:sz w:val="36"/>
          <w:szCs w:val="36"/>
        </w:rPr>
        <w:t>s</w:t>
      </w:r>
    </w:p>
    <w:p w14:paraId="72C63B3C" w14:textId="77777777" w:rsidR="0041344A" w:rsidRPr="00C52CE9" w:rsidRDefault="0041344A" w:rsidP="0041344A">
      <w:pPr>
        <w:spacing w:line="480" w:lineRule="auto"/>
        <w:rPr>
          <w:rFonts w:ascii="Times New Roman" w:hAnsi="Times New Roman" w:cs="Times New Roman"/>
          <w:sz w:val="24"/>
          <w:szCs w:val="24"/>
        </w:rPr>
      </w:pPr>
      <w:r w:rsidRPr="00C52CE9">
        <w:rPr>
          <w:rFonts w:ascii="Times New Roman" w:hAnsi="Times New Roman" w:cs="Times New Roman"/>
          <w:sz w:val="24"/>
          <w:szCs w:val="24"/>
        </w:rPr>
        <w:t>Matthew J. McNulty</w:t>
      </w:r>
      <w:proofErr w:type="gramStart"/>
      <w:r w:rsidRPr="00C52CE9">
        <w:rPr>
          <w:rFonts w:ascii="Times New Roman" w:hAnsi="Times New Roman" w:cs="Times New Roman"/>
          <w:sz w:val="24"/>
          <w:szCs w:val="24"/>
          <w:vertAlign w:val="superscript"/>
        </w:rPr>
        <w:t>1,#</w:t>
      </w:r>
      <w:proofErr w:type="gramEnd"/>
      <w:r w:rsidRPr="00C52CE9">
        <w:rPr>
          <w:rFonts w:ascii="Times New Roman" w:hAnsi="Times New Roman" w:cs="Times New Roman"/>
          <w:sz w:val="24"/>
          <w:szCs w:val="24"/>
        </w:rPr>
        <w:t xml:space="preserve"> and </w:t>
      </w:r>
      <w:proofErr w:type="spellStart"/>
      <w:r w:rsidRPr="00C52CE9">
        <w:rPr>
          <w:rFonts w:ascii="Times New Roman" w:hAnsi="Times New Roman" w:cs="Times New Roman"/>
          <w:sz w:val="24"/>
          <w:szCs w:val="24"/>
        </w:rPr>
        <w:t>Kirolos</w:t>
      </w:r>
      <w:proofErr w:type="spellEnd"/>
      <w:r w:rsidRPr="00C52CE9">
        <w:rPr>
          <w:rFonts w:ascii="Times New Roman" w:hAnsi="Times New Roman" w:cs="Times New Roman"/>
          <w:sz w:val="24"/>
          <w:szCs w:val="24"/>
        </w:rPr>
        <w:t xml:space="preserve"> Kelada</w:t>
      </w:r>
      <w:r w:rsidRPr="00C52CE9">
        <w:rPr>
          <w:rFonts w:ascii="Times New Roman" w:hAnsi="Times New Roman" w:cs="Times New Roman"/>
          <w:sz w:val="24"/>
          <w:szCs w:val="24"/>
          <w:vertAlign w:val="superscript"/>
        </w:rPr>
        <w:t>1,#</w:t>
      </w:r>
      <w:r w:rsidRPr="00C52CE9">
        <w:rPr>
          <w:rFonts w:ascii="Times New Roman" w:hAnsi="Times New Roman" w:cs="Times New Roman"/>
          <w:sz w:val="24"/>
          <w:szCs w:val="24"/>
        </w:rPr>
        <w:t xml:space="preserve">, </w:t>
      </w:r>
      <w:proofErr w:type="spellStart"/>
      <w:r>
        <w:rPr>
          <w:rFonts w:ascii="Times New Roman" w:hAnsi="Times New Roman" w:cs="Times New Roman"/>
          <w:sz w:val="24"/>
          <w:szCs w:val="24"/>
        </w:rPr>
        <w:t>Debashis</w:t>
      </w:r>
      <w:proofErr w:type="spellEnd"/>
      <w:r>
        <w:rPr>
          <w:rFonts w:ascii="Times New Roman" w:hAnsi="Times New Roman" w:cs="Times New Roman"/>
          <w:sz w:val="24"/>
          <w:szCs w:val="24"/>
        </w:rPr>
        <w:t xml:space="preserve"> Paul</w:t>
      </w:r>
      <w:r w:rsidRPr="001B58D7">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sidRPr="00C52CE9">
        <w:rPr>
          <w:rFonts w:ascii="Times New Roman" w:hAnsi="Times New Roman" w:cs="Times New Roman"/>
          <w:sz w:val="24"/>
          <w:szCs w:val="24"/>
        </w:rPr>
        <w:t>Somen</w:t>
      </w:r>
      <w:proofErr w:type="spellEnd"/>
      <w:r w:rsidRPr="00C52CE9">
        <w:rPr>
          <w:rFonts w:ascii="Times New Roman" w:hAnsi="Times New Roman" w:cs="Times New Roman"/>
          <w:sz w:val="24"/>
          <w:szCs w:val="24"/>
        </w:rPr>
        <w:t xml:space="preserve"> Nandi</w:t>
      </w:r>
      <w:r w:rsidRPr="00C52CE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r w:rsidRPr="00C52CE9">
        <w:rPr>
          <w:rFonts w:ascii="Times New Roman" w:hAnsi="Times New Roman" w:cs="Times New Roman"/>
          <w:sz w:val="24"/>
          <w:szCs w:val="24"/>
        </w:rPr>
        <w:t>, and Karen A. McDonald</w:t>
      </w:r>
      <w:r w:rsidRPr="00C52CE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w:t>
      </w:r>
    </w:p>
    <w:p w14:paraId="39DB6A61" w14:textId="77777777" w:rsidR="0041344A" w:rsidRDefault="0041344A" w:rsidP="0041344A">
      <w:pPr>
        <w:spacing w:after="0" w:line="480" w:lineRule="auto"/>
        <w:jc w:val="both"/>
        <w:rPr>
          <w:rFonts w:ascii="Times New Roman" w:hAnsi="Times New Roman" w:cs="Times New Roman"/>
          <w:sz w:val="24"/>
          <w:szCs w:val="24"/>
        </w:rPr>
      </w:pPr>
      <w:r w:rsidRPr="00C52CE9">
        <w:rPr>
          <w:rFonts w:ascii="Times New Roman" w:hAnsi="Times New Roman" w:cs="Times New Roman"/>
          <w:sz w:val="24"/>
          <w:szCs w:val="24"/>
          <w:vertAlign w:val="superscript"/>
        </w:rPr>
        <w:t>1</w:t>
      </w:r>
      <w:r w:rsidRPr="00C52CE9">
        <w:rPr>
          <w:rFonts w:ascii="Times New Roman" w:hAnsi="Times New Roman" w:cs="Times New Roman"/>
          <w:sz w:val="24"/>
          <w:szCs w:val="24"/>
        </w:rPr>
        <w:t xml:space="preserve"> Department of Chemical Engineering, University of California, Davis, CA, USA</w:t>
      </w:r>
    </w:p>
    <w:p w14:paraId="318CCF33" w14:textId="77777777" w:rsidR="0041344A" w:rsidRPr="00C52CE9" w:rsidRDefault="0041344A" w:rsidP="0041344A">
      <w:pPr>
        <w:spacing w:after="0" w:line="480" w:lineRule="auto"/>
        <w:jc w:val="both"/>
        <w:rPr>
          <w:rFonts w:ascii="Times New Roman" w:hAnsi="Times New Roman" w:cs="Times New Roman"/>
          <w:sz w:val="24"/>
          <w:szCs w:val="24"/>
        </w:rPr>
      </w:pPr>
      <w:r w:rsidRPr="001B58D7">
        <w:rPr>
          <w:rFonts w:ascii="Times New Roman" w:hAnsi="Times New Roman" w:cs="Times New Roman"/>
          <w:sz w:val="24"/>
          <w:szCs w:val="24"/>
          <w:vertAlign w:val="superscript"/>
        </w:rPr>
        <w:t>2</w:t>
      </w:r>
      <w:r>
        <w:rPr>
          <w:rFonts w:ascii="Times New Roman" w:hAnsi="Times New Roman" w:cs="Times New Roman"/>
          <w:sz w:val="24"/>
          <w:szCs w:val="24"/>
        </w:rPr>
        <w:t xml:space="preserve"> Department of Statistics, University of California, Davis, CA, USA</w:t>
      </w:r>
    </w:p>
    <w:p w14:paraId="01F5A7B4" w14:textId="77777777" w:rsidR="0041344A" w:rsidRPr="00C52CE9" w:rsidRDefault="0041344A" w:rsidP="0041344A">
      <w:pPr>
        <w:spacing w:after="0"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sidRPr="00C52CE9">
        <w:rPr>
          <w:rFonts w:ascii="Times New Roman" w:hAnsi="Times New Roman" w:cs="Times New Roman"/>
          <w:sz w:val="24"/>
          <w:szCs w:val="24"/>
        </w:rPr>
        <w:t xml:space="preserve"> Global </w:t>
      </w:r>
      <w:proofErr w:type="spellStart"/>
      <w:r w:rsidRPr="00C52CE9">
        <w:rPr>
          <w:rFonts w:ascii="Times New Roman" w:hAnsi="Times New Roman" w:cs="Times New Roman"/>
          <w:sz w:val="24"/>
          <w:szCs w:val="24"/>
        </w:rPr>
        <w:t>HealthShare</w:t>
      </w:r>
      <w:proofErr w:type="spellEnd"/>
      <w:r w:rsidRPr="00C52CE9">
        <w:rPr>
          <w:rFonts w:ascii="Times New Roman" w:hAnsi="Times New Roman" w:cs="Times New Roman"/>
          <w:sz w:val="24"/>
          <w:szCs w:val="24"/>
        </w:rPr>
        <w:t xml:space="preserve"> Initiative, University of California, Davis, CA, USA</w:t>
      </w:r>
    </w:p>
    <w:p w14:paraId="482F6581" w14:textId="77777777" w:rsidR="0041344A" w:rsidRPr="00C52CE9" w:rsidRDefault="0041344A" w:rsidP="0041344A">
      <w:pPr>
        <w:spacing w:after="0" w:line="480" w:lineRule="auto"/>
        <w:jc w:val="both"/>
        <w:rPr>
          <w:rFonts w:ascii="Times New Roman" w:hAnsi="Times New Roman" w:cs="Times New Roman"/>
          <w:sz w:val="24"/>
          <w:szCs w:val="24"/>
        </w:rPr>
      </w:pPr>
    </w:p>
    <w:p w14:paraId="5D55D9C9" w14:textId="77777777" w:rsidR="0041344A" w:rsidRDefault="0041344A" w:rsidP="0041344A">
      <w:pPr>
        <w:shd w:val="clear" w:color="auto" w:fill="FFFFFF" w:themeFill="background1"/>
        <w:spacing w:after="0" w:line="480" w:lineRule="auto"/>
        <w:rPr>
          <w:rFonts w:ascii="Times New Roman" w:eastAsia="Times New Roman" w:hAnsi="Times New Roman" w:cs="Times New Roman"/>
          <w:color w:val="000000" w:themeColor="text1"/>
          <w:sz w:val="24"/>
          <w:szCs w:val="24"/>
        </w:rPr>
      </w:pPr>
      <w:r w:rsidRPr="00C52CE9">
        <w:rPr>
          <w:rFonts w:ascii="Times New Roman" w:eastAsia="Times New Roman" w:hAnsi="Times New Roman" w:cs="Times New Roman"/>
          <w:color w:val="000000" w:themeColor="text1"/>
          <w:sz w:val="24"/>
          <w:szCs w:val="24"/>
          <w:vertAlign w:val="superscript"/>
        </w:rPr>
        <w:t>#</w:t>
      </w:r>
      <w:r w:rsidRPr="00C52CE9">
        <w:rPr>
          <w:rFonts w:ascii="Times New Roman" w:eastAsia="Times New Roman" w:hAnsi="Times New Roman" w:cs="Times New Roman"/>
          <w:color w:val="000000" w:themeColor="text1"/>
          <w:sz w:val="24"/>
          <w:szCs w:val="24"/>
        </w:rPr>
        <w:t>These authors contributed equally for this manuscript and are considered as co-first authors</w:t>
      </w:r>
    </w:p>
    <w:p w14:paraId="4190CF48" w14:textId="77777777" w:rsidR="0041344A" w:rsidRPr="00AE40B4" w:rsidRDefault="0041344A" w:rsidP="0041344A">
      <w:pPr>
        <w:shd w:val="clear" w:color="auto" w:fill="FFFFFF" w:themeFill="background1"/>
        <w:spacing w:after="0" w:line="480" w:lineRule="auto"/>
        <w:rPr>
          <w:rFonts w:ascii="Times New Roman" w:eastAsia="Times New Roman" w:hAnsi="Times New Roman" w:cs="Times New Roman"/>
          <w:color w:val="000000" w:themeColor="text1"/>
          <w:sz w:val="24"/>
          <w:szCs w:val="24"/>
        </w:rPr>
      </w:pPr>
    </w:p>
    <w:p w14:paraId="6B6CE022" w14:textId="77777777" w:rsidR="0041344A" w:rsidRPr="00AE40B4" w:rsidRDefault="0041344A" w:rsidP="0041344A">
      <w:pPr>
        <w:spacing w:line="480" w:lineRule="auto"/>
        <w:rPr>
          <w:rFonts w:ascii="Times New Roman" w:hAnsi="Times New Roman" w:cs="Times New Roman"/>
          <w:sz w:val="24"/>
          <w:szCs w:val="24"/>
        </w:rPr>
      </w:pPr>
      <w:r w:rsidRPr="00AE40B4">
        <w:rPr>
          <w:rFonts w:ascii="Times New Roman" w:hAnsi="Times New Roman" w:cs="Times New Roman"/>
          <w:sz w:val="24"/>
          <w:szCs w:val="24"/>
        </w:rPr>
        <w:t>* Corresponding author, Email:  kamcdonald@ucdavis.edu, Phone: +1 (530) 752-8314</w:t>
      </w:r>
    </w:p>
    <w:p w14:paraId="4ADF7688" w14:textId="77777777" w:rsidR="0041344A" w:rsidRDefault="0041344A" w:rsidP="0041344A"/>
    <w:p w14:paraId="6A157561" w14:textId="77777777" w:rsidR="0041344A" w:rsidRDefault="0041344A" w:rsidP="00F00898">
      <w:pPr>
        <w:spacing w:line="480" w:lineRule="auto"/>
        <w:rPr>
          <w:rFonts w:ascii="Times New Roman" w:hAnsi="Times New Roman" w:cs="Times New Roman"/>
          <w:b/>
          <w:bCs/>
          <w:sz w:val="28"/>
          <w:szCs w:val="28"/>
        </w:rPr>
      </w:pPr>
    </w:p>
    <w:p w14:paraId="4B85F177" w14:textId="49F228D6" w:rsidR="00C52CE9" w:rsidRDefault="00C52CE9" w:rsidP="00F00898">
      <w:pPr>
        <w:spacing w:line="480" w:lineRule="auto"/>
        <w:rPr>
          <w:rFonts w:ascii="Times New Roman" w:hAnsi="Times New Roman" w:cs="Times New Roman"/>
          <w:b/>
          <w:bCs/>
          <w:sz w:val="28"/>
          <w:szCs w:val="28"/>
        </w:rPr>
      </w:pPr>
      <w:r w:rsidRPr="00C52CE9">
        <w:rPr>
          <w:rFonts w:ascii="Times New Roman" w:hAnsi="Times New Roman" w:cs="Times New Roman"/>
          <w:b/>
          <w:bCs/>
          <w:sz w:val="28"/>
          <w:szCs w:val="28"/>
        </w:rPr>
        <w:t>Abstract</w:t>
      </w:r>
    </w:p>
    <w:p w14:paraId="6F62E930" w14:textId="70B23B24" w:rsidR="00C52CE9" w:rsidRDefault="00153868" w:rsidP="001C487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a growing demand for large market </w:t>
      </w:r>
      <w:r w:rsidR="001E307E">
        <w:rPr>
          <w:rFonts w:ascii="Times New Roman" w:hAnsi="Times New Roman" w:cs="Times New Roman"/>
          <w:sz w:val="24"/>
          <w:szCs w:val="24"/>
        </w:rPr>
        <w:t xml:space="preserve">natural and </w:t>
      </w:r>
      <w:r>
        <w:rPr>
          <w:rFonts w:ascii="Times New Roman" w:hAnsi="Times New Roman" w:cs="Times New Roman"/>
          <w:sz w:val="24"/>
          <w:szCs w:val="24"/>
        </w:rPr>
        <w:t>biotechnological products</w:t>
      </w:r>
      <w:r w:rsidR="00287F17">
        <w:rPr>
          <w:rFonts w:ascii="Times New Roman" w:hAnsi="Times New Roman" w:cs="Times New Roman"/>
          <w:sz w:val="24"/>
          <w:szCs w:val="24"/>
        </w:rPr>
        <w:t xml:space="preserve">, for example, </w:t>
      </w:r>
      <w:r w:rsidR="00215297">
        <w:rPr>
          <w:rFonts w:ascii="Times New Roman" w:hAnsi="Times New Roman" w:cs="Times New Roman"/>
          <w:sz w:val="24"/>
          <w:szCs w:val="24"/>
        </w:rPr>
        <w:t xml:space="preserve">consumer preferences drive </w:t>
      </w:r>
      <w:r>
        <w:rPr>
          <w:rFonts w:ascii="Times New Roman" w:hAnsi="Times New Roman" w:cs="Times New Roman"/>
          <w:sz w:val="24"/>
          <w:szCs w:val="24"/>
        </w:rPr>
        <w:t xml:space="preserve">plant-based meat alternatives, </w:t>
      </w:r>
      <w:r w:rsidR="00215297">
        <w:rPr>
          <w:rFonts w:ascii="Times New Roman" w:hAnsi="Times New Roman" w:cs="Times New Roman"/>
          <w:sz w:val="24"/>
          <w:szCs w:val="24"/>
        </w:rPr>
        <w:t xml:space="preserve">health risks of sugar overconsumption continue to motivate </w:t>
      </w:r>
      <w:r>
        <w:rPr>
          <w:rFonts w:ascii="Times New Roman" w:hAnsi="Times New Roman" w:cs="Times New Roman"/>
          <w:sz w:val="24"/>
          <w:szCs w:val="24"/>
        </w:rPr>
        <w:t xml:space="preserve">alternative sweeteners, and </w:t>
      </w:r>
      <w:r w:rsidR="00215297">
        <w:rPr>
          <w:rFonts w:ascii="Times New Roman" w:hAnsi="Times New Roman" w:cs="Times New Roman"/>
          <w:sz w:val="24"/>
          <w:szCs w:val="24"/>
        </w:rPr>
        <w:t xml:space="preserve">the COVID-19 pandemic has reinvigorated interest in countries developing </w:t>
      </w:r>
      <w:r>
        <w:rPr>
          <w:rFonts w:ascii="Times New Roman" w:hAnsi="Times New Roman" w:cs="Times New Roman"/>
          <w:sz w:val="24"/>
          <w:szCs w:val="24"/>
        </w:rPr>
        <w:t>in-house vaccine and medication production capabilities</w:t>
      </w:r>
      <w:r w:rsidR="00215297">
        <w:rPr>
          <w:rFonts w:ascii="Times New Roman" w:hAnsi="Times New Roman" w:cs="Times New Roman"/>
          <w:sz w:val="24"/>
          <w:szCs w:val="24"/>
        </w:rPr>
        <w:t>.</w:t>
      </w:r>
      <w:r>
        <w:rPr>
          <w:rFonts w:ascii="Times New Roman" w:hAnsi="Times New Roman" w:cs="Times New Roman"/>
          <w:sz w:val="24"/>
          <w:szCs w:val="24"/>
        </w:rPr>
        <w:t xml:space="preserve"> </w:t>
      </w:r>
      <w:r w:rsidR="008E146A">
        <w:rPr>
          <w:rFonts w:ascii="Times New Roman" w:hAnsi="Times New Roman" w:cs="Times New Roman"/>
          <w:sz w:val="24"/>
          <w:szCs w:val="24"/>
        </w:rPr>
        <w:t xml:space="preserve">The current paradigm of </w:t>
      </w:r>
      <w:r w:rsidR="00287F17">
        <w:rPr>
          <w:rFonts w:ascii="Times New Roman" w:hAnsi="Times New Roman" w:cs="Times New Roman"/>
          <w:sz w:val="24"/>
          <w:szCs w:val="24"/>
        </w:rPr>
        <w:t>bioreactor</w:t>
      </w:r>
      <w:r w:rsidR="008E146A">
        <w:rPr>
          <w:rFonts w:ascii="Times New Roman" w:hAnsi="Times New Roman" w:cs="Times New Roman"/>
          <w:sz w:val="24"/>
          <w:szCs w:val="24"/>
        </w:rPr>
        <w:t xml:space="preserve">-based </w:t>
      </w:r>
      <w:r w:rsidR="00E52C4F">
        <w:rPr>
          <w:rFonts w:ascii="Times New Roman" w:hAnsi="Times New Roman" w:cs="Times New Roman"/>
          <w:sz w:val="24"/>
          <w:szCs w:val="24"/>
        </w:rPr>
        <w:t xml:space="preserve">biomanufacturing </w:t>
      </w:r>
      <w:r w:rsidR="008E146A">
        <w:rPr>
          <w:rFonts w:ascii="Times New Roman" w:hAnsi="Times New Roman" w:cs="Times New Roman"/>
          <w:sz w:val="24"/>
          <w:szCs w:val="24"/>
        </w:rPr>
        <w:t xml:space="preserve">faces difficulties of scalability and a high </w:t>
      </w:r>
      <w:r w:rsidR="008E146A">
        <w:rPr>
          <w:rFonts w:ascii="Times New Roman" w:hAnsi="Times New Roman" w:cs="Times New Roman"/>
          <w:sz w:val="24"/>
          <w:szCs w:val="24"/>
        </w:rPr>
        <w:lastRenderedPageBreak/>
        <w:t xml:space="preserve">entry barrier of capital intensity and workforce specialization. </w:t>
      </w:r>
      <w:r w:rsidR="00215297">
        <w:rPr>
          <w:rFonts w:ascii="Times New Roman" w:hAnsi="Times New Roman" w:cs="Times New Roman"/>
          <w:sz w:val="24"/>
          <w:szCs w:val="24"/>
        </w:rPr>
        <w:t>Field-grown plant-based manufacturing</w:t>
      </w:r>
      <w:r w:rsidR="008E146A">
        <w:rPr>
          <w:rFonts w:ascii="Times New Roman" w:hAnsi="Times New Roman" w:cs="Times New Roman"/>
          <w:sz w:val="24"/>
          <w:szCs w:val="24"/>
        </w:rPr>
        <w:t>, as an inexpensive and readily scalable platform,</w:t>
      </w:r>
      <w:r w:rsidR="00215297">
        <w:rPr>
          <w:rFonts w:ascii="Times New Roman" w:hAnsi="Times New Roman" w:cs="Times New Roman"/>
          <w:sz w:val="24"/>
          <w:szCs w:val="24"/>
        </w:rPr>
        <w:t xml:space="preserve"> is a promising strategy to meet </w:t>
      </w:r>
      <w:r w:rsidR="008E146A">
        <w:rPr>
          <w:rFonts w:ascii="Times New Roman" w:hAnsi="Times New Roman" w:cs="Times New Roman"/>
          <w:sz w:val="24"/>
          <w:szCs w:val="24"/>
        </w:rPr>
        <w:t xml:space="preserve">this emerging demand. </w:t>
      </w:r>
      <w:r w:rsidR="001E307E">
        <w:rPr>
          <w:rFonts w:ascii="Times New Roman" w:hAnsi="Times New Roman" w:cs="Times New Roman"/>
          <w:sz w:val="24"/>
          <w:szCs w:val="24"/>
        </w:rPr>
        <w:t xml:space="preserve">Despite some successes in field-grown </w:t>
      </w:r>
      <w:r w:rsidR="006D5351">
        <w:rPr>
          <w:rFonts w:ascii="Times New Roman" w:hAnsi="Times New Roman" w:cs="Times New Roman"/>
          <w:sz w:val="24"/>
          <w:szCs w:val="24"/>
        </w:rPr>
        <w:t xml:space="preserve">bioproducts </w:t>
      </w:r>
      <w:r w:rsidR="001E307E">
        <w:rPr>
          <w:rFonts w:ascii="Times New Roman" w:hAnsi="Times New Roman" w:cs="Times New Roman"/>
          <w:sz w:val="24"/>
          <w:szCs w:val="24"/>
        </w:rPr>
        <w:t xml:space="preserve">manufacturing by companies such as </w:t>
      </w:r>
      <w:proofErr w:type="spellStart"/>
      <w:r w:rsidR="001E307E">
        <w:rPr>
          <w:rFonts w:ascii="Times New Roman" w:hAnsi="Times New Roman" w:cs="Times New Roman"/>
          <w:sz w:val="24"/>
          <w:szCs w:val="24"/>
        </w:rPr>
        <w:t>Ventria</w:t>
      </w:r>
      <w:proofErr w:type="spellEnd"/>
      <w:r w:rsidR="001E307E">
        <w:rPr>
          <w:rFonts w:ascii="Times New Roman" w:hAnsi="Times New Roman" w:cs="Times New Roman"/>
          <w:sz w:val="24"/>
          <w:szCs w:val="24"/>
        </w:rPr>
        <w:t xml:space="preserve"> Biosciences, con</w:t>
      </w:r>
      <w:r w:rsidR="008E146A">
        <w:rPr>
          <w:rFonts w:ascii="Times New Roman" w:hAnsi="Times New Roman" w:cs="Times New Roman"/>
          <w:sz w:val="24"/>
          <w:szCs w:val="24"/>
        </w:rPr>
        <w:t xml:space="preserve">cerns of </w:t>
      </w:r>
      <w:r w:rsidR="001E307E">
        <w:rPr>
          <w:rFonts w:ascii="Times New Roman" w:hAnsi="Times New Roman" w:cs="Times New Roman"/>
          <w:sz w:val="24"/>
          <w:szCs w:val="24"/>
        </w:rPr>
        <w:t xml:space="preserve">product variability have largely stymied growth in this area. Here we report on the development and use of techno-economic modeling coupled with Monte Carlo-based uncertainty quantification as an effective tool to quantify and mitigate the impact of crop variation on product quality and supply for field-grown plant-based manufacturing.   </w:t>
      </w:r>
    </w:p>
    <w:p w14:paraId="3D08F453" w14:textId="1C928F5B" w:rsidR="00434A88" w:rsidRPr="00434A88" w:rsidRDefault="00434A88" w:rsidP="00F00898">
      <w:pPr>
        <w:spacing w:line="480" w:lineRule="auto"/>
        <w:rPr>
          <w:rFonts w:ascii="Times New Roman" w:hAnsi="Times New Roman" w:cs="Times New Roman"/>
          <w:b/>
          <w:bCs/>
          <w:sz w:val="24"/>
          <w:szCs w:val="24"/>
        </w:rPr>
      </w:pPr>
      <w:r w:rsidRPr="00434A88">
        <w:rPr>
          <w:rFonts w:ascii="Times New Roman" w:hAnsi="Times New Roman" w:cs="Times New Roman"/>
          <w:b/>
          <w:bCs/>
          <w:sz w:val="28"/>
          <w:szCs w:val="28"/>
        </w:rPr>
        <w:t>Keywords</w:t>
      </w:r>
    </w:p>
    <w:p w14:paraId="410AB35D" w14:textId="786EFA82" w:rsidR="00C52CE9" w:rsidRDefault="00AE40B4" w:rsidP="001C4876">
      <w:pPr>
        <w:spacing w:line="480" w:lineRule="auto"/>
        <w:rPr>
          <w:rFonts w:ascii="Times New Roman" w:hAnsi="Times New Roman" w:cs="Times New Roman"/>
          <w:sz w:val="24"/>
          <w:szCs w:val="24"/>
        </w:rPr>
      </w:pPr>
      <w:r>
        <w:rPr>
          <w:rFonts w:ascii="Times New Roman" w:hAnsi="Times New Roman" w:cs="Times New Roman"/>
          <w:sz w:val="24"/>
          <w:szCs w:val="24"/>
        </w:rPr>
        <w:t xml:space="preserve">Plant molecular </w:t>
      </w:r>
      <w:r w:rsidR="00B5098A">
        <w:rPr>
          <w:rFonts w:ascii="Times New Roman" w:hAnsi="Times New Roman" w:cs="Times New Roman"/>
          <w:sz w:val="24"/>
          <w:szCs w:val="24"/>
        </w:rPr>
        <w:t>f</w:t>
      </w:r>
      <w:r>
        <w:rPr>
          <w:rFonts w:ascii="Times New Roman" w:hAnsi="Times New Roman" w:cs="Times New Roman"/>
          <w:sz w:val="24"/>
          <w:szCs w:val="24"/>
        </w:rPr>
        <w:t>arming, plant-based manufacturing, uncertainty quantification, process simulation tool, techno-economic analysis, agricultural production</w:t>
      </w:r>
    </w:p>
    <w:p w14:paraId="1C83F257" w14:textId="77777777" w:rsidR="001600BD" w:rsidRDefault="008C4DB5" w:rsidP="001600BD">
      <w:pPr>
        <w:spacing w:line="480" w:lineRule="auto"/>
        <w:rPr>
          <w:rFonts w:ascii="Times New Roman" w:hAnsi="Times New Roman" w:cs="Times New Roman"/>
          <w:b/>
          <w:bCs/>
          <w:sz w:val="28"/>
          <w:szCs w:val="28"/>
        </w:rPr>
      </w:pPr>
      <w:r w:rsidRPr="008C4DB5">
        <w:rPr>
          <w:rFonts w:ascii="Times New Roman" w:hAnsi="Times New Roman" w:cs="Times New Roman"/>
          <w:b/>
          <w:bCs/>
          <w:sz w:val="28"/>
          <w:szCs w:val="28"/>
        </w:rPr>
        <w:t>Abbreviations</w:t>
      </w:r>
    </w:p>
    <w:p w14:paraId="0633628D" w14:textId="3051A58C" w:rsidR="00C52CE9" w:rsidRPr="001C4876" w:rsidRDefault="001600BD" w:rsidP="001C4876">
      <w:pPr>
        <w:spacing w:line="480" w:lineRule="auto"/>
        <w:jc w:val="both"/>
        <w:rPr>
          <w:rFonts w:ascii="Times New Roman" w:hAnsi="Times New Roman" w:cs="Times New Roman"/>
          <w:b/>
          <w:bCs/>
          <w:sz w:val="28"/>
          <w:szCs w:val="28"/>
        </w:rPr>
      </w:pPr>
      <w:r>
        <w:rPr>
          <w:rFonts w:ascii="Times New Roman" w:hAnsi="Times New Roman" w:cs="Times New Roman"/>
          <w:sz w:val="24"/>
          <w:szCs w:val="24"/>
        </w:rPr>
        <w:t xml:space="preserve">CAPEX, capital expenditures; CEX, cation exchange chromatography; COGS, cost of goods sold; IRR, internal rate of return; OPEX, operating expenditures; P&amp;F, </w:t>
      </w:r>
      <w:proofErr w:type="gramStart"/>
      <w:r>
        <w:rPr>
          <w:rFonts w:ascii="Times New Roman" w:hAnsi="Times New Roman" w:cs="Times New Roman"/>
          <w:sz w:val="24"/>
          <w:szCs w:val="24"/>
        </w:rPr>
        <w:t>plate</w:t>
      </w:r>
      <w:proofErr w:type="gramEnd"/>
      <w:r>
        <w:rPr>
          <w:rFonts w:ascii="Times New Roman" w:hAnsi="Times New Roman" w:cs="Times New Roman"/>
          <w:sz w:val="24"/>
          <w:szCs w:val="24"/>
        </w:rPr>
        <w:t xml:space="preserve"> and frame; QA, quality assurance; QC, quality control; UF/DF, ultrafiltration/diafiltration; USDA, U.S. Department of Agriculture; VBA, Visual Basic for Applications</w:t>
      </w:r>
      <w:r w:rsidR="001C4876">
        <w:rPr>
          <w:rFonts w:ascii="Times New Roman" w:hAnsi="Times New Roman" w:cs="Times New Roman"/>
          <w:sz w:val="24"/>
          <w:szCs w:val="24"/>
        </w:rPr>
        <w:t>.</w:t>
      </w:r>
    </w:p>
    <w:p w14:paraId="4E20B978" w14:textId="4748A661" w:rsidR="00380697" w:rsidRPr="00C52CE9" w:rsidRDefault="00C52CE9" w:rsidP="001C4876">
      <w:pPr>
        <w:rPr>
          <w:rFonts w:ascii="Times New Roman" w:hAnsi="Times New Roman" w:cs="Times New Roman"/>
          <w:b/>
          <w:bCs/>
          <w:sz w:val="28"/>
          <w:szCs w:val="28"/>
        </w:rPr>
      </w:pPr>
      <w:r>
        <w:rPr>
          <w:rFonts w:ascii="Times New Roman" w:hAnsi="Times New Roman" w:cs="Times New Roman"/>
          <w:sz w:val="24"/>
          <w:szCs w:val="24"/>
        </w:rPr>
        <w:br w:type="page"/>
      </w:r>
      <w:r w:rsidR="00380697" w:rsidRPr="00C52CE9">
        <w:rPr>
          <w:rFonts w:ascii="Times New Roman" w:hAnsi="Times New Roman" w:cs="Times New Roman"/>
          <w:b/>
          <w:bCs/>
          <w:sz w:val="28"/>
          <w:szCs w:val="28"/>
        </w:rPr>
        <w:lastRenderedPageBreak/>
        <w:t>1. Introduction</w:t>
      </w:r>
    </w:p>
    <w:p w14:paraId="102E2C05" w14:textId="1A1AD4D7" w:rsidR="00262E10" w:rsidRDefault="00262E10"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Recent times have brought </w:t>
      </w:r>
      <w:r w:rsidR="0078565E">
        <w:rPr>
          <w:rFonts w:ascii="Times New Roman" w:hAnsi="Times New Roman" w:cs="Times New Roman"/>
          <w:sz w:val="24"/>
          <w:szCs w:val="24"/>
        </w:rPr>
        <w:t xml:space="preserve">to the forefront of attention </w:t>
      </w:r>
      <w:r>
        <w:rPr>
          <w:rFonts w:ascii="Times New Roman" w:hAnsi="Times New Roman" w:cs="Times New Roman"/>
          <w:sz w:val="24"/>
          <w:szCs w:val="24"/>
        </w:rPr>
        <w:t>the need for large and reliable source of</w:t>
      </w:r>
      <w:r w:rsidR="00D97DCD">
        <w:rPr>
          <w:rFonts w:ascii="Times New Roman" w:hAnsi="Times New Roman" w:cs="Times New Roman"/>
          <w:sz w:val="24"/>
          <w:szCs w:val="24"/>
        </w:rPr>
        <w:t xml:space="preserve"> </w:t>
      </w:r>
      <w:r>
        <w:rPr>
          <w:rFonts w:ascii="Times New Roman" w:hAnsi="Times New Roman" w:cs="Times New Roman"/>
          <w:sz w:val="24"/>
          <w:szCs w:val="24"/>
        </w:rPr>
        <w:t>medication</w:t>
      </w:r>
      <w:r w:rsidR="00E23DA7">
        <w:rPr>
          <w:rFonts w:ascii="Times New Roman" w:hAnsi="Times New Roman" w:cs="Times New Roman"/>
          <w:sz w:val="24"/>
          <w:szCs w:val="24"/>
        </w:rPr>
        <w:t xml:space="preserve"> and other </w:t>
      </w:r>
      <w:proofErr w:type="gramStart"/>
      <w:r w:rsidR="00D97DCD">
        <w:rPr>
          <w:rFonts w:ascii="Times New Roman" w:hAnsi="Times New Roman" w:cs="Times New Roman"/>
          <w:sz w:val="24"/>
          <w:szCs w:val="24"/>
        </w:rPr>
        <w:t>biologically-derived</w:t>
      </w:r>
      <w:proofErr w:type="gramEnd"/>
      <w:r w:rsidR="00D97DCD">
        <w:rPr>
          <w:rFonts w:ascii="Times New Roman" w:hAnsi="Times New Roman" w:cs="Times New Roman"/>
          <w:sz w:val="24"/>
          <w:szCs w:val="24"/>
        </w:rPr>
        <w:t xml:space="preserve"> products.</w:t>
      </w:r>
      <w:r>
        <w:rPr>
          <w:rFonts w:ascii="Times New Roman" w:hAnsi="Times New Roman" w:cs="Times New Roman"/>
          <w:sz w:val="24"/>
          <w:szCs w:val="24"/>
        </w:rPr>
        <w:t xml:space="preserve"> In these times, world leaders are more concerned than ever with the global </w:t>
      </w:r>
      <w:r w:rsidR="00E23DA7">
        <w:rPr>
          <w:rFonts w:ascii="Times New Roman" w:hAnsi="Times New Roman" w:cs="Times New Roman"/>
          <w:sz w:val="24"/>
          <w:szCs w:val="24"/>
        </w:rPr>
        <w:t>biotechnology</w:t>
      </w:r>
      <w:r>
        <w:rPr>
          <w:rFonts w:ascii="Times New Roman" w:hAnsi="Times New Roman" w:cs="Times New Roman"/>
          <w:sz w:val="24"/>
          <w:szCs w:val="24"/>
        </w:rPr>
        <w:t xml:space="preserve"> manufacturing capability. Current manufacturing strategies </w:t>
      </w:r>
      <w:r w:rsidR="00C32C5C">
        <w:rPr>
          <w:rFonts w:ascii="Times New Roman" w:hAnsi="Times New Roman" w:cs="Times New Roman"/>
          <w:sz w:val="24"/>
          <w:szCs w:val="24"/>
        </w:rPr>
        <w:t xml:space="preserve">often depend on bioreactors that </w:t>
      </w:r>
      <w:r>
        <w:rPr>
          <w:rFonts w:ascii="Times New Roman" w:hAnsi="Times New Roman" w:cs="Times New Roman"/>
          <w:sz w:val="24"/>
          <w:szCs w:val="24"/>
        </w:rPr>
        <w:t xml:space="preserve">require complex equipment infrastructure, large time and capital investments to construct them, and </w:t>
      </w:r>
      <w:r w:rsidR="007576AB">
        <w:rPr>
          <w:rFonts w:ascii="Times New Roman" w:hAnsi="Times New Roman" w:cs="Times New Roman"/>
          <w:sz w:val="24"/>
          <w:szCs w:val="24"/>
        </w:rPr>
        <w:t xml:space="preserve">a </w:t>
      </w:r>
      <w:r>
        <w:rPr>
          <w:rFonts w:ascii="Times New Roman" w:hAnsi="Times New Roman" w:cs="Times New Roman"/>
          <w:sz w:val="24"/>
          <w:szCs w:val="24"/>
        </w:rPr>
        <w:t>high</w:t>
      </w:r>
      <w:r w:rsidR="007576AB">
        <w:rPr>
          <w:rFonts w:ascii="Times New Roman" w:hAnsi="Times New Roman" w:cs="Times New Roman"/>
          <w:sz w:val="24"/>
          <w:szCs w:val="24"/>
        </w:rPr>
        <w:t>ly trained specialized</w:t>
      </w:r>
      <w:r>
        <w:rPr>
          <w:rFonts w:ascii="Times New Roman" w:hAnsi="Times New Roman" w:cs="Times New Roman"/>
          <w:sz w:val="24"/>
          <w:szCs w:val="24"/>
        </w:rPr>
        <w:t xml:space="preserve"> workforce to operate them. </w:t>
      </w:r>
      <w:r w:rsidR="007576AB">
        <w:rPr>
          <w:rFonts w:ascii="Times New Roman" w:hAnsi="Times New Roman" w:cs="Times New Roman"/>
          <w:sz w:val="24"/>
          <w:szCs w:val="24"/>
        </w:rPr>
        <w:t>The</w:t>
      </w:r>
      <w:r w:rsidR="0078565E">
        <w:rPr>
          <w:rFonts w:ascii="Times New Roman" w:hAnsi="Times New Roman" w:cs="Times New Roman"/>
          <w:sz w:val="24"/>
          <w:szCs w:val="24"/>
        </w:rPr>
        <w:t xml:space="preserve"> ability of </w:t>
      </w:r>
      <w:r w:rsidR="00C32C5C">
        <w:rPr>
          <w:rFonts w:ascii="Times New Roman" w:hAnsi="Times New Roman" w:cs="Times New Roman"/>
          <w:sz w:val="24"/>
          <w:szCs w:val="24"/>
        </w:rPr>
        <w:t>this</w:t>
      </w:r>
      <w:r w:rsidR="0078565E">
        <w:rPr>
          <w:rFonts w:ascii="Times New Roman" w:hAnsi="Times New Roman" w:cs="Times New Roman"/>
          <w:sz w:val="24"/>
          <w:szCs w:val="24"/>
        </w:rPr>
        <w:t xml:space="preserve"> current </w:t>
      </w:r>
      <w:r w:rsidR="00E72BD1">
        <w:rPr>
          <w:rFonts w:ascii="Times New Roman" w:hAnsi="Times New Roman" w:cs="Times New Roman"/>
          <w:sz w:val="24"/>
          <w:szCs w:val="24"/>
        </w:rPr>
        <w:t>biotechnology</w:t>
      </w:r>
      <w:r w:rsidR="0078565E">
        <w:rPr>
          <w:rFonts w:ascii="Times New Roman" w:hAnsi="Times New Roman" w:cs="Times New Roman"/>
          <w:sz w:val="24"/>
          <w:szCs w:val="24"/>
        </w:rPr>
        <w:t xml:space="preserve"> manufacturing paradigm to scale to </w:t>
      </w:r>
      <w:r w:rsidR="00E72BD1">
        <w:rPr>
          <w:rFonts w:ascii="Times New Roman" w:hAnsi="Times New Roman" w:cs="Times New Roman"/>
          <w:sz w:val="24"/>
          <w:szCs w:val="24"/>
        </w:rPr>
        <w:t>meet</w:t>
      </w:r>
      <w:r w:rsidR="0078565E">
        <w:rPr>
          <w:rFonts w:ascii="Times New Roman" w:hAnsi="Times New Roman" w:cs="Times New Roman"/>
          <w:sz w:val="24"/>
          <w:szCs w:val="24"/>
        </w:rPr>
        <w:t xml:space="preserve"> </w:t>
      </w:r>
      <w:r w:rsidR="00C32C5C">
        <w:rPr>
          <w:rFonts w:ascii="Times New Roman" w:hAnsi="Times New Roman" w:cs="Times New Roman"/>
          <w:sz w:val="24"/>
          <w:szCs w:val="24"/>
        </w:rPr>
        <w:t xml:space="preserve">projected </w:t>
      </w:r>
      <w:r w:rsidR="0078565E">
        <w:rPr>
          <w:rFonts w:ascii="Times New Roman" w:hAnsi="Times New Roman" w:cs="Times New Roman"/>
          <w:sz w:val="24"/>
          <w:szCs w:val="24"/>
        </w:rPr>
        <w:t xml:space="preserve">global </w:t>
      </w:r>
      <w:r w:rsidR="00E72BD1">
        <w:rPr>
          <w:rFonts w:ascii="Times New Roman" w:hAnsi="Times New Roman" w:cs="Times New Roman"/>
          <w:sz w:val="24"/>
          <w:szCs w:val="24"/>
        </w:rPr>
        <w:t>needs across the breath of medical, agricultural, and industrial products</w:t>
      </w:r>
      <w:r w:rsidR="007576AB">
        <w:rPr>
          <w:rFonts w:ascii="Times New Roman" w:hAnsi="Times New Roman" w:cs="Times New Roman"/>
          <w:sz w:val="24"/>
          <w:szCs w:val="24"/>
        </w:rPr>
        <w:t xml:space="preserve"> is </w:t>
      </w:r>
      <w:r w:rsidR="009F34F9">
        <w:rPr>
          <w:rFonts w:ascii="Times New Roman" w:hAnsi="Times New Roman" w:cs="Times New Roman"/>
          <w:sz w:val="24"/>
          <w:szCs w:val="24"/>
        </w:rPr>
        <w:t>yet unproven</w:t>
      </w:r>
      <w:r w:rsidR="0078565E">
        <w:rPr>
          <w:rFonts w:ascii="Times New Roman" w:hAnsi="Times New Roman" w:cs="Times New Roman"/>
          <w:sz w:val="24"/>
          <w:szCs w:val="24"/>
        </w:rPr>
        <w:t>.</w:t>
      </w:r>
      <w:r w:rsidR="009F34F9">
        <w:rPr>
          <w:rFonts w:ascii="Times New Roman" w:hAnsi="Times New Roman" w:cs="Times New Roman"/>
          <w:sz w:val="24"/>
          <w:szCs w:val="24"/>
        </w:rPr>
        <w:t xml:space="preserve"> </w:t>
      </w:r>
      <w:r w:rsidR="003D50F2">
        <w:rPr>
          <w:rFonts w:ascii="Times New Roman" w:hAnsi="Times New Roman" w:cs="Times New Roman"/>
          <w:sz w:val="24"/>
          <w:szCs w:val="24"/>
        </w:rPr>
        <w:t>Biotechnology, as a set of emerging industries within which is contained high-profit margin of production, has been</w:t>
      </w:r>
      <w:r w:rsidR="00A15561">
        <w:rPr>
          <w:rFonts w:ascii="Times New Roman" w:hAnsi="Times New Roman" w:cs="Times New Roman"/>
          <w:sz w:val="24"/>
          <w:szCs w:val="24"/>
        </w:rPr>
        <w:t xml:space="preserve"> traditional</w:t>
      </w:r>
      <w:r w:rsidR="00EC4EC7">
        <w:rPr>
          <w:rFonts w:ascii="Times New Roman" w:hAnsi="Times New Roman" w:cs="Times New Roman"/>
          <w:sz w:val="24"/>
          <w:szCs w:val="24"/>
        </w:rPr>
        <w:t>ly</w:t>
      </w:r>
      <w:r w:rsidR="00A15561">
        <w:rPr>
          <w:rFonts w:ascii="Times New Roman" w:hAnsi="Times New Roman" w:cs="Times New Roman"/>
          <w:sz w:val="24"/>
          <w:szCs w:val="24"/>
        </w:rPr>
        <w:t xml:space="preserve"> averse to manufacturing platform risks</w:t>
      </w:r>
      <w:r w:rsidR="009F34F9">
        <w:rPr>
          <w:rFonts w:ascii="Times New Roman" w:hAnsi="Times New Roman" w:cs="Times New Roman"/>
          <w:sz w:val="24"/>
          <w:szCs w:val="24"/>
        </w:rPr>
        <w:t xml:space="preserve"> </w:t>
      </w:r>
      <w:r w:rsidR="003D50F2">
        <w:rPr>
          <w:rFonts w:ascii="Times New Roman" w:hAnsi="Times New Roman" w:cs="Times New Roman"/>
          <w:sz w:val="24"/>
          <w:szCs w:val="24"/>
        </w:rPr>
        <w:t>for established product categories such as biopharmaceuticals</w:t>
      </w:r>
      <w:r w:rsidR="00C32C5C">
        <w:rPr>
          <w:rFonts w:ascii="Times New Roman" w:hAnsi="Times New Roman" w:cs="Times New Roman"/>
          <w:sz w:val="24"/>
          <w:szCs w:val="24"/>
        </w:rPr>
        <w:t xml:space="preserve">. This in turn generates vulnerabilities </w:t>
      </w:r>
      <w:r w:rsidR="00EC4EC7">
        <w:rPr>
          <w:rFonts w:ascii="Times New Roman" w:hAnsi="Times New Roman" w:cs="Times New Roman"/>
          <w:sz w:val="24"/>
          <w:szCs w:val="24"/>
        </w:rPr>
        <w:t xml:space="preserve">as one considers </w:t>
      </w:r>
      <w:r w:rsidR="00C32C5C">
        <w:rPr>
          <w:rFonts w:ascii="Times New Roman" w:hAnsi="Times New Roman" w:cs="Times New Roman"/>
          <w:sz w:val="24"/>
          <w:szCs w:val="24"/>
        </w:rPr>
        <w:t>projections of demand for biologically-derived products, such as biopolymers</w:t>
      </w:r>
      <w:r w:rsidR="00467765">
        <w:rPr>
          <w:rFonts w:ascii="Times New Roman" w:hAnsi="Times New Roman" w:cs="Times New Roman"/>
          <w:sz w:val="24"/>
          <w:szCs w:val="24"/>
        </w:rPr>
        <w:t xml:space="preserve"> </w:t>
      </w:r>
      <w:r w:rsidR="003E31C7">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{"citationItems":[{"id":"ITEM-1","itemData":{"DOI":"10.1111/j.1365-313X.2008.03431.x","ISSN":"09607412","PMID":"18476872","abstract":"Plants produce a range of biopolymers for purposes such as maintenance of structural integrity, carbon storage, and defense against pathogens and desiccation. Several of these natural polymers are used by humans as food and materials, and increasingly as an energy carrier. In this review, we focus on plant biopolymers that are used as materials in bulk applications, such as plastics and elastomers, in the context of depleting resources and climate change, and consider technical and scientific bottlenecks in the production of novel or improved materials in transgenic or alternative crop plants. The biopolymers discussed are natural rubber and several polymers that are not naturally produced in plants, such as polyhydroxyalkanoates, fibrous proteins and poly-amino acids. In addition, monomers or precursors for the chemical synthesis of biopolymers, such as 4-hydroxybenzoate, itaconic acid, fructose and sorbitol, are discussed briefly. © 2008 The Authors.","author":[{"dropping-particle":"","family":"Beilen","given":"Jan B.","non-dropping-particle":"Van","parse-names":false,"suffix":""},{"dropping-particle":"","family":"Poirier","given":"Yves","non-dropping-particle":"","parse-names":false,"suffix":""}],"container-title":"Plant Journal","id":"ITEM-1","issue":"4","issued":{"date-parts":[["2008","5","1"]]},"page":"684-701","publisher":"John Wiley &amp; Sons, Ltd","title":"Production of renewable polymers from crop plants","type":"article","volume":"54"},"uris":["http://www.mendeley.com/documents/?uuid=cf53963d-ba5a-3fb7-9f51-8604a5a7081a"]}],"mendeley":{"formattedCitation":"(Van Beilen and Poirier, 2008)","plainTextFormattedCitation":"(Van Beilen and Poirier, 2008)","previouslyFormattedCitation":"(Van Beilen and Poirier, 2008)"},"properties":{"noteIndex":0},"schema":"https://github.com/citation-style-language/schema/raw/master/csl-citation.json"}</w:instrText>
      </w:r>
      <w:r w:rsidR="003E31C7">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(Van Beilen and Poirier, 2008)</w:t>
      </w:r>
      <w:r w:rsidR="003E31C7">
        <w:rPr>
          <w:rFonts w:ascii="Times New Roman" w:hAnsi="Times New Roman" w:cs="Times New Roman"/>
          <w:sz w:val="24"/>
          <w:szCs w:val="24"/>
        </w:rPr>
        <w:fldChar w:fldCharType="end"/>
      </w:r>
      <w:r w:rsidR="00C32C5C">
        <w:rPr>
          <w:rFonts w:ascii="Times New Roman" w:hAnsi="Times New Roman" w:cs="Times New Roman"/>
          <w:sz w:val="24"/>
          <w:szCs w:val="24"/>
        </w:rPr>
        <w:t>, plant-based protein</w:t>
      </w:r>
      <w:r w:rsidR="00467765">
        <w:rPr>
          <w:rFonts w:ascii="Times New Roman" w:hAnsi="Times New Roman" w:cs="Times New Roman"/>
          <w:sz w:val="24"/>
          <w:szCs w:val="24"/>
        </w:rPr>
        <w:t xml:space="preserve"> </w:t>
      </w:r>
      <w:r w:rsidR="003E31C7">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{"citationItems":[{"id":"ITEM-1","itemData":{"DOI":"10.1093/af/vfaa040","ISSN":"2160-6056","abstract":"Increased global usage of protein has resulted in demand for protein products to surge over the last few years. • Demonstration of equivalent or superior/new functions of novel proteins compared to existing alternatives is essential to protein market success. • Additional investigation of nonprotein ingredients and innovation in production technologies for alternative protein products is necessary to continue the expansion of protein offerings in the market.","author":[{"dropping-particle":"","family":"Ismail","given":"B Pam","non-dropping-particle":"","parse-names":false,"suffix":""},{"dropping-particle":"","family":"Senaratne-Lenagala","given":"Lasika","non-dropping-particle":"","parse-names":false,"suffix":""},{"dropping-particle":"","family":"Stube","given":"Alicia","non-dropping-particle":"","parse-names":false,"suffix":""},{"dropping-particle":"","family":"Brackenridge","given":"Ann","non-dropping-particle":"","parse-names":false,"suffix":""}],"container-title":"Animal Frontiers","id":"ITEM-1","issue":"4","issued":{"date-parts":[["2020","10","30"]]},"page":"53-63","publisher":"Oxford University Press","title":"Protein demand: review of plant and animal proteins used in alternative protein product development and production","type":"article-journal","volume":"10"},"uris":["http://www.mendeley.com/documents/?uuid=9f1226da-4408-3c28-9729-93db9e39fe5e"]}],"mendeley":{"formattedCitation":"(Ismail et al., 2020)","plainTextFormattedCitation":"(Ismail et al., 2020)","previouslyFormattedCitation":"(Ismail et al., 2020)"},"properties":{"noteIndex":0},"schema":"https://github.com/citation-style-language/schema/raw/master/csl-citation.json"}</w:instrText>
      </w:r>
      <w:r w:rsidR="003E31C7">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(Ismail et al., 2020)</w:t>
      </w:r>
      <w:r w:rsidR="003E31C7">
        <w:rPr>
          <w:rFonts w:ascii="Times New Roman" w:hAnsi="Times New Roman" w:cs="Times New Roman"/>
          <w:sz w:val="24"/>
          <w:szCs w:val="24"/>
        </w:rPr>
        <w:fldChar w:fldCharType="end"/>
      </w:r>
      <w:r w:rsidR="003E31C7">
        <w:rPr>
          <w:rFonts w:ascii="Times New Roman" w:hAnsi="Times New Roman" w:cs="Times New Roman"/>
          <w:sz w:val="24"/>
          <w:szCs w:val="24"/>
        </w:rPr>
        <w:t xml:space="preserve"> and oils</w:t>
      </w:r>
      <w:r w:rsidR="00467765">
        <w:rPr>
          <w:rFonts w:ascii="Times New Roman" w:hAnsi="Times New Roman" w:cs="Times New Roman"/>
          <w:sz w:val="24"/>
          <w:szCs w:val="24"/>
        </w:rPr>
        <w:t xml:space="preserve"> </w:t>
      </w:r>
      <w:r w:rsidR="003E31C7">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author":[{"dropping-particle":"","family":"Kojima","given":"Yasutomo","non-dropping-particle":"","parse-names":false,"suffix":""},{"dropping-particle":"","family":"Parcell","given":"Joe","non-dropping-particle":"","parse-names":false,"suffix":""},{"dropping-particle":"","family":"Cain","given":"Jewelwayne","non-dropping-particle":"","parse-names":false,"suffix":""}],"container-title":"Agricultural &amp; Applied Economics Association Annual Meeting","id":"ITEM-1","issued":{"date-parts":[["2016"]]},"publisher-place":"Boston","title":"A Global Demand Analysis of Vegetable Oils for Food and Industrial Use: A Cross-Country Panel Data Analysis with Spatial Econometrics","type":"paper-conference"},"uris":["http://www.mendeley.com/documents/?uuid=93e56e58-2e23-4193-b697-1041c666ebc2"]}],"mendeley":{"formattedCitation":"(Kojima et al., 2016)","plainTextFormattedCitation":"(Kojima et al., 2016)","previouslyFormattedCitation":"(Kojima et al., 2016)"},"properties":{"noteIndex":0},"schema":"https://github.com/citation-style-language/schema/raw/master/csl-citation.json"}</w:instrText>
      </w:r>
      <w:r w:rsidR="003E31C7">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(Kojima et al., 2016)</w:t>
      </w:r>
      <w:r w:rsidR="003E31C7">
        <w:rPr>
          <w:rFonts w:ascii="Times New Roman" w:hAnsi="Times New Roman" w:cs="Times New Roman"/>
          <w:sz w:val="24"/>
          <w:szCs w:val="24"/>
        </w:rPr>
        <w:fldChar w:fldCharType="end"/>
      </w:r>
      <w:r w:rsidR="00C32C5C">
        <w:rPr>
          <w:rFonts w:ascii="Times New Roman" w:hAnsi="Times New Roman" w:cs="Times New Roman"/>
          <w:sz w:val="24"/>
          <w:szCs w:val="24"/>
        </w:rPr>
        <w:t xml:space="preserve">, </w:t>
      </w:r>
      <w:r w:rsidR="00882C9F">
        <w:rPr>
          <w:rFonts w:ascii="Times New Roman" w:hAnsi="Times New Roman" w:cs="Times New Roman"/>
          <w:sz w:val="24"/>
          <w:szCs w:val="24"/>
        </w:rPr>
        <w:t>natural sugar alternatives</w:t>
      </w:r>
      <w:r w:rsidR="00467765">
        <w:rPr>
          <w:rFonts w:ascii="Times New Roman" w:hAnsi="Times New Roman" w:cs="Times New Roman"/>
          <w:sz w:val="24"/>
          <w:szCs w:val="24"/>
        </w:rPr>
        <w:t xml:space="preserve"> </w:t>
      </w:r>
      <w:r w:rsidR="00882C9F">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{"citationItems":[{"id":"ITEM-1","itemData":{"DOI":"10.1016/j.physbeh.2016.03.030","ISSN":"1873507X","PMID":"27039282","abstract":"Low-calorie sweeteners (LCS) offer a palatable alternative to caloric sugars such as sucrose (table sugar) and high fructose corn syrup and are commonly found in soft drinks, sweetener packets, grains, snack foods, dairy products, hygiene products, and medications. Consumption of LCS has increased significantly in recent years and while this trend is expected to continue, controversy exists surrounding their use. The purpose of this article is to review trends in the consumption of LCS, to summarize differences in LCS consumption across socio-demographic subgroups and subtypes of LCS-containing products, and to highlight important challenges in the accurate assessment of LCS consumption.","author":[{"dropping-particle":"","family":"Sylvetsky","given":"Allison C.","non-dropping-particle":"","parse-names":false,"suffix":""},{"dropping-particle":"","family":"Rother","given":"Kristina I.","non-dropping-particle":"","parse-names":false,"suffix":""}],"container-title":"Physiology and Behavior","id":"ITEM-1","issue":"Pt B","issued":{"date-parts":[["2016","10","1"]]},"page":"446-450","publisher":"Elsevier Inc.","title":"Trends in the consumption of low-calorie sweeteners","type":"article","volume":"164"},"uris":["http://www.mendeley.com/documents/?uuid=fe4fb2ae-397e-3c73-a6cf-0a1209ff364f"]}],"mendeley":{"formattedCitation":"(Sylvetsky and Rother, 2016)","plainTextFormattedCitation":"(Sylvetsky and Rother, 2016)","previouslyFormattedCitation":"(Sylvetsky and Rother, 2016)"},"properties":{"noteIndex":0},"schema":"https://github.com/citation-style-language/schema/raw/master/csl-citation.json"}</w:instrText>
      </w:r>
      <w:r w:rsidR="00882C9F">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(Sylvetsky and Rother, 2016)</w:t>
      </w:r>
      <w:r w:rsidR="00882C9F">
        <w:rPr>
          <w:rFonts w:ascii="Times New Roman" w:hAnsi="Times New Roman" w:cs="Times New Roman"/>
          <w:sz w:val="24"/>
          <w:szCs w:val="24"/>
        </w:rPr>
        <w:fldChar w:fldCharType="end"/>
      </w:r>
      <w:r w:rsidR="00EA0913">
        <w:rPr>
          <w:rFonts w:ascii="Times New Roman" w:hAnsi="Times New Roman" w:cs="Times New Roman"/>
          <w:sz w:val="24"/>
          <w:szCs w:val="24"/>
        </w:rPr>
        <w:t xml:space="preserve">, and </w:t>
      </w:r>
      <w:r w:rsidR="00C32C5C">
        <w:rPr>
          <w:rFonts w:ascii="Times New Roman" w:hAnsi="Times New Roman" w:cs="Times New Roman"/>
          <w:sz w:val="24"/>
          <w:szCs w:val="24"/>
        </w:rPr>
        <w:t>biopharmaceuticals</w:t>
      </w:r>
      <w:r w:rsidR="00467765">
        <w:rPr>
          <w:rFonts w:ascii="Times New Roman" w:hAnsi="Times New Roman" w:cs="Times New Roman"/>
          <w:sz w:val="24"/>
          <w:szCs w:val="24"/>
        </w:rPr>
        <w:t xml:space="preserve"> </w:t>
      </w:r>
      <w:r w:rsidR="00882C9F">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{"citationItems":[{"id":"ITEM-1","itemData":{"DOI":"10.1002/bab.1617","ISSN":"14708744","PMID":"28972297","abstract":"Since its introduction in 1982, biopharmaceutical drugs have revolutionized the treatment of a broad spectrum of diseases and are increasingly used in nearly all branches of medicine. In recent years, the biopharmaceuticals market has developed much faster than the market for all drugs and is believed to have great potential for further dynamic growth because of the tremendous demand for these drugs. Biobetters, which contain altered active pharmaceutical ingredients with enhanced efficacy, will play an important role in the development of biopharmaceuticals. Another significant group of biopharmaceuticals are biosimilars. Their introduction in the European Union and, recently, the Unites States markets will reduce the costs of biopharmaceutical treatment. This review highlights recent progress in the field of biopharmaceutical development and issues concerning the registration of innovative biopharmaceuticals and biosimilars. The leading class of biopharmaceuticals, the current biopharmaceuticals market, and forecasts are also discussed.","author":[{"dropping-particle":"","family":"Kesik-Brodacka","given":"Malgorzata","non-dropping-particle":"","parse-names":false,"suffix":""}],"container-title":"Biotechnology and Applied Biochemistry","id":"ITEM-1","issue":"3","issued":{"date-parts":[["2018","5","1"]]},"page":"306-322","publisher":"Wiley-Blackwell Publishing Ltd","title":"Progress in biopharmaceutical development","type":"article","volume":"65"},"uris":["http://www.mendeley.com/documents/?uuid=56b9d392-3024-3184-ab52-acd24b3e6823"]}],"mendeley":{"formattedCitation":"(Kesik-Brodacka, 2018)","plainTextFormattedCitation":"(Kesik-Brodacka, 2018)","previouslyFormattedCitation":"(Kesik-Brodacka, 2018)"},"properties":{"noteIndex":0},"schema":"https://github.com/citation-style-language/schema/raw/master/csl-citation.json"}</w:instrText>
      </w:r>
      <w:r w:rsidR="00882C9F">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(Kesik-Brodacka, 2018)</w:t>
      </w:r>
      <w:r w:rsidR="00882C9F">
        <w:rPr>
          <w:rFonts w:ascii="Times New Roman" w:hAnsi="Times New Roman" w:cs="Times New Roman"/>
          <w:sz w:val="24"/>
          <w:szCs w:val="24"/>
        </w:rPr>
        <w:fldChar w:fldCharType="end"/>
      </w:r>
      <w:r w:rsidR="00EA0913">
        <w:rPr>
          <w:rFonts w:ascii="Times New Roman" w:hAnsi="Times New Roman" w:cs="Times New Roman"/>
          <w:sz w:val="24"/>
          <w:szCs w:val="24"/>
        </w:rPr>
        <w:t xml:space="preserve">, </w:t>
      </w:r>
      <w:r w:rsidR="00C32C5C">
        <w:rPr>
          <w:rFonts w:ascii="Times New Roman" w:hAnsi="Times New Roman" w:cs="Times New Roman"/>
          <w:sz w:val="24"/>
          <w:szCs w:val="24"/>
        </w:rPr>
        <w:t xml:space="preserve">increasing </w:t>
      </w:r>
      <w:r w:rsidR="00EC4EC7">
        <w:rPr>
          <w:rFonts w:ascii="Times New Roman" w:hAnsi="Times New Roman" w:cs="Times New Roman"/>
          <w:sz w:val="24"/>
          <w:szCs w:val="24"/>
        </w:rPr>
        <w:t xml:space="preserve">several orders of magnitude </w:t>
      </w:r>
      <w:r w:rsidR="00EA0913">
        <w:rPr>
          <w:rFonts w:ascii="Times New Roman" w:hAnsi="Times New Roman" w:cs="Times New Roman"/>
          <w:sz w:val="24"/>
          <w:szCs w:val="24"/>
        </w:rPr>
        <w:t>while sometimes also demanding</w:t>
      </w:r>
      <w:r w:rsidR="003B5943">
        <w:rPr>
          <w:rFonts w:ascii="Times New Roman" w:hAnsi="Times New Roman" w:cs="Times New Roman"/>
          <w:sz w:val="24"/>
          <w:szCs w:val="24"/>
        </w:rPr>
        <w:t xml:space="preserve"> several orders of magnitude shorter product cycle time</w:t>
      </w:r>
      <w:r w:rsidR="00EC4EC7">
        <w:rPr>
          <w:rFonts w:ascii="Times New Roman" w:hAnsi="Times New Roman" w:cs="Times New Roman"/>
          <w:sz w:val="24"/>
          <w:szCs w:val="24"/>
        </w:rPr>
        <w:t>.</w:t>
      </w:r>
      <w:r w:rsidR="003B5943">
        <w:rPr>
          <w:rFonts w:ascii="Times New Roman" w:hAnsi="Times New Roman" w:cs="Times New Roman"/>
          <w:sz w:val="24"/>
          <w:szCs w:val="24"/>
        </w:rPr>
        <w:t xml:space="preserve"> In a recent perspective, we highlighted </w:t>
      </w:r>
      <w:r w:rsidR="00EA0913">
        <w:rPr>
          <w:rFonts w:ascii="Times New Roman" w:hAnsi="Times New Roman" w:cs="Times New Roman"/>
          <w:sz w:val="24"/>
          <w:szCs w:val="24"/>
        </w:rPr>
        <w:t xml:space="preserve">these vulnerabilities and proposed one solution of </w:t>
      </w:r>
      <w:r w:rsidR="003B5943">
        <w:rPr>
          <w:rFonts w:ascii="Times New Roman" w:hAnsi="Times New Roman" w:cs="Times New Roman"/>
          <w:sz w:val="24"/>
          <w:szCs w:val="24"/>
        </w:rPr>
        <w:t xml:space="preserve">how to tackle </w:t>
      </w:r>
      <w:r w:rsidR="005B5C6B">
        <w:rPr>
          <w:rFonts w:ascii="Times New Roman" w:hAnsi="Times New Roman" w:cs="Times New Roman"/>
          <w:sz w:val="24"/>
          <w:szCs w:val="24"/>
        </w:rPr>
        <w:t xml:space="preserve">both the immediate need to address </w:t>
      </w:r>
      <w:r w:rsidR="003B5943">
        <w:rPr>
          <w:rFonts w:ascii="Times New Roman" w:hAnsi="Times New Roman" w:cs="Times New Roman"/>
          <w:sz w:val="24"/>
          <w:szCs w:val="24"/>
        </w:rPr>
        <w:t xml:space="preserve">COVID-19 </w:t>
      </w:r>
      <w:r w:rsidR="007576AB">
        <w:rPr>
          <w:rFonts w:ascii="Times New Roman" w:hAnsi="Times New Roman" w:cs="Times New Roman"/>
          <w:sz w:val="24"/>
          <w:szCs w:val="24"/>
        </w:rPr>
        <w:t xml:space="preserve">diagnostic reagent </w:t>
      </w:r>
      <w:r w:rsidR="003B5943">
        <w:rPr>
          <w:rFonts w:ascii="Times New Roman" w:hAnsi="Times New Roman" w:cs="Times New Roman"/>
          <w:sz w:val="24"/>
          <w:szCs w:val="24"/>
        </w:rPr>
        <w:t xml:space="preserve">shortages </w:t>
      </w:r>
      <w:r w:rsidR="005B5C6B">
        <w:rPr>
          <w:rFonts w:ascii="Times New Roman" w:hAnsi="Times New Roman" w:cs="Times New Roman"/>
          <w:sz w:val="24"/>
          <w:szCs w:val="24"/>
        </w:rPr>
        <w:t xml:space="preserve">and crop surpluses </w:t>
      </w:r>
      <w:r w:rsidR="003B5943">
        <w:rPr>
          <w:rFonts w:ascii="Times New Roman" w:hAnsi="Times New Roman" w:cs="Times New Roman"/>
          <w:sz w:val="24"/>
          <w:szCs w:val="24"/>
        </w:rPr>
        <w:t xml:space="preserve">using plant molecular </w:t>
      </w:r>
      <w:r w:rsidR="00B5098A">
        <w:rPr>
          <w:rFonts w:ascii="Times New Roman" w:hAnsi="Times New Roman" w:cs="Times New Roman"/>
          <w:sz w:val="24"/>
          <w:szCs w:val="24"/>
        </w:rPr>
        <w:t>f</w:t>
      </w:r>
      <w:r w:rsidR="003B5943">
        <w:rPr>
          <w:rFonts w:ascii="Times New Roman" w:hAnsi="Times New Roman" w:cs="Times New Roman"/>
          <w:sz w:val="24"/>
          <w:szCs w:val="24"/>
        </w:rPr>
        <w:t>arming</w:t>
      </w:r>
      <w:r w:rsidR="00467765">
        <w:rPr>
          <w:rFonts w:ascii="Times New Roman" w:hAnsi="Times New Roman" w:cs="Times New Roman"/>
          <w:sz w:val="24"/>
          <w:szCs w:val="24"/>
        </w:rPr>
        <w:t xml:space="preserve"> </w:t>
      </w:r>
      <w:r w:rsidR="003B5943">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{"citationItems":[{"id":"ITEM-1","itemData":{"DOI":"10.3389/fbioe.2020.00782","ISSN":"22964185","abstract":"As a consequence of the COVID-19 pandemic crisis, farmers across the country are plowing under their fields and laying off workers. Plant biomass has been shown by the DARPA “Blue Angel” project in 2010 to be an efficient way to rapidly make vaccines and diagnostics. This technology could pivot some areas of agriculture toward biomedical products to aid in the COVID-19 pandemic response.","author":[{"dropping-particle":"","family":"McDonald","given":"Karen A.","non-dropping-particle":"","parse-names":false,"suffix":""},{"dropping-particle":"","family":"Holtz","given":"R. Barry","non-dropping-particle":"","parse-names":false,"suffix":""}],"container-title":"Frontiers in Bioengineering and Biotechnology","id":"ITEM-1","issued":{"date-parts":[["2020","7","3"]]},"page":"782","publisher":"Frontiers Media S.A.","title":"From Farm to Finger Prick—A Perspective on How Plants Can Help in the Fight Against COVID-19","type":"article-journal","volume":"8"},"uris":["http://www.mendeley.com/documents/?uuid=8b6277c8-244f-37a9-a77d-8a5e26ed7914"]}],"mendeley":{"formattedCitation":"(McDonald and Holtz, 2020)","plainTextFormattedCitation":"(McDonald and Holtz, 2020)","previouslyFormattedCitation":"(McDonald and Holtz, 2020)"},"properties":{"noteIndex":0},"schema":"https://github.com/citation-style-language/schema/raw/master/csl-citation.json"}</w:instrText>
      </w:r>
      <w:r w:rsidR="003B5943">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(McDonald and Holtz, 2020)</w:t>
      </w:r>
      <w:r w:rsidR="003B5943">
        <w:rPr>
          <w:rFonts w:ascii="Times New Roman" w:hAnsi="Times New Roman" w:cs="Times New Roman"/>
          <w:sz w:val="24"/>
          <w:szCs w:val="24"/>
        </w:rPr>
        <w:fldChar w:fldCharType="end"/>
      </w:r>
      <w:r w:rsidR="003B5943">
        <w:rPr>
          <w:rFonts w:ascii="Times New Roman" w:hAnsi="Times New Roman" w:cs="Times New Roman"/>
          <w:sz w:val="24"/>
          <w:szCs w:val="24"/>
        </w:rPr>
        <w:t>.</w:t>
      </w:r>
      <w:r w:rsidR="00EC4EC7">
        <w:rPr>
          <w:rFonts w:ascii="Times New Roman" w:hAnsi="Times New Roman" w:cs="Times New Roman"/>
          <w:sz w:val="24"/>
          <w:szCs w:val="24"/>
        </w:rPr>
        <w:t xml:space="preserve"> </w:t>
      </w:r>
    </w:p>
    <w:p w14:paraId="48B7DE82" w14:textId="00A122CC" w:rsidR="00AF5D5C" w:rsidRDefault="0078565E"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Plant molecular </w:t>
      </w:r>
      <w:r w:rsidR="00B5098A">
        <w:rPr>
          <w:rFonts w:ascii="Times New Roman" w:hAnsi="Times New Roman" w:cs="Times New Roman"/>
          <w:sz w:val="24"/>
          <w:szCs w:val="24"/>
        </w:rPr>
        <w:t>f</w:t>
      </w:r>
      <w:r>
        <w:rPr>
          <w:rFonts w:ascii="Times New Roman" w:hAnsi="Times New Roman" w:cs="Times New Roman"/>
          <w:sz w:val="24"/>
          <w:szCs w:val="24"/>
        </w:rPr>
        <w:t xml:space="preserve">arming, </w:t>
      </w:r>
      <w:r w:rsidR="0068126C">
        <w:rPr>
          <w:rFonts w:ascii="Times New Roman" w:hAnsi="Times New Roman" w:cs="Times New Roman"/>
          <w:sz w:val="24"/>
          <w:szCs w:val="24"/>
        </w:rPr>
        <w:t>the production of</w:t>
      </w:r>
      <w:r>
        <w:rPr>
          <w:rFonts w:ascii="Times New Roman" w:hAnsi="Times New Roman" w:cs="Times New Roman"/>
          <w:sz w:val="24"/>
          <w:szCs w:val="24"/>
        </w:rPr>
        <w:t xml:space="preserve"> high-value </w:t>
      </w:r>
      <w:r w:rsidR="00817361">
        <w:rPr>
          <w:rFonts w:ascii="Times New Roman" w:hAnsi="Times New Roman" w:cs="Times New Roman"/>
          <w:sz w:val="24"/>
          <w:szCs w:val="24"/>
        </w:rPr>
        <w:t>natural or recombinant</w:t>
      </w:r>
      <w:r>
        <w:rPr>
          <w:rFonts w:ascii="Times New Roman" w:hAnsi="Times New Roman" w:cs="Times New Roman"/>
          <w:sz w:val="24"/>
          <w:szCs w:val="24"/>
        </w:rPr>
        <w:t xml:space="preserve"> products in plants, has been heralded as an accessible platform for expanding manufacturing globalization</w:t>
      </w:r>
      <w:r w:rsidR="00F71E8A">
        <w:rPr>
          <w:rFonts w:ascii="Times New Roman" w:hAnsi="Times New Roman" w:cs="Times New Roman"/>
          <w:sz w:val="24"/>
          <w:szCs w:val="24"/>
        </w:rPr>
        <w:t xml:space="preserve"> with lower infrastructure costs and workforce specialization than tradi</w:t>
      </w:r>
      <w:r w:rsidR="00AF5D5C">
        <w:rPr>
          <w:rFonts w:ascii="Times New Roman" w:hAnsi="Times New Roman" w:cs="Times New Roman"/>
          <w:sz w:val="24"/>
          <w:szCs w:val="24"/>
        </w:rPr>
        <w:t>tional bioreactor-based systems</w:t>
      </w:r>
      <w:r w:rsidR="00467765">
        <w:rPr>
          <w:rFonts w:ascii="Times New Roman" w:hAnsi="Times New Roman" w:cs="Times New Roman"/>
          <w:sz w:val="24"/>
          <w:szCs w:val="24"/>
        </w:rPr>
        <w:t xml:space="preserve"> </w:t>
      </w:r>
      <w:r w:rsidR="007236EE">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{"citationItems":[{"id":"ITEM-1","itemData":{"DOI":"10.1038/nrg1177","ISSN":"14710056","abstract":"Imagine a world in which any protein, either naturally occurring or designed by man, could be produced safely, inexpensively and in almost unlimited quantities using only simple nutrients, water and sunlight. This could one day become reality as we learn to harness the power of plants for the production of recombinant proteins on an agricultural scale. Molecular farming in plants has already proven to be a successful way of producing a range of technical proteins. The first plant-derived recombinant pharmaceutical proteins are now approaching commercial approval, and many more are expected to follow.","author":[{"dropping-particle":"","family":"Ma","given":"Julian K.C.","non-dropping-particle":"","parse-names":false,"suffix":""},{"dropping-particle":"","family":"Drake","given":"Pascal M.W.","non-dropping-particle":"","parse-names":false,"suffix":""},{"dropping-particle":"","family":"Christou","given":"Paul","non-dropping-particle":"","parse-names":false,"suffix":""}],"container-title":"Nature Reviews Genetics","id":"ITEM-1","issue":"10","issued":{"date-parts":[["2003","10","1"]]},"page":"794-805","title":"The production of recombinant pharmaceutical proteins in plants","type":"article","volume":"4"},"uris":["http://www.mendeley.com/documents/?uuid=981d67af-c34c-35d0-a870-1273d53852e6"]}],"mendeley":{"formattedCitation":"(Ma et al., 2003)","plainTextFormattedCitation":"(Ma et al., 2003)","previouslyFormattedCitation":"(Ma et al., 2003)"},"properties":{"noteIndex":0},"schema":"https://github.com/citation-style-language/schema/raw/master/csl-citation.json"}</w:instrText>
      </w:r>
      <w:r w:rsidR="007236EE">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(Ma et al., 2003)</w:t>
      </w:r>
      <w:r w:rsidR="007236E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E2624">
        <w:rPr>
          <w:rFonts w:ascii="Times New Roman" w:hAnsi="Times New Roman" w:cs="Times New Roman"/>
          <w:sz w:val="24"/>
          <w:szCs w:val="24"/>
        </w:rPr>
        <w:t xml:space="preserve">Stainless steel bioreactors with advanced control systems for a suite of online </w:t>
      </w:r>
      <w:r w:rsidR="005E638E">
        <w:rPr>
          <w:rFonts w:ascii="Times New Roman" w:hAnsi="Times New Roman" w:cs="Times New Roman"/>
          <w:sz w:val="24"/>
          <w:szCs w:val="24"/>
        </w:rPr>
        <w:t xml:space="preserve">process </w:t>
      </w:r>
      <w:r w:rsidR="005E638E">
        <w:rPr>
          <w:rFonts w:ascii="Times New Roman" w:hAnsi="Times New Roman" w:cs="Times New Roman"/>
          <w:sz w:val="24"/>
          <w:szCs w:val="24"/>
        </w:rPr>
        <w:lastRenderedPageBreak/>
        <w:t xml:space="preserve">variables </w:t>
      </w:r>
      <w:r w:rsidR="000E2624">
        <w:rPr>
          <w:rFonts w:ascii="Times New Roman" w:hAnsi="Times New Roman" w:cs="Times New Roman"/>
          <w:sz w:val="24"/>
          <w:szCs w:val="24"/>
        </w:rPr>
        <w:t>are replaced by plants</w:t>
      </w:r>
      <w:r w:rsidR="00EA0913">
        <w:rPr>
          <w:rFonts w:ascii="Times New Roman" w:hAnsi="Times New Roman" w:cs="Times New Roman"/>
          <w:sz w:val="24"/>
          <w:szCs w:val="24"/>
        </w:rPr>
        <w:t>, within which a portion of the control systems are absorbed by the natural supracellular regulation</w:t>
      </w:r>
      <w:r w:rsidR="00292E17">
        <w:rPr>
          <w:rFonts w:ascii="Times New Roman" w:hAnsi="Times New Roman" w:cs="Times New Roman"/>
          <w:sz w:val="24"/>
          <w:szCs w:val="24"/>
        </w:rPr>
        <w:t xml:space="preserve"> systems</w:t>
      </w:r>
      <w:r w:rsidR="000E2624">
        <w:rPr>
          <w:rFonts w:ascii="Times New Roman" w:hAnsi="Times New Roman" w:cs="Times New Roman"/>
          <w:sz w:val="24"/>
          <w:szCs w:val="24"/>
        </w:rPr>
        <w:t xml:space="preserve">. </w:t>
      </w:r>
    </w:p>
    <w:p w14:paraId="198C507F" w14:textId="5035269B" w:rsidR="00AF5D5C" w:rsidRDefault="00AF5D5C"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most advanced efforts in commercialization of </w:t>
      </w:r>
      <w:r w:rsidR="000E2624">
        <w:rPr>
          <w:rFonts w:ascii="Times New Roman" w:hAnsi="Times New Roman" w:cs="Times New Roman"/>
          <w:sz w:val="24"/>
          <w:szCs w:val="24"/>
        </w:rPr>
        <w:t xml:space="preserve">molecular </w:t>
      </w:r>
      <w:r w:rsidR="00B5098A">
        <w:rPr>
          <w:rFonts w:ascii="Times New Roman" w:hAnsi="Times New Roman" w:cs="Times New Roman"/>
          <w:sz w:val="24"/>
          <w:szCs w:val="24"/>
        </w:rPr>
        <w:t>f</w:t>
      </w:r>
      <w:r w:rsidR="000E2624">
        <w:rPr>
          <w:rFonts w:ascii="Times New Roman" w:hAnsi="Times New Roman" w:cs="Times New Roman"/>
          <w:sz w:val="24"/>
          <w:szCs w:val="24"/>
        </w:rPr>
        <w:t xml:space="preserve">arming </w:t>
      </w:r>
      <w:r w:rsidR="005E638E">
        <w:rPr>
          <w:rFonts w:ascii="Times New Roman" w:hAnsi="Times New Roman" w:cs="Times New Roman"/>
          <w:sz w:val="24"/>
          <w:szCs w:val="24"/>
        </w:rPr>
        <w:t>currently utilize</w:t>
      </w:r>
      <w:r>
        <w:rPr>
          <w:rFonts w:ascii="Times New Roman" w:hAnsi="Times New Roman" w:cs="Times New Roman"/>
          <w:sz w:val="24"/>
          <w:szCs w:val="24"/>
        </w:rPr>
        <w:t xml:space="preserve"> advanced infrastructure</w:t>
      </w:r>
      <w:r w:rsidR="005E638E">
        <w:rPr>
          <w:rFonts w:ascii="Times New Roman" w:hAnsi="Times New Roman" w:cs="Times New Roman"/>
          <w:sz w:val="24"/>
          <w:szCs w:val="24"/>
        </w:rPr>
        <w:t xml:space="preserve">, </w:t>
      </w:r>
      <w:r w:rsidR="000E2624">
        <w:rPr>
          <w:rFonts w:ascii="Times New Roman" w:hAnsi="Times New Roman" w:cs="Times New Roman"/>
          <w:sz w:val="24"/>
          <w:szCs w:val="24"/>
        </w:rPr>
        <w:t>controlled environment facilities containing artificial lighting, controlled atmospheric composition and flow rate, and hydroponic systems</w:t>
      </w:r>
      <w:r>
        <w:rPr>
          <w:rFonts w:ascii="Times New Roman" w:hAnsi="Times New Roman" w:cs="Times New Roman"/>
          <w:sz w:val="24"/>
          <w:szCs w:val="24"/>
        </w:rPr>
        <w:t xml:space="preserve"> to produce recombinant products with demands of </w:t>
      </w:r>
      <w:r w:rsidR="00B606CC">
        <w:rPr>
          <w:rFonts w:ascii="Times New Roman" w:hAnsi="Times New Roman" w:cs="Times New Roman"/>
          <w:sz w:val="24"/>
          <w:szCs w:val="24"/>
        </w:rPr>
        <w:t>10</w:t>
      </w:r>
      <w:r w:rsidR="005E638E">
        <w:rPr>
          <w:rFonts w:ascii="Times New Roman" w:hAnsi="Times New Roman" w:cs="Times New Roman"/>
          <w:sz w:val="24"/>
          <w:szCs w:val="24"/>
        </w:rPr>
        <w:t>’</w:t>
      </w:r>
      <w:r w:rsidR="00B606CC">
        <w:rPr>
          <w:rFonts w:ascii="Times New Roman" w:hAnsi="Times New Roman" w:cs="Times New Roman"/>
          <w:sz w:val="24"/>
          <w:szCs w:val="24"/>
        </w:rPr>
        <w:t>s to 1,000</w:t>
      </w:r>
      <w:r w:rsidR="005E638E">
        <w:rPr>
          <w:rFonts w:ascii="Times New Roman" w:hAnsi="Times New Roman" w:cs="Times New Roman"/>
          <w:sz w:val="24"/>
          <w:szCs w:val="24"/>
        </w:rPr>
        <w:t>’</w:t>
      </w:r>
      <w:r w:rsidR="00B606CC">
        <w:rPr>
          <w:rFonts w:ascii="Times New Roman" w:hAnsi="Times New Roman" w:cs="Times New Roman"/>
          <w:sz w:val="24"/>
          <w:szCs w:val="24"/>
        </w:rPr>
        <w:t>s of kilograms per year</w:t>
      </w:r>
      <w:r w:rsidR="00467765">
        <w:rPr>
          <w:rFonts w:ascii="Times New Roman" w:hAnsi="Times New Roman" w:cs="Times New Roman"/>
          <w:sz w:val="24"/>
          <w:szCs w:val="24"/>
        </w:rPr>
        <w:t xml:space="preserve"> </w:t>
      </w:r>
      <w:r w:rsidR="007236EE">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{"citationItems":[{"id":"ITEM-1","itemData":{"DOI":"10.1111/pbi.12469","ISSN":"14677644","author":[{"dropping-particle":"","family":"Holtz","given":"Barry R.","non-dropping-particle":"","parse-names":false,"suffix":""},{"dropping-particle":"","family":"Berquist","given":"Brian R.","non-dropping-particle":"","parse-names":false,"suffix":""},{"dropping-particle":"","family":"Bennett","given":"Lindsay D.","non-dropping-particle":"","parse-names":false,"suffix":""},{"dropping-particle":"","family":"Kommineni","given":"Vally J.M.","non-dropping-particle":"","parse-names":false,"suffix":""},{"dropping-particle":"","family":"Munigunti","given":"Ranjith K.","non-dropping-particle":"","parse-names":false,"suffix":""},{"dropping-particle":"","family":"White","given":"Earl L.","non-dropping-particle":"","parse-names":false,"suffix":""},{"dropping-particle":"","family":"Wilkerson","given":"Don C.","non-dropping-particle":"","parse-names":false,"suffix":""},{"dropping-particle":"","family":"Wong","given":"Kah-Yat I.","non-dropping-particle":"","parse-names":false,"suffix":""},{"dropping-particle":"","family":"Ly","given":"Lan H.","non-dropping-particle":"","parse-names":false,"suffix":""},{"dropping-particle":"","family":"Marcel","given":"Sylvain","non-dropping-particle":"","parse-names":false,"suffix":""}],"container-title":"Plant Biotechnology Journal","id":"ITEM-1","issue":"8","issued":{"date-parts":[["2015","10","1"]]},"page":"1180-1190","title":"Commercial-scale biotherapeutics manufacturing facility for plant-made pharmaceuticals","type":"article-journal","volume":"13"},"uris":["http://www.mendeley.com/documents/?uuid=570348ee-950f-35ab-80b2-d73536e74fe3"]}],"mendeley":{"formattedCitation":"(Holtz et al., 2015)","plainTextFormattedCitation":"(Holtz et al., 2015)","previouslyFormattedCitation":"(Holtz et al., 2015)"},"properties":{"noteIndex":0},"schema":"https://github.com/citation-style-language/schema/raw/master/csl-citation.json"}</w:instrText>
      </w:r>
      <w:r w:rsidR="007236EE">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(Holtz et al., 2015)</w:t>
      </w:r>
      <w:r w:rsidR="007236EE">
        <w:rPr>
          <w:rFonts w:ascii="Times New Roman" w:hAnsi="Times New Roman" w:cs="Times New Roman"/>
          <w:sz w:val="24"/>
          <w:szCs w:val="24"/>
        </w:rPr>
        <w:fldChar w:fldCharType="end"/>
      </w:r>
      <w:r w:rsidR="00B606CC">
        <w:rPr>
          <w:rFonts w:ascii="Times New Roman" w:hAnsi="Times New Roman" w:cs="Times New Roman"/>
          <w:sz w:val="24"/>
          <w:szCs w:val="24"/>
        </w:rPr>
        <w:t xml:space="preserve">. </w:t>
      </w:r>
      <w:r w:rsidR="00A037B2">
        <w:rPr>
          <w:rFonts w:ascii="Times New Roman" w:hAnsi="Times New Roman" w:cs="Times New Roman"/>
          <w:sz w:val="24"/>
          <w:szCs w:val="24"/>
        </w:rPr>
        <w:t xml:space="preserve">However, </w:t>
      </w:r>
      <w:r w:rsidR="000E2624">
        <w:rPr>
          <w:rFonts w:ascii="Times New Roman" w:hAnsi="Times New Roman" w:cs="Times New Roman"/>
          <w:sz w:val="24"/>
          <w:szCs w:val="24"/>
        </w:rPr>
        <w:t xml:space="preserve">even </w:t>
      </w:r>
      <w:r w:rsidR="0068126C">
        <w:rPr>
          <w:rFonts w:ascii="Times New Roman" w:hAnsi="Times New Roman" w:cs="Times New Roman"/>
          <w:sz w:val="24"/>
          <w:szCs w:val="24"/>
        </w:rPr>
        <w:t xml:space="preserve">the complexity and cost of </w:t>
      </w:r>
      <w:r w:rsidR="000E2624">
        <w:rPr>
          <w:rFonts w:ascii="Times New Roman" w:hAnsi="Times New Roman" w:cs="Times New Roman"/>
          <w:sz w:val="24"/>
          <w:szCs w:val="24"/>
        </w:rPr>
        <w:t xml:space="preserve">indoor plant cultivation </w:t>
      </w:r>
      <w:r w:rsidR="00A037B2">
        <w:rPr>
          <w:rFonts w:ascii="Times New Roman" w:hAnsi="Times New Roman" w:cs="Times New Roman"/>
          <w:sz w:val="24"/>
          <w:szCs w:val="24"/>
        </w:rPr>
        <w:t xml:space="preserve">may </w:t>
      </w:r>
      <w:r w:rsidR="0068126C">
        <w:rPr>
          <w:rFonts w:ascii="Times New Roman" w:hAnsi="Times New Roman" w:cs="Times New Roman"/>
          <w:sz w:val="24"/>
          <w:szCs w:val="24"/>
        </w:rPr>
        <w:t>be prohibitive to</w:t>
      </w:r>
      <w:r w:rsidR="00A037B2">
        <w:rPr>
          <w:rFonts w:ascii="Times New Roman" w:hAnsi="Times New Roman" w:cs="Times New Roman"/>
          <w:sz w:val="24"/>
          <w:szCs w:val="24"/>
        </w:rPr>
        <w:t xml:space="preserve"> </w:t>
      </w:r>
      <w:r w:rsidR="00006864">
        <w:rPr>
          <w:rFonts w:ascii="Times New Roman" w:hAnsi="Times New Roman" w:cs="Times New Roman"/>
          <w:sz w:val="24"/>
          <w:szCs w:val="24"/>
        </w:rPr>
        <w:t xml:space="preserve">broaching </w:t>
      </w:r>
      <w:r w:rsidR="00B606CC">
        <w:rPr>
          <w:rFonts w:ascii="Times New Roman" w:hAnsi="Times New Roman" w:cs="Times New Roman"/>
          <w:sz w:val="24"/>
          <w:szCs w:val="24"/>
        </w:rPr>
        <w:t xml:space="preserve">larger </w:t>
      </w:r>
      <w:r>
        <w:rPr>
          <w:rFonts w:ascii="Times New Roman" w:hAnsi="Times New Roman" w:cs="Times New Roman"/>
          <w:sz w:val="24"/>
          <w:szCs w:val="24"/>
        </w:rPr>
        <w:t>market products</w:t>
      </w:r>
      <w:r w:rsidR="00B606CC">
        <w:rPr>
          <w:rFonts w:ascii="Times New Roman" w:hAnsi="Times New Roman" w:cs="Times New Roman"/>
          <w:sz w:val="24"/>
          <w:szCs w:val="24"/>
        </w:rPr>
        <w:t xml:space="preserve"> </w:t>
      </w:r>
      <w:r w:rsidR="007E1D41">
        <w:rPr>
          <w:rFonts w:ascii="Times New Roman" w:hAnsi="Times New Roman" w:cs="Times New Roman"/>
          <w:sz w:val="24"/>
          <w:szCs w:val="24"/>
        </w:rPr>
        <w:t xml:space="preserve">and </w:t>
      </w:r>
      <w:r w:rsidR="00B606CC">
        <w:rPr>
          <w:rFonts w:ascii="Times New Roman" w:hAnsi="Times New Roman" w:cs="Times New Roman"/>
          <w:sz w:val="24"/>
          <w:szCs w:val="24"/>
        </w:rPr>
        <w:t>generally</w:t>
      </w:r>
      <w:r w:rsidR="00006864">
        <w:rPr>
          <w:rFonts w:ascii="Times New Roman" w:hAnsi="Times New Roman" w:cs="Times New Roman"/>
          <w:sz w:val="24"/>
          <w:szCs w:val="24"/>
        </w:rPr>
        <w:t xml:space="preserve"> </w:t>
      </w:r>
      <w:r w:rsidR="00B606CC">
        <w:rPr>
          <w:rFonts w:ascii="Times New Roman" w:hAnsi="Times New Roman" w:cs="Times New Roman"/>
          <w:sz w:val="24"/>
          <w:szCs w:val="24"/>
        </w:rPr>
        <w:t>meeting a growing</w:t>
      </w:r>
      <w:r w:rsidR="00006864">
        <w:rPr>
          <w:rFonts w:ascii="Times New Roman" w:hAnsi="Times New Roman" w:cs="Times New Roman"/>
          <w:sz w:val="24"/>
          <w:szCs w:val="24"/>
        </w:rPr>
        <w:t xml:space="preserve"> global need</w:t>
      </w:r>
      <w:r w:rsidR="00B606CC">
        <w:rPr>
          <w:rFonts w:ascii="Times New Roman" w:hAnsi="Times New Roman" w:cs="Times New Roman"/>
          <w:sz w:val="24"/>
          <w:szCs w:val="24"/>
        </w:rPr>
        <w:t xml:space="preserve"> across </w:t>
      </w:r>
      <w:r w:rsidR="005E638E">
        <w:rPr>
          <w:rFonts w:ascii="Times New Roman" w:hAnsi="Times New Roman" w:cs="Times New Roman"/>
          <w:sz w:val="24"/>
          <w:szCs w:val="24"/>
        </w:rPr>
        <w:t xml:space="preserve">different </w:t>
      </w:r>
      <w:r w:rsidR="00B606CC">
        <w:rPr>
          <w:rFonts w:ascii="Times New Roman" w:hAnsi="Times New Roman" w:cs="Times New Roman"/>
          <w:sz w:val="24"/>
          <w:szCs w:val="24"/>
        </w:rPr>
        <w:t>biotechnological product classes</w:t>
      </w:r>
      <w:r w:rsidR="00006864">
        <w:rPr>
          <w:rFonts w:ascii="Times New Roman" w:hAnsi="Times New Roman" w:cs="Times New Roman"/>
          <w:sz w:val="24"/>
          <w:szCs w:val="24"/>
        </w:rPr>
        <w:t>.</w:t>
      </w:r>
      <w:r w:rsidR="00A037B2">
        <w:rPr>
          <w:rFonts w:ascii="Times New Roman" w:hAnsi="Times New Roman" w:cs="Times New Roman"/>
          <w:sz w:val="24"/>
          <w:szCs w:val="24"/>
        </w:rPr>
        <w:t xml:space="preserve"> </w:t>
      </w:r>
    </w:p>
    <w:p w14:paraId="6C308C49" w14:textId="122D6DBA" w:rsidR="00EE0918" w:rsidRDefault="00A037B2"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Molecular </w:t>
      </w:r>
      <w:r w:rsidR="00B5098A">
        <w:rPr>
          <w:rFonts w:ascii="Times New Roman" w:hAnsi="Times New Roman" w:cs="Times New Roman"/>
          <w:sz w:val="24"/>
          <w:szCs w:val="24"/>
        </w:rPr>
        <w:t>f</w:t>
      </w:r>
      <w:r>
        <w:rPr>
          <w:rFonts w:ascii="Times New Roman" w:hAnsi="Times New Roman" w:cs="Times New Roman"/>
          <w:sz w:val="24"/>
          <w:szCs w:val="24"/>
        </w:rPr>
        <w:t>arming</w:t>
      </w:r>
      <w:r w:rsidR="00292E17">
        <w:rPr>
          <w:rFonts w:ascii="Times New Roman" w:hAnsi="Times New Roman" w:cs="Times New Roman"/>
          <w:sz w:val="24"/>
          <w:szCs w:val="24"/>
        </w:rPr>
        <w:t xml:space="preserve"> of recombinant products</w:t>
      </w:r>
      <w:r>
        <w:rPr>
          <w:rFonts w:ascii="Times New Roman" w:hAnsi="Times New Roman" w:cs="Times New Roman"/>
          <w:sz w:val="24"/>
          <w:szCs w:val="24"/>
        </w:rPr>
        <w:t xml:space="preserve"> in an outdoor agricultural field setting has been an alluring </w:t>
      </w:r>
      <w:r w:rsidR="00250DA9">
        <w:rPr>
          <w:rFonts w:ascii="Times New Roman" w:hAnsi="Times New Roman" w:cs="Times New Roman"/>
          <w:sz w:val="24"/>
          <w:szCs w:val="24"/>
        </w:rPr>
        <w:t xml:space="preserve">and </w:t>
      </w:r>
      <w:r>
        <w:rPr>
          <w:rFonts w:ascii="Times New Roman" w:hAnsi="Times New Roman" w:cs="Times New Roman"/>
          <w:sz w:val="24"/>
          <w:szCs w:val="24"/>
        </w:rPr>
        <w:t xml:space="preserve">aspirational target for as long as molecular </w:t>
      </w:r>
      <w:r w:rsidR="00B5098A">
        <w:rPr>
          <w:rFonts w:ascii="Times New Roman" w:hAnsi="Times New Roman" w:cs="Times New Roman"/>
          <w:sz w:val="24"/>
          <w:szCs w:val="24"/>
        </w:rPr>
        <w:t>f</w:t>
      </w:r>
      <w:r>
        <w:rPr>
          <w:rFonts w:ascii="Times New Roman" w:hAnsi="Times New Roman" w:cs="Times New Roman"/>
          <w:sz w:val="24"/>
          <w:szCs w:val="24"/>
        </w:rPr>
        <w:t>arming has been an area of research</w:t>
      </w:r>
      <w:r w:rsidR="00E72BD1">
        <w:rPr>
          <w:rFonts w:ascii="Times New Roman" w:hAnsi="Times New Roman" w:cs="Times New Roman"/>
          <w:sz w:val="24"/>
          <w:szCs w:val="24"/>
        </w:rPr>
        <w:t xml:space="preserve">. </w:t>
      </w:r>
      <w:r w:rsidR="00426D3E">
        <w:rPr>
          <w:rFonts w:ascii="Times New Roman" w:hAnsi="Times New Roman" w:cs="Times New Roman"/>
          <w:sz w:val="24"/>
          <w:szCs w:val="24"/>
        </w:rPr>
        <w:t xml:space="preserve">Despite some </w:t>
      </w:r>
      <w:r w:rsidR="00E72BD1">
        <w:rPr>
          <w:rFonts w:ascii="Times New Roman" w:hAnsi="Times New Roman" w:cs="Times New Roman"/>
          <w:sz w:val="24"/>
          <w:szCs w:val="24"/>
        </w:rPr>
        <w:t xml:space="preserve">early </w:t>
      </w:r>
      <w:r w:rsidR="00426D3E">
        <w:rPr>
          <w:rFonts w:ascii="Times New Roman" w:hAnsi="Times New Roman" w:cs="Times New Roman"/>
          <w:sz w:val="24"/>
          <w:szCs w:val="24"/>
        </w:rPr>
        <w:t xml:space="preserve">successes </w:t>
      </w:r>
      <w:r w:rsidR="00E72BD1">
        <w:rPr>
          <w:rFonts w:ascii="Times New Roman" w:hAnsi="Times New Roman" w:cs="Times New Roman"/>
          <w:sz w:val="24"/>
          <w:szCs w:val="24"/>
        </w:rPr>
        <w:t>with companies like Large Scale Biology Corporation</w:t>
      </w:r>
      <w:r w:rsidR="00467765">
        <w:rPr>
          <w:rFonts w:ascii="Times New Roman" w:hAnsi="Times New Roman" w:cs="Times New Roman"/>
          <w:sz w:val="24"/>
          <w:szCs w:val="24"/>
        </w:rPr>
        <w:t xml:space="preserve"> </w:t>
      </w:r>
      <w:r w:rsidR="00E72BD1">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{"citationItems":[{"id":"ITEM-1","itemData":{"DOI":"10.1146/annurev.phyto.40.021102.150133","ISSN":"0066-4286","abstract":"▪ Abstract Historically, the study of plant viruses has contributed greatly to the elucidation of eukaryotic biology. Recently, concurrent with the development of viruses into expression vectors, the biotechnology industry has developed an increasing number of disease therapies utilizing recombinant proteins. Plant virus vectors are viewed as a viable option for recombinant protein production. Employing pathogens in the process of creating added value to agriculture is, in effect, making an ally from an enemy. This review discusses the development and use of viruses as expression vectors, with special emphasis on (+) strand RNA virus systems. Further, the use of virus expression vectors in large-scale agricultural settings to produce recombinant proteins is described, and the technical challenges that need to be addressed by agriculturists and molecular virologists to fully realize the potential of this latest evolution of plant science are outlined.","author":[{"dropping-particle":"","family":"Pogue","given":"Gregory P.","non-dropping-particle":"","parse-names":false,"suffix":""},{"dropping-particle":"","family":"Lindbo","given":"John A.","non-dropping-particle":"","parse-names":false,"suffix":""},{"dropping-particle":"","family":"Garger","given":"Stephen J.","non-dropping-particle":"","parse-names":false,"suffix":""},{"dropping-particle":"","family":"Fitzmaurice","given":"Wayne P.","non-dropping-particle":"","parse-names":false,"suffix":""}],"container-title":"Annual Review of Phytopathology","id":"ITEM-1","issue":"1","issued":{"date-parts":[["2002"]]},"page":"45-74","publisher":"Annual Reviews 4139 El Camino Way, P.O. Box 10139, Palo Alto, CA 94303-0139, USA","title":"Making an Ally from an Enemy: Plant Virology and the New Agriculture","type":"article-journal","volume":"40"},"uris":["http://www.mendeley.com/documents/?uuid=84ef82d5-d983-3079-ab43-fa86f56474b0"]}],"mendeley":{"formattedCitation":"(Pogue et al., 2002)","plainTextFormattedCitation":"(Pogue et al., 2002)","previouslyFormattedCitation":"(Pogue et al., 2002)"},"properties":{"noteIndex":0},"schema":"https://github.com/citation-style-language/schema/raw/master/csl-citation.json"}</w:instrText>
      </w:r>
      <w:r w:rsidR="00E72BD1">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(Pogue et al., 2002)</w:t>
      </w:r>
      <w:r w:rsidR="00E72BD1">
        <w:rPr>
          <w:rFonts w:ascii="Times New Roman" w:hAnsi="Times New Roman" w:cs="Times New Roman"/>
          <w:sz w:val="24"/>
          <w:szCs w:val="24"/>
        </w:rPr>
        <w:fldChar w:fldCharType="end"/>
      </w:r>
      <w:r w:rsidR="00E72BD1">
        <w:rPr>
          <w:rFonts w:ascii="Times New Roman" w:hAnsi="Times New Roman" w:cs="Times New Roman"/>
          <w:sz w:val="24"/>
          <w:szCs w:val="24"/>
        </w:rPr>
        <w:t xml:space="preserve">, </w:t>
      </w:r>
      <w:r w:rsidR="00F0300B">
        <w:rPr>
          <w:rFonts w:ascii="Times New Roman" w:hAnsi="Times New Roman" w:cs="Times New Roman"/>
          <w:sz w:val="24"/>
          <w:szCs w:val="24"/>
        </w:rPr>
        <w:t xml:space="preserve">and continued successes of companies like </w:t>
      </w:r>
      <w:proofErr w:type="spellStart"/>
      <w:r w:rsidR="00F0300B">
        <w:rPr>
          <w:rFonts w:ascii="Times New Roman" w:hAnsi="Times New Roman" w:cs="Times New Roman"/>
          <w:sz w:val="24"/>
          <w:szCs w:val="24"/>
        </w:rPr>
        <w:t>Ventria</w:t>
      </w:r>
      <w:proofErr w:type="spellEnd"/>
      <w:r w:rsidR="00F0300B">
        <w:rPr>
          <w:rFonts w:ascii="Times New Roman" w:hAnsi="Times New Roman" w:cs="Times New Roman"/>
          <w:sz w:val="24"/>
          <w:szCs w:val="24"/>
        </w:rPr>
        <w:t xml:space="preserve"> Biosciences</w:t>
      </w:r>
      <w:r w:rsidR="00467765">
        <w:rPr>
          <w:rFonts w:ascii="Times New Roman" w:hAnsi="Times New Roman" w:cs="Times New Roman"/>
          <w:sz w:val="24"/>
          <w:szCs w:val="24"/>
        </w:rPr>
        <w:t xml:space="preserve"> </w:t>
      </w:r>
      <w:r w:rsidR="00EA0913">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{"citationItems":[{"id":"ITEM-1","itemData":{"DOI":"10.3390/ijms19020378","ISSN":"1422-0067","abstract":"Proinsulin-transferrin fusion protein (ProINS-Tf) has been designed and successfully expressed from the mammalian HEK293 cells (HEK-ProINS-Tf). It was found that HEK-ProINS-Tf could be converted into an activated form in the liver. Furthermore, HEK-ProINS-Tf was demonstrated as an extra-long acting insulin analogue with liver-specific insulin action in streptozotocin (STZ)-induced type 1 diabetic mice. However, due to the low production yield from transfected HEK293 cells, there are other interesting features, including the oral bioavailability, which have not been fully explored and characterized. To improve the protein production yield, an alternative protein expression system, ExpressTec using transgenic rice (Oryza sativa L.), was used. The intact and active rice-derived ProINS-Tf (ExpressTec-ProINS-Tf) was successfully expressed from the transgenic rice expression system. Our results suggested that, although the insulin-like bioactivity of ExpressTec-ProINS-Tf was slightly lower in vitro, its potency of in vivo blood glucose control was considerably stronger than that of HEK-ProINS-Tf. The oral delivery studies in type 1 diabetic mice demonstrated a prolonged control of blood glucose to near-normal levels after oral administration of ExpressTec-ProINS-Tf. Results in this report suggest that ExpressTec-ProINS-Tf is a promising insulin analog with advantages including low cost, prolonged and liver targeting effects, and most importantly, oral bioactivity.","author":[{"dropping-particle":"","family":"Chen","given":"Yu-Sheng","non-dropping-particle":"","parse-names":false,"suffix":""},{"dropping-particle":"","family":"Zaro","given":"Jennica","non-dropping-particle":"","parse-names":false,"suffix":""},{"dropping-particle":"","family":"Zhang","given":"Deshui","non-dropping-particle":"","parse-names":false,"suffix":""},{"dropping-particle":"","family":"Huang","given":"Ning","non-dropping-particle":"","parse-names":false,"suffix":""},{"dropping-particle":"","family":"Simon","given":"Andrew","non-dropping-particle":"","parse-names":false,"suffix":""},{"dropping-particle":"","family":"Shen","given":"Wei-Chiang","non-dropping-particle":"","parse-names":false,"suffix":""}],"container-title":"International Journal of Molecular Sciences","id":"ITEM-1","issue":"2","issued":{"date-parts":[["2018","1","26"]]},"page":"378","publisher":"MDPI AG","title":"Characterization and Oral Delivery of Proinsulin-Transferrin Fusion Protein Expressed Using ExpressTec","type":"article-journal","volume":"19"},"uris":["http://www.mendeley.com/documents/?uuid=2b62240b-e675-37cb-b3b9-9ffad11950b0"]},{"id":"ITEM-2","itemData":{"DOI":"10.3329/jhpn.v29i6.9889","ISSN":"16060997","PMID":"22283027","abstract":"Antibiotic-associated diarrhoea (AAD) is a common cause of morbidity and mortality. Older individuals in long-term care facilities are particularly vulnerable due to multisystem illnesses and the prevailing conditions for nosocomial infections. Lactoferrin, an antimicrobial protein in human breastmilk, was tested to determine whether it would prevent or reduce AAD, including Clostridium difficile in tube-fed long-term care patients. Thirty patients were enrolled in a randomized double-blind study, testing eight weeks of human recombinant lactoferrin compared to placebo for the prevention of antibiotic-associated diarrhoea in long-term care patients. Fewer patients in the lactoferrin group experienced diarrhoea compared to controls (p=0.023). Based on the findings, it is concluded that human lactoferrin may reduce post-antibiotic diarrhoea. © International Centre for Diarrhoeal Disease Research, Bangladesh.","author":[{"dropping-particle":"","family":"Laffan","given":"Alison M.","non-dropping-particle":"","parse-names":false,"suffix":""},{"dropping-particle":"","family":"McKenzie","given":"Robin","non-dropping-particle":"","parse-names":false,"suffix":""},{"dropping-particle":"","family":"Forti","given":"Jennifer","non-dropping-particle":"","parse-names":false,"suffix":""},{"dropping-particle":"","family":"Conklin","given":"Dawn","non-dropping-particle":"","parse-names":false,"suffix":""},{"dropping-particle":"","family":"Marcinko","given":"Richard","non-dropping-particle":"","parse-names":false,"suffix":""},{"dropping-particle":"","family":"Shrestha","given":"Ruchee","non-dropping-particle":"","parse-names":false,"suffix":""},{"dropping-particle":"","family":"Bellantoni","given":"Michele","non-dropping-particle":"","parse-names":false,"suffix":""},{"dropping-particle":"","family":"Greenough","given":"William B.","non-dropping-particle":"","parse-names":false,"suffix":""}],"container-title":"Journal of Health, Population and Nutrition","id":"ITEM-2","issue":"6","issued":{"date-parts":[["2011","12"]]},"page":"547-551","publisher":"J Health Popul Nutr","title":"Lactoferrin for the prevention of post-antibiotic diarrhoea","type":"article-journal","volume":"29"},"uris":["http://www.mendeley.com/documents/?uuid=47d8368b-310d-3063-83f3-60f803c193c5"]},{"id":"ITEM-3","itemData":{"DOI":"10.1007/s11248-004-8120-6","ISSN":"0962-8819","author":[{"dropping-particle":"","family":"Nandi","given":"Somen","non-dropping-particle":"","parse-names":false,"suffix":""},{"dropping-particle":"","family":"Yalda","given":"Dorice","non-dropping-particle":"","parse-names":false,"suffix":""},{"dropping-particle":"","family":"Lu","given":"Stephen","non-dropping-particle":"","parse-names":false,"suffix":""},{"dropping-particle":"","family":"Nikolov","given":"Zivko","non-dropping-particle":"","parse-names":false,"suffix":""},{"dropping-particle":"","family":"Misaki","given":"Ryo","non-dropping-particle":"","parse-names":false,"suffix":""},{"dropping-particle":"","family":"Fujiyama","given":"Kazuhito","non-dropping-particle":"","parse-names":false,"suffix":""},{"dropping-particle":"","family":"Huang","given":"Ning","non-dropping-particle":"","parse-names":false,"suffix":""}],"container-title":"Transgenic Research","id":"ITEM-3","issue":"3","issued":{"date-parts":[["2005","6"]]},"page":"237-249","publisher":"Kluwer Academic Publishers","title":"Process development and economic evaluation of recombinant human lactoferrin expressed in rice grain","type":"article-journal","volume":"14"},"uris":["http://www.mendeley.com/documents/?uuid=804cf58c-b514-3d4f-a49a-7b0338dcfb18"]}],"mendeley":{"formattedCitation":"(Chen et al., 2018; Laffan et al., 2011; Nandi et al., 2005)","plainTextFormattedCitation":"(Chen et al., 2018; Laffan et al., 2011; Nandi et al., 2005)","previouslyFormattedCitation":"(Chen et al., 2018; Laffan et al., 2011; Nandi et al., 2005)"},"properties":{"noteIndex":0},"schema":"https://github.com/citation-style-language/schema/raw/master/csl-citation.json"}</w:instrText>
      </w:r>
      <w:r w:rsidR="00EA0913">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(Chen et al., 2018; Laffan et al., 2011; Nandi et al., 2005)</w:t>
      </w:r>
      <w:r w:rsidR="00EA0913">
        <w:rPr>
          <w:rFonts w:ascii="Times New Roman" w:hAnsi="Times New Roman" w:cs="Times New Roman"/>
          <w:sz w:val="24"/>
          <w:szCs w:val="24"/>
        </w:rPr>
        <w:fldChar w:fldCharType="end"/>
      </w:r>
      <w:r w:rsidR="00F0300B">
        <w:rPr>
          <w:rFonts w:ascii="Times New Roman" w:hAnsi="Times New Roman" w:cs="Times New Roman"/>
          <w:sz w:val="24"/>
          <w:szCs w:val="24"/>
        </w:rPr>
        <w:t xml:space="preserve">, </w:t>
      </w:r>
      <w:r w:rsidR="00E72BD1">
        <w:rPr>
          <w:rFonts w:ascii="Times New Roman" w:hAnsi="Times New Roman" w:cs="Times New Roman"/>
          <w:sz w:val="24"/>
          <w:szCs w:val="24"/>
        </w:rPr>
        <w:t xml:space="preserve">molecular </w:t>
      </w:r>
      <w:r w:rsidR="00B5098A">
        <w:rPr>
          <w:rFonts w:ascii="Times New Roman" w:hAnsi="Times New Roman" w:cs="Times New Roman"/>
          <w:sz w:val="24"/>
          <w:szCs w:val="24"/>
        </w:rPr>
        <w:t>f</w:t>
      </w:r>
      <w:r w:rsidR="00E72BD1">
        <w:rPr>
          <w:rFonts w:ascii="Times New Roman" w:hAnsi="Times New Roman" w:cs="Times New Roman"/>
          <w:sz w:val="24"/>
          <w:szCs w:val="24"/>
        </w:rPr>
        <w:t xml:space="preserve">arming </w:t>
      </w:r>
      <w:r w:rsidR="00817361">
        <w:rPr>
          <w:rFonts w:ascii="Times New Roman" w:hAnsi="Times New Roman" w:cs="Times New Roman"/>
          <w:sz w:val="24"/>
          <w:szCs w:val="24"/>
        </w:rPr>
        <w:t xml:space="preserve">of recombinant products </w:t>
      </w:r>
      <w:r w:rsidR="00E72BD1">
        <w:rPr>
          <w:rFonts w:ascii="Times New Roman" w:hAnsi="Times New Roman" w:cs="Times New Roman"/>
          <w:sz w:val="24"/>
          <w:szCs w:val="24"/>
        </w:rPr>
        <w:t xml:space="preserve">in an outdoor agricultural field setting </w:t>
      </w:r>
      <w:r w:rsidR="005E456E">
        <w:rPr>
          <w:rFonts w:ascii="Times New Roman" w:hAnsi="Times New Roman" w:cs="Times New Roman"/>
          <w:sz w:val="24"/>
          <w:szCs w:val="24"/>
        </w:rPr>
        <w:t xml:space="preserve">has </w:t>
      </w:r>
      <w:r w:rsidR="00E72BD1">
        <w:rPr>
          <w:rFonts w:ascii="Times New Roman" w:hAnsi="Times New Roman" w:cs="Times New Roman"/>
          <w:sz w:val="24"/>
          <w:szCs w:val="24"/>
        </w:rPr>
        <w:t xml:space="preserve">faced setbacks </w:t>
      </w:r>
      <w:r w:rsidR="00AF5D5C">
        <w:rPr>
          <w:rFonts w:ascii="Times New Roman" w:hAnsi="Times New Roman" w:cs="Times New Roman"/>
          <w:sz w:val="24"/>
          <w:szCs w:val="24"/>
        </w:rPr>
        <w:t>including r</w:t>
      </w:r>
      <w:r w:rsidR="005E456E">
        <w:rPr>
          <w:rFonts w:ascii="Times New Roman" w:hAnsi="Times New Roman" w:cs="Times New Roman"/>
          <w:sz w:val="24"/>
          <w:szCs w:val="24"/>
        </w:rPr>
        <w:t xml:space="preserve">egulatory </w:t>
      </w:r>
      <w:r w:rsidR="000F66FA">
        <w:rPr>
          <w:rFonts w:ascii="Times New Roman" w:hAnsi="Times New Roman" w:cs="Times New Roman"/>
          <w:sz w:val="24"/>
          <w:szCs w:val="24"/>
        </w:rPr>
        <w:t>backlash</w:t>
      </w:r>
      <w:r w:rsidR="005E456E">
        <w:rPr>
          <w:rFonts w:ascii="Times New Roman" w:hAnsi="Times New Roman" w:cs="Times New Roman"/>
          <w:sz w:val="24"/>
          <w:szCs w:val="24"/>
        </w:rPr>
        <w:t xml:space="preserve"> from </w:t>
      </w:r>
      <w:proofErr w:type="spellStart"/>
      <w:r w:rsidR="005E456E">
        <w:rPr>
          <w:rFonts w:ascii="Times New Roman" w:hAnsi="Times New Roman" w:cs="Times New Roman"/>
          <w:sz w:val="24"/>
          <w:szCs w:val="24"/>
        </w:rPr>
        <w:t>Prodigene’s</w:t>
      </w:r>
      <w:proofErr w:type="spellEnd"/>
      <w:r w:rsidR="005E456E">
        <w:rPr>
          <w:rFonts w:ascii="Times New Roman" w:hAnsi="Times New Roman" w:cs="Times New Roman"/>
          <w:sz w:val="24"/>
          <w:szCs w:val="24"/>
        </w:rPr>
        <w:t xml:space="preserve"> pharmaceutical crop mishandling</w:t>
      </w:r>
      <w:r w:rsidR="00467765">
        <w:rPr>
          <w:rFonts w:ascii="Times New Roman" w:hAnsi="Times New Roman" w:cs="Times New Roman"/>
          <w:sz w:val="24"/>
          <w:szCs w:val="24"/>
        </w:rPr>
        <w:t xml:space="preserve"> </w:t>
      </w:r>
      <w:r w:rsidR="005E456E">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{"citationItems":[{"id":"ITEM-1","itemData":{"DOI":"10.1002/9781118801512","ISBN":"9781118801512","abstract":"A single volume collection that surveys the exciting field of plant-made pharmaceuticals and industrial proteins. This comprehensive book communicates the recent advances and exciting potential for the expanding area of plant biotechnology and is divided into six sections. The first three sections look at the current status of the field, and advances in plant platforms and strategies for improving yields, downstream processing, and controlling post-translational modifications of plant-made recombinant proteins. Section four reviews high-value industrial and pharmacological proteins that are successfully being produced in established and emerging plant platforms. The fifth section looks at regulatory challenges facing the expansion of the field. The final section turns its focus toward small molecule therapeutics, drug screening, plant specialized metabolites, and plants as model organisms to study human disease processes. Molecular Pharming: Applications, Challenges and Emerging Areas offers in-depth coverage of molecular biology of plant expression systems and manipulation of glycosylation processes in plants; plant platforms, subcellular targeting, recovery, and downstream processing; plant-derived protein pharmaceuticals and case studies; regulatory issues; and emerging areas. It is a valuable resource for researchers that are in the field of plant molecular pharming, as well as for those conducting basic research in gene expression, protein quality control, and other subjects relevant to molecular and cellular biology. Broad ranging coverage of a key area of plant biotechnology. Describes efforts to produce pharmaceutical and industrial proteins in plants. Provides reviews of recent advances and technology breakthroughs. Assesses realities of regulatory and cost hurdles. Forward looking with coverage of small molecule technologies and the use of plants as models of human disease processes. Providing wide-ranging and unique coverage, Molecular Pharming: Applications, Challenges and Emerging Areas will be of great interest to the plant science, plant biotechnology, protein science, and pharmacological communities.","author":[{"dropping-particle":"","family":"Kermode","given":"Allison R.","non-dropping-particle":"","parse-names":false,"suffix":""},{"dropping-particle":"","family":"Jiang","given":"Liwen","non-dropping-particle":"","parse-names":false,"suffix":""}],"container-title":"Molecular Pharming: Applications, Challenges and Emerging Areas","id":"ITEM-1","issued":{"date-parts":[["2018","9","12"]]},"number-of-pages":"1-479","publisher":"Wiley Blackwell","title":"Molecular pharming: Applications, challenges and emerging areas","type":"book"},"uris":["http://www.mendeley.com/documents/?uuid=dadb6ca7-d9d8-3c53-b14e-2c37fdcc3938"]}],"mendeley":{"formattedCitation":"(Kermode and Jiang, 2018)","plainTextFormattedCitation":"(Kermode and Jiang, 2018)","previouslyFormattedCitation":"(Kermode and Jiang, 2018)"},"properties":{"noteIndex":0},"schema":"https://github.com/citation-style-language/schema/raw/master/csl-citation.json"}</w:instrText>
      </w:r>
      <w:r w:rsidR="005E456E">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(Kermode and Jiang, 2018)</w:t>
      </w:r>
      <w:r w:rsidR="005E456E">
        <w:rPr>
          <w:rFonts w:ascii="Times New Roman" w:hAnsi="Times New Roman" w:cs="Times New Roman"/>
          <w:sz w:val="24"/>
          <w:szCs w:val="24"/>
        </w:rPr>
        <w:fldChar w:fldCharType="end"/>
      </w:r>
      <w:r w:rsidR="005E456E">
        <w:rPr>
          <w:rFonts w:ascii="Times New Roman" w:hAnsi="Times New Roman" w:cs="Times New Roman"/>
          <w:sz w:val="24"/>
          <w:szCs w:val="24"/>
        </w:rPr>
        <w:t xml:space="preserve"> and from </w:t>
      </w:r>
      <w:r w:rsidR="00E23DA7">
        <w:rPr>
          <w:rFonts w:ascii="Times New Roman" w:hAnsi="Times New Roman" w:cs="Times New Roman"/>
          <w:sz w:val="24"/>
          <w:szCs w:val="24"/>
        </w:rPr>
        <w:t>mixed</w:t>
      </w:r>
      <w:r w:rsidR="005E456E">
        <w:rPr>
          <w:rFonts w:ascii="Times New Roman" w:hAnsi="Times New Roman" w:cs="Times New Roman"/>
          <w:sz w:val="24"/>
          <w:szCs w:val="24"/>
        </w:rPr>
        <w:t xml:space="preserve"> public perception</w:t>
      </w:r>
      <w:r w:rsidR="000F66FA">
        <w:rPr>
          <w:rFonts w:ascii="Times New Roman" w:hAnsi="Times New Roman" w:cs="Times New Roman"/>
          <w:sz w:val="24"/>
          <w:szCs w:val="24"/>
        </w:rPr>
        <w:t>,</w:t>
      </w:r>
      <w:r w:rsidR="005E456E">
        <w:rPr>
          <w:rFonts w:ascii="Times New Roman" w:hAnsi="Times New Roman" w:cs="Times New Roman"/>
          <w:sz w:val="24"/>
          <w:szCs w:val="24"/>
        </w:rPr>
        <w:t xml:space="preserve"> </w:t>
      </w:r>
      <w:r w:rsidR="00E23DA7">
        <w:rPr>
          <w:rFonts w:ascii="Times New Roman" w:hAnsi="Times New Roman" w:cs="Times New Roman"/>
          <w:sz w:val="24"/>
          <w:szCs w:val="24"/>
        </w:rPr>
        <w:t>in part as</w:t>
      </w:r>
      <w:r w:rsidR="005E456E">
        <w:rPr>
          <w:rFonts w:ascii="Times New Roman" w:hAnsi="Times New Roman" w:cs="Times New Roman"/>
          <w:sz w:val="24"/>
          <w:szCs w:val="24"/>
        </w:rPr>
        <w:t xml:space="preserve"> it is lumped with genetically modified food crops</w:t>
      </w:r>
      <w:r w:rsidR="00467765">
        <w:rPr>
          <w:rFonts w:ascii="Times New Roman" w:hAnsi="Times New Roman" w:cs="Times New Roman"/>
          <w:sz w:val="24"/>
          <w:szCs w:val="24"/>
        </w:rPr>
        <w:t xml:space="preserve"> </w:t>
      </w:r>
      <w:r w:rsidR="00E23DA7">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{"citationItems":[{"id":"ITEM-1","itemData":{"DOI":"10.1038/sj.embor.7400470","ISSN":"1469-221X","PMID":"15995674","author":[{"dropping-particle":"","family":"Ma","given":"Julian K-C","non-dropping-particle":"","parse-names":false,"suffix":""},{"dropping-particle":"","family":"Barros","given":"Eugenia","non-dropping-particle":"","parse-names":false,"suffix":""},{"dropping-particle":"","family":"Bock","given":"Ralph","non-dropping-particle":"","parse-names":false,"suffix":""},{"dropping-particle":"","family":"Christou","given":"Paul","non-dropping-particle":"","parse-names":false,"suffix":""},{"dropping-particle":"","family":"Dale","given":"Philip J","non-dropping-particle":"","parse-names":false,"suffix":""},{"dropping-particle":"","family":"Dix","given":"Philip J","non-dropping-particle":"","parse-names":false,"suffix":""},{"dropping-particle":"","family":"Fischer","given":"Rainer","non-dropping-particle":"","parse-names":false,"suffix":""},{"dropping-particle":"","family":"Irwin","given":"Judith","non-dropping-particle":"","parse-names":false,"suffix":""},{"dropping-particle":"","family":"Mahoney","given":"Richard","non-dropping-particle":"","parse-names":false,"suffix":""},{"dropping-particle":"","family":"Pezzotti","given":"Mario","non-dropping-particle":"","parse-names":false,"suffix":""},{"dropping-particle":"","family":"Schillberg","given":"Stefan","non-dropping-particle":"","parse-names":false,"suffix":""},{"dropping-particle":"","family":"Sparrow","given":"Penny","non-dropping-particle":"","parse-names":false,"suffix":""},{"dropping-particle":"","family":"Stoger","given":"Eva","non-dropping-particle":"","parse-names":false,"suffix":""},{"dropping-particle":"","family":"Twyman","given":"Richard M","non-dropping-particle":"","parse-names":false,"suffix":""},{"dropping-particle":"","family":"European Union Framework 6 Pharma-Planta Consortium","given":"","non-dropping-particle":"","parse-names":false,"suffix":""}],"container-title":"EMBO reports","id":"ITEM-1","issue":"7","issued":{"date-parts":[["2005","7"]]},"page":"593-9","publisher":"European Molecular Biology Organization","title":"Molecular farming for new drugs and vaccines. Current perspectives on the production of pharmaceuticals in transgenic plants.","type":"article-journal","volume":"6"},"uris":["http://www.mendeley.com/documents/?uuid=8456e246-de8b-367d-b53d-0f1be21b9674"]}],"mendeley":{"formattedCitation":"(Ma et al., 2005)","plainTextFormattedCitation":"(Ma et al., 2005)","previouslyFormattedCitation":"(Ma et al., 2005)"},"properties":{"noteIndex":0},"schema":"https://github.com/citation-style-language/schema/raw/master/csl-citation.json"}</w:instrText>
      </w:r>
      <w:r w:rsidR="00E23DA7">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(Ma et al., 2005)</w:t>
      </w:r>
      <w:r w:rsidR="00E23DA7">
        <w:rPr>
          <w:rFonts w:ascii="Times New Roman" w:hAnsi="Times New Roman" w:cs="Times New Roman"/>
          <w:sz w:val="24"/>
          <w:szCs w:val="24"/>
        </w:rPr>
        <w:fldChar w:fldCharType="end"/>
      </w:r>
      <w:r w:rsidR="00C70386">
        <w:rPr>
          <w:rFonts w:ascii="Times New Roman" w:hAnsi="Times New Roman" w:cs="Times New Roman"/>
          <w:sz w:val="24"/>
          <w:szCs w:val="24"/>
        </w:rPr>
        <w:t xml:space="preserve">. </w:t>
      </w:r>
      <w:r w:rsidR="00F0300B">
        <w:rPr>
          <w:rFonts w:ascii="Times New Roman" w:hAnsi="Times New Roman" w:cs="Times New Roman"/>
          <w:sz w:val="24"/>
          <w:szCs w:val="24"/>
        </w:rPr>
        <w:t>It is prudent to note that the regulation of transgenic crops outdoors has matured significantly, as exemplified by the clear language in the U</w:t>
      </w:r>
      <w:r w:rsidR="007D3E99">
        <w:rPr>
          <w:rFonts w:ascii="Times New Roman" w:hAnsi="Times New Roman" w:cs="Times New Roman"/>
          <w:sz w:val="24"/>
          <w:szCs w:val="24"/>
        </w:rPr>
        <w:t>.S. Department of Agriculture (USDA)</w:t>
      </w:r>
      <w:r w:rsidR="00F0300B">
        <w:rPr>
          <w:rFonts w:ascii="Times New Roman" w:hAnsi="Times New Roman" w:cs="Times New Roman"/>
          <w:sz w:val="24"/>
          <w:szCs w:val="24"/>
        </w:rPr>
        <w:t xml:space="preserve"> </w:t>
      </w:r>
      <w:r w:rsidR="007D3E99">
        <w:rPr>
          <w:rFonts w:ascii="Times New Roman" w:hAnsi="Times New Roman" w:cs="Times New Roman"/>
          <w:sz w:val="24"/>
          <w:szCs w:val="24"/>
        </w:rPr>
        <w:t>Animal and Plant Health Inspection Service Biotechnology Regulatory Services</w:t>
      </w:r>
      <w:r w:rsidR="001600BD">
        <w:rPr>
          <w:rFonts w:ascii="Times New Roman" w:hAnsi="Times New Roman" w:cs="Times New Roman"/>
          <w:sz w:val="24"/>
          <w:szCs w:val="24"/>
        </w:rPr>
        <w:t xml:space="preserve"> </w:t>
      </w:r>
      <w:r w:rsidR="00F0300B">
        <w:rPr>
          <w:rFonts w:ascii="Times New Roman" w:hAnsi="Times New Roman" w:cs="Times New Roman"/>
          <w:sz w:val="24"/>
          <w:szCs w:val="24"/>
        </w:rPr>
        <w:t>and comfort of the agency to drop requirements for annual USDA permit renewal in some cases where the transgenic lines are declared safe</w:t>
      </w:r>
      <w:r w:rsidR="007D3E99">
        <w:rPr>
          <w:rFonts w:ascii="Times New Roman" w:hAnsi="Times New Roman" w:cs="Times New Roman"/>
          <w:sz w:val="24"/>
          <w:szCs w:val="24"/>
        </w:rPr>
        <w:t xml:space="preserve"> after years of evaluation</w:t>
      </w:r>
      <w:r w:rsidR="00F0300B">
        <w:rPr>
          <w:rFonts w:ascii="Times New Roman" w:hAnsi="Times New Roman" w:cs="Times New Roman"/>
          <w:sz w:val="24"/>
          <w:szCs w:val="24"/>
        </w:rPr>
        <w:t xml:space="preserve">. </w:t>
      </w:r>
      <w:r w:rsidR="00AF5D5C">
        <w:rPr>
          <w:rFonts w:ascii="Times New Roman" w:hAnsi="Times New Roman" w:cs="Times New Roman"/>
          <w:sz w:val="24"/>
          <w:szCs w:val="24"/>
        </w:rPr>
        <w:t xml:space="preserve">Recent publications </w:t>
      </w:r>
      <w:r w:rsidR="007D3E99">
        <w:rPr>
          <w:rFonts w:ascii="Times New Roman" w:hAnsi="Times New Roman" w:cs="Times New Roman"/>
          <w:sz w:val="24"/>
          <w:szCs w:val="24"/>
        </w:rPr>
        <w:t xml:space="preserve">on molecular farming in an outdoor agricultural field setting </w:t>
      </w:r>
      <w:r w:rsidR="00AF5D5C">
        <w:rPr>
          <w:rFonts w:ascii="Times New Roman" w:hAnsi="Times New Roman" w:cs="Times New Roman"/>
          <w:sz w:val="24"/>
          <w:szCs w:val="24"/>
        </w:rPr>
        <w:t>highlight the significance of the pitfalls, but also detail a path forward into commercial success</w:t>
      </w:r>
      <w:r w:rsidR="00EE0918">
        <w:rPr>
          <w:rFonts w:ascii="Times New Roman" w:hAnsi="Times New Roman" w:cs="Times New Roman"/>
          <w:sz w:val="24"/>
          <w:szCs w:val="24"/>
        </w:rPr>
        <w:t xml:space="preserve"> </w:t>
      </w:r>
      <w:r w:rsidR="00EE0918">
        <w:rPr>
          <w:rFonts w:ascii="Times New Roman" w:hAnsi="Times New Roman" w:cs="Times New Roman"/>
          <w:sz w:val="24"/>
          <w:szCs w:val="24"/>
        </w:rPr>
        <w:lastRenderedPageBreak/>
        <w:t xml:space="preserve">driven by </w:t>
      </w:r>
      <w:r w:rsidR="00BF724C">
        <w:rPr>
          <w:rFonts w:ascii="Times New Roman" w:hAnsi="Times New Roman" w:cs="Times New Roman"/>
          <w:sz w:val="24"/>
          <w:szCs w:val="24"/>
        </w:rPr>
        <w:t>the low cost</w:t>
      </w:r>
      <w:r w:rsidR="00343A94">
        <w:rPr>
          <w:rFonts w:ascii="Times New Roman" w:hAnsi="Times New Roman" w:cs="Times New Roman"/>
          <w:sz w:val="24"/>
          <w:szCs w:val="24"/>
        </w:rPr>
        <w:t>, production scale, and accessibility</w:t>
      </w:r>
      <w:r w:rsidR="00467765">
        <w:rPr>
          <w:rFonts w:ascii="Times New Roman" w:hAnsi="Times New Roman" w:cs="Times New Roman"/>
          <w:sz w:val="24"/>
          <w:szCs w:val="24"/>
        </w:rPr>
        <w:t xml:space="preserve"> </w:t>
      </w:r>
      <w:r w:rsidR="006B0232">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{"citationItems":[{"id":"ITEM-1","itemData":{"DOI":"10.3389/fbioe.2020.00782","ISSN":"22964185","abstract":"As a consequence of the COVID-19 pandemic crisis, farmers across the country are plowing under their fields and laying off workers. Plant biomass has been shown by the DARPA “Blue Angel” project in 2010 to be an efficient way to rapidly make vaccines and diagnostics. This technology could pivot some areas of agriculture toward biomedical products to aid in the COVID-19 pandemic response.","author":[{"dropping-particle":"","family":"McDonald","given":"Karen A.","non-dropping-particle":"","parse-names":false,"suffix":""},{"dropping-particle":"","family":"Holtz","given":"R. Barry","non-dropping-particle":"","parse-names":false,"suffix":""}],"container-title":"Frontiers in Bioengineering and Biotechnology","id":"ITEM-1","issued":{"date-parts":[["2020","7","3"]]},"page":"782","publisher":"Frontiers Media S.A.","title":"From Farm to Finger Prick—A Perspective on How Plants Can Help in the Fight Against COVID-19","type":"article-journal","volume":"8"},"uris":["http://www.mendeley.com/documents/?uuid=8b6277c8-244f-37a9-a77d-8a5e26ed7914"]},{"id":"ITEM-2","itemData":{"DOI":"10.1002/btpr.2896","ISSN":"8756-7938","abstract":"Continuous reports of foodborne illnesses worldwide and the prevalence of antibiotic-resistant bacteria mandate novel interventions to assure the safety of our food. Treatment of a variety of foods with bacteriophage-derived lysins and bacteriocin-class antimicrobial proteins has been shown to protect against high-risk pathogens at multiple intervention points along the food supply chain. The most significant barrier to the adoption of antimicrobial proteins as a food safety intervention by the food industry is the high production cost using current fermentation-based approaches. Recently, plants have been shown to produce antimicrobial proteins with accumulation as high as 3 g/kg fresh weight and with demonstrated activity against major foodborne pathogens. To investigate potential economic advantages and scalability of this novel platform, we evaluated a highly efficient transgenic plant-based production process. A detailed process simulation model was developed to help identify economic “hot spots” for research and development focus including process operating parameters, unit operations, consumables, and/or raw materials that have the most significant impact on production costs. Our analyses indicate that the unit production cost of antimicrobial proteins in plants at commercial scale for three scenarios is $3.00–6.88/g, which can support a competitive selling price to traditional food safety treatments.","author":[{"dropping-particle":"","family":"McNulty","given":"Matthew J.","non-dropping-particle":"","parse-names":false,"suffix":""},{"dropping-particle":"","family":"Gleba","given":"Yuri","non-dropping-particle":"","parse-names":false,"suffix":""},{"dropping-particle":"","family":"Tusé","given":"Daniel","non-dropping-particle":"","parse-names":false,"suffix":""},{"dropping-particle":"","family":"Hahn‐Löbmann","given":"Simone","non-dropping-particle":"","parse-names":false,"suffix":""},{"dropping-particle":"","family":"Giritch","given":"Anatoli","non-dropping-particle":"","parse-names":false,"suffix":""},{"dropping-particle":"","family":"Nandi","given":"Somen","non-dropping-particle":"","parse-names":false,"suffix":""},{"dropping-particle":"","family":"McDonald","given":"Karen A.","non-dropping-particle":"","parse-names":false,"suffix":""}],"container-title":"Biotechnology Progress","id":"ITEM-2","issue":"1","issued":{"date-parts":[["2020","1","11"]]},"publisher":"John Wiley and Sons Inc.","title":"Techno‐economic analysis of a plant‐based platform for manufacturing antimicrobial proteins for food safety","type":"article-journal","volume":"36"},"uris":["http://www.mendeley.com/documents/?uuid=6e18bea1-c5de-3abf-82aa-5d598de36f4c"]},{"id":"ITEM-3","itemData":{"DOI":"10.1111/pbi.12127","author":[{"dropping-particle":"","family":"Ma","given":"Julian K-C","non-dropping-particle":"","parse-names":false,"suffix":""},{"dropping-particle":"","family":"Christou","given":"Paul","non-dropping-particle":"","parse-names":false,"suffix":""},{"dropping-particle":"","family":"Chikwamba","given":"Rachel","non-dropping-particle":"","parse-names":false,"suffix":""},{"dropping-particle":"","family":"Haydon","given":"Hugh","non-dropping-particle":"","parse-names":false,"suffix":""},{"dropping-particle":"","family":"Paul","given":"Mathew","non-dropping-particle":"","parse-names":false,"suffix":""},{"dropping-particle":"","family":"Ferrer","given":"Merardo Pujol","non-dropping-particle":"","parse-names":false,"suffix":""},{"dropping-particle":"","family":"Ramalingam","given":"Sathishkumar","non-dropping-particle":"","parse-names":false,"suffix":""},{"dropping-particle":"","family":"Rech","given":"Elibio","non-dropping-particle":"","parse-names":false,"suffix":""},{"dropping-particle":"","family":"Rybicki","given":"Edward","non-dropping-particle":"","parse-names":false,"suffix":""},{"dropping-particle":"","family":"Wigdorowitz","given":"Andres","non-dropping-particle":"","parse-names":false,"suffix":""},{"dropping-particle":"","family":"Yang","given":"Dai-Chang","non-dropping-particle":"","parse-names":false,"suffix":""},{"dropping-particle":"","family":"Thangaraj","given":"Harry","non-dropping-particle":"","parse-names":false,"suffix":""}],"container-title":"Plant Biotechnology Journal2","id":"ITEM-3","issue":"9","issued":{"date-parts":[["2013"]]},"page":"1029-1033","title":"Realising the value of plant molecular pharming to benefit the poor in developing countries and emerging economies","type":"article-journal","volume":"11"},"uris":["http://www.mendeley.com/documents/?uuid=31813261-97f8-3518-b145-7208082d8000"]}],"mendeley":{"formattedCitation":"(Ma et al., 2013; McDonald and Holtz, 2020; McNulty et al., 2020)","plainTextFormattedCitation":"(Ma et al., 2013; McDonald and Holtz, 2020; McNulty et al., 2020)","previouslyFormattedCitation":"(Ma et al., 2013; McDonald and Holtz, 2020; McNulty et al., 2020)"},"properties":{"noteIndex":0},"schema":"https://github.com/citation-style-language/schema/raw/master/csl-citation.json"}</w:instrText>
      </w:r>
      <w:r w:rsidR="006B0232">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(Ma et al., 2013; McDonald and Holtz, 2020; McNulty et al., 2020)</w:t>
      </w:r>
      <w:r w:rsidR="006B0232">
        <w:rPr>
          <w:rFonts w:ascii="Times New Roman" w:hAnsi="Times New Roman" w:cs="Times New Roman"/>
          <w:sz w:val="24"/>
          <w:szCs w:val="24"/>
        </w:rPr>
        <w:fldChar w:fldCharType="end"/>
      </w:r>
      <w:r w:rsidR="00BF724C">
        <w:rPr>
          <w:rFonts w:ascii="Times New Roman" w:hAnsi="Times New Roman" w:cs="Times New Roman"/>
          <w:sz w:val="24"/>
          <w:szCs w:val="24"/>
        </w:rPr>
        <w:t xml:space="preserve">. </w:t>
      </w:r>
    </w:p>
    <w:p w14:paraId="740B185B" w14:textId="2719946F" w:rsidR="00C40D77" w:rsidRDefault="001D335C"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Perhaps t</w:t>
      </w:r>
      <w:r w:rsidR="00426D3E">
        <w:rPr>
          <w:rFonts w:ascii="Times New Roman" w:hAnsi="Times New Roman" w:cs="Times New Roman"/>
          <w:sz w:val="24"/>
          <w:szCs w:val="24"/>
        </w:rPr>
        <w:t xml:space="preserve">he largest blocker to development of outdoor molecular </w:t>
      </w:r>
      <w:r w:rsidR="00B5098A">
        <w:rPr>
          <w:rFonts w:ascii="Times New Roman" w:hAnsi="Times New Roman" w:cs="Times New Roman"/>
          <w:sz w:val="24"/>
          <w:szCs w:val="24"/>
        </w:rPr>
        <w:t>f</w:t>
      </w:r>
      <w:r w:rsidR="00426D3E">
        <w:rPr>
          <w:rFonts w:ascii="Times New Roman" w:hAnsi="Times New Roman" w:cs="Times New Roman"/>
          <w:sz w:val="24"/>
          <w:szCs w:val="24"/>
        </w:rPr>
        <w:t xml:space="preserve">arming is the crop variation, both intra- and inter-batch, that arises from exposure to natural </w:t>
      </w:r>
      <w:r w:rsidR="00697612">
        <w:rPr>
          <w:rFonts w:ascii="Times New Roman" w:hAnsi="Times New Roman" w:cs="Times New Roman"/>
          <w:sz w:val="24"/>
          <w:szCs w:val="24"/>
        </w:rPr>
        <w:t xml:space="preserve">soil and </w:t>
      </w:r>
      <w:r w:rsidR="00426D3E">
        <w:rPr>
          <w:rFonts w:ascii="Times New Roman" w:hAnsi="Times New Roman" w:cs="Times New Roman"/>
          <w:sz w:val="24"/>
          <w:szCs w:val="24"/>
        </w:rPr>
        <w:t>climate variation</w:t>
      </w:r>
      <w:r w:rsidR="00CD2BFE">
        <w:rPr>
          <w:rFonts w:ascii="Times New Roman" w:hAnsi="Times New Roman" w:cs="Times New Roman"/>
          <w:sz w:val="24"/>
          <w:szCs w:val="24"/>
        </w:rPr>
        <w:t xml:space="preserve"> </w:t>
      </w:r>
      <w:r w:rsidR="00343A94">
        <w:rPr>
          <w:rFonts w:ascii="Times New Roman" w:hAnsi="Times New Roman" w:cs="Times New Roman"/>
          <w:sz w:val="24"/>
          <w:szCs w:val="24"/>
        </w:rPr>
        <w:t xml:space="preserve">and is </w:t>
      </w:r>
      <w:r w:rsidR="00A447B4">
        <w:rPr>
          <w:rFonts w:ascii="Times New Roman" w:hAnsi="Times New Roman" w:cs="Times New Roman"/>
          <w:sz w:val="24"/>
          <w:szCs w:val="24"/>
        </w:rPr>
        <w:t>perceived</w:t>
      </w:r>
      <w:r w:rsidR="00343A94">
        <w:rPr>
          <w:rFonts w:ascii="Times New Roman" w:hAnsi="Times New Roman" w:cs="Times New Roman"/>
          <w:sz w:val="24"/>
          <w:szCs w:val="24"/>
        </w:rPr>
        <w:t xml:space="preserve"> as a concern for consistency of product critical quality attributes</w:t>
      </w:r>
      <w:r w:rsidR="00467765">
        <w:rPr>
          <w:rFonts w:ascii="Times New Roman" w:hAnsi="Times New Roman" w:cs="Times New Roman"/>
          <w:sz w:val="24"/>
          <w:szCs w:val="24"/>
        </w:rPr>
        <w:t xml:space="preserve"> </w:t>
      </w:r>
      <w:r w:rsidR="00505A2C">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{"citationItems":[{"id":"ITEM-1","itemData":{"DOI":"10.3109/07388551.2015.1049934","ISSN":"15497801","abstract":"Recombinant proteins expressed in plants have been emerged as a novel branch of the biopharmaceutical industry, offering practical and safety advantages over traditional approaches. Cultivable in various platforms (i.e. open field, greenhouses or bioreactors), plants hold great potential to produce different types of therapeutic proteins with reduced risks of contamination with human and animal pathogens. To maximize the yield and quality of plant-made pharmaceuticals, crucial factors should be taken into account, including host plants, expression cassettes, subcellular localization, post-translational modifications, and protein extraction and purification methods. DNA technology and genetic transformation methods have also contributed to great parts with substantial improvements. To play their proper function and stability, proteins require multiple post-translational modifications such as glycosylation. Intensive glycoengineering research has been performed to reduce the immunogenicity of recombinant proteins produced in plants. Important strategies have also been developed to minimize the proteolysis effects and enhance protein accumulation. With growing human population and new epidemic threats, the need for new medications will be paramount so that the traditional pharmaceutical industry will not be alone to answer medication demands for upcoming generations. Here, we review several aspects of plant molecular pharming and outline some important challenges that hamper these ambitious biotechnological developments.","author":[{"dropping-particle":"","family":"Moustafa","given":"Khaled","non-dropping-particle":"","parse-names":false,"suffix":""},{"dropping-particle":"","family":"Makhzoum","given":"Abdullah","non-dropping-particle":"","parse-names":false,"suffix":""},{"dropping-particle":"","family":"Trémouillaux-Guiller","given":"Jocelyne","non-dropping-particle":"","parse-names":false,"suffix":""}],"container-title":"Critical Reviews in Biotechnology","id":"ITEM-1","issue":"5","issued":{"date-parts":[["2016","9","2"]]},"page":"840-850","publisher":"Taylor and Francis Ltd","title":"Molecular farming on rescue of pharma industry for next generations","type":"article","volume":"36"},"uris":["http://www.mendeley.com/documents/?uuid=7e2a7db6-be6f-3904-afbd-48020a89409b"]}],"mendeley":{"formattedCitation":"(Moustafa et al., 2016)","plainTextFormattedCitation":"(Moustafa et al., 2016)","previouslyFormattedCitation":"(Moustafa et al., 2016)"},"properties":{"noteIndex":0},"schema":"https://github.com/citation-style-language/schema/raw/master/csl-citation.json"}</w:instrText>
      </w:r>
      <w:r w:rsidR="00505A2C">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(Moustafa et al., 2016)</w:t>
      </w:r>
      <w:r w:rsidR="00505A2C">
        <w:rPr>
          <w:rFonts w:ascii="Times New Roman" w:hAnsi="Times New Roman" w:cs="Times New Roman"/>
          <w:sz w:val="24"/>
          <w:szCs w:val="24"/>
        </w:rPr>
        <w:fldChar w:fldCharType="end"/>
      </w:r>
      <w:r w:rsidR="00C40D77">
        <w:rPr>
          <w:rFonts w:ascii="Times New Roman" w:hAnsi="Times New Roman" w:cs="Times New Roman"/>
          <w:sz w:val="24"/>
          <w:szCs w:val="24"/>
        </w:rPr>
        <w:t>.</w:t>
      </w:r>
      <w:r w:rsidR="00343A94">
        <w:rPr>
          <w:rFonts w:ascii="Times New Roman" w:hAnsi="Times New Roman" w:cs="Times New Roman"/>
          <w:sz w:val="24"/>
          <w:szCs w:val="24"/>
        </w:rPr>
        <w:t xml:space="preserve"> If concerns of product consistency are alleviated, it is likely that there will be a subsequent need to also address the intertwined concern of </w:t>
      </w:r>
      <w:r w:rsidR="00D97DCD">
        <w:rPr>
          <w:rFonts w:ascii="Times New Roman" w:hAnsi="Times New Roman" w:cs="Times New Roman"/>
          <w:sz w:val="24"/>
          <w:szCs w:val="24"/>
        </w:rPr>
        <w:t>crop yield</w:t>
      </w:r>
      <w:r w:rsidR="00343A94">
        <w:rPr>
          <w:rFonts w:ascii="Times New Roman" w:hAnsi="Times New Roman" w:cs="Times New Roman"/>
          <w:sz w:val="24"/>
          <w:szCs w:val="24"/>
        </w:rPr>
        <w:t xml:space="preserve"> fluctuation</w:t>
      </w:r>
      <w:r w:rsidR="00467765">
        <w:rPr>
          <w:rFonts w:ascii="Times New Roman" w:hAnsi="Times New Roman" w:cs="Times New Roman"/>
          <w:sz w:val="24"/>
          <w:szCs w:val="24"/>
        </w:rPr>
        <w:t xml:space="preserve"> </w:t>
      </w:r>
      <w:r w:rsidR="00D97DCD">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{"citationItems":[{"id":"ITEM-1","itemData":{"DOI":"10.1088/1748-9326/11/3/034003","ISSN":"17489326","abstract":"While changes in temperature and precipitation extremes are evident, their influence on crop yield variability remains unclear. Here we present a global analysis detecting yield variability change and attributing it to recent climate change using spatially-explicit global data sets of historical yields and an agro-climatic index based on daily weather data. The agro-climatic index used here is the sum of effective global radiation intercepted by the crop canopy during the yield formation stage that includes thresholds for extreme temperatures and extreme soil moisture deficit. Results show that year-to-year variations in yields of maize, soybean, rice and wheat in 1981-2010 significantly decreased in 19%-33% of the global harvested area with varying extent of area by crop. However, in 9%-22% of harvested area, significant increase in yield variability was detected. Major crop-producing regions with increased yield variability include maize and soybean in Argentina and Northeast China, rice in Indonesia and Southern China, and wheat in Australia, France and Ukraine. Examples of relatively food-insecure regions with increased yield variability are maize in Kenya and Tanzania and rice in Bangladesh and Myanmar. On a global scale, over 21% of the yield variability change could be explained by the change in variability of the agro-climatic index. More specifically, the change in variability of temperatures exceeding the optimal range for yield formation was more important in explaining the yield variability change than other abiotic stresses, such as temperature below the optimal range for yield formation and soil water deficit. Our findings show that while a decrease in yield variability is the main trend worldwide across crops, yields in some regions of the world have become more unstable, suggesting the need for long-term global yield monitoring and a better understanding of the contributions of technology, management, policy and climate to ongoing yield variability change.","author":[{"dropping-particle":"","family":"Iizumi","given":"Toshichika","non-dropping-particle":"","parse-names":false,"suffix":""},{"dropping-particle":"","family":"Ramankutty","given":"Navin","non-dropping-particle":"","parse-names":false,"suffix":""}],"container-title":"Environmental Research Letters","id":"ITEM-1","issue":"3","issued":{"date-parts":[["2016","2","26"]]},"page":"034003","publisher":"Institute of Physics Publishing","title":"Changes in yield variability of major crops for 1981-2010 explained by climate change","type":"article-journal","volume":"11"},"uris":["http://www.mendeley.com/documents/?uuid=f31feab8-51a1-3eb1-8c34-f893b52a5847"]}],"mendeley":{"formattedCitation":"(Iizumi and Ramankutty, 2016)","plainTextFormattedCitation":"(Iizumi and Ramankutty, 2016)","previouslyFormattedCitation":"(Iizumi and Ramankutty, 2016)"},"properties":{"noteIndex":0},"schema":"https://github.com/citation-style-language/schema/raw/master/csl-citation.json"}</w:instrText>
      </w:r>
      <w:r w:rsidR="00D97DCD">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(Iizumi and Ramankutty, 2016)</w:t>
      </w:r>
      <w:r w:rsidR="00D97DCD">
        <w:rPr>
          <w:rFonts w:ascii="Times New Roman" w:hAnsi="Times New Roman" w:cs="Times New Roman"/>
          <w:sz w:val="24"/>
          <w:szCs w:val="24"/>
        </w:rPr>
        <w:fldChar w:fldCharType="end"/>
      </w:r>
      <w:r w:rsidR="00343A94">
        <w:rPr>
          <w:rFonts w:ascii="Times New Roman" w:hAnsi="Times New Roman" w:cs="Times New Roman"/>
          <w:sz w:val="24"/>
          <w:szCs w:val="24"/>
        </w:rPr>
        <w:t>.</w:t>
      </w:r>
      <w:r w:rsidR="005078E1">
        <w:rPr>
          <w:rFonts w:ascii="Times New Roman" w:hAnsi="Times New Roman" w:cs="Times New Roman"/>
          <w:sz w:val="24"/>
          <w:szCs w:val="24"/>
        </w:rPr>
        <w:t xml:space="preserve"> </w:t>
      </w:r>
    </w:p>
    <w:p w14:paraId="34AA3929" w14:textId="6C3172DF" w:rsidR="00697612" w:rsidRPr="00697612" w:rsidRDefault="000E72BF" w:rsidP="00F00898">
      <w:pPr>
        <w:spacing w:line="480" w:lineRule="auto"/>
        <w:jc w:val="both"/>
        <w:rPr>
          <w:rFonts w:asciiTheme="majorBidi" w:hAnsiTheme="majorBidi" w:cstheme="majorBidi"/>
          <w:sz w:val="24"/>
          <w:szCs w:val="24"/>
        </w:rPr>
      </w:pPr>
      <w:r>
        <w:rPr>
          <w:rFonts w:ascii="Times New Roman" w:hAnsi="Times New Roman" w:cs="Times New Roman"/>
          <w:sz w:val="24"/>
          <w:szCs w:val="24"/>
        </w:rPr>
        <w:t>In manufacturing products, such as commodity goods</w:t>
      </w:r>
      <w:r w:rsidR="00697612" w:rsidRPr="00BC71F1">
        <w:rPr>
          <w:rFonts w:ascii="Times New Roman" w:hAnsi="Times New Roman" w:cs="Times New Roman"/>
          <w:sz w:val="24"/>
          <w:szCs w:val="24"/>
        </w:rPr>
        <w:t xml:space="preserve">, for which </w:t>
      </w:r>
      <w:r w:rsidR="00697612">
        <w:rPr>
          <w:rFonts w:ascii="Times New Roman" w:hAnsi="Times New Roman" w:cs="Times New Roman"/>
          <w:sz w:val="24"/>
          <w:szCs w:val="24"/>
        </w:rPr>
        <w:t xml:space="preserve">ensuring </w:t>
      </w:r>
      <w:r w:rsidR="00697612" w:rsidRPr="00BC71F1">
        <w:rPr>
          <w:rFonts w:ascii="Times New Roman" w:hAnsi="Times New Roman" w:cs="Times New Roman"/>
          <w:sz w:val="24"/>
          <w:szCs w:val="24"/>
        </w:rPr>
        <w:t xml:space="preserve">consistent supply </w:t>
      </w:r>
      <w:r w:rsidR="00697612">
        <w:rPr>
          <w:rFonts w:ascii="Times New Roman" w:hAnsi="Times New Roman" w:cs="Times New Roman"/>
          <w:sz w:val="24"/>
          <w:szCs w:val="24"/>
        </w:rPr>
        <w:t>can be</w:t>
      </w:r>
      <w:r w:rsidR="00697612" w:rsidRPr="00BC71F1">
        <w:rPr>
          <w:rFonts w:ascii="Times New Roman" w:hAnsi="Times New Roman" w:cs="Times New Roman"/>
          <w:sz w:val="24"/>
          <w:szCs w:val="24"/>
        </w:rPr>
        <w:t xml:space="preserve"> critical, the evaluation of risks associa</w:t>
      </w:r>
      <w:r w:rsidR="00697612" w:rsidRPr="000979B8">
        <w:rPr>
          <w:rFonts w:ascii="Times New Roman" w:hAnsi="Times New Roman" w:cs="Times New Roman"/>
          <w:sz w:val="24"/>
          <w:szCs w:val="24"/>
        </w:rPr>
        <w:t xml:space="preserve">ted with meeting target throughput and variation in product cost of manufacturing should be evaluated and </w:t>
      </w:r>
      <w:r w:rsidR="00697612" w:rsidRPr="001D73AD">
        <w:rPr>
          <w:rFonts w:asciiTheme="majorBidi" w:hAnsiTheme="majorBidi" w:cstheme="majorBidi"/>
          <w:sz w:val="24"/>
          <w:szCs w:val="24"/>
        </w:rPr>
        <w:t>communicated to stakeholders to complement the decision-making process when assessing the feasibility of processes under uncertainty and strategic planning</w:t>
      </w:r>
      <w:r w:rsidR="00697612">
        <w:rPr>
          <w:rFonts w:asciiTheme="majorBidi" w:hAnsiTheme="majorBidi" w:cstheme="majorBidi"/>
          <w:sz w:val="24"/>
          <w:szCs w:val="24"/>
        </w:rPr>
        <w:t>.</w:t>
      </w:r>
    </w:p>
    <w:p w14:paraId="233628A2" w14:textId="2D155E35" w:rsidR="00426D3E" w:rsidRDefault="008039F8"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All bi</w:t>
      </w:r>
      <w:r w:rsidR="00697612">
        <w:rPr>
          <w:rFonts w:ascii="Times New Roman" w:hAnsi="Times New Roman" w:cs="Times New Roman"/>
          <w:sz w:val="24"/>
          <w:szCs w:val="24"/>
        </w:rPr>
        <w:t>o</w:t>
      </w:r>
      <w:r>
        <w:rPr>
          <w:rFonts w:ascii="Times New Roman" w:hAnsi="Times New Roman" w:cs="Times New Roman"/>
          <w:sz w:val="24"/>
          <w:szCs w:val="24"/>
        </w:rPr>
        <w:t xml:space="preserve">manufacturing </w:t>
      </w:r>
      <w:r w:rsidR="00A15561">
        <w:rPr>
          <w:rFonts w:ascii="Times New Roman" w:hAnsi="Times New Roman" w:cs="Times New Roman"/>
          <w:sz w:val="24"/>
          <w:szCs w:val="24"/>
        </w:rPr>
        <w:t>introduce</w:t>
      </w:r>
      <w:r w:rsidR="003A259A">
        <w:rPr>
          <w:rFonts w:ascii="Times New Roman" w:hAnsi="Times New Roman" w:cs="Times New Roman"/>
          <w:sz w:val="24"/>
          <w:szCs w:val="24"/>
        </w:rPr>
        <w:t>s</w:t>
      </w:r>
      <w:r>
        <w:rPr>
          <w:rFonts w:ascii="Times New Roman" w:hAnsi="Times New Roman" w:cs="Times New Roman"/>
          <w:sz w:val="24"/>
          <w:szCs w:val="24"/>
        </w:rPr>
        <w:t xml:space="preserve"> a degree of variation in the production. There is </w:t>
      </w:r>
      <w:r w:rsidR="009B7EF0">
        <w:rPr>
          <w:rFonts w:ascii="Times New Roman" w:hAnsi="Times New Roman" w:cs="Times New Roman"/>
          <w:sz w:val="24"/>
          <w:szCs w:val="24"/>
        </w:rPr>
        <w:t xml:space="preserve">a </w:t>
      </w:r>
      <w:r>
        <w:rPr>
          <w:rFonts w:ascii="Times New Roman" w:hAnsi="Times New Roman" w:cs="Times New Roman"/>
          <w:sz w:val="24"/>
          <w:szCs w:val="24"/>
        </w:rPr>
        <w:t xml:space="preserve">myriad of </w:t>
      </w:r>
      <w:r w:rsidR="00594943">
        <w:rPr>
          <w:rFonts w:ascii="Times New Roman" w:hAnsi="Times New Roman" w:cs="Times New Roman"/>
          <w:sz w:val="24"/>
          <w:szCs w:val="24"/>
        </w:rPr>
        <w:t>external</w:t>
      </w:r>
      <w:r>
        <w:rPr>
          <w:rFonts w:ascii="Times New Roman" w:hAnsi="Times New Roman" w:cs="Times New Roman"/>
          <w:sz w:val="24"/>
          <w:szCs w:val="24"/>
        </w:rPr>
        <w:t xml:space="preserve"> factors that can influence production</w:t>
      </w:r>
      <w:r w:rsidR="009B7EF0">
        <w:rPr>
          <w:rFonts w:ascii="Times New Roman" w:hAnsi="Times New Roman" w:cs="Times New Roman"/>
          <w:sz w:val="24"/>
          <w:szCs w:val="24"/>
        </w:rPr>
        <w:t xml:space="preserve"> rate and product quality</w:t>
      </w:r>
      <w:r>
        <w:rPr>
          <w:rFonts w:ascii="Times New Roman" w:hAnsi="Times New Roman" w:cs="Times New Roman"/>
          <w:sz w:val="24"/>
          <w:szCs w:val="24"/>
        </w:rPr>
        <w:t xml:space="preserve">. </w:t>
      </w:r>
      <w:r w:rsidR="00292E17">
        <w:rPr>
          <w:rFonts w:ascii="Times New Roman" w:hAnsi="Times New Roman" w:cs="Times New Roman"/>
          <w:sz w:val="24"/>
          <w:szCs w:val="24"/>
        </w:rPr>
        <w:t xml:space="preserve">For example, consider that in biopharmaceutical production, where the product attributes are highly controlled to ensure efficacy and safety to the patient, there are </w:t>
      </w:r>
      <w:r w:rsidR="00B21C14">
        <w:rPr>
          <w:rFonts w:ascii="Times New Roman" w:hAnsi="Times New Roman" w:cs="Times New Roman"/>
          <w:sz w:val="24"/>
          <w:szCs w:val="24"/>
        </w:rPr>
        <w:t xml:space="preserve">some </w:t>
      </w:r>
      <w:r>
        <w:rPr>
          <w:rFonts w:ascii="Times New Roman" w:hAnsi="Times New Roman" w:cs="Times New Roman"/>
          <w:sz w:val="24"/>
          <w:szCs w:val="24"/>
        </w:rPr>
        <w:t xml:space="preserve">raw material changes </w:t>
      </w:r>
      <w:r w:rsidR="00292E17">
        <w:rPr>
          <w:rFonts w:ascii="Times New Roman" w:hAnsi="Times New Roman" w:cs="Times New Roman"/>
          <w:sz w:val="24"/>
          <w:szCs w:val="24"/>
        </w:rPr>
        <w:t>(e.g.</w:t>
      </w:r>
      <w:r w:rsidR="006C4EFF">
        <w:rPr>
          <w:rFonts w:ascii="Times New Roman" w:hAnsi="Times New Roman" w:cs="Times New Roman"/>
          <w:sz w:val="24"/>
          <w:szCs w:val="24"/>
        </w:rPr>
        <w:t>,</w:t>
      </w:r>
      <w:r w:rsidR="00292E17">
        <w:rPr>
          <w:rFonts w:ascii="Times New Roman" w:hAnsi="Times New Roman" w:cs="Times New Roman"/>
          <w:sz w:val="24"/>
          <w:szCs w:val="24"/>
        </w:rPr>
        <w:t xml:space="preserve"> source of certain culture media components) </w:t>
      </w:r>
      <w:r>
        <w:rPr>
          <w:rFonts w:ascii="Times New Roman" w:hAnsi="Times New Roman" w:cs="Times New Roman"/>
          <w:sz w:val="24"/>
          <w:szCs w:val="24"/>
        </w:rPr>
        <w:t>can be made by the vendor without the biopharmaceutical manufacturer being notified. Manufacturers and regulators understand the potential variation, and the product is validated with process and product ranges</w:t>
      </w:r>
      <w:r w:rsidR="00EF0760">
        <w:rPr>
          <w:rFonts w:ascii="Times New Roman" w:hAnsi="Times New Roman" w:cs="Times New Roman"/>
          <w:sz w:val="24"/>
          <w:szCs w:val="24"/>
        </w:rPr>
        <w:t xml:space="preserve"> to accommodate this uncertainty</w:t>
      </w:r>
      <w:r>
        <w:rPr>
          <w:rFonts w:ascii="Times New Roman" w:hAnsi="Times New Roman" w:cs="Times New Roman"/>
          <w:sz w:val="24"/>
          <w:szCs w:val="24"/>
        </w:rPr>
        <w:t xml:space="preserve">. Outdoor plant molecular </w:t>
      </w:r>
      <w:r w:rsidR="00B5098A">
        <w:rPr>
          <w:rFonts w:ascii="Times New Roman" w:hAnsi="Times New Roman" w:cs="Times New Roman"/>
          <w:sz w:val="24"/>
          <w:szCs w:val="24"/>
        </w:rPr>
        <w:t>f</w:t>
      </w:r>
      <w:r>
        <w:rPr>
          <w:rFonts w:ascii="Times New Roman" w:hAnsi="Times New Roman" w:cs="Times New Roman"/>
          <w:sz w:val="24"/>
          <w:szCs w:val="24"/>
        </w:rPr>
        <w:t xml:space="preserve">arming is no different in this respect, but there are concerns that the magnitude </w:t>
      </w:r>
      <w:r w:rsidR="00EE0918">
        <w:rPr>
          <w:rFonts w:ascii="Times New Roman" w:hAnsi="Times New Roman" w:cs="Times New Roman"/>
          <w:sz w:val="24"/>
          <w:szCs w:val="24"/>
        </w:rPr>
        <w:t xml:space="preserve">or unpredictability </w:t>
      </w:r>
      <w:r>
        <w:rPr>
          <w:rFonts w:ascii="Times New Roman" w:hAnsi="Times New Roman" w:cs="Times New Roman"/>
          <w:sz w:val="24"/>
          <w:szCs w:val="24"/>
        </w:rPr>
        <w:t xml:space="preserve">of variation is greater than can be absorbed by either downstream processing or a given threshold of </w:t>
      </w:r>
      <w:r w:rsidR="00B21C14">
        <w:rPr>
          <w:rFonts w:ascii="Times New Roman" w:hAnsi="Times New Roman" w:cs="Times New Roman"/>
          <w:sz w:val="24"/>
          <w:szCs w:val="24"/>
        </w:rPr>
        <w:t xml:space="preserve">an attribute within the quality target </w:t>
      </w:r>
      <w:r>
        <w:rPr>
          <w:rFonts w:ascii="Times New Roman" w:hAnsi="Times New Roman" w:cs="Times New Roman"/>
          <w:sz w:val="24"/>
          <w:szCs w:val="24"/>
        </w:rPr>
        <w:t xml:space="preserve">product </w:t>
      </w:r>
      <w:r w:rsidR="00B21C14">
        <w:rPr>
          <w:rFonts w:ascii="Times New Roman" w:hAnsi="Times New Roman" w:cs="Times New Roman"/>
          <w:sz w:val="24"/>
          <w:szCs w:val="24"/>
        </w:rPr>
        <w:t>profile</w:t>
      </w:r>
      <w:r>
        <w:rPr>
          <w:rFonts w:ascii="Times New Roman" w:hAnsi="Times New Roman" w:cs="Times New Roman"/>
          <w:sz w:val="24"/>
          <w:szCs w:val="24"/>
        </w:rPr>
        <w:t>. However, t</w:t>
      </w:r>
      <w:r w:rsidR="00C0399E">
        <w:rPr>
          <w:rFonts w:ascii="Times New Roman" w:hAnsi="Times New Roman" w:cs="Times New Roman"/>
          <w:sz w:val="24"/>
          <w:szCs w:val="24"/>
        </w:rPr>
        <w:t xml:space="preserve">o our knowledge, there has not been in-depth evaluation of crop variation that </w:t>
      </w:r>
      <w:r w:rsidR="00FD5799">
        <w:rPr>
          <w:rFonts w:ascii="Times New Roman" w:hAnsi="Times New Roman" w:cs="Times New Roman"/>
          <w:sz w:val="24"/>
          <w:szCs w:val="24"/>
        </w:rPr>
        <w:t>quantifies and propagates</w:t>
      </w:r>
      <w:r w:rsidR="00C0399E">
        <w:rPr>
          <w:rFonts w:ascii="Times New Roman" w:hAnsi="Times New Roman" w:cs="Times New Roman"/>
          <w:sz w:val="24"/>
          <w:szCs w:val="24"/>
        </w:rPr>
        <w:t xml:space="preserve"> </w:t>
      </w:r>
      <w:r w:rsidR="00C0399E">
        <w:rPr>
          <w:rFonts w:ascii="Times New Roman" w:hAnsi="Times New Roman" w:cs="Times New Roman"/>
          <w:sz w:val="24"/>
          <w:szCs w:val="24"/>
        </w:rPr>
        <w:lastRenderedPageBreak/>
        <w:t xml:space="preserve">the impact to </w:t>
      </w:r>
      <w:r w:rsidR="00EE0918">
        <w:rPr>
          <w:rFonts w:ascii="Times New Roman" w:hAnsi="Times New Roman" w:cs="Times New Roman"/>
          <w:sz w:val="24"/>
          <w:szCs w:val="24"/>
        </w:rPr>
        <w:t xml:space="preserve">key performance metrics such as cost of goods sold, facility throughput, and </w:t>
      </w:r>
      <w:r w:rsidR="00D6664C">
        <w:rPr>
          <w:rFonts w:ascii="Times New Roman" w:hAnsi="Times New Roman" w:cs="Times New Roman"/>
          <w:sz w:val="24"/>
          <w:szCs w:val="24"/>
        </w:rPr>
        <w:t>product critical quality attributes (e.g.</w:t>
      </w:r>
      <w:r w:rsidR="006C4EFF">
        <w:rPr>
          <w:rFonts w:ascii="Times New Roman" w:hAnsi="Times New Roman" w:cs="Times New Roman"/>
          <w:sz w:val="24"/>
          <w:szCs w:val="24"/>
        </w:rPr>
        <w:t>,</w:t>
      </w:r>
      <w:r w:rsidR="00D6664C">
        <w:rPr>
          <w:rFonts w:ascii="Times New Roman" w:hAnsi="Times New Roman" w:cs="Times New Roman"/>
          <w:sz w:val="24"/>
          <w:szCs w:val="24"/>
        </w:rPr>
        <w:t xml:space="preserve"> </w:t>
      </w:r>
      <w:r w:rsidR="00C0399E">
        <w:rPr>
          <w:rFonts w:ascii="Times New Roman" w:hAnsi="Times New Roman" w:cs="Times New Roman"/>
          <w:sz w:val="24"/>
          <w:szCs w:val="24"/>
        </w:rPr>
        <w:t xml:space="preserve">product </w:t>
      </w:r>
      <w:r w:rsidR="00EE0918">
        <w:rPr>
          <w:rFonts w:ascii="Times New Roman" w:hAnsi="Times New Roman" w:cs="Times New Roman"/>
          <w:sz w:val="24"/>
          <w:szCs w:val="24"/>
        </w:rPr>
        <w:t>purity</w:t>
      </w:r>
      <w:r w:rsidR="00D6664C">
        <w:rPr>
          <w:rFonts w:ascii="Times New Roman" w:hAnsi="Times New Roman" w:cs="Times New Roman"/>
          <w:sz w:val="24"/>
          <w:szCs w:val="24"/>
        </w:rPr>
        <w:t>)</w:t>
      </w:r>
      <w:r w:rsidR="00C0399E">
        <w:rPr>
          <w:rFonts w:ascii="Times New Roman" w:hAnsi="Times New Roman" w:cs="Times New Roman"/>
          <w:sz w:val="24"/>
          <w:szCs w:val="24"/>
        </w:rPr>
        <w:t xml:space="preserve">. </w:t>
      </w:r>
    </w:p>
    <w:p w14:paraId="27CBE050" w14:textId="4D58228F" w:rsidR="00432A2B" w:rsidRDefault="00432A2B"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Earlier studies have established the concept of uncertainty quantification using techno-economic models to capture production variation of biomanufacturing processes. These investigations have focused primarily on biofuel</w:t>
      </w:r>
      <w:r w:rsidR="00467765">
        <w:rPr>
          <w:rFonts w:ascii="Times New Roman" w:hAnsi="Times New Roman" w:cs="Times New Roman"/>
          <w:sz w:val="24"/>
          <w:szCs w:val="24"/>
        </w:rPr>
        <w:t xml:space="preserve"> </w:t>
      </w:r>
      <w:r w:rsidR="008C04DB">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{"citationItems":[{"id":"ITEM-1","itemData":{"DOI":"10.1016/j.biortech.2016.07.085","ISSN":"18732976","abstract":"This study focuses on the characterization of the technical and economic feasibility of an enclosed photobioreactor microalgae system with annual production of 37.85 million liters (10 million gallons) of biofuel. The analysis characterizes and breaks down the capital investment and operating costs and the production cost of unit of algal diesel. The economic modelling shows total cost of production of algal raw oil and diesel of $3.46 and $3.69 per liter, respectively. Additionally, the effects of co-products’ credit and their impact in the economic performance of algal-to-biofuel system are discussed. The Monte Carlo methodology is used to address price and cost projections and to simulate scenarios with probabilities of financial performance and profits of the analyzed model. Different markets for allocation of co-products have shown significant shifts for economic viability of algal biofuel system.","author":[{"dropping-particle":"","family":"Batan","given":"Liaw Y.","non-dropping-particle":"","parse-names":false,"suffix":""},{"dropping-particle":"","family":"Graff","given":"Gregory D.","non-dropping-particle":"","parse-names":false,"suffix":""},{"dropping-particle":"","family":"Bradley","given":"Thomas H.","non-dropping-particle":"","parse-names":false,"suffix":""}],"container-title":"Bioresource Technology","id":"ITEM-1","issued":{"date-parts":[["2016","11","1"]]},"page":"45-52","publisher":"Elsevier Ltd","title":"Techno-economic and Monte Carlo probabilistic analysis of microalgae biofuel production system","type":"article-journal","volume":"219"},"uris":["http://www.mendeley.com/documents/?uuid=44bb6dfa-29ba-3489-8bc9-13e1ed0d8c86"]},{"id":"ITEM-2","itemData":{"DOI":"10.13031/2013.23659","ISSN":"1943-7838","abstract":"The cost of cellulase enzymes has limited the feasibility of producing ethanol from fibrous biomass. Traditional submerged fermentation (SmF) was compared to an alternative method of producing cellulase, solid state cultivation (SSC). Results from an economic analysis indicated that the unit costs for cellulase enzyme production were $15.67 (The prices are all 2004 prices in this article, except otherwise stated. We deflated newer prices to 2004 prices using a deflation factor 0.9 per year and inflated older prices to 2004 prices using an inflation factor 1.1.) per kilogram ($/kg) and $40.36/kg, for the SSC and SmF methods, respectively, while the corresponding market price was over $90.00/kg. A sensitivity analysis conducted using Monte Carlo simulation also suggests that the unit cost of production using the SSC method is lower than the unit cost of production using SmF with a certainty of 99.6% (9,959 out of 10,000 cases). These results indicate that the SSC method may be a more economical method of cellulase production, thereby reducing bio-ethanol production costs. SSC may increase the potential that bio-ethanol will become a viable supplemental fuel source in light of current economic, political, and environmental issues.","author":[{"dropping-particle":"","family":"J. Zhuang","given":"","non-dropping-particle":"","parse-names":false,"suffix":""},{"dropping-particle":"","family":"M. A. Marchant","given":"","non-dropping-particle":"","parse-names":false,"suffix":""},{"dropping-particle":"","family":"S. E. Nokes","given":"","non-dropping-particle":"","parse-names":false,"suffix":""},{"dropping-particle":"","family":"H. J. Strobel","given":"","non-dropping-particle":"","parse-names":false,"suffix":""}],"container-title":"Applied Engineering in Agriculture","id":"ITEM-2","issue":"5","issued":{"date-parts":[["2007"]]},"page":"679-687","publisher":"American Society of Agricultural and Biological Engineers (ASABE)","title":"Economic Analysis of Cellulase Production Methods for Bio-Ethanol","type":"article-journal","volume":"23"},"uris":["http://www.mendeley.com/documents/?uuid=fc5b617b-e52b-3686-b5dd-727814110362"]}],"mendeley":{"formattedCitation":"(Batan et al., 2016; J. Zhuang et al., 2007)","plainTextFormattedCitation":"(Batan et al., 2016; J. Zhuang et al., 2007)","previouslyFormattedCitation":"(Batan et al., 2016; J. Zhuang et al., 2007)"},"properties":{"noteIndex":0},"schema":"https://github.com/citation-style-language/schema/raw/master/csl-citation.json"}</w:instrText>
      </w:r>
      <w:r w:rsidR="008C04DB">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(Batan et al., 2016; J. Zhuang et al., 2007)</w:t>
      </w:r>
      <w:r w:rsidR="008C04DB">
        <w:rPr>
          <w:rFonts w:ascii="Times New Roman" w:hAnsi="Times New Roman" w:cs="Times New Roman"/>
          <w:sz w:val="24"/>
          <w:szCs w:val="24"/>
        </w:rPr>
        <w:fldChar w:fldCharType="end"/>
      </w:r>
      <w:r>
        <w:rPr>
          <w:rFonts w:ascii="Times New Roman" w:hAnsi="Times New Roman" w:cs="Times New Roman"/>
          <w:sz w:val="24"/>
          <w:szCs w:val="24"/>
        </w:rPr>
        <w:t xml:space="preserve"> and biopharmaceutical</w:t>
      </w:r>
      <w:r w:rsidR="00467765">
        <w:rPr>
          <w:rFonts w:ascii="Times New Roman" w:hAnsi="Times New Roman" w:cs="Times New Roman"/>
          <w:sz w:val="24"/>
          <w:szCs w:val="24"/>
        </w:rPr>
        <w:t xml:space="preserve"> </w:t>
      </w:r>
      <w:r w:rsidR="008C04DB">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{"citationItems":[{"id":"ITEM-1","itemData":{"DOI":"10.1205/cherd06240","ISSN":"02638762","abstract":"This article describes how batch process simulators and scheduling tools can be used to facilitate and expedite development and commercialization of pharmaceutical products. © 2007 Institution of Chemical Engineers.","author":[{"dropping-particle":"","family":"Papavasileiou","given":"V.","non-dropping-particle":"","parse-names":false,"suffix":""},{"dropping-particle":"","family":"Koulouris","given":"A.","non-dropping-particle":"","parse-names":false,"suffix":""},{"dropping-particle":"","family":"Siletti","given":"C.","non-dropping-particle":"","parse-names":false,"suffix":""},{"dropping-particle":"","family":"Petrides","given":"D.","non-dropping-particle":"","parse-names":false,"suffix":""}],"container-title":"Chemical Engineering Research and Design","id":"ITEM-1","issue":"7 A","issued":{"date-parts":[["2007"]]},"page":"1086-1097","publisher":"Institution of Chemical Engineers","title":"Optimize manufacturing of pharmaceutical products with process simulation and production scheduling tools","type":"article-journal","volume":"85"},"uris":["http://www.mendeley.com/documents/?uuid=5fc45efc-08da-368c-a3d0-ec7cf1fdad15"]},{"id":"ITEM-2","itemData":{"DOI":"10.1287/opre.2017.1661","ISSN":"15265463","abstract":"We investigate protein purification operations conducted by biomanufacturers and pharmaceutical companies as part of their research and development efforts. Purification of these proteins involves unique challenges such as balancing the yield and purity trade-offs, dealing with uncertainty in the starting material, and estimating the impact of several interlinked decisions.We develop a Markov decision model and partition the state space into decision zones that provide managerial insights to optimize purification operations. We develop practical guidelines to quantify financial risks, and we characterize the optimal operating decisions based on specific production requirements. The optimization framework has been implemented at Aldevron, a contract biomanufacturer specializing in proteins, and has resulted in 25% reduction in the total lead times and 20% reduction in the costs of protein purification operations on average.","author":[{"dropping-particle":"","family":"Martagan","given":"Tugce","non-dropping-particle":"","parse-names":false,"suffix":""},{"dropping-particle":"","family":"Krishnamurthy","given":"Ananth","non-dropping-particle":"","parse-names":false,"suffix":""},{"dropping-particle":"","family":"Leland","given":"Peter A.","non-dropping-particle":"","parse-names":false,"suffix":""},{"dropping-particle":"","family":"Maravelias","given":"Christos T.","non-dropping-particle":"","parse-names":false,"suffix":""}],"container-title":"Operations Research","id":"ITEM-2","issue":"1","issued":{"date-parts":[["2018","1","1"]]},"page":"18-41","publisher":"INFORMS Inst.for Operations Res.and the Management Sciences","title":"Performance guarantees and optimal purification decisions for engineered proteins","type":"article-journal","volume":"66"},"uris":["http://www.mendeley.com/documents/?uuid=ce4cf8a3-66ff-3042-b415-6cd9c410511a"]}],"mendeley":{"formattedCitation":"(Martagan et al., 2018; Papavasileiou et al., 2007)","plainTextFormattedCitation":"(Martagan et al., 2018; Papavasileiou et al., 2007)","previouslyFormattedCitation":"(Martagan et al., 2018; Papavasileiou et al., 2007)"},"properties":{"noteIndex":0},"schema":"https://github.com/citation-style-language/schema/raw/master/csl-citation.json"}</w:instrText>
      </w:r>
      <w:r w:rsidR="008C04DB">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(Martagan et al., 2018; Papavasileiou et al., 2007)</w:t>
      </w:r>
      <w:r w:rsidR="008C04DB">
        <w:rPr>
          <w:rFonts w:ascii="Times New Roman" w:hAnsi="Times New Roman" w:cs="Times New Roman"/>
          <w:sz w:val="24"/>
          <w:szCs w:val="24"/>
        </w:rPr>
        <w:fldChar w:fldCharType="end"/>
      </w:r>
      <w:r>
        <w:rPr>
          <w:rFonts w:ascii="Times New Roman" w:hAnsi="Times New Roman" w:cs="Times New Roman"/>
          <w:sz w:val="24"/>
          <w:szCs w:val="24"/>
        </w:rPr>
        <w:t xml:space="preserve"> production systems </w:t>
      </w:r>
      <w:r w:rsidR="00AA3AE5">
        <w:rPr>
          <w:rFonts w:ascii="Times New Roman" w:hAnsi="Times New Roman" w:cs="Times New Roman"/>
          <w:sz w:val="24"/>
          <w:szCs w:val="24"/>
        </w:rPr>
        <w:t>with limitations of</w:t>
      </w:r>
      <w:r>
        <w:rPr>
          <w:rFonts w:ascii="Times New Roman" w:hAnsi="Times New Roman" w:cs="Times New Roman"/>
          <w:sz w:val="24"/>
          <w:szCs w:val="24"/>
        </w:rPr>
        <w:t xml:space="preserve"> coarse techno-economic models and/or limited uncertainty quantification analyses. Notably </w:t>
      </w:r>
      <w:r w:rsidR="008C04DB">
        <w:rPr>
          <w:rFonts w:ascii="Times New Roman" w:hAnsi="Times New Roman" w:cs="Times New Roman"/>
          <w:sz w:val="24"/>
          <w:szCs w:val="24"/>
        </w:rPr>
        <w:t>rigorous</w:t>
      </w:r>
      <w:r>
        <w:rPr>
          <w:rFonts w:ascii="Times New Roman" w:hAnsi="Times New Roman" w:cs="Times New Roman"/>
          <w:sz w:val="24"/>
          <w:szCs w:val="24"/>
        </w:rPr>
        <w:t xml:space="preserve">, the uncertainty analysis of penicillin V production </w:t>
      </w:r>
      <w:r w:rsidR="008C04DB">
        <w:rPr>
          <w:rFonts w:ascii="Times New Roman" w:hAnsi="Times New Roman" w:cs="Times New Roman"/>
          <w:sz w:val="24"/>
          <w:szCs w:val="24"/>
        </w:rPr>
        <w:t>using fermentation processes includes a detailed model and robust inclusion of uncertainty parameters</w:t>
      </w:r>
      <w:r w:rsidR="00467765">
        <w:rPr>
          <w:rFonts w:ascii="Times New Roman" w:hAnsi="Times New Roman" w:cs="Times New Roman"/>
          <w:sz w:val="24"/>
          <w:szCs w:val="24"/>
        </w:rPr>
        <w:t xml:space="preserve"> </w:t>
      </w:r>
      <w:r w:rsidR="008C04DB">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{"citationItems":[{"id":"ITEM-1","itemData":{"DOI":"10.1002/bit.20359","ISSN":"00063592","abstract":"Uncertainty and variability affect economic and environmental performance in the production of biotechnology and pharmaceutical products. However, commercial process simulation software typically provides analysis that assumes deterministic rather than stochastic process parameters and thus is not capable of dealing with the complexities created by variance that arise in the decision-making process. Using the production of penicillin V as a case study, this article shows how uncertainty can be quantified and evaluated. The first step is construction of a process model, as well as analysis of its cost structure and environmental impact. The second step is identification of uncertain variables and determination of their probability distributions based on available process and literature data. Finally, Monte Carlo simulations are run to see how these uncertainties propagate through the model and affect key economic and environmental outcomes. Thus, the overall variation of these objective functions are quantified, the technical, supply chain, and market parameters that contribute most to the existing variance are identified and the differences between economic and ecological evaluation are analyzed. In our case study analysis, we show that final penicillin and biomass concentrations in the fermenter have the highest contribution to variance for both unit production cost and environmental impact. The penicillin selling price dominates return on investment variance as well as the variance for other revenue-dependent parameters. © 2004 Wiley Periodicals, Inc.","author":[{"dropping-particle":"","family":"Biwer","given":"Arno","non-dropping-particle":"","parse-names":false,"suffix":""},{"dropping-particle":"","family":"Griffith","given":"Steve","non-dropping-particle":"","parse-names":false,"suffix":""},{"dropping-particle":"","family":"Cooney","given":"Charles","non-dropping-particle":"","parse-names":false,"suffix":""}],"container-title":"Biotechnology and Bioengineering","id":"ITEM-1","issue":"2","issued":{"date-parts":[["2005","4","20"]]},"page":"167-179","publisher":"John Wiley and Sons Inc.","title":"Uncertainty analysis of penicillin V production using Monte Carlo simulation","type":"article-journal","volume":"90"},"uris":["http://www.mendeley.com/documents/?uuid=6264b3b0-aaab-344f-834b-86b553b01210"]}],"mendeley":{"formattedCitation":"(Biwer et al., 2005)","plainTextFormattedCitation":"(Biwer et al., 2005)","previouslyFormattedCitation":"(Biwer et al., 2005)"},"properties":{"noteIndex":0},"schema":"https://github.com/citation-style-language/schema/raw/master/csl-citation.json"}</w:instrText>
      </w:r>
      <w:r w:rsidR="008C04DB">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(Biwer et al., 2005)</w:t>
      </w:r>
      <w:r w:rsidR="008C04DB">
        <w:rPr>
          <w:rFonts w:ascii="Times New Roman" w:hAnsi="Times New Roman" w:cs="Times New Roman"/>
          <w:sz w:val="24"/>
          <w:szCs w:val="24"/>
        </w:rPr>
        <w:fldChar w:fldCharType="end"/>
      </w:r>
      <w:r w:rsidR="008C04DB">
        <w:rPr>
          <w:rFonts w:ascii="Times New Roman" w:hAnsi="Times New Roman" w:cs="Times New Roman"/>
          <w:sz w:val="24"/>
          <w:szCs w:val="24"/>
        </w:rPr>
        <w:t>.</w:t>
      </w:r>
      <w:r w:rsidR="00930D2A">
        <w:rPr>
          <w:rFonts w:ascii="Times New Roman" w:hAnsi="Times New Roman" w:cs="Times New Roman"/>
          <w:sz w:val="24"/>
          <w:szCs w:val="24"/>
        </w:rPr>
        <w:t xml:space="preserve"> However, this report </w:t>
      </w:r>
      <w:r w:rsidR="0016679A">
        <w:rPr>
          <w:rFonts w:ascii="Times New Roman" w:hAnsi="Times New Roman" w:cs="Times New Roman"/>
          <w:sz w:val="24"/>
          <w:szCs w:val="24"/>
        </w:rPr>
        <w:t xml:space="preserve">does </w:t>
      </w:r>
      <w:r w:rsidR="00F3269B">
        <w:rPr>
          <w:rFonts w:ascii="Times New Roman" w:hAnsi="Times New Roman" w:cs="Times New Roman"/>
          <w:sz w:val="24"/>
          <w:szCs w:val="24"/>
        </w:rPr>
        <w:t xml:space="preserve">lack </w:t>
      </w:r>
      <w:r w:rsidR="00930D2A">
        <w:rPr>
          <w:rFonts w:ascii="Times New Roman" w:hAnsi="Times New Roman" w:cs="Times New Roman"/>
          <w:sz w:val="24"/>
          <w:szCs w:val="24"/>
        </w:rPr>
        <w:t xml:space="preserve">scenario analysis and optimization under uncertainty, both of which are important </w:t>
      </w:r>
      <w:r w:rsidR="00F3269B">
        <w:rPr>
          <w:rFonts w:ascii="Times New Roman" w:hAnsi="Times New Roman" w:cs="Times New Roman"/>
          <w:sz w:val="24"/>
          <w:szCs w:val="24"/>
        </w:rPr>
        <w:t xml:space="preserve">methodology </w:t>
      </w:r>
      <w:r w:rsidR="00930D2A">
        <w:rPr>
          <w:rFonts w:ascii="Times New Roman" w:hAnsi="Times New Roman" w:cs="Times New Roman"/>
          <w:sz w:val="24"/>
          <w:szCs w:val="24"/>
        </w:rPr>
        <w:t xml:space="preserve">considerations for plant molecular farming-based manufacturing.   </w:t>
      </w:r>
    </w:p>
    <w:p w14:paraId="7FCF4B2C" w14:textId="5A85A234" w:rsidR="00AF5D5C" w:rsidRDefault="00467765"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Kelada and coauthors</w:t>
      </w:r>
      <w:r w:rsidR="00AF5D5C">
        <w:rPr>
          <w:rFonts w:ascii="Times New Roman" w:hAnsi="Times New Roman" w:cs="Times New Roman"/>
          <w:sz w:val="24"/>
          <w:szCs w:val="24"/>
        </w:rPr>
        <w:t xml:space="preserve"> recently published the first techno-economic analysis of </w:t>
      </w:r>
      <w:r w:rsidR="00B97A74">
        <w:rPr>
          <w:rFonts w:ascii="Times New Roman" w:hAnsi="Times New Roman" w:cs="Times New Roman"/>
          <w:sz w:val="24"/>
          <w:szCs w:val="24"/>
        </w:rPr>
        <w:t xml:space="preserve">plant </w:t>
      </w:r>
      <w:r w:rsidR="00AF5D5C">
        <w:rPr>
          <w:rFonts w:ascii="Times New Roman" w:hAnsi="Times New Roman" w:cs="Times New Roman"/>
          <w:sz w:val="24"/>
          <w:szCs w:val="24"/>
        </w:rPr>
        <w:t xml:space="preserve">molecular </w:t>
      </w:r>
      <w:r w:rsidR="00B5098A">
        <w:rPr>
          <w:rFonts w:ascii="Times New Roman" w:hAnsi="Times New Roman" w:cs="Times New Roman"/>
          <w:sz w:val="24"/>
          <w:szCs w:val="24"/>
        </w:rPr>
        <w:t>f</w:t>
      </w:r>
      <w:r w:rsidR="00AF5D5C">
        <w:rPr>
          <w:rFonts w:ascii="Times New Roman" w:hAnsi="Times New Roman" w:cs="Times New Roman"/>
          <w:sz w:val="24"/>
          <w:szCs w:val="24"/>
        </w:rPr>
        <w:t>arming to manufacture a target commodity product at a rate of 50,000 kg per year</w:t>
      </w:r>
      <w:r>
        <w:rPr>
          <w:rFonts w:ascii="Times New Roman" w:hAnsi="Times New Roman" w:cs="Times New Roman"/>
          <w:sz w:val="24"/>
          <w:szCs w:val="24"/>
        </w:rPr>
        <w:t xml:space="preserve"> </w:t>
      </w:r>
      <w:r w:rsidR="00E749A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{"citationItems":[{"id":"ITEM-1","itemData":{"DOI":"10.20944/preprints202012.0280.v1","abstract":"There are currently worldwide efforts to reduce sugar intake due to the various adverse health effects linked with the overconsumption of sugars. Artificial sweeteners have been used as an alternative to nutritive sugars in numerous applications; however, their long-term effects on human health remain controversial. This led to a shift in consumer preference towards non-caloric sweeteners from natural sources. Thaumatins are a class of intensely sweet proteins found in arils of the fruits of the West-African plant Thaumatococcus danielli. Thaumatins' current production method through aqueous extraction from this plant and uncertainty of the harvest from tropical rainforests limits its supply while the demand is increasing. Despite successful recombinant expression of the protein in several organisms, no large-scale bioproduction facilities exist. We present preliminary process design, process simulation, and economic analysis for a large-scale (50 metric tons/year) production of thaumatin II variant by several different molecular farming platforms. Highlights: • Our analysis shows the production pros and cons of thaumatin II manufacturing using three plant-based platforms, with calculated costs of goods sold ranging from $318-$2,420/kg, excluding depreciation costs. • This work aims to help bridge the gap between the development of a new technology and its transition into manufacturing, particularly for commodity-type food products. Industry relevance: Independent sensory studies have found that thaumatin II can be over 10,000 times sweeter than sucrose on a mass basis; thus, its adoption by the food and beverage industry could have a tremendous positive impact on human health and carbon footprint while maintaining taste attributes that consumer are used to, as well as a potential reduced cost of production for sweetened food products.","author":[{"dropping-particle":"","family":"Kelada","given":"Kirolos D","non-dropping-particle":"","parse-names":false,"suffix":""},{"dropping-particle":"","family":"Tusé","given":"Daniel","non-dropping-particle":"","parse-names":false,"suffix":""},{"dropping-particle":"","family":"Gleba","given":"Yuri","non-dropping-particle":"","parse-names":false,"suffix":""},{"dropping-particle":"","family":"Mcdonald","given":"Karen A","non-dropping-particle":"","parse-names":false,"suffix":""},{"dropping-particle":"","family":"Nandi","given":"Somen","non-dropping-particle":"","parse-names":false,"suffix":""}],"id":"ITEM-1","issued":{"date-parts":[["2020","12","11"]]},"publisher":"Preprints","title":"Process Simulation and Techno-Economic Analysis of Large-Scale Bioproduction of Sweet Protein Thaumatin II","type":"article-journal"},"uris":["http://www.mendeley.com/documents/?uuid=8f44887f-b31a-320a-889e-09b7d2460a88"]}],"mendeley":{"formattedCitation":"(Kelada et al., 2020)","plainTextFormattedCitation":"(Kelada et al., 2020)","previouslyFormattedCitation":"(Kelada et al., 2020)"},"properties":{"noteIndex":0},"schema":"https://github.com/citation-style-language/schema/raw/master/csl-citation.json"}</w:instrText>
      </w:r>
      <w:r w:rsidR="00E749A6">
        <w:rPr>
          <w:rFonts w:ascii="Times New Roman" w:hAnsi="Times New Roman" w:cs="Times New Roman"/>
          <w:sz w:val="24"/>
          <w:szCs w:val="24"/>
        </w:rPr>
        <w:fldChar w:fldCharType="separate"/>
      </w:r>
      <w:r w:rsidRPr="00467765">
        <w:rPr>
          <w:rFonts w:ascii="Times New Roman" w:hAnsi="Times New Roman" w:cs="Times New Roman"/>
          <w:noProof/>
          <w:sz w:val="24"/>
          <w:szCs w:val="24"/>
        </w:rPr>
        <w:t>(Kelada et al., 2020)</w:t>
      </w:r>
      <w:r w:rsidR="00E749A6">
        <w:rPr>
          <w:rFonts w:ascii="Times New Roman" w:hAnsi="Times New Roman" w:cs="Times New Roman"/>
          <w:sz w:val="24"/>
          <w:szCs w:val="24"/>
        </w:rPr>
        <w:fldChar w:fldCharType="end"/>
      </w:r>
      <w:r w:rsidR="00AF5D5C">
        <w:rPr>
          <w:rFonts w:ascii="Times New Roman" w:hAnsi="Times New Roman" w:cs="Times New Roman"/>
          <w:sz w:val="24"/>
          <w:szCs w:val="24"/>
        </w:rPr>
        <w:t xml:space="preserve">. In this analysis, </w:t>
      </w:r>
      <w:r w:rsidR="003E2782">
        <w:rPr>
          <w:rFonts w:ascii="Times New Roman" w:hAnsi="Times New Roman" w:cs="Times New Roman"/>
          <w:sz w:val="24"/>
          <w:szCs w:val="24"/>
        </w:rPr>
        <w:t xml:space="preserve">the authors </w:t>
      </w:r>
      <w:r w:rsidR="00B97A74">
        <w:rPr>
          <w:rFonts w:ascii="Times New Roman" w:hAnsi="Times New Roman" w:cs="Times New Roman"/>
          <w:sz w:val="24"/>
          <w:szCs w:val="24"/>
        </w:rPr>
        <w:t xml:space="preserve">simulate a larger production-scale facility than has been commercially realized to date to provide perspective on the feasibility and </w:t>
      </w:r>
      <w:r w:rsidR="003E2782">
        <w:rPr>
          <w:rFonts w:ascii="Times New Roman" w:hAnsi="Times New Roman" w:cs="Times New Roman"/>
          <w:sz w:val="24"/>
          <w:szCs w:val="24"/>
        </w:rPr>
        <w:t xml:space="preserve">benefits </w:t>
      </w:r>
      <w:r w:rsidR="00B97A74">
        <w:rPr>
          <w:rFonts w:ascii="Times New Roman" w:hAnsi="Times New Roman" w:cs="Times New Roman"/>
          <w:sz w:val="24"/>
          <w:szCs w:val="24"/>
        </w:rPr>
        <w:t xml:space="preserve">of plant molecular </w:t>
      </w:r>
      <w:r w:rsidR="00B5098A">
        <w:rPr>
          <w:rFonts w:ascii="Times New Roman" w:hAnsi="Times New Roman" w:cs="Times New Roman"/>
          <w:sz w:val="24"/>
          <w:szCs w:val="24"/>
        </w:rPr>
        <w:t>f</w:t>
      </w:r>
      <w:r w:rsidR="00B97A74">
        <w:rPr>
          <w:rFonts w:ascii="Times New Roman" w:hAnsi="Times New Roman" w:cs="Times New Roman"/>
          <w:sz w:val="24"/>
          <w:szCs w:val="24"/>
        </w:rPr>
        <w:t xml:space="preserve">arming for large demand products. </w:t>
      </w:r>
      <w:r w:rsidR="003E2782">
        <w:rPr>
          <w:rFonts w:ascii="Times New Roman" w:hAnsi="Times New Roman" w:cs="Times New Roman"/>
          <w:sz w:val="24"/>
          <w:szCs w:val="24"/>
        </w:rPr>
        <w:t xml:space="preserve">The </w:t>
      </w:r>
      <w:r w:rsidR="00B97A74">
        <w:rPr>
          <w:rFonts w:ascii="Times New Roman" w:hAnsi="Times New Roman" w:cs="Times New Roman"/>
          <w:sz w:val="24"/>
          <w:szCs w:val="24"/>
        </w:rPr>
        <w:t xml:space="preserve">findings indicate that outdoor field cultivation is one manufacturing strategy to reduce costs </w:t>
      </w:r>
      <w:r w:rsidR="003E2782">
        <w:rPr>
          <w:rFonts w:ascii="Times New Roman" w:hAnsi="Times New Roman" w:cs="Times New Roman"/>
          <w:sz w:val="24"/>
          <w:szCs w:val="24"/>
        </w:rPr>
        <w:t xml:space="preserve">compared with </w:t>
      </w:r>
      <w:r w:rsidR="00B97A74">
        <w:rPr>
          <w:rFonts w:ascii="Times New Roman" w:hAnsi="Times New Roman" w:cs="Times New Roman"/>
          <w:sz w:val="24"/>
          <w:szCs w:val="24"/>
        </w:rPr>
        <w:t>the traditional indoor cultivation to meet the price points of commodity and industrial products.</w:t>
      </w:r>
      <w:r w:rsidR="00AF5D5C">
        <w:rPr>
          <w:rFonts w:ascii="Times New Roman" w:hAnsi="Times New Roman" w:cs="Times New Roman"/>
          <w:sz w:val="24"/>
          <w:szCs w:val="24"/>
        </w:rPr>
        <w:t xml:space="preserve"> </w:t>
      </w:r>
      <w:r w:rsidR="003E2782">
        <w:rPr>
          <w:rFonts w:ascii="Times New Roman" w:hAnsi="Times New Roman" w:cs="Times New Roman"/>
          <w:sz w:val="24"/>
          <w:szCs w:val="24"/>
        </w:rPr>
        <w:t xml:space="preserve">In the work by </w:t>
      </w:r>
      <w:r>
        <w:rPr>
          <w:rFonts w:ascii="Times New Roman" w:hAnsi="Times New Roman" w:cs="Times New Roman"/>
          <w:sz w:val="24"/>
          <w:szCs w:val="24"/>
        </w:rPr>
        <w:t xml:space="preserve">Kelada and in </w:t>
      </w:r>
      <w:r w:rsidR="00054849">
        <w:rPr>
          <w:rFonts w:ascii="Times New Roman" w:hAnsi="Times New Roman" w:cs="Times New Roman"/>
          <w:sz w:val="24"/>
          <w:szCs w:val="24"/>
        </w:rPr>
        <w:t xml:space="preserve">all other molecular </w:t>
      </w:r>
      <w:r w:rsidR="00B5098A">
        <w:rPr>
          <w:rFonts w:ascii="Times New Roman" w:hAnsi="Times New Roman" w:cs="Times New Roman"/>
          <w:sz w:val="24"/>
          <w:szCs w:val="24"/>
        </w:rPr>
        <w:t>f</w:t>
      </w:r>
      <w:r w:rsidR="00054849">
        <w:rPr>
          <w:rFonts w:ascii="Times New Roman" w:hAnsi="Times New Roman" w:cs="Times New Roman"/>
          <w:sz w:val="24"/>
          <w:szCs w:val="24"/>
        </w:rPr>
        <w:t xml:space="preserve">arming techno-economic studies to date, a fixed </w:t>
      </w:r>
      <w:r w:rsidR="003E2782">
        <w:rPr>
          <w:rFonts w:ascii="Times New Roman" w:hAnsi="Times New Roman" w:cs="Times New Roman"/>
          <w:sz w:val="24"/>
          <w:szCs w:val="24"/>
        </w:rPr>
        <w:t xml:space="preserve">and constant </w:t>
      </w:r>
      <w:r w:rsidR="00054849">
        <w:rPr>
          <w:rFonts w:ascii="Times New Roman" w:hAnsi="Times New Roman" w:cs="Times New Roman"/>
          <w:sz w:val="24"/>
          <w:szCs w:val="24"/>
        </w:rPr>
        <w:t xml:space="preserve">production </w:t>
      </w:r>
      <w:r w:rsidR="003E2782">
        <w:rPr>
          <w:rFonts w:ascii="Times New Roman" w:hAnsi="Times New Roman" w:cs="Times New Roman"/>
          <w:sz w:val="24"/>
          <w:szCs w:val="24"/>
        </w:rPr>
        <w:t>rate is assumed in designing and sizing the facility</w:t>
      </w:r>
      <w:r w:rsidR="00054849">
        <w:rPr>
          <w:rFonts w:ascii="Times New Roman" w:hAnsi="Times New Roman" w:cs="Times New Roman"/>
          <w:sz w:val="24"/>
          <w:szCs w:val="24"/>
        </w:rPr>
        <w:t>.</w:t>
      </w:r>
    </w:p>
    <w:p w14:paraId="4FF93B3B" w14:textId="1901B00E" w:rsidR="000E72BF" w:rsidRPr="000979B8" w:rsidRDefault="00EF0760"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Other molecular </w:t>
      </w:r>
      <w:r w:rsidR="00B5098A">
        <w:rPr>
          <w:rFonts w:ascii="Times New Roman" w:hAnsi="Times New Roman" w:cs="Times New Roman"/>
          <w:sz w:val="24"/>
          <w:szCs w:val="24"/>
        </w:rPr>
        <w:t>f</w:t>
      </w:r>
      <w:r>
        <w:rPr>
          <w:rFonts w:ascii="Times New Roman" w:hAnsi="Times New Roman" w:cs="Times New Roman"/>
          <w:sz w:val="24"/>
          <w:szCs w:val="24"/>
        </w:rPr>
        <w:t>arming techno-economic studies have explored technical and economic viability of primarily indoor production of monoclonal antibodies</w:t>
      </w:r>
      <w:r w:rsidR="0046776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{"citationItems":[{"id":"ITEM-1","itemData":{"DOI":"10.1080/19420862.2016.1227901","ISSN":"1942-0870","PMID":"27559626","abstract":"Plant-based biomanufacturing of therapeutic proteins is a relatively new platform with a small number of commercial-scale facilities, but offers advantages of linear scalability, reduced upstream complexity, reduced time to market, and potentially lower capital and operating costs. In this study we present a detailed process simulation model for a large-scale new \"greenfield\" biomanufacturing facility that uses transient agroinfiltration of Nicotiana benthamiana plants grown hydroponically indoors under light-emitting diode lighting for the production of a monoclonal antibody. The model was used to evaluate the total capital investment, annual operating cost, and cost of goods sold as a function of mAb expression level in the plant (g mAb/kg fresh weight of the plant) and production capacity (kg mAb/year). For the Base Case design scenario (300 kg mAb/year, 1 g mAb/kg fresh weight, and 65% recovery in downstream processing), the model predicts a total capital investment of $122 million dollars and cost of goods sold of $121/g including depreciation. Compared with traditional biomanufacturing platforms that use mammalian cells grown in bioreactors, the model predicts significant reductions in capital investment and &gt;50% reduction in cost of goods compared with published values at similar production scales. The simulation model can be modified or adapted by others to assess the profitability of alternative designs, implement different process assumptions, and help guide process development and optimization.","author":[{"dropping-particle":"","family":"Nandi","given":"Somen","non-dropping-particle":"","parse-names":false,"suffix":""},{"dropping-particle":"","family":"Kwong","given":"Aaron T","non-dropping-particle":"","parse-names":false,"suffix":""},{"dropping-particle":"","family":"Holtz","given":"Barry R","non-dropping-particle":"","parse-names":false,"suffix":""},{"dropping-particle":"","family":"Erwin","given":"Robert L","non-dropping-particle":"","parse-names":false,"suffix":""},{"dropping-particle":"","family":"Marcel","given":"Sylvain","non-dropping-particle":"","parse-names":false,"suffix":""},{"dropping-particle":"","family":"McDonald","given":"Karen A","non-dropping-particle":"","parse-names":false,"suffix":""}],"container-title":"mAbs","id":"ITEM-1","issue":"8","issued":{"date-parts":[["2016"]]},"page":"1456-1466","publisher":"Taylor &amp; Francis","title":"Techno-economic analysis of a transient plant-based platform for monoclonal antibody production.","type":"article-journal","volume":"8"},"uris":["http://www.mendeley.com/documents/?uuid=4b1decb4-04c5-38bd-852f-f29cfdc5a055"]}],"mendeley":{"formattedCitation":"(Nandi et al., 2016)","plainTextFormattedCitation":"(Nandi et al., 2016)","previouslyFormattedCitation":"(Nandi et al., 2016)"},"properties":{"noteIndex":0},"schema":"https://github.com/citation-style-language/schema/raw/master/csl-citation.json"}</w:instrText>
      </w:r>
      <w:r>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(Nandi et al., 2016)</w:t>
      </w:r>
      <w:r>
        <w:rPr>
          <w:rFonts w:ascii="Times New Roman" w:hAnsi="Times New Roman" w:cs="Times New Roman"/>
          <w:sz w:val="24"/>
          <w:szCs w:val="24"/>
        </w:rPr>
        <w:fldChar w:fldCharType="end"/>
      </w:r>
      <w:r>
        <w:rPr>
          <w:rFonts w:ascii="Times New Roman" w:hAnsi="Times New Roman" w:cs="Times New Roman"/>
          <w:sz w:val="24"/>
          <w:szCs w:val="24"/>
        </w:rPr>
        <w:t>, antiviral proteins</w:t>
      </w:r>
      <w:r w:rsidR="0046776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{"citationItems":[{"id":"ITEM-1","itemData":{"DOI":"10.3389/fbioe.2018.00102","ISSN":"2296-4185","abstract":"Griffithsin is a marine algal lectin that exhibits broad-spectrum antiviral activity by binding oligomannose glycans on viral envelope glycoproteins, including those found in HIV-1, HSV-2, SARS, HCV and other enveloped viruses. An efficient, scalable and cost-effective manufacturing process for Griffithsin is essential for the adoption of this drug in human antiviral prophylaxis and therapy, particularly in cost-sensitive indications such as topical microbicides for HIV-1 prevention. The production of certain classes of recombinant biologics in plants can offer scalability, cost and environmental impact advantages over traditional biomanufacturing platforms. Previously, we showed the technical viability of producing recombinant Griffithsin in plants. In this study, we conducted a technoeconomic analysis (TEA) of plant-produced Griffithsin manufactured at commercial launch volumes for use in HIV microbicides. Data derived from multiple non-sequential manufacturing batches conducted at pilot scale and existing facility designs were used to build a technoeconomic model using SuperPro Designer</w:instrText>
      </w:r>
      <w:r w:rsidR="000248C3">
        <w:rPr>
          <w:rFonts w:ascii="Times New Roman" w:hAnsi="Times New Roman" w:cs="Times New Roman"/>
          <w:sz w:val="24"/>
          <w:szCs w:val="24"/>
        </w:rPr>
        <w:instrText> modeling software. With an assumed commercial launch volume of 20 kg Griffithsin/year for 6.7 million doses of Griffithsin microbicide at 3 mg/dose, a transient vector expression yield of 0.52 g Griffithsin/kg leaf biomass, recovery efficiency of 70%, and purity of &gt;99%, we calculated a manufacturing cost for the drug substance of $0.32/dose and estimated a bulk product cost of $0.38/dose assuming a 20% net fee for a contract manufacturing organization (CMO). This is the first report modeling the manufacturing economics of Griffithsin. The process analyzed is readily scalable and subject to efficiency improvements and could provide the needed market volumes of the lectin within an acceptable range of costs, even for cost-constrained products such as microbicides. The manufacturing process was also assessed for environmental, health and safety impact and found to have a highly favorable environmental output index with negligible risks to health and safety. The results of this study help validate the plant-based manufacturing platform and should assist in selecting preferred indications for Griffithsin as a novel drug.","author":[{"dropping-particle":"","family":"Alam","given":"Aatif","non-dropping-particle":"","parse-names":false,"suffix":""},{"dropping-particle":"","family":"Jiang","given":"Linda","non-dropping-particle":"","parse-names":false,"suffix":""},{"dropping-particle":"","family":"Kittleson","given":"Gregory A.","non-dropping-particle":"","parse-names":false,"suffix":""},{"dropping-particle":"","family":"Steadman","given":"Kenneth D.","non-dropping-particle":"","parse-names":false,"suffix":""},{"dropping-particle":"","family":"Nandi","given":"Somen","non-dropping-particle":"","parse-names":false,"suffix":""},{"dropping-particle":"","family":"Fuqua","given":"Joshua L.","non-dropping-particle":"","parse-names":false,"suffix":""},{"dropping-particle":"","family":"Palmer","given":"Kenneth E.","non-dropping-particle":"","parse-names":false,"suffix":""},{"dropping-particle":"","family":"Tusé","given":"Daniel","non-dropping-particle":"","parse-names":false,"suffix":""},{"dropping-particle":"","family":"McDonald","given":"Karen A.","non-dropping-particle":"","parse-names":false,"suffix":""}],"container-title":"Frontiers in Bioengineering and Biotechnology","id":"ITEM-1","issued":{"date-parts":[["2018","7","24"]]},"page":"102","publisher":"Frontiers","title":"Technoeconomic Modeling of Plant-Based Griffithsin Manufacturing","type":"article-journal","volume":"6"},"uris":["http://www.mendeley.com/documents/?uuid=a744e7b4-9b80-34cd-ae96-a981103470c7"]}],"mendeley":{"formattedCitation":"(Alam et al., 2018)","plainTextFormattedCitation":"(Alam et al., 2018)","previouslyFormattedCitation":"(Alam et al., 2018)"},"properties":{"noteIndex":0},"schema":"https://github.com/citation-style-language/schema/raw/master/csl-citation.json"}</w:instrText>
      </w:r>
      <w:r>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(Alam et al., 2018)</w:t>
      </w:r>
      <w:r>
        <w:rPr>
          <w:rFonts w:ascii="Times New Roman" w:hAnsi="Times New Roman" w:cs="Times New Roman"/>
          <w:sz w:val="24"/>
          <w:szCs w:val="24"/>
        </w:rPr>
        <w:fldChar w:fldCharType="end"/>
      </w:r>
      <w:r>
        <w:rPr>
          <w:rFonts w:ascii="Times New Roman" w:hAnsi="Times New Roman" w:cs="Times New Roman"/>
          <w:sz w:val="24"/>
          <w:szCs w:val="24"/>
        </w:rPr>
        <w:t>, biodefense agents</w:t>
      </w:r>
      <w:r w:rsidR="0046776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{"citationItems":[{"id":"ITEM-1","itemData":{"DOI":"10.1155/2014/256135","ISSN":"23146141","PMID":"24977145","abstract":"Production of recombinant biologics in plants has received considerable attention as an alternative platform to traditional microbial and animal cell culture. Industrially relevant features of plant systems include proper eukaryotic protein processing, inherent safety due to lack of adventitious agents, more facile scalability, faster production (transient systems), and potentially lower costs. Lower manufacturing cost has been widely claimed as an intuitive feature of the platform by the plant-made biologics community, even though cost information resides within a few private companies and studies accurately documenting such an advantage have been lacking. We present two technoeconomic case studies representing plant-made enzymes for diverse applications: human butyrylcholinesterase produced indoors for use as a medical countermeasure and cellulases produced in the field for the conversion of cellulosic biomass into ethanol as a fuel extender. Production economics were modeled based on results reported with the latest-generation expression technologies on Nicotiana host plants. We evaluated process unit operations and calculated bulk active and per-dose or per-unit costs using SuperPro Designer modeling software. Our analyses indicate that substantial cost advantages over alternative platforms can be achieved with plant systems, but these advantages are molecule/product-specific and depend on the relative cost-efficiencies of alternative sources of the same product.","author":[{"dropping-particle":"","family":"Tusé","given":"Daniel","non-dropping-particle":"","parse-names":false,"suffix":""},{"dropping-particle":"","family":"Tu","given":"Tiffany","non-dropping-particle":"","parse-names":false,"suffix":""},{"dropping-particle":"","family":"McDonald","given":"Karen A.","non-dropping-particle":"","parse-names":false,"suffix":""}],"container-title":"BioMed Research International","id":"ITEM-1","issued":{"date-parts":[["2014"]]},"note":"Essential to project\n\nPerformed using SuperPro Designer 9.0\nhttp://mcdonald.ucdavis.edu/biologics.html\n\n-Nicotiana host plants (expression system)\n-outdoor/indoor production\n-products:\n*human butrylcholinesterase (BuChE)\n*cellulase complex\n-BuChE is purified, cellulase stored as silage\n-new facility, batch mode","title":"Manufacturing economics of plant-made biologics: Case studies in therapeutic and industrial enzymes","type":"article-journal","volume":"2014"},"uris":["http://www.mendeley.com/documents/?uuid=3edcd7d7-f0aa-46f9-a228-a588fe927dcc"]}],"mendeley":{"formattedCitation":"(Tusé et al., 2014)","plainTextFormattedCitation":"(Tusé et al., 2014)","previouslyFormattedCitation":"(Tusé et al., 2014)"},"properties":{"noteIndex":0},"schema":"https://github.com/citation-style-language/schema/raw/master/csl-citation.json"}</w:instrText>
      </w:r>
      <w:r>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(Tusé et al., 2014)</w:t>
      </w:r>
      <w:r>
        <w:rPr>
          <w:rFonts w:ascii="Times New Roman" w:hAnsi="Times New Roman" w:cs="Times New Roman"/>
          <w:sz w:val="24"/>
          <w:szCs w:val="24"/>
        </w:rPr>
        <w:fldChar w:fldCharType="end"/>
      </w:r>
      <w:r>
        <w:rPr>
          <w:rFonts w:ascii="Times New Roman" w:hAnsi="Times New Roman" w:cs="Times New Roman"/>
          <w:sz w:val="24"/>
          <w:szCs w:val="24"/>
        </w:rPr>
        <w:t>, and antimicrobial proteins</w:t>
      </w:r>
      <w:r w:rsidR="0046776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{"citationItems":[{"id":"ITEM-1","itemData":{"DOI":"10.1002/btpr.2896","ISSN":"8756-7938","abstract":"Continuous reports of foodborne illnesses worldwide and the prevalence of antibiotic-resistant bacteria mandate novel interventions to assure the safety of our food. Treatment of a variety of foods with bacteriophage-derived lysins and bacteriocin-class antimicrobial proteins has been shown to protect against high-risk pathogens at multiple intervention points along the food supply chain. The most significant barrier to the adoption of antimicrobial proteins as a food safety intervention by the food industry is the high production cost using current fermentation-based approaches. Recently, plants have been shown to produce antimicrobial proteins with accumulation as high as 3 g/kg fresh weight and with demonstrated activity against major foodborne pathogens. To investigate potential economic advantages and scalability of this novel platform, we evaluated a highly efficient transgenic plant-based production process. A detailed process simulation model was developed to help identify economic “hot spots” for research and development focus including process operating parameters, unit operations, consumables, and/or raw materials that have the most significant impact on production costs. Our analyses indicate that the unit production cost of antimicrobial proteins in plants at commercial scale for three scenarios is $3.00–6.88/g, which can support a competitive selling price to traditional food safety treatments.","author":[{"dropping-particle":"","family":"McNulty","given":"Matthew J.","non-dropping-particle":"","parse-names":false,"suffix":""},{"dropping-particle":"","family":"Gleba","given":"Yuri","non-dropping-particle":"","parse-names":false,"suffix":""},{"dropping-particle":"","family":"Tusé","given":"Daniel","non-dropping-particle":"","parse-names":false,"suffix":""},{"dropping-particle":"","family":"Hahn‐Löbmann","given":"Simone","non-dropping-particle":"","parse-names":false,"suffix":""},{"dropping-particle":"","family":"Giritch","given":"Anatoli","non-dropping-particle":"","parse-names":false,"suffix":""},{"dropping-particle":"","family":"Nandi","given":"Somen","non-dropping-particle":"","parse-names":false,"suffix":""},{"dropping-particle":"","family":"McDonald","given":"Karen A.","non-dropping-particle":"","parse-names":false,"suffix":""}],"container-title":"Biotechnology Progress","id":"ITEM-1","issue":"1","issued":{"date-parts":[["2020","1","11"]]},"publisher":"John Wiley and Sons Inc.","title":"Techno‐economic analysis of a plant‐based platform for manufacturing antimicrobial proteins for food safety","type":"article-journal","volume":"36"},"uris":["http://www.mendeley.com/documents/?uuid=6e18bea1-c5de-3abf-82aa-5d598de36f4c"]}],"mendeley":{"formattedCitation":"(McNulty et al., 2020)","plainTextFormattedCitation":"(McNulty et al., 2020)","previouslyFormattedCitation":"(McNulty et al., 2020)"},"properties":{"noteIndex":0},"schema":"https://github.com/citation-style-language/schema/raw/master/csl-citation.json"}</w:instrText>
      </w:r>
      <w:r>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 xml:space="preserve">(McNulty et </w:t>
      </w:r>
      <w:r w:rsidR="00467765" w:rsidRPr="00467765">
        <w:rPr>
          <w:rFonts w:ascii="Times New Roman" w:hAnsi="Times New Roman" w:cs="Times New Roman"/>
          <w:noProof/>
          <w:sz w:val="24"/>
          <w:szCs w:val="24"/>
        </w:rPr>
        <w:lastRenderedPageBreak/>
        <w:t>al., 2020)</w:t>
      </w:r>
      <w:r>
        <w:rPr>
          <w:rFonts w:ascii="Times New Roman" w:hAnsi="Times New Roman" w:cs="Times New Roman"/>
          <w:sz w:val="24"/>
          <w:szCs w:val="24"/>
        </w:rPr>
        <w:fldChar w:fldCharType="end"/>
      </w:r>
      <w:r>
        <w:rPr>
          <w:rFonts w:ascii="Times New Roman" w:hAnsi="Times New Roman" w:cs="Times New Roman"/>
          <w:sz w:val="24"/>
          <w:szCs w:val="24"/>
        </w:rPr>
        <w:t>, although the latter two studies did compare indoor growth to outdoor field growth scenarios</w:t>
      </w:r>
      <w:r w:rsidR="00054849">
        <w:rPr>
          <w:rFonts w:ascii="Times New Roman" w:hAnsi="Times New Roman" w:cs="Times New Roman"/>
          <w:sz w:val="24"/>
          <w:szCs w:val="24"/>
        </w:rPr>
        <w:t xml:space="preserve"> but at much smaller production scales. </w:t>
      </w:r>
    </w:p>
    <w:p w14:paraId="33AFAED8" w14:textId="0BB6DD68" w:rsidR="008039F8" w:rsidRDefault="008039F8"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Here we present an introductory investigation into uncertainty quantification in outdoor field-grown plant-made products. </w:t>
      </w:r>
      <w:r w:rsidR="008A657A">
        <w:rPr>
          <w:rFonts w:ascii="Times New Roman" w:hAnsi="Times New Roman" w:cs="Times New Roman"/>
          <w:sz w:val="24"/>
          <w:szCs w:val="24"/>
        </w:rPr>
        <w:t xml:space="preserve">We use </w:t>
      </w:r>
      <w:r w:rsidR="003A259A">
        <w:rPr>
          <w:rFonts w:ascii="Times New Roman" w:hAnsi="Times New Roman" w:cs="Times New Roman"/>
          <w:sz w:val="24"/>
          <w:szCs w:val="24"/>
        </w:rPr>
        <w:t>M</w:t>
      </w:r>
      <w:r w:rsidR="00FD5799">
        <w:rPr>
          <w:rFonts w:ascii="Times New Roman" w:hAnsi="Times New Roman" w:cs="Times New Roman"/>
          <w:sz w:val="24"/>
          <w:szCs w:val="24"/>
        </w:rPr>
        <w:t xml:space="preserve">onte </w:t>
      </w:r>
      <w:r w:rsidR="003A259A">
        <w:rPr>
          <w:rFonts w:ascii="Times New Roman" w:hAnsi="Times New Roman" w:cs="Times New Roman"/>
          <w:sz w:val="24"/>
          <w:szCs w:val="24"/>
        </w:rPr>
        <w:t>C</w:t>
      </w:r>
      <w:r w:rsidR="00FD5799">
        <w:rPr>
          <w:rFonts w:ascii="Times New Roman" w:hAnsi="Times New Roman" w:cs="Times New Roman"/>
          <w:sz w:val="24"/>
          <w:szCs w:val="24"/>
        </w:rPr>
        <w:t xml:space="preserve">arlo-based simulation to augment </w:t>
      </w:r>
      <w:r w:rsidR="00054849">
        <w:rPr>
          <w:rFonts w:ascii="Times New Roman" w:hAnsi="Times New Roman" w:cs="Times New Roman"/>
          <w:sz w:val="24"/>
          <w:szCs w:val="24"/>
        </w:rPr>
        <w:t>a</w:t>
      </w:r>
      <w:r w:rsidR="00FD5799">
        <w:rPr>
          <w:rFonts w:ascii="Times New Roman" w:hAnsi="Times New Roman" w:cs="Times New Roman"/>
          <w:sz w:val="24"/>
          <w:szCs w:val="24"/>
        </w:rPr>
        <w:t xml:space="preserve"> techno-economic model of an </w:t>
      </w:r>
      <w:r w:rsidR="001E14E4">
        <w:rPr>
          <w:rFonts w:ascii="Times New Roman" w:hAnsi="Times New Roman" w:cs="Times New Roman"/>
          <w:sz w:val="24"/>
          <w:szCs w:val="24"/>
        </w:rPr>
        <w:t>ultra-large-scale</w:t>
      </w:r>
      <w:r w:rsidR="00FD5799">
        <w:rPr>
          <w:rFonts w:ascii="Times New Roman" w:hAnsi="Times New Roman" w:cs="Times New Roman"/>
          <w:sz w:val="24"/>
          <w:szCs w:val="24"/>
        </w:rPr>
        <w:t xml:space="preserve"> manufacturing facility producing </w:t>
      </w:r>
      <w:r w:rsidR="00C748C4">
        <w:rPr>
          <w:rFonts w:ascii="Times New Roman" w:hAnsi="Times New Roman" w:cs="Times New Roman"/>
          <w:sz w:val="24"/>
          <w:szCs w:val="24"/>
        </w:rPr>
        <w:t>50</w:t>
      </w:r>
      <w:r w:rsidR="00D6664C">
        <w:rPr>
          <w:rFonts w:ascii="Times New Roman" w:hAnsi="Times New Roman" w:cs="Times New Roman"/>
          <w:sz w:val="24"/>
          <w:szCs w:val="24"/>
        </w:rPr>
        <w:t xml:space="preserve"> MT</w:t>
      </w:r>
      <w:r w:rsidR="00FD5799">
        <w:rPr>
          <w:rFonts w:ascii="Times New Roman" w:hAnsi="Times New Roman" w:cs="Times New Roman"/>
          <w:sz w:val="24"/>
          <w:szCs w:val="24"/>
        </w:rPr>
        <w:t xml:space="preserve"> per year of </w:t>
      </w:r>
      <w:r w:rsidR="00C748C4">
        <w:rPr>
          <w:rFonts w:ascii="Times New Roman" w:hAnsi="Times New Roman" w:cs="Times New Roman"/>
          <w:sz w:val="24"/>
          <w:szCs w:val="24"/>
        </w:rPr>
        <w:t>98%</w:t>
      </w:r>
      <w:r w:rsidR="00FD5799">
        <w:rPr>
          <w:rFonts w:ascii="Times New Roman" w:hAnsi="Times New Roman" w:cs="Times New Roman"/>
          <w:sz w:val="24"/>
          <w:szCs w:val="24"/>
        </w:rPr>
        <w:t xml:space="preserve"> pur</w:t>
      </w:r>
      <w:r w:rsidR="00D6664C">
        <w:rPr>
          <w:rFonts w:ascii="Times New Roman" w:hAnsi="Times New Roman" w:cs="Times New Roman"/>
          <w:sz w:val="24"/>
          <w:szCs w:val="24"/>
        </w:rPr>
        <w:t>e</w:t>
      </w:r>
      <w:r w:rsidR="00FD5799">
        <w:rPr>
          <w:rFonts w:ascii="Times New Roman" w:hAnsi="Times New Roman" w:cs="Times New Roman"/>
          <w:sz w:val="24"/>
          <w:szCs w:val="24"/>
        </w:rPr>
        <w:t xml:space="preserve"> </w:t>
      </w:r>
      <w:r w:rsidR="005078E1">
        <w:rPr>
          <w:rFonts w:ascii="Times New Roman" w:hAnsi="Times New Roman" w:cs="Times New Roman"/>
          <w:sz w:val="24"/>
          <w:szCs w:val="24"/>
        </w:rPr>
        <w:t>commodity</w:t>
      </w:r>
      <w:r w:rsidR="00C748C4">
        <w:rPr>
          <w:rFonts w:ascii="Times New Roman" w:hAnsi="Times New Roman" w:cs="Times New Roman"/>
          <w:sz w:val="24"/>
          <w:szCs w:val="24"/>
        </w:rPr>
        <w:t xml:space="preserve"> </w:t>
      </w:r>
      <w:r w:rsidR="00FD5799">
        <w:rPr>
          <w:rFonts w:ascii="Times New Roman" w:hAnsi="Times New Roman" w:cs="Times New Roman"/>
          <w:sz w:val="24"/>
          <w:szCs w:val="24"/>
        </w:rPr>
        <w:t>product.</w:t>
      </w:r>
      <w:r w:rsidR="00A15561">
        <w:rPr>
          <w:rFonts w:ascii="Times New Roman" w:hAnsi="Times New Roman" w:cs="Times New Roman"/>
          <w:sz w:val="24"/>
          <w:szCs w:val="24"/>
        </w:rPr>
        <w:t xml:space="preserve"> The primary objective </w:t>
      </w:r>
      <w:r w:rsidR="00054849">
        <w:rPr>
          <w:rFonts w:ascii="Times New Roman" w:hAnsi="Times New Roman" w:cs="Times New Roman"/>
          <w:sz w:val="24"/>
          <w:szCs w:val="24"/>
        </w:rPr>
        <w:t>of this work</w:t>
      </w:r>
      <w:r w:rsidR="00A15561">
        <w:rPr>
          <w:rFonts w:ascii="Times New Roman" w:hAnsi="Times New Roman" w:cs="Times New Roman"/>
          <w:sz w:val="24"/>
          <w:szCs w:val="24"/>
        </w:rPr>
        <w:t xml:space="preserve"> is to present a foundation</w:t>
      </w:r>
      <w:r w:rsidR="005078E1">
        <w:rPr>
          <w:rFonts w:ascii="Times New Roman" w:hAnsi="Times New Roman" w:cs="Times New Roman"/>
          <w:sz w:val="24"/>
          <w:szCs w:val="24"/>
        </w:rPr>
        <w:t>al</w:t>
      </w:r>
      <w:r w:rsidR="00A15561">
        <w:rPr>
          <w:rFonts w:ascii="Times New Roman" w:hAnsi="Times New Roman" w:cs="Times New Roman"/>
          <w:sz w:val="24"/>
          <w:szCs w:val="24"/>
        </w:rPr>
        <w:t xml:space="preserve"> tool for quantifying uncertainty to reduce stakeholder concerns and </w:t>
      </w:r>
      <w:r w:rsidR="002D184E">
        <w:rPr>
          <w:rFonts w:ascii="Times New Roman" w:hAnsi="Times New Roman" w:cs="Times New Roman"/>
          <w:sz w:val="24"/>
          <w:szCs w:val="24"/>
        </w:rPr>
        <w:t xml:space="preserve">to </w:t>
      </w:r>
      <w:r w:rsidR="00A15561">
        <w:rPr>
          <w:rFonts w:ascii="Times New Roman" w:hAnsi="Times New Roman" w:cs="Times New Roman"/>
          <w:sz w:val="24"/>
          <w:szCs w:val="24"/>
        </w:rPr>
        <w:t>optimize outdoor field-grown plant</w:t>
      </w:r>
      <w:r w:rsidR="005078E1">
        <w:rPr>
          <w:rFonts w:ascii="Times New Roman" w:hAnsi="Times New Roman" w:cs="Times New Roman"/>
          <w:sz w:val="24"/>
          <w:szCs w:val="24"/>
        </w:rPr>
        <w:t xml:space="preserve"> molecular </w:t>
      </w:r>
      <w:r w:rsidR="00B5098A">
        <w:rPr>
          <w:rFonts w:ascii="Times New Roman" w:hAnsi="Times New Roman" w:cs="Times New Roman"/>
          <w:sz w:val="24"/>
          <w:szCs w:val="24"/>
        </w:rPr>
        <w:t>f</w:t>
      </w:r>
      <w:r w:rsidR="005078E1">
        <w:rPr>
          <w:rFonts w:ascii="Times New Roman" w:hAnsi="Times New Roman" w:cs="Times New Roman"/>
          <w:sz w:val="24"/>
          <w:szCs w:val="24"/>
        </w:rPr>
        <w:t>arming</w:t>
      </w:r>
      <w:r w:rsidR="00A15561">
        <w:rPr>
          <w:rFonts w:ascii="Times New Roman" w:hAnsi="Times New Roman" w:cs="Times New Roman"/>
          <w:sz w:val="24"/>
          <w:szCs w:val="24"/>
        </w:rPr>
        <w:t xml:space="preserve"> facilities. </w:t>
      </w:r>
    </w:p>
    <w:p w14:paraId="7BB88B2B" w14:textId="262CD3CF" w:rsidR="00B86618" w:rsidRDefault="00B86618" w:rsidP="00F00898">
      <w:pPr>
        <w:spacing w:line="480" w:lineRule="auto"/>
        <w:jc w:val="both"/>
        <w:rPr>
          <w:rFonts w:ascii="Times New Roman" w:hAnsi="Times New Roman" w:cs="Times New Roman"/>
          <w:sz w:val="24"/>
          <w:szCs w:val="24"/>
        </w:rPr>
      </w:pPr>
    </w:p>
    <w:p w14:paraId="0EA4906B" w14:textId="0021B6E0" w:rsidR="00380697" w:rsidRPr="00C52CE9" w:rsidRDefault="00380697" w:rsidP="00F00898">
      <w:pPr>
        <w:spacing w:line="480" w:lineRule="auto"/>
        <w:rPr>
          <w:rFonts w:ascii="Times New Roman" w:hAnsi="Times New Roman" w:cs="Times New Roman"/>
          <w:b/>
          <w:bCs/>
          <w:sz w:val="28"/>
          <w:szCs w:val="28"/>
        </w:rPr>
      </w:pPr>
      <w:r w:rsidRPr="00C52CE9">
        <w:rPr>
          <w:rFonts w:ascii="Times New Roman" w:hAnsi="Times New Roman" w:cs="Times New Roman"/>
          <w:b/>
          <w:bCs/>
          <w:sz w:val="28"/>
          <w:szCs w:val="28"/>
        </w:rPr>
        <w:t>2. Materials and Methods</w:t>
      </w:r>
    </w:p>
    <w:p w14:paraId="28714F85" w14:textId="5C6D215C" w:rsidR="00380697" w:rsidRPr="00182A40" w:rsidRDefault="00F24450" w:rsidP="00F00898">
      <w:pPr>
        <w:pStyle w:val="ListParagraph"/>
        <w:numPr>
          <w:ilvl w:val="1"/>
          <w:numId w:val="3"/>
        </w:num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Process simulation</w:t>
      </w:r>
    </w:p>
    <w:p w14:paraId="4331AC1D" w14:textId="6DF41E2C" w:rsidR="004C42C2" w:rsidRDefault="00005FD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This work builds on our recently published</w:t>
      </w:r>
      <w:r w:rsidR="00F0002E">
        <w:rPr>
          <w:rFonts w:ascii="Times New Roman" w:hAnsi="Times New Roman" w:cs="Times New Roman"/>
          <w:sz w:val="24"/>
          <w:szCs w:val="24"/>
        </w:rPr>
        <w:t xml:space="preserve"> techno-economic model </w:t>
      </w:r>
      <w:r>
        <w:rPr>
          <w:rFonts w:ascii="Times New Roman" w:hAnsi="Times New Roman" w:cs="Times New Roman"/>
          <w:sz w:val="24"/>
          <w:szCs w:val="24"/>
        </w:rPr>
        <w:t xml:space="preserve">of </w:t>
      </w:r>
      <w:r w:rsidR="003A259A">
        <w:rPr>
          <w:rFonts w:ascii="Times New Roman" w:hAnsi="Times New Roman" w:cs="Times New Roman"/>
          <w:sz w:val="24"/>
          <w:szCs w:val="24"/>
        </w:rPr>
        <w:t>ultra-</w:t>
      </w:r>
      <w:r w:rsidR="00BC224E">
        <w:rPr>
          <w:rFonts w:ascii="Times New Roman" w:hAnsi="Times New Roman" w:cs="Times New Roman"/>
          <w:sz w:val="24"/>
          <w:szCs w:val="24"/>
        </w:rPr>
        <w:t>large-scale</w:t>
      </w:r>
      <w:r>
        <w:rPr>
          <w:rFonts w:ascii="Times New Roman" w:hAnsi="Times New Roman" w:cs="Times New Roman"/>
          <w:sz w:val="24"/>
          <w:szCs w:val="24"/>
        </w:rPr>
        <w:t xml:space="preserve"> field-grown production of the recombinant sweetener, thaumatin</w:t>
      </w:r>
      <w:r w:rsidR="00804B71">
        <w:rPr>
          <w:rFonts w:ascii="Times New Roman" w:hAnsi="Times New Roman" w:cs="Times New Roman"/>
          <w:sz w:val="24"/>
          <w:szCs w:val="24"/>
        </w:rPr>
        <w:t xml:space="preserve"> II</w:t>
      </w:r>
      <w:r>
        <w:rPr>
          <w:rFonts w:ascii="Times New Roman" w:hAnsi="Times New Roman" w:cs="Times New Roman"/>
          <w:sz w:val="24"/>
          <w:szCs w:val="24"/>
        </w:rPr>
        <w:t xml:space="preserve">, in ethanol-inducible transgenic </w:t>
      </w:r>
      <w:r w:rsidRPr="00250DA9">
        <w:rPr>
          <w:rFonts w:ascii="Times New Roman" w:hAnsi="Times New Roman" w:cs="Times New Roman"/>
          <w:i/>
          <w:iCs/>
          <w:sz w:val="24"/>
          <w:szCs w:val="24"/>
        </w:rPr>
        <w:t>Nicotiana tabacum</w:t>
      </w:r>
      <w:r>
        <w:rPr>
          <w:rFonts w:ascii="Times New Roman" w:hAnsi="Times New Roman" w:cs="Times New Roman"/>
          <w:sz w:val="24"/>
          <w:szCs w:val="24"/>
        </w:rPr>
        <w:t xml:space="preserve"> using </w:t>
      </w:r>
      <w:r w:rsidR="00800333">
        <w:rPr>
          <w:rFonts w:ascii="Times New Roman" w:hAnsi="Times New Roman" w:cs="Times New Roman"/>
          <w:sz w:val="24"/>
          <w:szCs w:val="24"/>
        </w:rPr>
        <w:t xml:space="preserve">a </w:t>
      </w:r>
      <w:r w:rsidR="00A27FDE">
        <w:rPr>
          <w:rFonts w:ascii="Times New Roman" w:hAnsi="Times New Roman" w:cs="Times New Roman"/>
          <w:sz w:val="24"/>
          <w:szCs w:val="24"/>
        </w:rPr>
        <w:t>process simulation tool</w:t>
      </w:r>
      <w:r w:rsidR="00800333">
        <w:rPr>
          <w:rFonts w:ascii="Times New Roman" w:hAnsi="Times New Roman" w:cs="Times New Roman"/>
          <w:sz w:val="24"/>
          <w:szCs w:val="24"/>
        </w:rPr>
        <w:t>,</w:t>
      </w:r>
      <w:r w:rsidR="00A27FDE">
        <w:rPr>
          <w:rFonts w:ascii="Times New Roman" w:hAnsi="Times New Roman" w:cs="Times New Roman"/>
          <w:sz w:val="24"/>
          <w:szCs w:val="24"/>
        </w:rPr>
        <w:t xml:space="preserve"> </w:t>
      </w:r>
      <w:proofErr w:type="spellStart"/>
      <w:r>
        <w:rPr>
          <w:rFonts w:ascii="Times New Roman" w:hAnsi="Times New Roman" w:cs="Times New Roman"/>
          <w:sz w:val="24"/>
          <w:szCs w:val="24"/>
        </w:rPr>
        <w:t>SuperPro</w:t>
      </w:r>
      <w:proofErr w:type="spellEnd"/>
      <w:r>
        <w:rPr>
          <w:rFonts w:ascii="Times New Roman" w:hAnsi="Times New Roman" w:cs="Times New Roman"/>
          <w:sz w:val="24"/>
          <w:szCs w:val="24"/>
        </w:rPr>
        <w:t xml:space="preserve"> Designer</w:t>
      </w:r>
      <w:r w:rsidRPr="00005FDF">
        <w:rPr>
          <w:rFonts w:ascii="Times New Roman" w:hAnsi="Times New Roman" w:cs="Times New Roman"/>
          <w:sz w:val="24"/>
          <w:szCs w:val="24"/>
          <w:vertAlign w:val="superscript"/>
        </w:rPr>
        <w:t>®</w:t>
      </w:r>
      <w:r w:rsidR="00F93483">
        <w:rPr>
          <w:rFonts w:ascii="Times New Roman" w:hAnsi="Times New Roman" w:cs="Times New Roman"/>
          <w:sz w:val="24"/>
          <w:szCs w:val="24"/>
        </w:rPr>
        <w:t xml:space="preserve"> </w:t>
      </w:r>
      <w:r w:rsidR="00A27FDE">
        <w:rPr>
          <w:rFonts w:ascii="Times New Roman" w:hAnsi="Times New Roman" w:cs="Times New Roman"/>
          <w:sz w:val="24"/>
          <w:szCs w:val="24"/>
        </w:rPr>
        <w:t>version 10 build 7 (</w:t>
      </w:r>
      <w:proofErr w:type="spellStart"/>
      <w:r w:rsidR="00A27FDE">
        <w:rPr>
          <w:rFonts w:ascii="Times New Roman" w:hAnsi="Times New Roman" w:cs="Times New Roman"/>
          <w:sz w:val="24"/>
          <w:szCs w:val="24"/>
        </w:rPr>
        <w:t>Intelligen</w:t>
      </w:r>
      <w:proofErr w:type="spellEnd"/>
      <w:r w:rsidR="00A27FDE">
        <w:rPr>
          <w:rFonts w:ascii="Times New Roman" w:hAnsi="Times New Roman" w:cs="Times New Roman"/>
          <w:sz w:val="24"/>
          <w:szCs w:val="24"/>
        </w:rPr>
        <w:t>, Inc.)</w:t>
      </w:r>
      <w:r w:rsidR="00800333">
        <w:rPr>
          <w:rFonts w:ascii="Times New Roman" w:hAnsi="Times New Roman" w:cs="Times New Roman"/>
          <w:sz w:val="24"/>
          <w:szCs w:val="24"/>
        </w:rPr>
        <w:t>,</w:t>
      </w:r>
      <w:r w:rsidR="00A27FDE">
        <w:rPr>
          <w:rFonts w:ascii="Times New Roman" w:hAnsi="Times New Roman" w:cs="Times New Roman"/>
          <w:sz w:val="24"/>
          <w:szCs w:val="24"/>
        </w:rPr>
        <w:t xml:space="preserve"> and Microsoft Excel-based calculations</w:t>
      </w:r>
      <w:r>
        <w:rPr>
          <w:rFonts w:ascii="Times New Roman" w:hAnsi="Times New Roman" w:cs="Times New Roman"/>
          <w:sz w:val="24"/>
          <w:szCs w:val="24"/>
        </w:rPr>
        <w:t xml:space="preserve">. </w:t>
      </w:r>
      <w:r w:rsidR="00A27FDE">
        <w:rPr>
          <w:rFonts w:ascii="Times New Roman" w:hAnsi="Times New Roman" w:cs="Times New Roman"/>
          <w:sz w:val="24"/>
          <w:szCs w:val="24"/>
        </w:rPr>
        <w:t>The published model</w:t>
      </w:r>
      <w:r w:rsidR="005857ED">
        <w:rPr>
          <w:rFonts w:ascii="Times New Roman" w:hAnsi="Times New Roman" w:cs="Times New Roman"/>
          <w:sz w:val="24"/>
          <w:szCs w:val="24"/>
        </w:rPr>
        <w:t>, as well as the modified model used for this work,</w:t>
      </w:r>
      <w:r w:rsidR="00A27FDE">
        <w:rPr>
          <w:rFonts w:ascii="Times New Roman" w:hAnsi="Times New Roman" w:cs="Times New Roman"/>
          <w:sz w:val="24"/>
          <w:szCs w:val="24"/>
        </w:rPr>
        <w:t xml:space="preserve"> is publicly available at </w:t>
      </w:r>
      <w:r w:rsidR="00A27FDE" w:rsidRPr="00A27FDE">
        <w:rPr>
          <w:rFonts w:ascii="Times New Roman" w:hAnsi="Times New Roman" w:cs="Times New Roman"/>
          <w:sz w:val="24"/>
          <w:szCs w:val="24"/>
        </w:rPr>
        <w:t xml:space="preserve">http://mcdonald-nandi.ech.ucdavis.edu/tools/techno-economics/. A free trial version of </w:t>
      </w:r>
      <w:proofErr w:type="spellStart"/>
      <w:r w:rsidR="00A27FDE" w:rsidRPr="00A27FDE">
        <w:rPr>
          <w:rFonts w:ascii="Times New Roman" w:hAnsi="Times New Roman" w:cs="Times New Roman"/>
          <w:sz w:val="24"/>
          <w:szCs w:val="24"/>
        </w:rPr>
        <w:t>SuperPro</w:t>
      </w:r>
      <w:proofErr w:type="spellEnd"/>
      <w:r w:rsidR="00A27FDE" w:rsidRPr="00A27FDE">
        <w:rPr>
          <w:rFonts w:ascii="Times New Roman" w:hAnsi="Times New Roman" w:cs="Times New Roman"/>
          <w:sz w:val="24"/>
          <w:szCs w:val="24"/>
        </w:rPr>
        <w:t xml:space="preserve"> Designer (http://www.intelligen.com/demo.html) can be used to view the model</w:t>
      </w:r>
      <w:r w:rsidR="00800333">
        <w:rPr>
          <w:rFonts w:ascii="Times New Roman" w:hAnsi="Times New Roman" w:cs="Times New Roman"/>
          <w:sz w:val="24"/>
          <w:szCs w:val="24"/>
        </w:rPr>
        <w:t xml:space="preserve"> and run the simulation</w:t>
      </w:r>
      <w:r w:rsidR="00A27FDE" w:rsidRPr="00A27FDE">
        <w:rPr>
          <w:rFonts w:ascii="Times New Roman" w:hAnsi="Times New Roman" w:cs="Times New Roman"/>
          <w:sz w:val="24"/>
          <w:szCs w:val="24"/>
        </w:rPr>
        <w:t xml:space="preserve">. </w:t>
      </w:r>
      <w:r w:rsidR="003A259A">
        <w:rPr>
          <w:rFonts w:ascii="Times New Roman" w:hAnsi="Times New Roman" w:cs="Times New Roman"/>
          <w:sz w:val="24"/>
          <w:szCs w:val="24"/>
        </w:rPr>
        <w:t xml:space="preserve">The </w:t>
      </w:r>
      <w:r w:rsidR="00ED404F">
        <w:rPr>
          <w:rFonts w:ascii="Times New Roman" w:hAnsi="Times New Roman" w:cs="Times New Roman"/>
          <w:sz w:val="24"/>
          <w:szCs w:val="24"/>
        </w:rPr>
        <w:t xml:space="preserve">previously published </w:t>
      </w:r>
      <w:r w:rsidR="003A259A">
        <w:rPr>
          <w:rFonts w:ascii="Times New Roman" w:hAnsi="Times New Roman" w:cs="Times New Roman"/>
          <w:sz w:val="24"/>
          <w:szCs w:val="24"/>
        </w:rPr>
        <w:t xml:space="preserve">model </w:t>
      </w:r>
      <w:r w:rsidR="009F37DA">
        <w:rPr>
          <w:rFonts w:ascii="Times New Roman" w:hAnsi="Times New Roman" w:cs="Times New Roman"/>
          <w:sz w:val="24"/>
          <w:szCs w:val="24"/>
        </w:rPr>
        <w:t xml:space="preserve">has been </w:t>
      </w:r>
      <w:r w:rsidR="003A259A">
        <w:rPr>
          <w:rFonts w:ascii="Times New Roman" w:hAnsi="Times New Roman" w:cs="Times New Roman"/>
          <w:sz w:val="24"/>
          <w:szCs w:val="24"/>
        </w:rPr>
        <w:t xml:space="preserve">generalized </w:t>
      </w:r>
      <w:proofErr w:type="gramStart"/>
      <w:r w:rsidR="003A259A">
        <w:rPr>
          <w:rFonts w:ascii="Times New Roman" w:hAnsi="Times New Roman" w:cs="Times New Roman"/>
          <w:sz w:val="24"/>
          <w:szCs w:val="24"/>
        </w:rPr>
        <w:t>for the production of</w:t>
      </w:r>
      <w:proofErr w:type="gramEnd"/>
      <w:r w:rsidR="003A259A">
        <w:rPr>
          <w:rFonts w:ascii="Times New Roman" w:hAnsi="Times New Roman" w:cs="Times New Roman"/>
          <w:sz w:val="24"/>
          <w:szCs w:val="24"/>
        </w:rPr>
        <w:t xml:space="preserve"> high-value recombinant protein</w:t>
      </w:r>
      <w:r w:rsidR="009F37DA">
        <w:rPr>
          <w:rFonts w:ascii="Times New Roman" w:hAnsi="Times New Roman" w:cs="Times New Roman"/>
          <w:sz w:val="24"/>
          <w:szCs w:val="24"/>
        </w:rPr>
        <w:t>s</w:t>
      </w:r>
      <w:r w:rsidR="005857ED">
        <w:rPr>
          <w:rFonts w:ascii="Times New Roman" w:hAnsi="Times New Roman" w:cs="Times New Roman"/>
          <w:sz w:val="24"/>
          <w:szCs w:val="24"/>
        </w:rPr>
        <w:t>,</w:t>
      </w:r>
      <w:r w:rsidR="00ED404F">
        <w:rPr>
          <w:rFonts w:ascii="Times New Roman" w:hAnsi="Times New Roman" w:cs="Times New Roman"/>
          <w:sz w:val="24"/>
          <w:szCs w:val="24"/>
        </w:rPr>
        <w:t xml:space="preserve"> the upstream and downstream processing process flowsheets have been merged</w:t>
      </w:r>
      <w:r w:rsidR="005857ED">
        <w:rPr>
          <w:rFonts w:ascii="Times New Roman" w:hAnsi="Times New Roman" w:cs="Times New Roman"/>
          <w:sz w:val="24"/>
          <w:szCs w:val="24"/>
        </w:rPr>
        <w:t>, and the process scheduling is defined by rated throughput of the equipment</w:t>
      </w:r>
      <w:r w:rsidR="00ED404F">
        <w:rPr>
          <w:rFonts w:ascii="Times New Roman" w:hAnsi="Times New Roman" w:cs="Times New Roman"/>
          <w:sz w:val="24"/>
          <w:szCs w:val="24"/>
        </w:rPr>
        <w:t xml:space="preserve"> </w:t>
      </w:r>
      <w:r w:rsidR="006B6BEB">
        <w:rPr>
          <w:rFonts w:ascii="Times New Roman" w:hAnsi="Times New Roman" w:cs="Times New Roman"/>
          <w:sz w:val="24"/>
          <w:szCs w:val="24"/>
        </w:rPr>
        <w:t xml:space="preserve">when applicable </w:t>
      </w:r>
      <w:r w:rsidR="00ED404F">
        <w:rPr>
          <w:rFonts w:ascii="Times New Roman" w:hAnsi="Times New Roman" w:cs="Times New Roman"/>
          <w:sz w:val="24"/>
          <w:szCs w:val="24"/>
        </w:rPr>
        <w:t xml:space="preserve">(Figure 1). </w:t>
      </w:r>
      <w:r w:rsidR="00BC224E">
        <w:rPr>
          <w:rFonts w:ascii="Times New Roman" w:hAnsi="Times New Roman" w:cs="Times New Roman"/>
          <w:sz w:val="24"/>
          <w:szCs w:val="24"/>
        </w:rPr>
        <w:t xml:space="preserve">The generalized model can be readily adapted for production of natural protein products by </w:t>
      </w:r>
      <w:r w:rsidR="00BC224E">
        <w:rPr>
          <w:rFonts w:ascii="Times New Roman" w:hAnsi="Times New Roman" w:cs="Times New Roman"/>
          <w:sz w:val="24"/>
          <w:szCs w:val="24"/>
        </w:rPr>
        <w:lastRenderedPageBreak/>
        <w:t xml:space="preserve">omission of the tractor spraying procedure, which serves as the induction of ethanol-inducible transgenic production. </w:t>
      </w:r>
    </w:p>
    <w:p w14:paraId="05FB5A03" w14:textId="77777777" w:rsidR="00767FB1" w:rsidRDefault="00767FB1" w:rsidP="00F00898">
      <w:pPr>
        <w:spacing w:line="480" w:lineRule="auto"/>
        <w:ind w:left="-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E69EC8D" wp14:editId="50A4BF9A">
            <wp:extent cx="6943725" cy="8463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8804" cy="8469198"/>
                    </a:xfrm>
                    <a:prstGeom prst="rect">
                      <a:avLst/>
                    </a:prstGeom>
                    <a:noFill/>
                  </pic:spPr>
                </pic:pic>
              </a:graphicData>
            </a:graphic>
          </wp:inline>
        </w:drawing>
      </w:r>
    </w:p>
    <w:p w14:paraId="16B8E65B" w14:textId="10A2A257" w:rsidR="00767FB1" w:rsidRPr="00A53F85" w:rsidRDefault="00767FB1" w:rsidP="00F00898">
      <w:pPr>
        <w:spacing w:line="480" w:lineRule="auto"/>
        <w:jc w:val="both"/>
        <w:rPr>
          <w:rFonts w:ascii="Times New Roman" w:hAnsi="Times New Roman" w:cs="Times New Roman"/>
          <w:sz w:val="24"/>
          <w:szCs w:val="24"/>
        </w:rPr>
      </w:pPr>
      <w:r w:rsidRPr="00A53F85">
        <w:rPr>
          <w:rFonts w:ascii="Times New Roman" w:hAnsi="Times New Roman" w:cs="Times New Roman"/>
          <w:b/>
          <w:bCs/>
          <w:sz w:val="24"/>
          <w:szCs w:val="24"/>
        </w:rPr>
        <w:lastRenderedPageBreak/>
        <w:t>Fig</w:t>
      </w:r>
      <w:r>
        <w:rPr>
          <w:rFonts w:ascii="Times New Roman" w:hAnsi="Times New Roman" w:cs="Times New Roman"/>
          <w:b/>
          <w:bCs/>
          <w:sz w:val="24"/>
          <w:szCs w:val="24"/>
        </w:rPr>
        <w:t>ure</w:t>
      </w:r>
      <w:r w:rsidRPr="00A53F85">
        <w:rPr>
          <w:rFonts w:ascii="Times New Roman" w:hAnsi="Times New Roman" w:cs="Times New Roman"/>
          <w:b/>
          <w:bCs/>
          <w:sz w:val="24"/>
          <w:szCs w:val="24"/>
        </w:rPr>
        <w:t xml:space="preserve"> 1. </w:t>
      </w:r>
      <w:r w:rsidRPr="00A53F85">
        <w:rPr>
          <w:rFonts w:ascii="Times New Roman" w:hAnsi="Times New Roman" w:cs="Times New Roman"/>
          <w:sz w:val="24"/>
          <w:szCs w:val="24"/>
        </w:rPr>
        <w:t xml:space="preserve">Process flowsheet for the field-grown production of recombinant proteins in </w:t>
      </w:r>
      <w:r w:rsidRPr="00A53F85">
        <w:rPr>
          <w:rFonts w:ascii="Times New Roman" w:hAnsi="Times New Roman" w:cs="Times New Roman"/>
          <w:i/>
          <w:iCs/>
          <w:sz w:val="24"/>
          <w:szCs w:val="24"/>
        </w:rPr>
        <w:t xml:space="preserve">Nicotiana tabacum </w:t>
      </w:r>
      <w:r w:rsidRPr="00A53F85">
        <w:rPr>
          <w:rFonts w:ascii="Times New Roman" w:hAnsi="Times New Roman" w:cs="Times New Roman"/>
          <w:sz w:val="24"/>
          <w:szCs w:val="24"/>
        </w:rPr>
        <w:t xml:space="preserve">in the </w:t>
      </w:r>
      <w:proofErr w:type="spellStart"/>
      <w:r w:rsidRPr="00A53F85">
        <w:rPr>
          <w:rFonts w:ascii="Times New Roman" w:hAnsi="Times New Roman" w:cs="Times New Roman"/>
          <w:sz w:val="24"/>
          <w:szCs w:val="24"/>
        </w:rPr>
        <w:t>SuperPro</w:t>
      </w:r>
      <w:proofErr w:type="spellEnd"/>
      <w:r w:rsidRPr="00A53F85">
        <w:rPr>
          <w:rFonts w:ascii="Times New Roman" w:hAnsi="Times New Roman" w:cs="Times New Roman"/>
          <w:sz w:val="24"/>
          <w:szCs w:val="24"/>
        </w:rPr>
        <w:t xml:space="preserve"> Designer</w:t>
      </w:r>
      <w:r w:rsidRPr="00A53F85">
        <w:rPr>
          <w:rFonts w:ascii="Times New Roman" w:hAnsi="Times New Roman" w:cs="Times New Roman"/>
          <w:sz w:val="24"/>
          <w:szCs w:val="24"/>
          <w:vertAlign w:val="superscript"/>
        </w:rPr>
        <w:t>®</w:t>
      </w:r>
      <w:r w:rsidRPr="00A53F85">
        <w:rPr>
          <w:rFonts w:ascii="Times New Roman" w:hAnsi="Times New Roman" w:cs="Times New Roman"/>
          <w:sz w:val="24"/>
          <w:szCs w:val="24"/>
        </w:rPr>
        <w:t xml:space="preserve"> model. Process flowsheet has been adapted from the work of </w:t>
      </w:r>
      <w:r w:rsidR="00956892">
        <w:rPr>
          <w:rFonts w:ascii="Times New Roman" w:hAnsi="Times New Roman" w:cs="Times New Roman"/>
          <w:sz w:val="24"/>
          <w:szCs w:val="24"/>
        </w:rPr>
        <w:t>Kelada</w:t>
      </w:r>
      <w:r w:rsidRPr="00A53F85">
        <w:rPr>
          <w:rFonts w:ascii="Times New Roman" w:hAnsi="Times New Roman" w:cs="Times New Roman"/>
          <w:sz w:val="24"/>
          <w:szCs w:val="24"/>
        </w:rPr>
        <w:t xml:space="preserve"> et al. 2020</w:t>
      </w:r>
      <w:r w:rsidR="00467765">
        <w:rPr>
          <w:rFonts w:ascii="Times New Roman" w:hAnsi="Times New Roman" w:cs="Times New Roman"/>
          <w:sz w:val="24"/>
          <w:szCs w:val="24"/>
        </w:rPr>
        <w:t xml:space="preserve"> </w:t>
      </w:r>
      <w:r w:rsidR="00890E25">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{"citationItems":[{"id":"ITEM-1","itemData":{"DOI":"10.20944/preprints202012.0280.v1","abstract":"There are currently worldwide efforts to reduce sugar intake due to the various adverse health effects linked with the overconsumption of sugars. Artificial sweeteners have been used as an alternative to nutritive sugars in numerous applications; however, their long-term effects on human health remain controversial. This led to a shift in consumer preference towards non-caloric sweeteners from natural sources. Thaumatins are a class of intensely sweet proteins found in arils of the fruits of the West-African plant Thaumatococcus danielli. Thaumatins' current production method through aqueous extraction from this plant and uncertainty of the harvest from tropical rainforests limits its supply while the demand is increasing. Despite successful recombinant expression of the protein in several organisms, no large-scale bioproduction facilities exist. We present preliminary process design, process simulation, and economic analysis for a large-scale (50 metric tons/year) production of thaumatin II variant by several different molecular farming platforms. Highlights: • Our analysis shows the production pros and cons of thaumatin II manufacturing using three plant-based platforms, with calculated costs of goods sold ranging from $318-$2,420/kg, excluding depreciation costs. • This work aims to help bridge the gap between the development of a new technology and its transition into manufacturing, particularly for commodity-type food products. Industry relevance: Independent sensory studies have found that thaumatin II can be over 10,000 times sweeter than sucrose on a mass basis; thus, its adoption by the food and beverage industry could have a tremendous positive impact on human health and carbon footprint while maintaining taste attributes that consumer are used to, as well as a potential reduced cost of production for sweetened food products.","author":[{"dropping-particle":"","family":"Kelada","given":"Kirolos D","non-dropping-particle":"","parse-names":false,"suffix":""},{"dropping-particle":"","family":"Tusé","given":"Daniel","non-dropping-particle":"","parse-names":false,"suffix":""},{"dropping-particle":"","family":"Gleba","given":"Yuri","non-dropping-particle":"","parse-names":false,"suffix":""},{"dropping-particle":"","family":"Mcdonald","given":"Karen A","non-dropping-particle":"","parse-names":false,"suffix":""},{"dropping-particle":"","family":"Nandi","given":"Somen","non-dropping-particle":"","parse-names":false,"suffix":""}],"id":"ITEM-1","issued":{"date-parts":[["2020","12","11"]]},"publisher":"Preprints","title":"Process Simulation and Techno-Economic Analysis of Large-Scale Bioproduction of Sweet Protein Thaumatin II","type":"article-journal"},"uris":["http://www.mendeley.com/documents/?uuid=8f44887f-b31a-320a-889e-09b7d2460a88"]}],"mendeley":{"formattedCitation":"(Kelada et al., 2020)","plainTextFormattedCitation":"(Kelada et al., 2020)","previouslyFormattedCitation":"(Kelada et al., 2020)"},"properties":{"noteIndex":0},"schema":"https://github.com/citation-style-language/schema/raw/master/csl-citation.json"}</w:instrText>
      </w:r>
      <w:r w:rsidR="00890E25">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(Kelada et al., 2020)</w:t>
      </w:r>
      <w:r w:rsidR="00890E25">
        <w:rPr>
          <w:rFonts w:ascii="Times New Roman" w:hAnsi="Times New Roman" w:cs="Times New Roman"/>
          <w:sz w:val="24"/>
          <w:szCs w:val="24"/>
        </w:rPr>
        <w:fldChar w:fldCharType="end"/>
      </w:r>
      <w:r w:rsidRPr="00A53F85">
        <w:rPr>
          <w:rFonts w:ascii="Times New Roman" w:hAnsi="Times New Roman" w:cs="Times New Roman"/>
          <w:sz w:val="24"/>
          <w:szCs w:val="24"/>
        </w:rPr>
        <w:t xml:space="preserve">. </w:t>
      </w:r>
    </w:p>
    <w:p w14:paraId="1EAD5BA0" w14:textId="77777777" w:rsidR="00767FB1" w:rsidRDefault="00767FB1" w:rsidP="00F00898">
      <w:pPr>
        <w:spacing w:line="480" w:lineRule="auto"/>
        <w:jc w:val="both"/>
        <w:rPr>
          <w:rFonts w:ascii="Times New Roman" w:hAnsi="Times New Roman" w:cs="Times New Roman"/>
          <w:sz w:val="24"/>
          <w:szCs w:val="24"/>
        </w:rPr>
      </w:pPr>
    </w:p>
    <w:p w14:paraId="1A22A8BA" w14:textId="2EA342A9" w:rsidR="00244B2F" w:rsidRDefault="00B81A04"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Our previous work did not include profitability analysis. </w:t>
      </w:r>
      <w:r w:rsidR="006D7A4E">
        <w:rPr>
          <w:rFonts w:ascii="Times New Roman" w:hAnsi="Times New Roman" w:cs="Times New Roman"/>
          <w:sz w:val="24"/>
          <w:szCs w:val="24"/>
        </w:rPr>
        <w:t xml:space="preserve">For this analysis, we </w:t>
      </w:r>
      <w:r w:rsidR="00244B2F">
        <w:rPr>
          <w:rFonts w:ascii="Times New Roman" w:hAnsi="Times New Roman" w:cs="Times New Roman"/>
          <w:sz w:val="24"/>
          <w:szCs w:val="24"/>
        </w:rPr>
        <w:t>selected three selling prices of $1,138/kg, $2,275/kg</w:t>
      </w:r>
      <w:r w:rsidR="00923244">
        <w:rPr>
          <w:rFonts w:ascii="Times New Roman" w:hAnsi="Times New Roman" w:cs="Times New Roman"/>
          <w:sz w:val="24"/>
          <w:szCs w:val="24"/>
        </w:rPr>
        <w:t xml:space="preserve"> (base case)</w:t>
      </w:r>
      <w:r w:rsidR="00244B2F">
        <w:rPr>
          <w:rFonts w:ascii="Times New Roman" w:hAnsi="Times New Roman" w:cs="Times New Roman"/>
          <w:sz w:val="24"/>
          <w:szCs w:val="24"/>
        </w:rPr>
        <w:t xml:space="preserve">, and $4,225/kg based the cost of goods sold of our previously reported base case techno-economic model </w:t>
      </w:r>
      <w:r w:rsidR="009F37DA">
        <w:rPr>
          <w:rFonts w:ascii="Times New Roman" w:hAnsi="Times New Roman" w:cs="Times New Roman"/>
          <w:sz w:val="24"/>
          <w:szCs w:val="24"/>
        </w:rPr>
        <w:t xml:space="preserve">($591/kg, without depreciation) </w:t>
      </w:r>
      <w:r w:rsidR="00244B2F">
        <w:rPr>
          <w:rFonts w:ascii="Times New Roman" w:hAnsi="Times New Roman" w:cs="Times New Roman"/>
          <w:sz w:val="24"/>
          <w:szCs w:val="24"/>
        </w:rPr>
        <w:t>and on previously reported average of gross margins from 1994 to 2005 for an aggregate of companies qualified as generic pharmaceuticals (48%), brand-name pharmaceuticals (74%), and biotechnology (86%)</w:t>
      </w:r>
      <w:r w:rsidR="00467765">
        <w:rPr>
          <w:rFonts w:ascii="Times New Roman" w:hAnsi="Times New Roman" w:cs="Times New Roman"/>
          <w:sz w:val="24"/>
          <w:szCs w:val="24"/>
        </w:rPr>
        <w:t xml:space="preserve"> </w:t>
      </w:r>
      <w:r w:rsidR="00244B2F">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{"citationItems":[{"id":"ITEM-1","itemData":{"DOI":"10.1007/s12247-008-9024-4","abstract":"In the pharmaceutical industry, costs attributed to manufacturing are a major part of a company's total expenses. In this paper, trends in various expense and income categories of pharmaceutical companies have been analyzed with particular emphasis on manufacturing costs to gain an insight into their relationships and how they may differ among types of pharmaceutical companies such as brand name, generics, and biotechs. The study includes data published in the annual reports of leading pharmaceutical companies from 1994 to 2005. Twenty-two pharmaceutical companies were selected based on the annual revenues. The set was further divided into three groups: brand names, generics, and biotechs. The analysis shows that, between 1994 and 2005, manufacturing costs (as a percentage of total sales) are different for the three groups of companies listed above. Additionally, each group of companies differs in how savings are leveraged strategically. The data on brand-name pharmaceutical companies also indicate that there is a strong correlation between the reduction of the cost of goods sold (COGS) and the increase in R&amp;D expenditure. This suggests the validity of Vernon's theory that for brand-name companies, a reduction in COGS will likely have a positive impact on investments in R&amp;D, presumably resulting in much needed innovations and future health benefits for the society.","author":[{"dropping-particle":"","family":"Basu","given":"Prabir","non-dropping-particle":"","parse-names":false,"suffix":""},{"dropping-particle":"","family":"Joglekar","given":"Girish","non-dropping-particle":"","parse-names":false,"suffix":""},{"dropping-particle":"","family":"Rai","given":"Saket","non-dropping-particle":"","parse-names":false,"suffix":""},{"dropping-particle":"","family":"Suresh","given":"Pradeep","non-dropping-particle":"","parse-names":false,"suffix":""},{"dropping-particle":"","family":"Vernon","given":"John","non-dropping-particle":"","parse-names":false,"suffix":""}],"container-title":"Journal of Pharmaceutical Innovation","id":"ITEM-1","issued":{"date-parts":[["2008"]]},"title":"Analysis of Manufacturing Costs in Pharmaceutical Companies","type":"article-journal"},"uris":["http://www.mendeley.com/documents/?uuid=1325decf-080f-3006-afe8-37a9497e3455"]}],"mendeley":{"formattedCitation":"(Basu et al., 2008)","plainTextFormattedCitation":"(Basu et al., 2008)","previouslyFormattedCitation":"(Basu et al., 2008)"},"properties":{"noteIndex":0},"schema":"https://github.com/citation-style-language/schema/raw/master/csl-citation.json"}</w:instrText>
      </w:r>
      <w:r w:rsidR="00244B2F">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(Basu et al., 2008)</w:t>
      </w:r>
      <w:r w:rsidR="00244B2F">
        <w:rPr>
          <w:rFonts w:ascii="Times New Roman" w:hAnsi="Times New Roman" w:cs="Times New Roman"/>
          <w:sz w:val="24"/>
          <w:szCs w:val="24"/>
        </w:rPr>
        <w:fldChar w:fldCharType="end"/>
      </w:r>
      <w:r w:rsidR="00244B2F">
        <w:rPr>
          <w:rFonts w:ascii="Times New Roman" w:hAnsi="Times New Roman" w:cs="Times New Roman"/>
          <w:sz w:val="24"/>
          <w:szCs w:val="24"/>
        </w:rPr>
        <w:t>.</w:t>
      </w:r>
      <w:r w:rsidR="00EF5DD7">
        <w:rPr>
          <w:rFonts w:ascii="Times New Roman" w:hAnsi="Times New Roman" w:cs="Times New Roman"/>
          <w:sz w:val="24"/>
          <w:szCs w:val="24"/>
        </w:rPr>
        <w:t xml:space="preserve"> Lower gross margins, as are typical for other relevant sectors (</w:t>
      </w:r>
      <w:r w:rsidR="006B6BEB">
        <w:rPr>
          <w:rFonts w:ascii="Times New Roman" w:hAnsi="Times New Roman" w:cs="Times New Roman"/>
          <w:sz w:val="24"/>
          <w:szCs w:val="24"/>
        </w:rPr>
        <w:t xml:space="preserve">agriculture (11%); </w:t>
      </w:r>
      <w:r w:rsidR="00EF5DD7">
        <w:rPr>
          <w:rFonts w:ascii="Times New Roman" w:hAnsi="Times New Roman" w:cs="Times New Roman"/>
          <w:sz w:val="24"/>
          <w:szCs w:val="24"/>
        </w:rPr>
        <w:t xml:space="preserve">food processing (26%); specialty chemicals (31%)), have also been considered in </w:t>
      </w:r>
      <w:r w:rsidR="00850420">
        <w:rPr>
          <w:rFonts w:ascii="Times New Roman" w:hAnsi="Times New Roman" w:cs="Times New Roman"/>
          <w:sz w:val="24"/>
          <w:szCs w:val="24"/>
        </w:rPr>
        <w:t xml:space="preserve">the </w:t>
      </w:r>
      <w:r w:rsidR="00EF5DD7">
        <w:rPr>
          <w:rFonts w:ascii="Times New Roman" w:hAnsi="Times New Roman" w:cs="Times New Roman"/>
          <w:sz w:val="24"/>
          <w:szCs w:val="24"/>
        </w:rPr>
        <w:t>analysis</w:t>
      </w:r>
      <w:r w:rsidR="00850420">
        <w:rPr>
          <w:rFonts w:ascii="Times New Roman" w:hAnsi="Times New Roman" w:cs="Times New Roman"/>
          <w:sz w:val="24"/>
          <w:szCs w:val="24"/>
        </w:rPr>
        <w:t xml:space="preserve"> </w:t>
      </w:r>
      <w:r w:rsidR="006B6BEB" w:rsidRPr="006B6BEB">
        <w:rPr>
          <w:rFonts w:ascii="Times New Roman" w:hAnsi="Times New Roman" w:cs="Times New Roman"/>
          <w:sz w:val="24"/>
          <w:szCs w:val="24"/>
        </w:rPr>
        <w:t xml:space="preserve">(retrieved from New York University’s Stern School of Business; http://pages.stern.nyu.edu/~adamodar/ </w:t>
      </w:r>
      <w:proofErr w:type="spellStart"/>
      <w:r w:rsidR="006B6BEB" w:rsidRPr="006B6BEB">
        <w:rPr>
          <w:rFonts w:ascii="Times New Roman" w:hAnsi="Times New Roman" w:cs="Times New Roman"/>
          <w:sz w:val="24"/>
          <w:szCs w:val="24"/>
        </w:rPr>
        <w:t>New_Home_Page</w:t>
      </w:r>
      <w:proofErr w:type="spellEnd"/>
      <w:r w:rsidR="006B6BEB" w:rsidRPr="006B6BEB">
        <w:rPr>
          <w:rFonts w:ascii="Times New Roman" w:hAnsi="Times New Roman" w:cs="Times New Roman"/>
          <w:sz w:val="24"/>
          <w:szCs w:val="24"/>
        </w:rPr>
        <w:t>/datafile/margin.html)</w:t>
      </w:r>
      <w:r w:rsidR="006B6BEB">
        <w:rPr>
          <w:rFonts w:ascii="Times New Roman" w:hAnsi="Times New Roman" w:cs="Times New Roman"/>
          <w:sz w:val="24"/>
          <w:szCs w:val="24"/>
        </w:rPr>
        <w:t>.</w:t>
      </w:r>
    </w:p>
    <w:p w14:paraId="49E7CDE0" w14:textId="5CD1F84B" w:rsidR="009F37DA" w:rsidRDefault="009F37DA" w:rsidP="00F00898">
      <w:pPr>
        <w:spacing w:line="480" w:lineRule="auto"/>
        <w:jc w:val="both"/>
        <w:rPr>
          <w:rFonts w:ascii="Times New Roman" w:hAnsi="Times New Roman" w:cs="Times New Roman"/>
          <w:sz w:val="24"/>
          <w:szCs w:val="24"/>
        </w:rPr>
      </w:pPr>
    </w:p>
    <w:p w14:paraId="5385FA4C" w14:textId="61A5B95C" w:rsidR="004C42C2" w:rsidRPr="00182A40" w:rsidRDefault="004C42C2" w:rsidP="00F00898">
      <w:pPr>
        <w:pStyle w:val="ListParagraph"/>
        <w:numPr>
          <w:ilvl w:val="1"/>
          <w:numId w:val="3"/>
        </w:num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 xml:space="preserve">Uncertainty quantification </w:t>
      </w:r>
    </w:p>
    <w:p w14:paraId="45E099A0" w14:textId="6C18D413" w:rsidR="003659F6" w:rsidRDefault="003659F6"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combine Monte Carlo-based </w:t>
      </w:r>
      <w:r w:rsidR="00624CFC">
        <w:rPr>
          <w:rFonts w:ascii="Times New Roman" w:hAnsi="Times New Roman" w:cs="Times New Roman"/>
          <w:sz w:val="24"/>
          <w:szCs w:val="24"/>
        </w:rPr>
        <w:t>stochastic simulation</w:t>
      </w:r>
      <w:r>
        <w:rPr>
          <w:rFonts w:ascii="Times New Roman" w:hAnsi="Times New Roman" w:cs="Times New Roman"/>
          <w:sz w:val="24"/>
          <w:szCs w:val="24"/>
        </w:rPr>
        <w:t xml:space="preserve"> analysis </w:t>
      </w:r>
      <w:r w:rsidR="00624CFC">
        <w:rPr>
          <w:rFonts w:ascii="Times New Roman" w:hAnsi="Times New Roman" w:cs="Times New Roman"/>
          <w:sz w:val="24"/>
          <w:szCs w:val="24"/>
        </w:rPr>
        <w:t xml:space="preserve">using </w:t>
      </w:r>
      <w:r w:rsidR="00804B71">
        <w:rPr>
          <w:rFonts w:ascii="Times New Roman" w:hAnsi="Times New Roman" w:cs="Times New Roman"/>
          <w:sz w:val="24"/>
          <w:szCs w:val="24"/>
        </w:rPr>
        <w:t>Oracle</w:t>
      </w:r>
      <w:r w:rsidR="00804B71" w:rsidRPr="00804B71">
        <w:rPr>
          <w:rFonts w:ascii="Times New Roman" w:hAnsi="Times New Roman" w:cs="Times New Roman"/>
          <w:sz w:val="24"/>
          <w:szCs w:val="24"/>
          <w:vertAlign w:val="superscript"/>
        </w:rPr>
        <w:t>®</w:t>
      </w:r>
      <w:r w:rsidR="00804B71">
        <w:rPr>
          <w:rFonts w:ascii="Times New Roman" w:hAnsi="Times New Roman" w:cs="Times New Roman"/>
          <w:sz w:val="24"/>
          <w:szCs w:val="24"/>
        </w:rPr>
        <w:t xml:space="preserve"> </w:t>
      </w:r>
      <w:r w:rsidR="00624CFC">
        <w:rPr>
          <w:rFonts w:ascii="Times New Roman" w:hAnsi="Times New Roman" w:cs="Times New Roman"/>
          <w:sz w:val="24"/>
          <w:szCs w:val="24"/>
        </w:rPr>
        <w:t>Crystal Ball</w:t>
      </w:r>
      <w:r>
        <w:rPr>
          <w:rFonts w:ascii="Times New Roman" w:hAnsi="Times New Roman" w:cs="Times New Roman"/>
          <w:sz w:val="24"/>
          <w:szCs w:val="24"/>
        </w:rPr>
        <w:t xml:space="preserve"> with </w:t>
      </w:r>
      <w:r w:rsidR="00624CFC">
        <w:rPr>
          <w:rFonts w:ascii="Times New Roman" w:hAnsi="Times New Roman" w:cs="Times New Roman"/>
          <w:sz w:val="24"/>
          <w:szCs w:val="24"/>
        </w:rPr>
        <w:t xml:space="preserve">deterministic </w:t>
      </w:r>
      <w:r>
        <w:rPr>
          <w:rFonts w:ascii="Times New Roman" w:hAnsi="Times New Roman" w:cs="Times New Roman"/>
          <w:sz w:val="24"/>
          <w:szCs w:val="24"/>
        </w:rPr>
        <w:t xml:space="preserve">techno-economic </w:t>
      </w:r>
      <w:r w:rsidR="00624CFC">
        <w:rPr>
          <w:rFonts w:ascii="Times New Roman" w:hAnsi="Times New Roman" w:cs="Times New Roman"/>
          <w:sz w:val="24"/>
          <w:szCs w:val="24"/>
        </w:rPr>
        <w:t>process</w:t>
      </w:r>
      <w:r>
        <w:rPr>
          <w:rFonts w:ascii="Times New Roman" w:hAnsi="Times New Roman" w:cs="Times New Roman"/>
          <w:sz w:val="24"/>
          <w:szCs w:val="24"/>
        </w:rPr>
        <w:t xml:space="preserve"> simulation in </w:t>
      </w:r>
      <w:proofErr w:type="spellStart"/>
      <w:r>
        <w:rPr>
          <w:rFonts w:ascii="Times New Roman" w:hAnsi="Times New Roman" w:cs="Times New Roman"/>
          <w:sz w:val="24"/>
          <w:szCs w:val="24"/>
        </w:rPr>
        <w:t>SuperPro</w:t>
      </w:r>
      <w:proofErr w:type="spellEnd"/>
      <w:r>
        <w:rPr>
          <w:rFonts w:ascii="Times New Roman" w:hAnsi="Times New Roman" w:cs="Times New Roman"/>
          <w:sz w:val="24"/>
          <w:szCs w:val="24"/>
        </w:rPr>
        <w:t xml:space="preserve"> Designer. We have written </w:t>
      </w:r>
      <w:r w:rsidR="00AE1903">
        <w:rPr>
          <w:rFonts w:ascii="Times New Roman" w:hAnsi="Times New Roman" w:cs="Times New Roman"/>
          <w:sz w:val="24"/>
          <w:szCs w:val="24"/>
        </w:rPr>
        <w:t xml:space="preserve">custom </w:t>
      </w:r>
      <w:r>
        <w:rPr>
          <w:rFonts w:ascii="Times New Roman" w:hAnsi="Times New Roman" w:cs="Times New Roman"/>
          <w:sz w:val="24"/>
          <w:szCs w:val="24"/>
        </w:rPr>
        <w:t xml:space="preserve">Visual Basic for Applications (VBA) scripts in Microsoft Excel </w:t>
      </w:r>
      <w:r w:rsidR="00123368">
        <w:rPr>
          <w:rFonts w:ascii="Times New Roman" w:hAnsi="Times New Roman" w:cs="Times New Roman"/>
          <w:sz w:val="24"/>
          <w:szCs w:val="24"/>
        </w:rPr>
        <w:t xml:space="preserve">to interact with </w:t>
      </w:r>
      <w:proofErr w:type="spellStart"/>
      <w:r w:rsidR="00123368">
        <w:rPr>
          <w:rFonts w:ascii="Times New Roman" w:hAnsi="Times New Roman" w:cs="Times New Roman"/>
          <w:sz w:val="24"/>
          <w:szCs w:val="24"/>
        </w:rPr>
        <w:t>SuperPro</w:t>
      </w:r>
      <w:proofErr w:type="spellEnd"/>
      <w:r w:rsidR="00123368">
        <w:rPr>
          <w:rFonts w:ascii="Times New Roman" w:hAnsi="Times New Roman" w:cs="Times New Roman"/>
          <w:sz w:val="24"/>
          <w:szCs w:val="24"/>
        </w:rPr>
        <w:t xml:space="preserve"> Designer using </w:t>
      </w:r>
      <w:proofErr w:type="spellStart"/>
      <w:r w:rsidR="00123368">
        <w:rPr>
          <w:rFonts w:ascii="Times New Roman" w:hAnsi="Times New Roman" w:cs="Times New Roman"/>
          <w:sz w:val="24"/>
          <w:szCs w:val="24"/>
        </w:rPr>
        <w:t>SuperPro</w:t>
      </w:r>
      <w:proofErr w:type="spellEnd"/>
      <w:r w:rsidR="00123368">
        <w:rPr>
          <w:rFonts w:ascii="Times New Roman" w:hAnsi="Times New Roman" w:cs="Times New Roman"/>
          <w:sz w:val="24"/>
          <w:szCs w:val="24"/>
        </w:rPr>
        <w:t xml:space="preserve"> Designer’s</w:t>
      </w:r>
      <w:r>
        <w:rPr>
          <w:rFonts w:ascii="Times New Roman" w:hAnsi="Times New Roman" w:cs="Times New Roman"/>
          <w:sz w:val="24"/>
          <w:szCs w:val="24"/>
        </w:rPr>
        <w:t xml:space="preserve"> </w:t>
      </w:r>
      <w:r w:rsidR="00123368">
        <w:rPr>
          <w:rFonts w:ascii="Times New Roman" w:hAnsi="Times New Roman" w:cs="Times New Roman"/>
          <w:sz w:val="24"/>
          <w:szCs w:val="24"/>
        </w:rPr>
        <w:t>built-in Component Object Module</w:t>
      </w:r>
      <w:r>
        <w:rPr>
          <w:rFonts w:ascii="Times New Roman" w:hAnsi="Times New Roman" w:cs="Times New Roman"/>
          <w:sz w:val="24"/>
          <w:szCs w:val="24"/>
        </w:rPr>
        <w:t xml:space="preserve"> library</w:t>
      </w:r>
      <w:r w:rsidR="00123368">
        <w:rPr>
          <w:rFonts w:ascii="Times New Roman" w:hAnsi="Times New Roman" w:cs="Times New Roman"/>
          <w:sz w:val="24"/>
          <w:szCs w:val="24"/>
        </w:rPr>
        <w:t xml:space="preserve">, which is expressly designed for this purpose. </w:t>
      </w:r>
      <w:r w:rsidR="00624CFC">
        <w:rPr>
          <w:rFonts w:ascii="Times New Roman" w:hAnsi="Times New Roman" w:cs="Times New Roman"/>
          <w:sz w:val="24"/>
          <w:szCs w:val="24"/>
        </w:rPr>
        <w:t>The Crystal Ball plug-in to Microsoft Excel generate</w:t>
      </w:r>
      <w:r w:rsidR="00123368">
        <w:rPr>
          <w:rFonts w:ascii="Times New Roman" w:hAnsi="Times New Roman" w:cs="Times New Roman"/>
          <w:sz w:val="24"/>
          <w:szCs w:val="24"/>
        </w:rPr>
        <w:t>s</w:t>
      </w:r>
      <w:r w:rsidR="00624CFC">
        <w:rPr>
          <w:rFonts w:ascii="Times New Roman" w:hAnsi="Times New Roman" w:cs="Times New Roman"/>
          <w:sz w:val="24"/>
          <w:szCs w:val="24"/>
        </w:rPr>
        <w:t xml:space="preserve"> stochastic </w:t>
      </w:r>
      <w:r w:rsidR="00123368">
        <w:rPr>
          <w:rFonts w:ascii="Times New Roman" w:hAnsi="Times New Roman" w:cs="Times New Roman"/>
          <w:sz w:val="24"/>
          <w:szCs w:val="24"/>
        </w:rPr>
        <w:t xml:space="preserve">input parameter </w:t>
      </w:r>
      <w:r w:rsidR="00624CFC">
        <w:rPr>
          <w:rFonts w:ascii="Times New Roman" w:hAnsi="Times New Roman" w:cs="Times New Roman"/>
          <w:sz w:val="24"/>
          <w:szCs w:val="24"/>
        </w:rPr>
        <w:t>value</w:t>
      </w:r>
      <w:r w:rsidR="00123368">
        <w:rPr>
          <w:rFonts w:ascii="Times New Roman" w:hAnsi="Times New Roman" w:cs="Times New Roman"/>
          <w:sz w:val="24"/>
          <w:szCs w:val="24"/>
        </w:rPr>
        <w:t>s based on a</w:t>
      </w:r>
      <w:r w:rsidR="00624CFC">
        <w:rPr>
          <w:rFonts w:ascii="Times New Roman" w:hAnsi="Times New Roman" w:cs="Times New Roman"/>
          <w:sz w:val="24"/>
          <w:szCs w:val="24"/>
        </w:rPr>
        <w:t xml:space="preserve"> pre-determined probability distribution </w:t>
      </w:r>
      <w:r w:rsidR="00123368">
        <w:rPr>
          <w:rFonts w:ascii="Times New Roman" w:hAnsi="Times New Roman" w:cs="Times New Roman"/>
          <w:sz w:val="24"/>
          <w:szCs w:val="24"/>
        </w:rPr>
        <w:t xml:space="preserve">and the VBA script then sets </w:t>
      </w:r>
      <w:r w:rsidR="00123368">
        <w:rPr>
          <w:rFonts w:ascii="Times New Roman" w:hAnsi="Times New Roman" w:cs="Times New Roman"/>
          <w:sz w:val="24"/>
          <w:szCs w:val="24"/>
        </w:rPr>
        <w:lastRenderedPageBreak/>
        <w:t xml:space="preserve">the </w:t>
      </w:r>
      <w:proofErr w:type="spellStart"/>
      <w:r w:rsidR="00123368">
        <w:rPr>
          <w:rFonts w:ascii="Times New Roman" w:hAnsi="Times New Roman" w:cs="Times New Roman"/>
          <w:sz w:val="24"/>
          <w:szCs w:val="24"/>
        </w:rPr>
        <w:t>SuperPro</w:t>
      </w:r>
      <w:proofErr w:type="spellEnd"/>
      <w:r w:rsidR="00123368">
        <w:rPr>
          <w:rFonts w:ascii="Times New Roman" w:hAnsi="Times New Roman" w:cs="Times New Roman"/>
          <w:sz w:val="24"/>
          <w:szCs w:val="24"/>
        </w:rPr>
        <w:t xml:space="preserve"> Designer facility model performance accordingly and records the results of selected forecast variables (e.g.</w:t>
      </w:r>
      <w:r w:rsidR="006C4EFF">
        <w:rPr>
          <w:rFonts w:ascii="Times New Roman" w:hAnsi="Times New Roman" w:cs="Times New Roman"/>
          <w:sz w:val="24"/>
          <w:szCs w:val="24"/>
        </w:rPr>
        <w:t>,</w:t>
      </w:r>
      <w:r w:rsidR="00123368">
        <w:rPr>
          <w:rFonts w:ascii="Times New Roman" w:hAnsi="Times New Roman" w:cs="Times New Roman"/>
          <w:sz w:val="24"/>
          <w:szCs w:val="24"/>
        </w:rPr>
        <w:t xml:space="preserve"> cost of goods sold, annual throughput).</w:t>
      </w:r>
    </w:p>
    <w:p w14:paraId="7000ACAC" w14:textId="2C66C75E" w:rsidR="00F24450" w:rsidRDefault="005F0CA5"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23368">
        <w:rPr>
          <w:rFonts w:ascii="Times New Roman" w:hAnsi="Times New Roman" w:cs="Times New Roman"/>
          <w:sz w:val="24"/>
          <w:szCs w:val="24"/>
        </w:rPr>
        <w:t xml:space="preserve">facility model </w:t>
      </w:r>
      <w:r>
        <w:rPr>
          <w:rFonts w:ascii="Times New Roman" w:hAnsi="Times New Roman" w:cs="Times New Roman"/>
          <w:sz w:val="24"/>
          <w:szCs w:val="24"/>
        </w:rPr>
        <w:t xml:space="preserve">equipment </w:t>
      </w:r>
      <w:r w:rsidR="00932A95">
        <w:rPr>
          <w:rFonts w:ascii="Times New Roman" w:hAnsi="Times New Roman" w:cs="Times New Roman"/>
          <w:sz w:val="24"/>
          <w:szCs w:val="24"/>
        </w:rPr>
        <w:t>is</w:t>
      </w:r>
      <w:r>
        <w:rPr>
          <w:rFonts w:ascii="Times New Roman" w:hAnsi="Times New Roman" w:cs="Times New Roman"/>
          <w:sz w:val="24"/>
          <w:szCs w:val="24"/>
        </w:rPr>
        <w:t xml:space="preserve"> sized for maximal equipment utilization </w:t>
      </w:r>
      <w:r w:rsidR="00081C75">
        <w:rPr>
          <w:rFonts w:ascii="Times New Roman" w:hAnsi="Times New Roman" w:cs="Times New Roman"/>
          <w:sz w:val="24"/>
          <w:szCs w:val="24"/>
        </w:rPr>
        <w:t>a</w:t>
      </w:r>
      <w:r w:rsidR="00123368">
        <w:rPr>
          <w:rFonts w:ascii="Times New Roman" w:hAnsi="Times New Roman" w:cs="Times New Roman"/>
          <w:sz w:val="24"/>
          <w:szCs w:val="24"/>
        </w:rPr>
        <w:t xml:space="preserve">ccording to the </w:t>
      </w:r>
      <w:r>
        <w:rPr>
          <w:rFonts w:ascii="Times New Roman" w:hAnsi="Times New Roman" w:cs="Times New Roman"/>
          <w:sz w:val="24"/>
          <w:szCs w:val="24"/>
        </w:rPr>
        <w:t xml:space="preserve">static average </w:t>
      </w:r>
      <w:r w:rsidR="00081C75">
        <w:rPr>
          <w:rFonts w:ascii="Times New Roman" w:hAnsi="Times New Roman" w:cs="Times New Roman"/>
          <w:sz w:val="24"/>
          <w:szCs w:val="24"/>
        </w:rPr>
        <w:t>base case</w:t>
      </w:r>
      <w:r>
        <w:rPr>
          <w:rFonts w:ascii="Times New Roman" w:hAnsi="Times New Roman" w:cs="Times New Roman"/>
          <w:sz w:val="24"/>
          <w:szCs w:val="24"/>
        </w:rPr>
        <w:t xml:space="preserve"> values. </w:t>
      </w:r>
      <w:r w:rsidR="00123368">
        <w:rPr>
          <w:rFonts w:ascii="Times New Roman" w:hAnsi="Times New Roman" w:cs="Times New Roman"/>
          <w:sz w:val="24"/>
          <w:szCs w:val="24"/>
        </w:rPr>
        <w:t>As such,</w:t>
      </w:r>
      <w:r>
        <w:rPr>
          <w:rFonts w:ascii="Times New Roman" w:hAnsi="Times New Roman" w:cs="Times New Roman"/>
          <w:sz w:val="24"/>
          <w:szCs w:val="24"/>
        </w:rPr>
        <w:t xml:space="preserve"> equipment throughput and capacity are exceeded </w:t>
      </w:r>
      <w:r w:rsidR="00123368">
        <w:rPr>
          <w:rFonts w:ascii="Times New Roman" w:hAnsi="Times New Roman" w:cs="Times New Roman"/>
          <w:sz w:val="24"/>
          <w:szCs w:val="24"/>
        </w:rPr>
        <w:t>for</w:t>
      </w:r>
      <w:r>
        <w:rPr>
          <w:rFonts w:ascii="Times New Roman" w:hAnsi="Times New Roman" w:cs="Times New Roman"/>
          <w:sz w:val="24"/>
          <w:szCs w:val="24"/>
        </w:rPr>
        <w:t xml:space="preserve"> input parameter values that result in higher stream volume</w:t>
      </w:r>
      <w:r w:rsidR="00081C75">
        <w:rPr>
          <w:rFonts w:ascii="Times New Roman" w:hAnsi="Times New Roman" w:cs="Times New Roman"/>
          <w:sz w:val="24"/>
          <w:szCs w:val="24"/>
        </w:rPr>
        <w:t xml:space="preserve"> or product </w:t>
      </w:r>
      <w:r w:rsidR="00932A95">
        <w:rPr>
          <w:rFonts w:ascii="Times New Roman" w:hAnsi="Times New Roman" w:cs="Times New Roman"/>
          <w:sz w:val="24"/>
          <w:szCs w:val="24"/>
        </w:rPr>
        <w:t>mass</w:t>
      </w:r>
      <w:r>
        <w:rPr>
          <w:rFonts w:ascii="Times New Roman" w:hAnsi="Times New Roman" w:cs="Times New Roman"/>
          <w:sz w:val="24"/>
          <w:szCs w:val="24"/>
        </w:rPr>
        <w:t xml:space="preserve"> than the base case model. In these instances, </w:t>
      </w:r>
      <w:proofErr w:type="spellStart"/>
      <w:r>
        <w:rPr>
          <w:rFonts w:ascii="Times New Roman" w:hAnsi="Times New Roman" w:cs="Times New Roman"/>
          <w:sz w:val="24"/>
          <w:szCs w:val="24"/>
        </w:rPr>
        <w:t>SuperPro</w:t>
      </w:r>
      <w:proofErr w:type="spellEnd"/>
      <w:r>
        <w:rPr>
          <w:rFonts w:ascii="Times New Roman" w:hAnsi="Times New Roman" w:cs="Times New Roman"/>
          <w:sz w:val="24"/>
          <w:szCs w:val="24"/>
        </w:rPr>
        <w:t xml:space="preserve"> Designer </w:t>
      </w:r>
      <w:r w:rsidR="00081C75">
        <w:rPr>
          <w:rFonts w:ascii="Times New Roman" w:hAnsi="Times New Roman" w:cs="Times New Roman"/>
          <w:sz w:val="24"/>
          <w:szCs w:val="24"/>
        </w:rPr>
        <w:t>triggers</w:t>
      </w:r>
      <w:r>
        <w:rPr>
          <w:rFonts w:ascii="Times New Roman" w:hAnsi="Times New Roman" w:cs="Times New Roman"/>
          <w:sz w:val="24"/>
          <w:szCs w:val="24"/>
        </w:rPr>
        <w:t xml:space="preserve"> a warning or error notification, but </w:t>
      </w:r>
      <w:r w:rsidR="00932A95">
        <w:rPr>
          <w:rFonts w:ascii="Times New Roman" w:hAnsi="Times New Roman" w:cs="Times New Roman"/>
          <w:sz w:val="24"/>
          <w:szCs w:val="24"/>
        </w:rPr>
        <w:t>regardless still</w:t>
      </w:r>
      <w:r>
        <w:rPr>
          <w:rFonts w:ascii="Times New Roman" w:hAnsi="Times New Roman" w:cs="Times New Roman"/>
          <w:sz w:val="24"/>
          <w:szCs w:val="24"/>
        </w:rPr>
        <w:t xml:space="preserve"> send</w:t>
      </w:r>
      <w:r w:rsidR="00081C75">
        <w:rPr>
          <w:rFonts w:ascii="Times New Roman" w:hAnsi="Times New Roman" w:cs="Times New Roman"/>
          <w:sz w:val="24"/>
          <w:szCs w:val="24"/>
        </w:rPr>
        <w:t>s</w:t>
      </w:r>
      <w:r>
        <w:rPr>
          <w:rFonts w:ascii="Times New Roman" w:hAnsi="Times New Roman" w:cs="Times New Roman"/>
          <w:sz w:val="24"/>
          <w:szCs w:val="24"/>
        </w:rPr>
        <w:t xml:space="preserve"> the full process stream (including any capacity exceeding that of the equipment) to the next unit operation</w:t>
      </w:r>
      <w:r w:rsidR="00AE1903">
        <w:rPr>
          <w:rFonts w:ascii="Times New Roman" w:hAnsi="Times New Roman" w:cs="Times New Roman"/>
          <w:sz w:val="24"/>
          <w:szCs w:val="24"/>
        </w:rPr>
        <w:t xml:space="preserve"> by default</w:t>
      </w:r>
      <w:r>
        <w:rPr>
          <w:rFonts w:ascii="Times New Roman" w:hAnsi="Times New Roman" w:cs="Times New Roman"/>
          <w:sz w:val="24"/>
          <w:szCs w:val="24"/>
        </w:rPr>
        <w:t xml:space="preserve">. We implemented a simple </w:t>
      </w:r>
      <w:r w:rsidR="00C46F37">
        <w:rPr>
          <w:rFonts w:ascii="Times New Roman" w:hAnsi="Times New Roman" w:cs="Times New Roman"/>
          <w:sz w:val="24"/>
          <w:szCs w:val="24"/>
        </w:rPr>
        <w:t xml:space="preserve">Microsoft Excel-based </w:t>
      </w:r>
      <w:r w:rsidR="00932A95">
        <w:rPr>
          <w:rFonts w:ascii="Times New Roman" w:hAnsi="Times New Roman" w:cs="Times New Roman"/>
          <w:sz w:val="24"/>
          <w:szCs w:val="24"/>
        </w:rPr>
        <w:t>algorithm to correct the facility model in these cases. For exceeded stream volume</w:t>
      </w:r>
      <w:r w:rsidR="006B6BEB">
        <w:rPr>
          <w:rFonts w:ascii="Times New Roman" w:hAnsi="Times New Roman" w:cs="Times New Roman"/>
          <w:sz w:val="24"/>
          <w:szCs w:val="24"/>
        </w:rPr>
        <w:t xml:space="preserve"> capacity</w:t>
      </w:r>
      <w:r w:rsidR="00932A95">
        <w:rPr>
          <w:rFonts w:ascii="Times New Roman" w:hAnsi="Times New Roman" w:cs="Times New Roman"/>
          <w:sz w:val="24"/>
          <w:szCs w:val="24"/>
        </w:rPr>
        <w:t xml:space="preserve">, </w:t>
      </w:r>
      <w:r w:rsidR="00741D6C">
        <w:rPr>
          <w:rFonts w:ascii="Times New Roman" w:hAnsi="Times New Roman" w:cs="Times New Roman"/>
          <w:sz w:val="24"/>
          <w:szCs w:val="24"/>
        </w:rPr>
        <w:t xml:space="preserve">biomass from </w:t>
      </w:r>
      <w:r w:rsidR="00932A95">
        <w:rPr>
          <w:rFonts w:ascii="Times New Roman" w:hAnsi="Times New Roman" w:cs="Times New Roman"/>
          <w:sz w:val="24"/>
          <w:szCs w:val="24"/>
        </w:rPr>
        <w:t>field growth yield</w:t>
      </w:r>
      <w:r w:rsidR="006B6BEB">
        <w:rPr>
          <w:rFonts w:ascii="Times New Roman" w:hAnsi="Times New Roman" w:cs="Times New Roman"/>
          <w:sz w:val="24"/>
          <w:szCs w:val="24"/>
        </w:rPr>
        <w:t>, which dictates stream volume,</w:t>
      </w:r>
      <w:r w:rsidR="00932A95">
        <w:rPr>
          <w:rFonts w:ascii="Times New Roman" w:hAnsi="Times New Roman" w:cs="Times New Roman"/>
          <w:sz w:val="24"/>
          <w:szCs w:val="24"/>
        </w:rPr>
        <w:t xml:space="preserve"> is reduced from the stochastic</w:t>
      </w:r>
      <w:r w:rsidR="006B6BEB">
        <w:rPr>
          <w:rFonts w:ascii="Times New Roman" w:hAnsi="Times New Roman" w:cs="Times New Roman"/>
          <w:sz w:val="24"/>
          <w:szCs w:val="24"/>
        </w:rPr>
        <w:t>ally determined</w:t>
      </w:r>
      <w:r w:rsidR="00932A95">
        <w:rPr>
          <w:rFonts w:ascii="Times New Roman" w:hAnsi="Times New Roman" w:cs="Times New Roman"/>
          <w:sz w:val="24"/>
          <w:szCs w:val="24"/>
        </w:rPr>
        <w:t xml:space="preserve"> value to </w:t>
      </w:r>
      <w:r w:rsidR="00741D6C">
        <w:rPr>
          <w:rFonts w:ascii="Times New Roman" w:hAnsi="Times New Roman" w:cs="Times New Roman"/>
          <w:sz w:val="24"/>
          <w:szCs w:val="24"/>
        </w:rPr>
        <w:t>a value corresponding to the</w:t>
      </w:r>
      <w:r w:rsidR="00932A95">
        <w:rPr>
          <w:rFonts w:ascii="Times New Roman" w:hAnsi="Times New Roman" w:cs="Times New Roman"/>
          <w:sz w:val="24"/>
          <w:szCs w:val="24"/>
        </w:rPr>
        <w:t xml:space="preserve"> </w:t>
      </w:r>
      <w:r w:rsidR="00741D6C">
        <w:rPr>
          <w:rFonts w:ascii="Times New Roman" w:hAnsi="Times New Roman" w:cs="Times New Roman"/>
          <w:sz w:val="24"/>
          <w:szCs w:val="24"/>
        </w:rPr>
        <w:t xml:space="preserve">“effective” field growth yield, defined as the </w:t>
      </w:r>
      <w:r w:rsidR="00932A95">
        <w:rPr>
          <w:rFonts w:ascii="Times New Roman" w:hAnsi="Times New Roman" w:cs="Times New Roman"/>
          <w:sz w:val="24"/>
          <w:szCs w:val="24"/>
        </w:rPr>
        <w:t xml:space="preserve">maximal yield that the facility can </w:t>
      </w:r>
      <w:r w:rsidR="006B6BEB">
        <w:rPr>
          <w:rFonts w:ascii="Times New Roman" w:hAnsi="Times New Roman" w:cs="Times New Roman"/>
          <w:sz w:val="24"/>
          <w:szCs w:val="24"/>
        </w:rPr>
        <w:t>process based on equipment capacity</w:t>
      </w:r>
      <w:r w:rsidR="00932A95">
        <w:rPr>
          <w:rFonts w:ascii="Times New Roman" w:hAnsi="Times New Roman" w:cs="Times New Roman"/>
          <w:sz w:val="24"/>
          <w:szCs w:val="24"/>
        </w:rPr>
        <w:t xml:space="preserve">. </w:t>
      </w:r>
      <w:r w:rsidR="000658DF">
        <w:rPr>
          <w:rFonts w:ascii="Times New Roman" w:hAnsi="Times New Roman" w:cs="Times New Roman"/>
          <w:sz w:val="24"/>
          <w:szCs w:val="24"/>
        </w:rPr>
        <w:t>P</w:t>
      </w:r>
      <w:r w:rsidR="00932A95">
        <w:rPr>
          <w:rFonts w:ascii="Times New Roman" w:hAnsi="Times New Roman" w:cs="Times New Roman"/>
          <w:sz w:val="24"/>
          <w:szCs w:val="24"/>
        </w:rPr>
        <w:t>hysically</w:t>
      </w:r>
      <w:r w:rsidR="000658DF">
        <w:rPr>
          <w:rFonts w:ascii="Times New Roman" w:hAnsi="Times New Roman" w:cs="Times New Roman"/>
          <w:sz w:val="24"/>
          <w:szCs w:val="24"/>
        </w:rPr>
        <w:t xml:space="preserve">, </w:t>
      </w:r>
      <w:r w:rsidR="00741D6C">
        <w:rPr>
          <w:rFonts w:ascii="Times New Roman" w:hAnsi="Times New Roman" w:cs="Times New Roman"/>
          <w:sz w:val="24"/>
          <w:szCs w:val="24"/>
        </w:rPr>
        <w:t>this is designed to be</w:t>
      </w:r>
      <w:r w:rsidR="00932A95">
        <w:rPr>
          <w:rFonts w:ascii="Times New Roman" w:hAnsi="Times New Roman" w:cs="Times New Roman"/>
          <w:sz w:val="24"/>
          <w:szCs w:val="24"/>
        </w:rPr>
        <w:t xml:space="preserve"> representative of plowing excess biomass back into the fields for soil enrichment. For</w:t>
      </w:r>
      <w:r w:rsidR="006B6BEB">
        <w:rPr>
          <w:rFonts w:ascii="Times New Roman" w:hAnsi="Times New Roman" w:cs="Times New Roman"/>
          <w:sz w:val="24"/>
          <w:szCs w:val="24"/>
        </w:rPr>
        <w:t xml:space="preserve"> </w:t>
      </w:r>
      <w:r w:rsidR="00932A95">
        <w:rPr>
          <w:rFonts w:ascii="Times New Roman" w:hAnsi="Times New Roman" w:cs="Times New Roman"/>
          <w:sz w:val="24"/>
          <w:szCs w:val="24"/>
        </w:rPr>
        <w:t>exceeded product mass</w:t>
      </w:r>
      <w:r w:rsidR="006B6BEB">
        <w:rPr>
          <w:rFonts w:ascii="Times New Roman" w:hAnsi="Times New Roman" w:cs="Times New Roman"/>
          <w:sz w:val="24"/>
          <w:szCs w:val="24"/>
        </w:rPr>
        <w:t xml:space="preserve"> capacity, </w:t>
      </w:r>
      <w:r w:rsidR="009C4CE9">
        <w:rPr>
          <w:rFonts w:ascii="Times New Roman" w:hAnsi="Times New Roman" w:cs="Times New Roman"/>
          <w:sz w:val="24"/>
          <w:szCs w:val="24"/>
        </w:rPr>
        <w:t xml:space="preserve">as only chromatography performance is assumed to be sensitive to this value, </w:t>
      </w:r>
      <w:r w:rsidR="006B6BEB">
        <w:rPr>
          <w:rFonts w:ascii="Times New Roman" w:hAnsi="Times New Roman" w:cs="Times New Roman"/>
          <w:sz w:val="24"/>
          <w:szCs w:val="24"/>
        </w:rPr>
        <w:t xml:space="preserve">it is assumed that </w:t>
      </w:r>
      <w:r w:rsidR="009C4CE9">
        <w:rPr>
          <w:rFonts w:ascii="Times New Roman" w:hAnsi="Times New Roman" w:cs="Times New Roman"/>
          <w:sz w:val="24"/>
          <w:szCs w:val="24"/>
        </w:rPr>
        <w:t>there will be negligible impact to chromatography binding capacity and that excess will be diverted to the flow-through</w:t>
      </w:r>
      <w:r w:rsidR="004F47E4">
        <w:rPr>
          <w:rFonts w:ascii="Times New Roman" w:hAnsi="Times New Roman" w:cs="Times New Roman"/>
          <w:sz w:val="24"/>
          <w:szCs w:val="24"/>
        </w:rPr>
        <w:t xml:space="preserve">, resulting in a reduction of the stochastically determined </w:t>
      </w:r>
      <w:r w:rsidR="001600BD">
        <w:rPr>
          <w:rFonts w:ascii="Times New Roman" w:hAnsi="Times New Roman" w:cs="Times New Roman"/>
          <w:sz w:val="24"/>
          <w:szCs w:val="24"/>
        </w:rPr>
        <w:t>cation exchange chromatography (</w:t>
      </w:r>
      <w:r w:rsidR="004F47E4">
        <w:rPr>
          <w:rFonts w:ascii="Times New Roman" w:hAnsi="Times New Roman" w:cs="Times New Roman"/>
          <w:sz w:val="24"/>
          <w:szCs w:val="24"/>
        </w:rPr>
        <w:t>CEX</w:t>
      </w:r>
      <w:r w:rsidR="001600BD">
        <w:rPr>
          <w:rFonts w:ascii="Times New Roman" w:hAnsi="Times New Roman" w:cs="Times New Roman"/>
          <w:sz w:val="24"/>
          <w:szCs w:val="24"/>
        </w:rPr>
        <w:t>)</w:t>
      </w:r>
      <w:r w:rsidR="004F47E4">
        <w:rPr>
          <w:rFonts w:ascii="Times New Roman" w:hAnsi="Times New Roman" w:cs="Times New Roman"/>
          <w:sz w:val="24"/>
          <w:szCs w:val="24"/>
        </w:rPr>
        <w:t xml:space="preserve"> recovery of product value to a value corresponding to the “effective” CEX recovery of product, defined as the maximal recovery that the resin binding capacity can </w:t>
      </w:r>
      <w:r w:rsidR="00047430">
        <w:rPr>
          <w:rFonts w:ascii="Times New Roman" w:hAnsi="Times New Roman" w:cs="Times New Roman"/>
          <w:sz w:val="24"/>
          <w:szCs w:val="24"/>
        </w:rPr>
        <w:t>accommodate</w:t>
      </w:r>
      <w:r w:rsidR="009C4CE9">
        <w:rPr>
          <w:rFonts w:ascii="Times New Roman" w:hAnsi="Times New Roman" w:cs="Times New Roman"/>
          <w:sz w:val="24"/>
          <w:szCs w:val="24"/>
        </w:rPr>
        <w:t xml:space="preserve">. </w:t>
      </w:r>
    </w:p>
    <w:p w14:paraId="075F72E2" w14:textId="4B08DBA9" w:rsidR="003013FB" w:rsidRDefault="00594943"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One known disadvantage of Monte Carlo-based simulation is the high trial number needed to closely approximate the distributions. We chose to run each uncertainty analysis for </w:t>
      </w:r>
      <w:r w:rsidR="00B81A04">
        <w:rPr>
          <w:rFonts w:ascii="Times New Roman" w:hAnsi="Times New Roman" w:cs="Times New Roman"/>
          <w:sz w:val="24"/>
          <w:szCs w:val="24"/>
        </w:rPr>
        <w:t>2</w:t>
      </w:r>
      <w:r>
        <w:rPr>
          <w:rFonts w:ascii="Times New Roman" w:hAnsi="Times New Roman" w:cs="Times New Roman"/>
          <w:sz w:val="24"/>
          <w:szCs w:val="24"/>
        </w:rPr>
        <w:t xml:space="preserve">0,000 trials. </w:t>
      </w:r>
      <w:r w:rsidR="004C1FA1">
        <w:rPr>
          <w:rFonts w:ascii="Times New Roman" w:hAnsi="Times New Roman" w:cs="Times New Roman"/>
          <w:sz w:val="24"/>
          <w:szCs w:val="24"/>
        </w:rPr>
        <w:t>Profitability-related forecast variables include 20,000 trials for each plot, while process-related variables</w:t>
      </w:r>
      <w:r w:rsidR="00AB5D20">
        <w:rPr>
          <w:rFonts w:ascii="Times New Roman" w:hAnsi="Times New Roman" w:cs="Times New Roman"/>
          <w:sz w:val="24"/>
          <w:szCs w:val="24"/>
        </w:rPr>
        <w:t xml:space="preserve"> </w:t>
      </w:r>
      <w:r w:rsidR="004C1FA1">
        <w:rPr>
          <w:rFonts w:ascii="Times New Roman" w:hAnsi="Times New Roman" w:cs="Times New Roman"/>
          <w:sz w:val="24"/>
          <w:szCs w:val="24"/>
        </w:rPr>
        <w:t>include 60,000 trials (combined 20,000 trials for each of the three selling prices analyzed</w:t>
      </w:r>
      <w:r w:rsidR="00AB5D20">
        <w:rPr>
          <w:rFonts w:ascii="Times New Roman" w:hAnsi="Times New Roman" w:cs="Times New Roman"/>
          <w:sz w:val="24"/>
          <w:szCs w:val="24"/>
        </w:rPr>
        <w:t xml:space="preserve"> </w:t>
      </w:r>
      <w:r w:rsidR="00AB5D20">
        <w:rPr>
          <w:rFonts w:ascii="Times New Roman" w:hAnsi="Times New Roman" w:cs="Times New Roman"/>
          <w:sz w:val="24"/>
          <w:szCs w:val="24"/>
        </w:rPr>
        <w:lastRenderedPageBreak/>
        <w:t>for profitability-related forecasts</w:t>
      </w:r>
      <w:r w:rsidR="004C1FA1">
        <w:rPr>
          <w:rFonts w:ascii="Times New Roman" w:hAnsi="Times New Roman" w:cs="Times New Roman"/>
          <w:sz w:val="24"/>
          <w:szCs w:val="24"/>
        </w:rPr>
        <w:t xml:space="preserve">). </w:t>
      </w:r>
      <w:r w:rsidR="007E1C60">
        <w:rPr>
          <w:rFonts w:ascii="Times New Roman" w:hAnsi="Times New Roman" w:cs="Times New Roman"/>
          <w:sz w:val="24"/>
          <w:szCs w:val="24"/>
        </w:rPr>
        <w:t xml:space="preserve">Each trial returns the facility forecast variables values calculated for a full facility lifetime of 25 years. For process performance forecast variables, each trial can also be interpreted on a batch-basis, while profitability forecast variables would need to be calculated differently for a batch-basis interpretation, rather than facility lifetime, </w:t>
      </w:r>
      <w:r w:rsidR="009F5D5C">
        <w:rPr>
          <w:rFonts w:ascii="Times New Roman" w:hAnsi="Times New Roman" w:cs="Times New Roman"/>
          <w:sz w:val="24"/>
          <w:szCs w:val="24"/>
        </w:rPr>
        <w:t xml:space="preserve">of trial results. </w:t>
      </w:r>
      <w:r w:rsidR="00FA0180">
        <w:rPr>
          <w:rFonts w:ascii="Times New Roman" w:hAnsi="Times New Roman" w:cs="Times New Roman"/>
          <w:sz w:val="24"/>
          <w:szCs w:val="24"/>
        </w:rPr>
        <w:t xml:space="preserve">We were able to run each set of 20,000 trials of combined stochastic-deterministic evaluation on a personal computing machine on the order of several hours running time. </w:t>
      </w:r>
    </w:p>
    <w:p w14:paraId="11398317" w14:textId="77777777" w:rsidR="00ED20E8" w:rsidRDefault="00ED20E8" w:rsidP="00F00898">
      <w:pPr>
        <w:spacing w:line="480" w:lineRule="auto"/>
        <w:jc w:val="both"/>
        <w:rPr>
          <w:rFonts w:ascii="Times New Roman" w:hAnsi="Times New Roman" w:cs="Times New Roman"/>
          <w:sz w:val="24"/>
          <w:szCs w:val="24"/>
        </w:rPr>
      </w:pPr>
    </w:p>
    <w:p w14:paraId="15B03F76" w14:textId="1C67C3AE" w:rsidR="00533E3D" w:rsidRPr="00182A40" w:rsidRDefault="00671D15" w:rsidP="00F00898">
      <w:pPr>
        <w:pStyle w:val="ListParagraph"/>
        <w:numPr>
          <w:ilvl w:val="1"/>
          <w:numId w:val="3"/>
        </w:num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Input parameter uncertainty</w:t>
      </w:r>
    </w:p>
    <w:p w14:paraId="53B31032" w14:textId="22796EDA" w:rsidR="00F0002E" w:rsidRPr="00DD5F3D" w:rsidRDefault="00F0002E"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selected a </w:t>
      </w:r>
      <w:r w:rsidR="003A259A">
        <w:rPr>
          <w:rFonts w:ascii="Times New Roman" w:hAnsi="Times New Roman" w:cs="Times New Roman"/>
          <w:sz w:val="24"/>
          <w:szCs w:val="24"/>
        </w:rPr>
        <w:t>set</w:t>
      </w:r>
      <w:r>
        <w:rPr>
          <w:rFonts w:ascii="Times New Roman" w:hAnsi="Times New Roman" w:cs="Times New Roman"/>
          <w:sz w:val="24"/>
          <w:szCs w:val="24"/>
        </w:rPr>
        <w:t xml:space="preserve"> of input parameters for uncertainty </w:t>
      </w:r>
      <w:r w:rsidR="009C4CE9">
        <w:rPr>
          <w:rFonts w:ascii="Times New Roman" w:hAnsi="Times New Roman" w:cs="Times New Roman"/>
          <w:sz w:val="24"/>
          <w:szCs w:val="24"/>
        </w:rPr>
        <w:t>analysis</w:t>
      </w:r>
      <w:r w:rsidR="00301132">
        <w:rPr>
          <w:rFonts w:ascii="Times New Roman" w:hAnsi="Times New Roman" w:cs="Times New Roman"/>
          <w:sz w:val="24"/>
          <w:szCs w:val="24"/>
        </w:rPr>
        <w:t xml:space="preserve"> (Table 1)</w:t>
      </w:r>
      <w:r>
        <w:rPr>
          <w:rFonts w:ascii="Times New Roman" w:hAnsi="Times New Roman" w:cs="Times New Roman"/>
          <w:sz w:val="24"/>
          <w:szCs w:val="24"/>
        </w:rPr>
        <w:t xml:space="preserve">. Input parameters were screened and selected </w:t>
      </w:r>
      <w:proofErr w:type="gramStart"/>
      <w:r>
        <w:rPr>
          <w:rFonts w:ascii="Times New Roman" w:hAnsi="Times New Roman" w:cs="Times New Roman"/>
          <w:sz w:val="24"/>
          <w:szCs w:val="24"/>
        </w:rPr>
        <w:t>on the basis of</w:t>
      </w:r>
      <w:proofErr w:type="gramEnd"/>
      <w:r w:rsidR="009C4CE9">
        <w:rPr>
          <w:rFonts w:ascii="Times New Roman" w:hAnsi="Times New Roman" w:cs="Times New Roman"/>
          <w:sz w:val="24"/>
          <w:szCs w:val="24"/>
        </w:rPr>
        <w:t xml:space="preserve"> known</w:t>
      </w:r>
      <w:r>
        <w:rPr>
          <w:rFonts w:ascii="Times New Roman" w:hAnsi="Times New Roman" w:cs="Times New Roman"/>
          <w:sz w:val="24"/>
          <w:szCs w:val="24"/>
        </w:rPr>
        <w:t xml:space="preserve"> uncertainty</w:t>
      </w:r>
      <w:r w:rsidR="003A259A">
        <w:rPr>
          <w:rFonts w:ascii="Times New Roman" w:hAnsi="Times New Roman" w:cs="Times New Roman"/>
          <w:sz w:val="24"/>
          <w:szCs w:val="24"/>
        </w:rPr>
        <w:t xml:space="preserve">, </w:t>
      </w:r>
      <w:r>
        <w:rPr>
          <w:rFonts w:ascii="Times New Roman" w:hAnsi="Times New Roman" w:cs="Times New Roman"/>
          <w:sz w:val="24"/>
          <w:szCs w:val="24"/>
        </w:rPr>
        <w:t>techno-economic impact</w:t>
      </w:r>
      <w:r w:rsidR="003A259A">
        <w:rPr>
          <w:rFonts w:ascii="Times New Roman" w:hAnsi="Times New Roman" w:cs="Times New Roman"/>
          <w:sz w:val="24"/>
          <w:szCs w:val="24"/>
        </w:rPr>
        <w:t>, and relevance to outdoor field growth.</w:t>
      </w:r>
      <w:r>
        <w:rPr>
          <w:rFonts w:ascii="Times New Roman" w:hAnsi="Times New Roman" w:cs="Times New Roman"/>
          <w:sz w:val="24"/>
          <w:szCs w:val="24"/>
        </w:rPr>
        <w:t xml:space="preserve"> </w:t>
      </w:r>
      <w:r w:rsidR="00250DA9">
        <w:rPr>
          <w:rFonts w:ascii="Times New Roman" w:hAnsi="Times New Roman" w:cs="Times New Roman"/>
          <w:sz w:val="24"/>
          <w:szCs w:val="24"/>
        </w:rPr>
        <w:t xml:space="preserve">Supporting information for determination of the input parameter probability distributions, and graphical depictions of </w:t>
      </w:r>
      <w:r w:rsidR="006A45CF">
        <w:rPr>
          <w:rFonts w:ascii="Times New Roman" w:hAnsi="Times New Roman" w:cs="Times New Roman"/>
          <w:sz w:val="24"/>
          <w:szCs w:val="24"/>
        </w:rPr>
        <w:t xml:space="preserve">these </w:t>
      </w:r>
      <w:r w:rsidR="00250DA9">
        <w:rPr>
          <w:rFonts w:ascii="Times New Roman" w:hAnsi="Times New Roman" w:cs="Times New Roman"/>
          <w:sz w:val="24"/>
          <w:szCs w:val="24"/>
        </w:rPr>
        <w:t xml:space="preserve">distributions, are included in </w:t>
      </w:r>
      <w:r w:rsidR="00250DA9" w:rsidRPr="00C55369">
        <w:rPr>
          <w:rFonts w:ascii="Times New Roman" w:hAnsi="Times New Roman" w:cs="Times New Roman"/>
          <w:sz w:val="24"/>
          <w:szCs w:val="24"/>
        </w:rPr>
        <w:t>Supplementary Information</w:t>
      </w:r>
      <w:r w:rsidR="00C9373D">
        <w:rPr>
          <w:rFonts w:ascii="Times New Roman" w:hAnsi="Times New Roman" w:cs="Times New Roman"/>
          <w:sz w:val="24"/>
          <w:szCs w:val="24"/>
        </w:rPr>
        <w:t xml:space="preserve"> (S1. Assessment of assumption distributions; S2. Assumption distributions &amp; trial data)</w:t>
      </w:r>
      <w:r w:rsidR="00250DA9">
        <w:rPr>
          <w:rFonts w:ascii="Times New Roman" w:hAnsi="Times New Roman" w:cs="Times New Roman"/>
          <w:sz w:val="24"/>
          <w:szCs w:val="24"/>
        </w:rPr>
        <w:t xml:space="preserve">. </w:t>
      </w:r>
      <w:r w:rsidR="009F3152">
        <w:rPr>
          <w:rFonts w:ascii="Times New Roman" w:hAnsi="Times New Roman" w:cs="Times New Roman"/>
          <w:sz w:val="24"/>
          <w:szCs w:val="24"/>
        </w:rPr>
        <w:t xml:space="preserve">Probability distributions are defined such that the </w:t>
      </w:r>
      <w:r w:rsidR="00130CF7">
        <w:rPr>
          <w:rFonts w:ascii="Times New Roman" w:hAnsi="Times New Roman" w:cs="Times New Roman"/>
          <w:sz w:val="24"/>
          <w:szCs w:val="24"/>
        </w:rPr>
        <w:t xml:space="preserve">mean is equal to the static value assigned in the </w:t>
      </w:r>
      <w:r w:rsidR="009F3152">
        <w:rPr>
          <w:rFonts w:ascii="Times New Roman" w:hAnsi="Times New Roman" w:cs="Times New Roman"/>
          <w:sz w:val="24"/>
          <w:szCs w:val="24"/>
        </w:rPr>
        <w:t>base case model</w:t>
      </w:r>
      <w:r w:rsidR="00130CF7">
        <w:rPr>
          <w:rFonts w:ascii="Times New Roman" w:hAnsi="Times New Roman" w:cs="Times New Roman"/>
          <w:sz w:val="24"/>
          <w:szCs w:val="24"/>
        </w:rPr>
        <w:t>.</w:t>
      </w:r>
      <w:r w:rsidR="009F3152">
        <w:rPr>
          <w:rFonts w:ascii="Times New Roman" w:hAnsi="Times New Roman" w:cs="Times New Roman"/>
          <w:sz w:val="24"/>
          <w:szCs w:val="24"/>
        </w:rPr>
        <w:t xml:space="preserve"> </w:t>
      </w:r>
    </w:p>
    <w:tbl>
      <w:tblPr>
        <w:tblStyle w:val="TableGrid"/>
        <w:tblW w:w="9535" w:type="dxa"/>
        <w:tblLook w:val="04A0" w:firstRow="1" w:lastRow="0" w:firstColumn="1" w:lastColumn="0" w:noHBand="0" w:noVBand="1"/>
      </w:tblPr>
      <w:tblGrid>
        <w:gridCol w:w="2226"/>
        <w:gridCol w:w="1108"/>
        <w:gridCol w:w="1237"/>
        <w:gridCol w:w="1280"/>
        <w:gridCol w:w="3684"/>
      </w:tblGrid>
      <w:tr w:rsidR="008C6F06" w:rsidRPr="00C52CE9" w14:paraId="41238189" w14:textId="77777777" w:rsidTr="00720C92">
        <w:tc>
          <w:tcPr>
            <w:tcW w:w="2226" w:type="dxa"/>
            <w:shd w:val="clear" w:color="auto" w:fill="B4C6E7" w:themeFill="accent1" w:themeFillTint="66"/>
            <w:vAlign w:val="center"/>
          </w:tcPr>
          <w:p w14:paraId="11643C83" w14:textId="77777777" w:rsidR="008C6F06" w:rsidRPr="008C6F06" w:rsidRDefault="008C6F06" w:rsidP="00F00898">
            <w:pPr>
              <w:jc w:val="center"/>
              <w:rPr>
                <w:rFonts w:ascii="Times New Roman" w:hAnsi="Times New Roman" w:cs="Times New Roman"/>
                <w:sz w:val="20"/>
                <w:szCs w:val="20"/>
              </w:rPr>
            </w:pPr>
            <w:r w:rsidRPr="008C6F06">
              <w:rPr>
                <w:rFonts w:ascii="Times New Roman" w:hAnsi="Times New Roman" w:cs="Times New Roman"/>
                <w:sz w:val="20"/>
                <w:szCs w:val="20"/>
              </w:rPr>
              <w:t>Variable</w:t>
            </w:r>
          </w:p>
        </w:tc>
        <w:tc>
          <w:tcPr>
            <w:tcW w:w="1108" w:type="dxa"/>
            <w:shd w:val="clear" w:color="auto" w:fill="B4C6E7" w:themeFill="accent1" w:themeFillTint="66"/>
            <w:vAlign w:val="center"/>
          </w:tcPr>
          <w:p w14:paraId="4D723140" w14:textId="77777777" w:rsidR="008C6F06" w:rsidRPr="008C6F06" w:rsidRDefault="008C6F06" w:rsidP="00F00898">
            <w:pPr>
              <w:jc w:val="center"/>
              <w:rPr>
                <w:rFonts w:ascii="Times New Roman" w:hAnsi="Times New Roman" w:cs="Times New Roman"/>
                <w:sz w:val="20"/>
                <w:szCs w:val="20"/>
              </w:rPr>
            </w:pPr>
            <w:r w:rsidRPr="008C6F06">
              <w:rPr>
                <w:rFonts w:ascii="Times New Roman" w:hAnsi="Times New Roman" w:cs="Times New Roman"/>
                <w:sz w:val="20"/>
                <w:szCs w:val="20"/>
              </w:rPr>
              <w:t>Procedure</w:t>
            </w:r>
          </w:p>
        </w:tc>
        <w:tc>
          <w:tcPr>
            <w:tcW w:w="1237" w:type="dxa"/>
            <w:shd w:val="clear" w:color="auto" w:fill="B4C6E7" w:themeFill="accent1" w:themeFillTint="66"/>
            <w:vAlign w:val="center"/>
          </w:tcPr>
          <w:p w14:paraId="72F2689A" w14:textId="77777777" w:rsidR="008C6F06" w:rsidRPr="008C6F06" w:rsidRDefault="008C6F06" w:rsidP="00F00898">
            <w:pPr>
              <w:jc w:val="center"/>
              <w:rPr>
                <w:rFonts w:ascii="Times New Roman" w:hAnsi="Times New Roman" w:cs="Times New Roman"/>
                <w:sz w:val="20"/>
                <w:szCs w:val="20"/>
              </w:rPr>
            </w:pPr>
            <w:r w:rsidRPr="008C6F06">
              <w:rPr>
                <w:rFonts w:ascii="Times New Roman" w:hAnsi="Times New Roman" w:cs="Times New Roman"/>
                <w:sz w:val="20"/>
                <w:szCs w:val="20"/>
              </w:rPr>
              <w:t>Base Case Value</w:t>
            </w:r>
          </w:p>
        </w:tc>
        <w:tc>
          <w:tcPr>
            <w:tcW w:w="1280" w:type="dxa"/>
            <w:shd w:val="clear" w:color="auto" w:fill="B4C6E7" w:themeFill="accent1" w:themeFillTint="66"/>
            <w:vAlign w:val="center"/>
          </w:tcPr>
          <w:p w14:paraId="58A3D4BB" w14:textId="4A8B1097" w:rsidR="008C6F06" w:rsidRPr="008C6F06" w:rsidRDefault="008C6F06" w:rsidP="00F00898">
            <w:pPr>
              <w:jc w:val="center"/>
              <w:rPr>
                <w:rFonts w:ascii="Times New Roman" w:hAnsi="Times New Roman" w:cs="Times New Roman"/>
                <w:sz w:val="20"/>
                <w:szCs w:val="20"/>
              </w:rPr>
            </w:pPr>
            <w:r w:rsidRPr="008C6F06">
              <w:rPr>
                <w:rFonts w:ascii="Times New Roman" w:hAnsi="Times New Roman" w:cs="Times New Roman"/>
                <w:sz w:val="20"/>
                <w:szCs w:val="20"/>
              </w:rPr>
              <w:t>Distribution</w:t>
            </w:r>
          </w:p>
        </w:tc>
        <w:tc>
          <w:tcPr>
            <w:tcW w:w="3684" w:type="dxa"/>
            <w:shd w:val="clear" w:color="auto" w:fill="B4C6E7" w:themeFill="accent1" w:themeFillTint="66"/>
            <w:vAlign w:val="center"/>
          </w:tcPr>
          <w:p w14:paraId="2024DC48" w14:textId="40637252" w:rsidR="008C6F06" w:rsidRPr="008C6F06" w:rsidRDefault="008C6F06" w:rsidP="00F00898">
            <w:pPr>
              <w:jc w:val="center"/>
              <w:rPr>
                <w:rFonts w:ascii="Times New Roman" w:hAnsi="Times New Roman" w:cs="Times New Roman"/>
                <w:sz w:val="20"/>
                <w:szCs w:val="20"/>
              </w:rPr>
            </w:pPr>
            <w:r w:rsidRPr="008C6F06">
              <w:rPr>
                <w:rFonts w:ascii="Times New Roman" w:hAnsi="Times New Roman" w:cs="Times New Roman"/>
                <w:sz w:val="20"/>
                <w:szCs w:val="20"/>
              </w:rPr>
              <w:t xml:space="preserve">Variation </w:t>
            </w:r>
            <w:r w:rsidR="009C4CE9">
              <w:rPr>
                <w:rFonts w:ascii="Times New Roman" w:hAnsi="Times New Roman" w:cs="Times New Roman"/>
                <w:sz w:val="20"/>
                <w:szCs w:val="20"/>
              </w:rPr>
              <w:t>[</w:t>
            </w:r>
            <w:r w:rsidRPr="008C6F06">
              <w:rPr>
                <w:rFonts w:ascii="Times New Roman" w:hAnsi="Times New Roman" w:cs="Times New Roman"/>
                <w:sz w:val="20"/>
                <w:szCs w:val="20"/>
              </w:rPr>
              <w:t>Range</w:t>
            </w:r>
            <w:r w:rsidR="009C4CE9">
              <w:rPr>
                <w:rFonts w:ascii="Times New Roman" w:hAnsi="Times New Roman" w:cs="Times New Roman"/>
                <w:sz w:val="20"/>
                <w:szCs w:val="20"/>
              </w:rPr>
              <w:t>]</w:t>
            </w:r>
          </w:p>
        </w:tc>
      </w:tr>
      <w:tr w:rsidR="008C6F06" w:rsidRPr="00C52CE9" w14:paraId="0A994B2F" w14:textId="77777777" w:rsidTr="00720C92">
        <w:tc>
          <w:tcPr>
            <w:tcW w:w="2226" w:type="dxa"/>
          </w:tcPr>
          <w:p w14:paraId="0A2D3446" w14:textId="4A16E108" w:rsidR="008C6F06" w:rsidRPr="00C52CE9" w:rsidRDefault="006A5F22" w:rsidP="00F00898">
            <w:pPr>
              <w:rPr>
                <w:rFonts w:ascii="Times New Roman" w:hAnsi="Times New Roman" w:cs="Times New Roman"/>
                <w:sz w:val="20"/>
                <w:szCs w:val="20"/>
              </w:rPr>
            </w:pPr>
            <w:r>
              <w:rPr>
                <w:rFonts w:ascii="Times New Roman" w:hAnsi="Times New Roman" w:cs="Times New Roman"/>
                <w:sz w:val="20"/>
                <w:szCs w:val="20"/>
              </w:rPr>
              <w:t xml:space="preserve">Field </w:t>
            </w:r>
            <w:r w:rsidR="000657F7">
              <w:rPr>
                <w:rFonts w:ascii="Times New Roman" w:hAnsi="Times New Roman" w:cs="Times New Roman"/>
                <w:sz w:val="20"/>
                <w:szCs w:val="20"/>
              </w:rPr>
              <w:t>g</w:t>
            </w:r>
            <w:r>
              <w:rPr>
                <w:rFonts w:ascii="Times New Roman" w:hAnsi="Times New Roman" w:cs="Times New Roman"/>
                <w:sz w:val="20"/>
                <w:szCs w:val="20"/>
              </w:rPr>
              <w:t xml:space="preserve">rowth </w:t>
            </w:r>
            <w:r w:rsidR="000657F7">
              <w:rPr>
                <w:rFonts w:ascii="Times New Roman" w:hAnsi="Times New Roman" w:cs="Times New Roman"/>
                <w:sz w:val="20"/>
                <w:szCs w:val="20"/>
              </w:rPr>
              <w:t>y</w:t>
            </w:r>
            <w:r>
              <w:rPr>
                <w:rFonts w:ascii="Times New Roman" w:hAnsi="Times New Roman" w:cs="Times New Roman"/>
                <w:sz w:val="20"/>
                <w:szCs w:val="20"/>
              </w:rPr>
              <w:t>ield</w:t>
            </w:r>
          </w:p>
          <w:p w14:paraId="1E78EA06" w14:textId="77777777" w:rsidR="008C6F06"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maximal</w:t>
            </w:r>
            <w:r w:rsidR="00804B71">
              <w:rPr>
                <w:rFonts w:ascii="Times New Roman" w:hAnsi="Times New Roman" w:cs="Times New Roman"/>
                <w:sz w:val="20"/>
                <w:szCs w:val="20"/>
              </w:rPr>
              <w:t>*</w:t>
            </w:r>
            <w:r w:rsidR="00E64652">
              <w:rPr>
                <w:rFonts w:ascii="Times New Roman" w:hAnsi="Times New Roman" w:cs="Times New Roman"/>
                <w:sz w:val="20"/>
                <w:szCs w:val="20"/>
              </w:rPr>
              <w:t>/100</w:t>
            </w:r>
            <w:r w:rsidRPr="00C52CE9">
              <w:rPr>
                <w:rFonts w:ascii="Times New Roman" w:hAnsi="Times New Roman" w:cs="Times New Roman"/>
                <w:sz w:val="20"/>
                <w:szCs w:val="20"/>
              </w:rPr>
              <w:t>)</w:t>
            </w:r>
          </w:p>
          <w:p w14:paraId="3CB4CB3D" w14:textId="77777777" w:rsidR="00804B71" w:rsidRPr="00804B71" w:rsidRDefault="00804B71" w:rsidP="00F00898">
            <w:pPr>
              <w:rPr>
                <w:rFonts w:ascii="Times New Roman" w:hAnsi="Times New Roman" w:cs="Times New Roman"/>
                <w:sz w:val="10"/>
                <w:szCs w:val="10"/>
              </w:rPr>
            </w:pPr>
          </w:p>
          <w:p w14:paraId="033B0A32" w14:textId="573FA396" w:rsidR="00804B71" w:rsidRPr="00C52CE9" w:rsidRDefault="00804B71" w:rsidP="00F00898">
            <w:pPr>
              <w:rPr>
                <w:rFonts w:ascii="Times New Roman" w:hAnsi="Times New Roman" w:cs="Times New Roman"/>
                <w:sz w:val="20"/>
                <w:szCs w:val="20"/>
              </w:rPr>
            </w:pPr>
            <w:r w:rsidRPr="00804B71">
              <w:rPr>
                <w:rFonts w:ascii="Times New Roman" w:hAnsi="Times New Roman" w:cs="Times New Roman"/>
                <w:sz w:val="18"/>
                <w:szCs w:val="18"/>
              </w:rPr>
              <w:t>*132 g FW/plant</w:t>
            </w:r>
          </w:p>
        </w:tc>
        <w:tc>
          <w:tcPr>
            <w:tcW w:w="1108" w:type="dxa"/>
          </w:tcPr>
          <w:p w14:paraId="0B02CC73"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P-2</w:t>
            </w:r>
          </w:p>
        </w:tc>
        <w:tc>
          <w:tcPr>
            <w:tcW w:w="1237" w:type="dxa"/>
          </w:tcPr>
          <w:p w14:paraId="52412E21" w14:textId="6B1E1072" w:rsidR="008C6F06" w:rsidRPr="00C52CE9" w:rsidRDefault="008C6F06" w:rsidP="00F00898">
            <w:pPr>
              <w:rPr>
                <w:rFonts w:ascii="Times New Roman" w:hAnsi="Times New Roman" w:cs="Times New Roman"/>
              </w:rPr>
            </w:pPr>
            <w:r w:rsidRPr="00C52CE9">
              <w:rPr>
                <w:rFonts w:ascii="Times New Roman" w:hAnsi="Times New Roman" w:cs="Times New Roman"/>
              </w:rPr>
              <w:t>0.</w:t>
            </w:r>
            <w:r w:rsidR="00E64652">
              <w:rPr>
                <w:rFonts w:ascii="Times New Roman" w:hAnsi="Times New Roman" w:cs="Times New Roman"/>
              </w:rPr>
              <w:t>76</w:t>
            </w:r>
          </w:p>
        </w:tc>
        <w:tc>
          <w:tcPr>
            <w:tcW w:w="1280" w:type="dxa"/>
          </w:tcPr>
          <w:p w14:paraId="299386A7" w14:textId="47DAE9B9" w:rsidR="008C6F06" w:rsidRPr="00C52CE9" w:rsidRDefault="00FE60C1" w:rsidP="00F00898">
            <w:pPr>
              <w:rPr>
                <w:rFonts w:ascii="Times New Roman" w:hAnsi="Times New Roman" w:cs="Times New Roman"/>
              </w:rPr>
            </w:pPr>
            <w:r>
              <w:rPr>
                <w:rFonts w:ascii="Times New Roman" w:hAnsi="Times New Roman" w:cs="Times New Roman"/>
              </w:rPr>
              <w:t xml:space="preserve">scaled </w:t>
            </w:r>
            <w:r w:rsidR="008C6F06" w:rsidRPr="00C52CE9">
              <w:rPr>
                <w:rFonts w:ascii="Times New Roman" w:hAnsi="Times New Roman" w:cs="Times New Roman"/>
              </w:rPr>
              <w:t>beta</w:t>
            </w:r>
          </w:p>
        </w:tc>
        <w:tc>
          <w:tcPr>
            <w:tcW w:w="3684" w:type="dxa"/>
          </w:tcPr>
          <w:p w14:paraId="2751DD08" w14:textId="042B6821" w:rsidR="008C6F06" w:rsidRPr="00C52CE9" w:rsidRDefault="008C6F06" w:rsidP="00F00898">
            <w:pPr>
              <w:rPr>
                <w:rFonts w:ascii="Times New Roman" w:hAnsi="Times New Roman" w:cs="Times New Roman"/>
              </w:rPr>
            </w:pPr>
            <w:r w:rsidRPr="00C52CE9">
              <w:rPr>
                <w:rFonts w:ascii="Times New Roman" w:hAnsi="Times New Roman" w:cs="Times New Roman"/>
              </w:rPr>
              <w:t>alpha = 2.57</w:t>
            </w:r>
            <w:r>
              <w:rPr>
                <w:rFonts w:ascii="Times New Roman" w:hAnsi="Times New Roman" w:cs="Times New Roman"/>
              </w:rPr>
              <w:t xml:space="preserve">, </w:t>
            </w:r>
            <w:r w:rsidRPr="00C52CE9">
              <w:rPr>
                <w:rFonts w:ascii="Times New Roman" w:hAnsi="Times New Roman" w:cs="Times New Roman"/>
              </w:rPr>
              <w:t>beta = 4.80</w:t>
            </w:r>
            <w:r w:rsidR="009C4CE9">
              <w:rPr>
                <w:rFonts w:ascii="Times New Roman" w:hAnsi="Times New Roman" w:cs="Times New Roman"/>
              </w:rPr>
              <w:br/>
            </w:r>
            <w:r w:rsidRPr="00C52CE9">
              <w:rPr>
                <w:rFonts w:ascii="Times New Roman" w:hAnsi="Times New Roman" w:cs="Times New Roman"/>
              </w:rPr>
              <w:t>[0.6</w:t>
            </w:r>
            <w:r w:rsidR="00C11C95">
              <w:rPr>
                <w:rFonts w:ascii="Times New Roman" w:hAnsi="Times New Roman" w:cs="Times New Roman"/>
              </w:rPr>
              <w:t>3</w:t>
            </w:r>
            <w:r w:rsidRPr="00C52CE9">
              <w:rPr>
                <w:rFonts w:ascii="Times New Roman" w:hAnsi="Times New Roman" w:cs="Times New Roman"/>
              </w:rPr>
              <w:t>, 1.0]</w:t>
            </w:r>
          </w:p>
        </w:tc>
      </w:tr>
      <w:tr w:rsidR="008C6F06" w:rsidRPr="00C52CE9" w14:paraId="2B4BFBE8" w14:textId="77777777" w:rsidTr="009C4CE9">
        <w:trPr>
          <w:trHeight w:val="620"/>
        </w:trPr>
        <w:tc>
          <w:tcPr>
            <w:tcW w:w="2226" w:type="dxa"/>
          </w:tcPr>
          <w:p w14:paraId="35E6044B" w14:textId="032FCA78"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Field </w:t>
            </w:r>
            <w:r w:rsidR="000657F7">
              <w:rPr>
                <w:rFonts w:ascii="Times New Roman" w:hAnsi="Times New Roman" w:cs="Times New Roman"/>
                <w:sz w:val="20"/>
                <w:szCs w:val="20"/>
              </w:rPr>
              <w:t>g</w:t>
            </w:r>
            <w:r w:rsidRPr="00C52CE9">
              <w:rPr>
                <w:rFonts w:ascii="Times New Roman" w:hAnsi="Times New Roman" w:cs="Times New Roman"/>
                <w:sz w:val="20"/>
                <w:szCs w:val="20"/>
              </w:rPr>
              <w:t xml:space="preserve">rowth </w:t>
            </w:r>
            <w:r w:rsidR="000657F7">
              <w:rPr>
                <w:rFonts w:ascii="Times New Roman" w:hAnsi="Times New Roman" w:cs="Times New Roman"/>
                <w:sz w:val="20"/>
                <w:szCs w:val="20"/>
              </w:rPr>
              <w:t>t</w:t>
            </w:r>
            <w:r w:rsidRPr="00C52CE9">
              <w:rPr>
                <w:rFonts w:ascii="Times New Roman" w:hAnsi="Times New Roman" w:cs="Times New Roman"/>
                <w:sz w:val="20"/>
                <w:szCs w:val="20"/>
              </w:rPr>
              <w:t xml:space="preserve">ime </w:t>
            </w:r>
            <w:r w:rsidR="000657F7">
              <w:rPr>
                <w:rFonts w:ascii="Times New Roman" w:hAnsi="Times New Roman" w:cs="Times New Roman"/>
                <w:sz w:val="20"/>
                <w:szCs w:val="20"/>
              </w:rPr>
              <w:br/>
            </w:r>
            <w:r w:rsidRPr="00C52CE9">
              <w:rPr>
                <w:rFonts w:ascii="Times New Roman" w:hAnsi="Times New Roman" w:cs="Times New Roman"/>
                <w:sz w:val="20"/>
                <w:szCs w:val="20"/>
              </w:rPr>
              <w:t>(days)</w:t>
            </w:r>
          </w:p>
        </w:tc>
        <w:tc>
          <w:tcPr>
            <w:tcW w:w="1108" w:type="dxa"/>
          </w:tcPr>
          <w:p w14:paraId="543F9041"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P-2</w:t>
            </w:r>
          </w:p>
        </w:tc>
        <w:tc>
          <w:tcPr>
            <w:tcW w:w="1237" w:type="dxa"/>
          </w:tcPr>
          <w:p w14:paraId="51CC899A"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34.83</w:t>
            </w:r>
          </w:p>
        </w:tc>
        <w:tc>
          <w:tcPr>
            <w:tcW w:w="1280" w:type="dxa"/>
          </w:tcPr>
          <w:p w14:paraId="2EC7C106"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triangular</w:t>
            </w:r>
          </w:p>
        </w:tc>
        <w:tc>
          <w:tcPr>
            <w:tcW w:w="3684" w:type="dxa"/>
          </w:tcPr>
          <w:p w14:paraId="7E0F480C" w14:textId="7A830D26" w:rsidR="008C6F06" w:rsidRPr="00C52CE9" w:rsidRDefault="008C6F06" w:rsidP="00F00898">
            <w:pPr>
              <w:rPr>
                <w:rFonts w:ascii="Times New Roman" w:hAnsi="Times New Roman" w:cs="Times New Roman"/>
              </w:rPr>
            </w:pPr>
            <w:r w:rsidRPr="00C52CE9">
              <w:rPr>
                <w:rFonts w:ascii="Times New Roman" w:hAnsi="Times New Roman" w:cs="Times New Roman"/>
              </w:rPr>
              <w:t>likeliest = 34.83</w:t>
            </w:r>
            <w:r>
              <w:rPr>
                <w:rFonts w:ascii="Times New Roman" w:hAnsi="Times New Roman" w:cs="Times New Roman"/>
              </w:rPr>
              <w:t xml:space="preserve">, </w:t>
            </w:r>
            <w:r w:rsidRPr="00C52CE9">
              <w:rPr>
                <w:rFonts w:ascii="Times New Roman" w:hAnsi="Times New Roman" w:cs="Times New Roman"/>
              </w:rPr>
              <w:t>± 5% likeliest</w:t>
            </w:r>
            <w:r w:rsidR="00E64652">
              <w:rPr>
                <w:rFonts w:ascii="Times New Roman" w:hAnsi="Times New Roman" w:cs="Times New Roman"/>
              </w:rPr>
              <w:br/>
            </w:r>
            <w:r w:rsidRPr="00C52CE9">
              <w:rPr>
                <w:rFonts w:ascii="Times New Roman" w:hAnsi="Times New Roman" w:cs="Times New Roman"/>
              </w:rPr>
              <w:t>[33.09, 36.57]</w:t>
            </w:r>
          </w:p>
        </w:tc>
      </w:tr>
      <w:tr w:rsidR="008C6F06" w:rsidRPr="00C52CE9" w14:paraId="09940059" w14:textId="77777777" w:rsidTr="00720C92">
        <w:tc>
          <w:tcPr>
            <w:tcW w:w="2226" w:type="dxa"/>
          </w:tcPr>
          <w:p w14:paraId="1D0BBD63" w14:textId="6791026D"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Expression </w:t>
            </w:r>
            <w:r w:rsidR="000657F7">
              <w:rPr>
                <w:rFonts w:ascii="Times New Roman" w:hAnsi="Times New Roman" w:cs="Times New Roman"/>
                <w:sz w:val="20"/>
                <w:szCs w:val="20"/>
              </w:rPr>
              <w:t>l</w:t>
            </w:r>
            <w:r w:rsidRPr="00C52CE9">
              <w:rPr>
                <w:rFonts w:ascii="Times New Roman" w:hAnsi="Times New Roman" w:cs="Times New Roman"/>
                <w:sz w:val="20"/>
                <w:szCs w:val="20"/>
              </w:rPr>
              <w:t xml:space="preserve">evel </w:t>
            </w:r>
          </w:p>
          <w:p w14:paraId="666D4B17" w14:textId="77777777"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(g product/kg FW)</w:t>
            </w:r>
          </w:p>
        </w:tc>
        <w:tc>
          <w:tcPr>
            <w:tcW w:w="1108" w:type="dxa"/>
          </w:tcPr>
          <w:p w14:paraId="09E6A02E"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P-4</w:t>
            </w:r>
          </w:p>
        </w:tc>
        <w:tc>
          <w:tcPr>
            <w:tcW w:w="1237" w:type="dxa"/>
          </w:tcPr>
          <w:p w14:paraId="41ED9284"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1.5</w:t>
            </w:r>
          </w:p>
        </w:tc>
        <w:tc>
          <w:tcPr>
            <w:tcW w:w="1280" w:type="dxa"/>
          </w:tcPr>
          <w:p w14:paraId="521ABC6D" w14:textId="02EC1082" w:rsidR="008C6F06" w:rsidRPr="00C52CE9" w:rsidRDefault="008C6F06" w:rsidP="00F00898">
            <w:pPr>
              <w:rPr>
                <w:rFonts w:ascii="Times New Roman" w:hAnsi="Times New Roman" w:cs="Times New Roman"/>
              </w:rPr>
            </w:pPr>
            <w:r w:rsidRPr="00C52CE9">
              <w:rPr>
                <w:rFonts w:ascii="Times New Roman" w:hAnsi="Times New Roman" w:cs="Times New Roman"/>
              </w:rPr>
              <w:t>logistic</w:t>
            </w:r>
          </w:p>
        </w:tc>
        <w:tc>
          <w:tcPr>
            <w:tcW w:w="3684" w:type="dxa"/>
          </w:tcPr>
          <w:p w14:paraId="421F21FD" w14:textId="5860C479" w:rsidR="008C6F06" w:rsidRPr="00C52CE9" w:rsidRDefault="008C6F06" w:rsidP="00F00898">
            <w:pPr>
              <w:rPr>
                <w:rFonts w:ascii="Times New Roman" w:hAnsi="Times New Roman" w:cs="Times New Roman"/>
              </w:rPr>
            </w:pPr>
            <w:r w:rsidRPr="00C52CE9">
              <w:rPr>
                <w:rFonts w:ascii="Times New Roman" w:hAnsi="Times New Roman" w:cs="Times New Roman"/>
              </w:rPr>
              <w:t>mean = 1.5</w:t>
            </w:r>
            <w:r>
              <w:rPr>
                <w:rFonts w:ascii="Times New Roman" w:hAnsi="Times New Roman" w:cs="Times New Roman"/>
              </w:rPr>
              <w:t xml:space="preserve">, </w:t>
            </w:r>
            <w:r w:rsidRPr="00C52CE9">
              <w:rPr>
                <w:rFonts w:ascii="Times New Roman" w:hAnsi="Times New Roman" w:cs="Times New Roman"/>
              </w:rPr>
              <w:t>scale = 0.08</w:t>
            </w:r>
            <w:r w:rsidR="009C4CE9">
              <w:rPr>
                <w:rFonts w:ascii="Times New Roman" w:hAnsi="Times New Roman" w:cs="Times New Roman"/>
              </w:rPr>
              <w:br/>
            </w:r>
            <w:r w:rsidR="005752DC">
              <w:rPr>
                <w:rFonts w:ascii="Times New Roman" w:hAnsi="Times New Roman" w:cs="Times New Roman"/>
              </w:rPr>
              <w:t>[</w:t>
            </w:r>
            <w:r w:rsidR="00704838">
              <w:rPr>
                <w:rFonts w:ascii="Times New Roman" w:hAnsi="Times New Roman" w:cs="Times New Roman"/>
              </w:rPr>
              <w:t>0.95</w:t>
            </w:r>
            <w:r w:rsidR="005752DC">
              <w:rPr>
                <w:rFonts w:ascii="Times New Roman" w:hAnsi="Times New Roman" w:cs="Times New Roman"/>
              </w:rPr>
              <w:t>. 2.0</w:t>
            </w:r>
            <w:r w:rsidR="00704838">
              <w:rPr>
                <w:rFonts w:ascii="Times New Roman" w:hAnsi="Times New Roman" w:cs="Times New Roman"/>
              </w:rPr>
              <w:t>5</w:t>
            </w:r>
            <w:r w:rsidR="005752DC">
              <w:rPr>
                <w:rFonts w:ascii="Times New Roman" w:hAnsi="Times New Roman" w:cs="Times New Roman"/>
              </w:rPr>
              <w:t>]</w:t>
            </w:r>
          </w:p>
          <w:p w14:paraId="3F67BB94" w14:textId="77777777" w:rsidR="008C6F06" w:rsidRPr="00C52CE9" w:rsidRDefault="008C6F06" w:rsidP="00F00898">
            <w:pPr>
              <w:rPr>
                <w:rFonts w:ascii="Times New Roman" w:hAnsi="Times New Roman" w:cs="Times New Roman"/>
              </w:rPr>
            </w:pPr>
          </w:p>
        </w:tc>
      </w:tr>
      <w:tr w:rsidR="008C6F06" w:rsidRPr="00C52CE9" w14:paraId="1A8A8A51" w14:textId="77777777" w:rsidTr="009C4CE9">
        <w:trPr>
          <w:trHeight w:val="575"/>
        </w:trPr>
        <w:tc>
          <w:tcPr>
            <w:tcW w:w="2226" w:type="dxa"/>
          </w:tcPr>
          <w:p w14:paraId="0DDE192C" w14:textId="2781E830"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Harvesting </w:t>
            </w:r>
            <w:r w:rsidR="000657F7">
              <w:rPr>
                <w:rFonts w:ascii="Times New Roman" w:hAnsi="Times New Roman" w:cs="Times New Roman"/>
                <w:sz w:val="20"/>
                <w:szCs w:val="20"/>
              </w:rPr>
              <w:t>t</w:t>
            </w:r>
            <w:r w:rsidRPr="00C52CE9">
              <w:rPr>
                <w:rFonts w:ascii="Times New Roman" w:hAnsi="Times New Roman" w:cs="Times New Roman"/>
                <w:sz w:val="20"/>
                <w:szCs w:val="20"/>
              </w:rPr>
              <w:t xml:space="preserve">ime </w:t>
            </w:r>
            <w:r>
              <w:rPr>
                <w:rFonts w:ascii="Times New Roman" w:hAnsi="Times New Roman" w:cs="Times New Roman"/>
                <w:sz w:val="20"/>
                <w:szCs w:val="20"/>
              </w:rPr>
              <w:br/>
            </w:r>
            <w:r w:rsidRPr="00C52CE9">
              <w:rPr>
                <w:rFonts w:ascii="Times New Roman" w:hAnsi="Times New Roman" w:cs="Times New Roman"/>
                <w:sz w:val="20"/>
                <w:szCs w:val="20"/>
              </w:rPr>
              <w:t>(hours)</w:t>
            </w:r>
          </w:p>
        </w:tc>
        <w:tc>
          <w:tcPr>
            <w:tcW w:w="1108" w:type="dxa"/>
          </w:tcPr>
          <w:p w14:paraId="1C78615D"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P-5</w:t>
            </w:r>
          </w:p>
        </w:tc>
        <w:tc>
          <w:tcPr>
            <w:tcW w:w="1237" w:type="dxa"/>
          </w:tcPr>
          <w:p w14:paraId="00E65E37"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8</w:t>
            </w:r>
          </w:p>
        </w:tc>
        <w:tc>
          <w:tcPr>
            <w:tcW w:w="1280" w:type="dxa"/>
          </w:tcPr>
          <w:p w14:paraId="20B91057" w14:textId="55DE7F0F" w:rsidR="008C6F06" w:rsidRPr="00C52CE9" w:rsidRDefault="00FE60C1" w:rsidP="00F00898">
            <w:pPr>
              <w:rPr>
                <w:rFonts w:ascii="Times New Roman" w:hAnsi="Times New Roman" w:cs="Times New Roman"/>
              </w:rPr>
            </w:pPr>
            <w:r>
              <w:rPr>
                <w:rFonts w:ascii="Times New Roman" w:hAnsi="Times New Roman" w:cs="Times New Roman"/>
              </w:rPr>
              <w:t xml:space="preserve">scaled </w:t>
            </w:r>
            <w:r w:rsidR="008C6F06" w:rsidRPr="00C52CE9">
              <w:rPr>
                <w:rFonts w:ascii="Times New Roman" w:hAnsi="Times New Roman" w:cs="Times New Roman"/>
              </w:rPr>
              <w:t>beta</w:t>
            </w:r>
          </w:p>
        </w:tc>
        <w:tc>
          <w:tcPr>
            <w:tcW w:w="3684" w:type="dxa"/>
          </w:tcPr>
          <w:p w14:paraId="336705CD" w14:textId="234D6964" w:rsidR="009C4CE9" w:rsidRDefault="008C6F06" w:rsidP="00F00898">
            <w:pPr>
              <w:rPr>
                <w:rFonts w:ascii="Times New Roman" w:hAnsi="Times New Roman" w:cs="Times New Roman"/>
              </w:rPr>
            </w:pPr>
            <w:r w:rsidRPr="00C52CE9">
              <w:rPr>
                <w:rFonts w:ascii="Times New Roman" w:hAnsi="Times New Roman" w:cs="Times New Roman"/>
              </w:rPr>
              <w:t>alpha = 1,</w:t>
            </w:r>
            <w:r>
              <w:rPr>
                <w:rFonts w:ascii="Times New Roman" w:hAnsi="Times New Roman" w:cs="Times New Roman"/>
              </w:rPr>
              <w:t xml:space="preserve"> </w:t>
            </w:r>
            <w:r w:rsidRPr="00C52CE9">
              <w:rPr>
                <w:rFonts w:ascii="Times New Roman" w:hAnsi="Times New Roman" w:cs="Times New Roman"/>
              </w:rPr>
              <w:t>beta = 8</w:t>
            </w:r>
          </w:p>
          <w:p w14:paraId="2DF491CF" w14:textId="42257E31" w:rsidR="008C6F06" w:rsidRPr="00C52CE9" w:rsidRDefault="008C6F06" w:rsidP="00F00898">
            <w:pPr>
              <w:rPr>
                <w:rFonts w:ascii="Times New Roman" w:hAnsi="Times New Roman" w:cs="Times New Roman"/>
              </w:rPr>
            </w:pPr>
            <w:r w:rsidRPr="00C52CE9">
              <w:rPr>
                <w:rFonts w:ascii="Times New Roman" w:hAnsi="Times New Roman" w:cs="Times New Roman"/>
              </w:rPr>
              <w:t>[4, 40]</w:t>
            </w:r>
          </w:p>
        </w:tc>
      </w:tr>
      <w:tr w:rsidR="008C6F06" w:rsidRPr="00C52CE9" w14:paraId="741C267E" w14:textId="77777777" w:rsidTr="009C4CE9">
        <w:trPr>
          <w:trHeight w:val="620"/>
        </w:trPr>
        <w:tc>
          <w:tcPr>
            <w:tcW w:w="2226" w:type="dxa"/>
          </w:tcPr>
          <w:p w14:paraId="4FE91047" w14:textId="2EEF15AB"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r</w:t>
            </w:r>
            <w:r w:rsidRPr="00C52CE9">
              <w:rPr>
                <w:rFonts w:ascii="Times New Roman" w:hAnsi="Times New Roman" w:cs="Times New Roman"/>
                <w:sz w:val="20"/>
                <w:szCs w:val="20"/>
              </w:rPr>
              <w:t>emoval</w:t>
            </w:r>
            <w:r w:rsidRPr="00C52CE9">
              <w:rPr>
                <w:rFonts w:ascii="Times New Roman" w:hAnsi="Times New Roman" w:cs="Times New Roman"/>
                <w:sz w:val="20"/>
                <w:szCs w:val="20"/>
              </w:rPr>
              <w:br/>
              <w:t>(% product</w:t>
            </w:r>
            <w:r w:rsidR="006A45CF">
              <w:rPr>
                <w:rFonts w:ascii="Times New Roman" w:hAnsi="Times New Roman" w:cs="Times New Roman"/>
                <w:sz w:val="20"/>
                <w:szCs w:val="20"/>
              </w:rPr>
              <w:t xml:space="preserve"> lost</w:t>
            </w:r>
            <w:r w:rsidRPr="00C52CE9">
              <w:rPr>
                <w:rFonts w:ascii="Times New Roman" w:hAnsi="Times New Roman" w:cs="Times New Roman"/>
                <w:sz w:val="20"/>
                <w:szCs w:val="20"/>
              </w:rPr>
              <w:t>)</w:t>
            </w:r>
          </w:p>
        </w:tc>
        <w:tc>
          <w:tcPr>
            <w:tcW w:w="1108" w:type="dxa"/>
          </w:tcPr>
          <w:p w14:paraId="3B225F3E"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P-11</w:t>
            </w:r>
          </w:p>
        </w:tc>
        <w:tc>
          <w:tcPr>
            <w:tcW w:w="1237" w:type="dxa"/>
          </w:tcPr>
          <w:p w14:paraId="67954F5F" w14:textId="09CDCD8A" w:rsidR="008C6F06" w:rsidRPr="00C52CE9" w:rsidRDefault="008C6F06" w:rsidP="00F00898">
            <w:pPr>
              <w:rPr>
                <w:rFonts w:ascii="Times New Roman" w:hAnsi="Times New Roman" w:cs="Times New Roman"/>
              </w:rPr>
            </w:pPr>
            <w:r w:rsidRPr="00C52CE9">
              <w:rPr>
                <w:rFonts w:ascii="Times New Roman" w:hAnsi="Times New Roman" w:cs="Times New Roman"/>
              </w:rPr>
              <w:t>5.15</w:t>
            </w:r>
          </w:p>
        </w:tc>
        <w:tc>
          <w:tcPr>
            <w:tcW w:w="1280" w:type="dxa"/>
          </w:tcPr>
          <w:p w14:paraId="6612EF6A" w14:textId="28FBADAD" w:rsidR="008C6F06" w:rsidRPr="00C52CE9" w:rsidRDefault="00E64652" w:rsidP="00F00898">
            <w:pPr>
              <w:rPr>
                <w:rFonts w:ascii="Times New Roman" w:hAnsi="Times New Roman" w:cs="Times New Roman"/>
              </w:rPr>
            </w:pPr>
            <w:r>
              <w:rPr>
                <w:rFonts w:ascii="Times New Roman" w:hAnsi="Times New Roman" w:cs="Times New Roman"/>
              </w:rPr>
              <w:t>normal</w:t>
            </w:r>
          </w:p>
        </w:tc>
        <w:tc>
          <w:tcPr>
            <w:tcW w:w="3684" w:type="dxa"/>
          </w:tcPr>
          <w:p w14:paraId="6B7BB2D6" w14:textId="77777777" w:rsidR="009C4CE9" w:rsidRDefault="00E64652" w:rsidP="00F00898">
            <w:pPr>
              <w:rPr>
                <w:rFonts w:ascii="Times New Roman" w:hAnsi="Times New Roman" w:cs="Times New Roman"/>
              </w:rPr>
            </w:pPr>
            <w:r>
              <w:rPr>
                <w:rFonts w:ascii="Times New Roman" w:hAnsi="Times New Roman" w:cs="Times New Roman"/>
              </w:rPr>
              <w:t>mean</w:t>
            </w:r>
            <w:r w:rsidR="008C6F06" w:rsidRPr="00C52CE9">
              <w:rPr>
                <w:rFonts w:ascii="Times New Roman" w:hAnsi="Times New Roman" w:cs="Times New Roman"/>
              </w:rPr>
              <w:t xml:space="preserve"> = 5.15</w:t>
            </w:r>
            <w:r w:rsidR="008C6F06">
              <w:rPr>
                <w:rFonts w:ascii="Times New Roman" w:hAnsi="Times New Roman" w:cs="Times New Roman"/>
              </w:rPr>
              <w:t xml:space="preserve">, </w:t>
            </w:r>
            <w:r>
              <w:rPr>
                <w:rFonts w:ascii="Times New Roman" w:hAnsi="Times New Roman" w:cs="Times New Roman"/>
              </w:rPr>
              <w:t>SD = 0.52</w:t>
            </w:r>
            <w:r w:rsidR="00704838">
              <w:rPr>
                <w:rFonts w:ascii="Times New Roman" w:hAnsi="Times New Roman" w:cs="Times New Roman"/>
              </w:rPr>
              <w:t xml:space="preserve"> </w:t>
            </w:r>
          </w:p>
          <w:p w14:paraId="3A76A170" w14:textId="472181C1" w:rsidR="008C6F06" w:rsidRPr="00C52CE9" w:rsidRDefault="00704838" w:rsidP="00F00898">
            <w:pPr>
              <w:rPr>
                <w:rFonts w:ascii="Times New Roman" w:hAnsi="Times New Roman" w:cs="Times New Roman"/>
              </w:rPr>
            </w:pPr>
            <w:r>
              <w:rPr>
                <w:rFonts w:ascii="Times New Roman" w:hAnsi="Times New Roman" w:cs="Times New Roman"/>
              </w:rPr>
              <w:t>[3.55, 6.75]</w:t>
            </w:r>
          </w:p>
        </w:tc>
      </w:tr>
      <w:tr w:rsidR="008C6F06" w:rsidRPr="00C52CE9" w14:paraId="078468A0" w14:textId="77777777" w:rsidTr="009C4CE9">
        <w:trPr>
          <w:trHeight w:val="620"/>
        </w:trPr>
        <w:tc>
          <w:tcPr>
            <w:tcW w:w="2226" w:type="dxa"/>
          </w:tcPr>
          <w:p w14:paraId="76FDA3AF" w14:textId="78DE80ED"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lastRenderedPageBreak/>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r</w:t>
            </w:r>
            <w:r w:rsidRPr="00C52CE9">
              <w:rPr>
                <w:rFonts w:ascii="Times New Roman" w:hAnsi="Times New Roman" w:cs="Times New Roman"/>
                <w:sz w:val="20"/>
                <w:szCs w:val="20"/>
              </w:rPr>
              <w:t>emoval</w:t>
            </w:r>
            <w:r w:rsidRPr="00C52CE9">
              <w:rPr>
                <w:rFonts w:ascii="Times New Roman" w:hAnsi="Times New Roman" w:cs="Times New Roman"/>
                <w:sz w:val="20"/>
                <w:szCs w:val="20"/>
              </w:rPr>
              <w:br/>
              <w:t>(% impurities</w:t>
            </w:r>
            <w:r w:rsidR="00B21C14">
              <w:rPr>
                <w:rFonts w:ascii="Times New Roman" w:hAnsi="Times New Roman" w:cs="Times New Roman"/>
                <w:sz w:val="20"/>
                <w:szCs w:val="20"/>
              </w:rPr>
              <w:t xml:space="preserve"> removed</w:t>
            </w:r>
            <w:r w:rsidRPr="00C52CE9">
              <w:rPr>
                <w:rFonts w:ascii="Times New Roman" w:hAnsi="Times New Roman" w:cs="Times New Roman"/>
                <w:sz w:val="20"/>
                <w:szCs w:val="20"/>
              </w:rPr>
              <w:t>)</w:t>
            </w:r>
          </w:p>
        </w:tc>
        <w:tc>
          <w:tcPr>
            <w:tcW w:w="1108" w:type="dxa"/>
          </w:tcPr>
          <w:p w14:paraId="7B7D70C6"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P-11</w:t>
            </w:r>
          </w:p>
        </w:tc>
        <w:tc>
          <w:tcPr>
            <w:tcW w:w="1237" w:type="dxa"/>
          </w:tcPr>
          <w:p w14:paraId="6F10E410" w14:textId="01387557" w:rsidR="008C6F06" w:rsidRPr="00C52CE9" w:rsidRDefault="008C6F06" w:rsidP="00F00898">
            <w:pPr>
              <w:rPr>
                <w:rFonts w:ascii="Times New Roman" w:hAnsi="Times New Roman" w:cs="Times New Roman"/>
              </w:rPr>
            </w:pPr>
            <w:r w:rsidRPr="00C52CE9">
              <w:rPr>
                <w:rFonts w:ascii="Times New Roman" w:hAnsi="Times New Roman" w:cs="Times New Roman"/>
              </w:rPr>
              <w:t>5.15</w:t>
            </w:r>
          </w:p>
        </w:tc>
        <w:tc>
          <w:tcPr>
            <w:tcW w:w="1280" w:type="dxa"/>
          </w:tcPr>
          <w:p w14:paraId="760A313F" w14:textId="0C3A0AD5" w:rsidR="008C6F06" w:rsidRPr="00C52CE9" w:rsidRDefault="00E64652" w:rsidP="00F00898">
            <w:pPr>
              <w:rPr>
                <w:rFonts w:ascii="Times New Roman" w:hAnsi="Times New Roman" w:cs="Times New Roman"/>
              </w:rPr>
            </w:pPr>
            <w:r>
              <w:rPr>
                <w:rFonts w:ascii="Times New Roman" w:hAnsi="Times New Roman" w:cs="Times New Roman"/>
              </w:rPr>
              <w:t>normal</w:t>
            </w:r>
          </w:p>
        </w:tc>
        <w:tc>
          <w:tcPr>
            <w:tcW w:w="3684" w:type="dxa"/>
          </w:tcPr>
          <w:p w14:paraId="5B9D0977" w14:textId="77777777" w:rsidR="009C4CE9" w:rsidRDefault="00E64652" w:rsidP="00F00898">
            <w:pPr>
              <w:rPr>
                <w:rFonts w:ascii="Times New Roman" w:hAnsi="Times New Roman" w:cs="Times New Roman"/>
              </w:rPr>
            </w:pPr>
            <w:r>
              <w:rPr>
                <w:rFonts w:ascii="Times New Roman" w:hAnsi="Times New Roman" w:cs="Times New Roman"/>
              </w:rPr>
              <w:t>mean</w:t>
            </w:r>
            <w:r w:rsidRPr="00C52CE9">
              <w:rPr>
                <w:rFonts w:ascii="Times New Roman" w:hAnsi="Times New Roman" w:cs="Times New Roman"/>
              </w:rPr>
              <w:t xml:space="preserve"> = 5.15</w:t>
            </w:r>
            <w:r>
              <w:rPr>
                <w:rFonts w:ascii="Times New Roman" w:hAnsi="Times New Roman" w:cs="Times New Roman"/>
              </w:rPr>
              <w:t>, SD = 0.52</w:t>
            </w:r>
          </w:p>
          <w:p w14:paraId="00102C69" w14:textId="3113B1E9" w:rsidR="008C6F06" w:rsidRPr="00C52CE9" w:rsidRDefault="00704838" w:rsidP="00F00898">
            <w:pPr>
              <w:rPr>
                <w:rFonts w:ascii="Times New Roman" w:hAnsi="Times New Roman" w:cs="Times New Roman"/>
              </w:rPr>
            </w:pPr>
            <w:r>
              <w:rPr>
                <w:rFonts w:ascii="Times New Roman" w:hAnsi="Times New Roman" w:cs="Times New Roman"/>
              </w:rPr>
              <w:t>[3.55, 6.75]</w:t>
            </w:r>
          </w:p>
        </w:tc>
      </w:tr>
      <w:tr w:rsidR="008C6F06" w:rsidRPr="00C52CE9" w14:paraId="7776A81E" w14:textId="77777777" w:rsidTr="009C4CE9">
        <w:trPr>
          <w:trHeight w:val="620"/>
        </w:trPr>
        <w:tc>
          <w:tcPr>
            <w:tcW w:w="2226" w:type="dxa"/>
          </w:tcPr>
          <w:p w14:paraId="7DAE899B" w14:textId="678A5F93"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f</w:t>
            </w:r>
            <w:r w:rsidRPr="00C52CE9">
              <w:rPr>
                <w:rFonts w:ascii="Times New Roman" w:hAnsi="Times New Roman" w:cs="Times New Roman"/>
                <w:sz w:val="20"/>
                <w:szCs w:val="20"/>
              </w:rPr>
              <w:t>lux (L/m</w:t>
            </w:r>
            <w:r w:rsidRPr="00720C92">
              <w:rPr>
                <w:rFonts w:ascii="Times New Roman" w:hAnsi="Times New Roman" w:cs="Times New Roman"/>
                <w:sz w:val="20"/>
                <w:szCs w:val="20"/>
                <w:vertAlign w:val="superscript"/>
              </w:rPr>
              <w:t>2</w:t>
            </w:r>
            <w:r w:rsidR="00720C92" w:rsidRPr="00720C92">
              <w:rPr>
                <w:rFonts w:ascii="Grotesque" w:hAnsi="Grotesque" w:cs="Times New Roman"/>
                <w:sz w:val="20"/>
                <w:szCs w:val="20"/>
              </w:rPr>
              <w:t>∙</w:t>
            </w:r>
            <w:r w:rsidRPr="00C52CE9">
              <w:rPr>
                <w:rFonts w:ascii="Times New Roman" w:hAnsi="Times New Roman" w:cs="Times New Roman"/>
                <w:sz w:val="20"/>
                <w:szCs w:val="20"/>
              </w:rPr>
              <w:t>h)</w:t>
            </w:r>
          </w:p>
        </w:tc>
        <w:tc>
          <w:tcPr>
            <w:tcW w:w="1108" w:type="dxa"/>
          </w:tcPr>
          <w:p w14:paraId="2BE1F1BF"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P-11</w:t>
            </w:r>
          </w:p>
        </w:tc>
        <w:tc>
          <w:tcPr>
            <w:tcW w:w="1237" w:type="dxa"/>
          </w:tcPr>
          <w:p w14:paraId="2EA16818"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180</w:t>
            </w:r>
          </w:p>
        </w:tc>
        <w:tc>
          <w:tcPr>
            <w:tcW w:w="1280" w:type="dxa"/>
          </w:tcPr>
          <w:p w14:paraId="01233937" w14:textId="204BDFBA" w:rsidR="008C6F06" w:rsidRPr="00C52CE9" w:rsidRDefault="008C6F06" w:rsidP="00F00898">
            <w:pPr>
              <w:rPr>
                <w:rFonts w:ascii="Times New Roman" w:hAnsi="Times New Roman" w:cs="Times New Roman"/>
              </w:rPr>
            </w:pPr>
            <w:r>
              <w:rPr>
                <w:rFonts w:ascii="Times New Roman" w:hAnsi="Times New Roman" w:cs="Times New Roman"/>
              </w:rPr>
              <w:t>triangular</w:t>
            </w:r>
          </w:p>
        </w:tc>
        <w:tc>
          <w:tcPr>
            <w:tcW w:w="3684" w:type="dxa"/>
          </w:tcPr>
          <w:p w14:paraId="3F5693F3" w14:textId="4D6FDB7A" w:rsidR="008C6F06" w:rsidRPr="00C52CE9" w:rsidRDefault="00E64652" w:rsidP="00F00898">
            <w:pPr>
              <w:rPr>
                <w:rFonts w:ascii="Times New Roman" w:hAnsi="Times New Roman" w:cs="Times New Roman"/>
              </w:rPr>
            </w:pPr>
            <w:r>
              <w:rPr>
                <w:rFonts w:ascii="Times New Roman" w:hAnsi="Times New Roman" w:cs="Times New Roman"/>
              </w:rPr>
              <w:t xml:space="preserve">likeliest = 180, </w:t>
            </w:r>
            <w:r w:rsidRPr="00C52CE9">
              <w:rPr>
                <w:rFonts w:ascii="Times New Roman" w:hAnsi="Times New Roman" w:cs="Times New Roman"/>
              </w:rPr>
              <w:t xml:space="preserve">± </w:t>
            </w:r>
            <w:r>
              <w:rPr>
                <w:rFonts w:ascii="Times New Roman" w:hAnsi="Times New Roman" w:cs="Times New Roman"/>
              </w:rPr>
              <w:t>20</w:t>
            </w:r>
            <w:r w:rsidRPr="00C52CE9">
              <w:rPr>
                <w:rFonts w:ascii="Times New Roman" w:hAnsi="Times New Roman" w:cs="Times New Roman"/>
              </w:rPr>
              <w:t>% likeliest</w:t>
            </w:r>
            <w:r>
              <w:rPr>
                <w:rFonts w:ascii="Times New Roman" w:hAnsi="Times New Roman" w:cs="Times New Roman"/>
              </w:rPr>
              <w:br/>
              <w:t>[144, 216]</w:t>
            </w:r>
          </w:p>
        </w:tc>
      </w:tr>
      <w:tr w:rsidR="00E64652" w:rsidRPr="00C52CE9" w14:paraId="3FD48E7B" w14:textId="77777777" w:rsidTr="009C4CE9">
        <w:trPr>
          <w:trHeight w:val="620"/>
        </w:trPr>
        <w:tc>
          <w:tcPr>
            <w:tcW w:w="2226" w:type="dxa"/>
          </w:tcPr>
          <w:p w14:paraId="1E1C8036" w14:textId="700072DB" w:rsidR="00E64652" w:rsidRPr="00C52CE9" w:rsidRDefault="00E64652"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r</w:t>
            </w:r>
            <w:r w:rsidRPr="00C52CE9">
              <w:rPr>
                <w:rFonts w:ascii="Times New Roman" w:hAnsi="Times New Roman" w:cs="Times New Roman"/>
                <w:sz w:val="20"/>
                <w:szCs w:val="20"/>
              </w:rPr>
              <w:t>emoval</w:t>
            </w:r>
            <w:r w:rsidRPr="00C52CE9">
              <w:rPr>
                <w:rFonts w:ascii="Times New Roman" w:hAnsi="Times New Roman" w:cs="Times New Roman"/>
                <w:sz w:val="20"/>
                <w:szCs w:val="20"/>
              </w:rPr>
              <w:br/>
              <w:t>(% product</w:t>
            </w:r>
            <w:r w:rsidR="00B21C14">
              <w:rPr>
                <w:rFonts w:ascii="Times New Roman" w:hAnsi="Times New Roman" w:cs="Times New Roman"/>
                <w:sz w:val="20"/>
                <w:szCs w:val="20"/>
              </w:rPr>
              <w:t xml:space="preserve"> lost</w:t>
            </w:r>
            <w:r w:rsidRPr="00C52CE9">
              <w:rPr>
                <w:rFonts w:ascii="Times New Roman" w:hAnsi="Times New Roman" w:cs="Times New Roman"/>
                <w:sz w:val="20"/>
                <w:szCs w:val="20"/>
              </w:rPr>
              <w:t>)</w:t>
            </w:r>
          </w:p>
        </w:tc>
        <w:tc>
          <w:tcPr>
            <w:tcW w:w="1108" w:type="dxa"/>
          </w:tcPr>
          <w:p w14:paraId="466F4E17"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P-13</w:t>
            </w:r>
          </w:p>
        </w:tc>
        <w:tc>
          <w:tcPr>
            <w:tcW w:w="1237" w:type="dxa"/>
          </w:tcPr>
          <w:p w14:paraId="078FC659" w14:textId="630621AD" w:rsidR="00E64652" w:rsidRPr="00C52CE9" w:rsidRDefault="00E64652" w:rsidP="00F00898">
            <w:pPr>
              <w:rPr>
                <w:rFonts w:ascii="Times New Roman" w:hAnsi="Times New Roman" w:cs="Times New Roman"/>
              </w:rPr>
            </w:pPr>
            <w:r w:rsidRPr="00C52CE9">
              <w:rPr>
                <w:rFonts w:ascii="Times New Roman" w:hAnsi="Times New Roman" w:cs="Times New Roman"/>
              </w:rPr>
              <w:t>5.43</w:t>
            </w:r>
          </w:p>
        </w:tc>
        <w:tc>
          <w:tcPr>
            <w:tcW w:w="1280" w:type="dxa"/>
          </w:tcPr>
          <w:p w14:paraId="31B8FB2E" w14:textId="066CB1D7" w:rsidR="00E64652" w:rsidRPr="00C52CE9" w:rsidRDefault="00E64652" w:rsidP="00F00898">
            <w:pPr>
              <w:rPr>
                <w:rFonts w:ascii="Times New Roman" w:hAnsi="Times New Roman" w:cs="Times New Roman"/>
              </w:rPr>
            </w:pPr>
            <w:r>
              <w:rPr>
                <w:rFonts w:ascii="Times New Roman" w:hAnsi="Times New Roman" w:cs="Times New Roman"/>
              </w:rPr>
              <w:t>normal</w:t>
            </w:r>
          </w:p>
        </w:tc>
        <w:tc>
          <w:tcPr>
            <w:tcW w:w="3684" w:type="dxa"/>
          </w:tcPr>
          <w:p w14:paraId="01CEF2F9" w14:textId="77777777" w:rsidR="009C4CE9" w:rsidRDefault="00E64652" w:rsidP="00F00898">
            <w:pPr>
              <w:rPr>
                <w:rFonts w:ascii="Times New Roman" w:hAnsi="Times New Roman" w:cs="Times New Roman"/>
              </w:rPr>
            </w:pPr>
            <w:r>
              <w:rPr>
                <w:rFonts w:ascii="Times New Roman" w:hAnsi="Times New Roman" w:cs="Times New Roman"/>
              </w:rPr>
              <w:t>mean</w:t>
            </w:r>
            <w:r w:rsidRPr="00C52CE9">
              <w:rPr>
                <w:rFonts w:ascii="Times New Roman" w:hAnsi="Times New Roman" w:cs="Times New Roman"/>
              </w:rPr>
              <w:t xml:space="preserve"> = 5.</w:t>
            </w:r>
            <w:r>
              <w:rPr>
                <w:rFonts w:ascii="Times New Roman" w:hAnsi="Times New Roman" w:cs="Times New Roman"/>
              </w:rPr>
              <w:t>43, SD = 0.54</w:t>
            </w:r>
          </w:p>
          <w:p w14:paraId="2088EC0E" w14:textId="1CBFB6A7" w:rsidR="00E64652" w:rsidRPr="00C52CE9" w:rsidRDefault="00704838" w:rsidP="00F00898">
            <w:pPr>
              <w:rPr>
                <w:rFonts w:ascii="Times New Roman" w:hAnsi="Times New Roman" w:cs="Times New Roman"/>
              </w:rPr>
            </w:pPr>
            <w:r>
              <w:rPr>
                <w:rFonts w:ascii="Times New Roman" w:hAnsi="Times New Roman" w:cs="Times New Roman"/>
              </w:rPr>
              <w:t>[3.75, 7.11]</w:t>
            </w:r>
          </w:p>
        </w:tc>
      </w:tr>
      <w:tr w:rsidR="00E64652" w:rsidRPr="00C52CE9" w14:paraId="0AE701EE" w14:textId="77777777" w:rsidTr="009C4CE9">
        <w:trPr>
          <w:trHeight w:val="620"/>
        </w:trPr>
        <w:tc>
          <w:tcPr>
            <w:tcW w:w="2226" w:type="dxa"/>
          </w:tcPr>
          <w:p w14:paraId="586AE3C4" w14:textId="7E319304" w:rsidR="00E64652" w:rsidRPr="00C52CE9" w:rsidRDefault="00E64652"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r</w:t>
            </w:r>
            <w:r w:rsidRPr="00C52CE9">
              <w:rPr>
                <w:rFonts w:ascii="Times New Roman" w:hAnsi="Times New Roman" w:cs="Times New Roman"/>
                <w:sz w:val="20"/>
                <w:szCs w:val="20"/>
              </w:rPr>
              <w:t>emoval</w:t>
            </w:r>
            <w:r w:rsidRPr="00C52CE9">
              <w:rPr>
                <w:rFonts w:ascii="Times New Roman" w:hAnsi="Times New Roman" w:cs="Times New Roman"/>
                <w:sz w:val="20"/>
                <w:szCs w:val="20"/>
              </w:rPr>
              <w:br/>
              <w:t>(% impurities</w:t>
            </w:r>
            <w:r w:rsidR="00B21C14">
              <w:rPr>
                <w:rFonts w:ascii="Times New Roman" w:hAnsi="Times New Roman" w:cs="Times New Roman"/>
                <w:sz w:val="20"/>
                <w:szCs w:val="20"/>
              </w:rPr>
              <w:t xml:space="preserve"> removed</w:t>
            </w:r>
            <w:r w:rsidRPr="00C52CE9">
              <w:rPr>
                <w:rFonts w:ascii="Times New Roman" w:hAnsi="Times New Roman" w:cs="Times New Roman"/>
                <w:sz w:val="20"/>
                <w:szCs w:val="20"/>
              </w:rPr>
              <w:t>)</w:t>
            </w:r>
          </w:p>
        </w:tc>
        <w:tc>
          <w:tcPr>
            <w:tcW w:w="1108" w:type="dxa"/>
          </w:tcPr>
          <w:p w14:paraId="17B0C34D"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P-13</w:t>
            </w:r>
          </w:p>
        </w:tc>
        <w:tc>
          <w:tcPr>
            <w:tcW w:w="1237" w:type="dxa"/>
          </w:tcPr>
          <w:p w14:paraId="256C326A"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95.0</w:t>
            </w:r>
          </w:p>
        </w:tc>
        <w:tc>
          <w:tcPr>
            <w:tcW w:w="1280" w:type="dxa"/>
          </w:tcPr>
          <w:p w14:paraId="42D6C813" w14:textId="6716868A" w:rsidR="00E64652" w:rsidRPr="00C52CE9" w:rsidRDefault="00E64652" w:rsidP="00F00898">
            <w:pPr>
              <w:rPr>
                <w:rFonts w:ascii="Times New Roman" w:hAnsi="Times New Roman" w:cs="Times New Roman"/>
              </w:rPr>
            </w:pPr>
            <w:r>
              <w:rPr>
                <w:rFonts w:ascii="Times New Roman" w:hAnsi="Times New Roman" w:cs="Times New Roman"/>
              </w:rPr>
              <w:t>normal</w:t>
            </w:r>
          </w:p>
        </w:tc>
        <w:tc>
          <w:tcPr>
            <w:tcW w:w="3684" w:type="dxa"/>
          </w:tcPr>
          <w:p w14:paraId="2AA94E4E" w14:textId="77777777" w:rsidR="009C4CE9" w:rsidRDefault="00E64652" w:rsidP="00F00898">
            <w:pPr>
              <w:rPr>
                <w:rFonts w:ascii="Times New Roman" w:hAnsi="Times New Roman" w:cs="Times New Roman"/>
              </w:rPr>
            </w:pPr>
            <w:r>
              <w:rPr>
                <w:rFonts w:ascii="Times New Roman" w:hAnsi="Times New Roman" w:cs="Times New Roman"/>
              </w:rPr>
              <w:t>mean</w:t>
            </w:r>
            <w:r w:rsidRPr="00C52CE9">
              <w:rPr>
                <w:rFonts w:ascii="Times New Roman" w:hAnsi="Times New Roman" w:cs="Times New Roman"/>
              </w:rPr>
              <w:t xml:space="preserve"> = </w:t>
            </w:r>
            <w:r>
              <w:rPr>
                <w:rFonts w:ascii="Times New Roman" w:hAnsi="Times New Roman" w:cs="Times New Roman"/>
              </w:rPr>
              <w:t>95.0, SD = 0.54</w:t>
            </w:r>
            <w:r w:rsidR="00704838">
              <w:rPr>
                <w:rFonts w:ascii="Times New Roman" w:hAnsi="Times New Roman" w:cs="Times New Roman"/>
              </w:rPr>
              <w:t xml:space="preserve"> </w:t>
            </w:r>
          </w:p>
          <w:p w14:paraId="44C66A40" w14:textId="774B9BEA" w:rsidR="00E64652" w:rsidRPr="00C52CE9" w:rsidRDefault="00704838" w:rsidP="00F00898">
            <w:pPr>
              <w:rPr>
                <w:rFonts w:ascii="Times New Roman" w:hAnsi="Times New Roman" w:cs="Times New Roman"/>
              </w:rPr>
            </w:pPr>
            <w:r>
              <w:rPr>
                <w:rFonts w:ascii="Times New Roman" w:hAnsi="Times New Roman" w:cs="Times New Roman"/>
              </w:rPr>
              <w:t>[93.32, 96.68]</w:t>
            </w:r>
          </w:p>
        </w:tc>
      </w:tr>
      <w:tr w:rsidR="008C6F06" w:rsidRPr="00C52CE9" w14:paraId="0AF6F281" w14:textId="77777777" w:rsidTr="009C4CE9">
        <w:trPr>
          <w:trHeight w:val="620"/>
        </w:trPr>
        <w:tc>
          <w:tcPr>
            <w:tcW w:w="2226" w:type="dxa"/>
          </w:tcPr>
          <w:p w14:paraId="5B41B16B" w14:textId="13A3D255"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lux </w:t>
            </w:r>
            <w:r w:rsidR="00720C92" w:rsidRPr="00C52CE9">
              <w:rPr>
                <w:rFonts w:ascii="Times New Roman" w:hAnsi="Times New Roman" w:cs="Times New Roman"/>
                <w:sz w:val="20"/>
                <w:szCs w:val="20"/>
              </w:rPr>
              <w:t>(L/m</w:t>
            </w:r>
            <w:r w:rsidR="00720C92" w:rsidRPr="00720C92">
              <w:rPr>
                <w:rFonts w:ascii="Times New Roman" w:hAnsi="Times New Roman" w:cs="Times New Roman"/>
                <w:sz w:val="20"/>
                <w:szCs w:val="20"/>
                <w:vertAlign w:val="superscript"/>
              </w:rPr>
              <w:t>2</w:t>
            </w:r>
            <w:r w:rsidR="00720C92" w:rsidRPr="00720C92">
              <w:rPr>
                <w:rFonts w:ascii="Grotesque" w:hAnsi="Grotesque" w:cs="Times New Roman"/>
                <w:sz w:val="20"/>
                <w:szCs w:val="20"/>
              </w:rPr>
              <w:t>∙</w:t>
            </w:r>
            <w:r w:rsidR="00720C92" w:rsidRPr="00C52CE9">
              <w:rPr>
                <w:rFonts w:ascii="Times New Roman" w:hAnsi="Times New Roman" w:cs="Times New Roman"/>
                <w:sz w:val="20"/>
                <w:szCs w:val="20"/>
              </w:rPr>
              <w:t>h)</w:t>
            </w:r>
          </w:p>
        </w:tc>
        <w:tc>
          <w:tcPr>
            <w:tcW w:w="1108" w:type="dxa"/>
          </w:tcPr>
          <w:p w14:paraId="02404B4A"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P-13</w:t>
            </w:r>
          </w:p>
        </w:tc>
        <w:tc>
          <w:tcPr>
            <w:tcW w:w="1237" w:type="dxa"/>
          </w:tcPr>
          <w:p w14:paraId="2975988A"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200</w:t>
            </w:r>
          </w:p>
        </w:tc>
        <w:tc>
          <w:tcPr>
            <w:tcW w:w="1280" w:type="dxa"/>
          </w:tcPr>
          <w:p w14:paraId="1F69BBC7" w14:textId="63D2A07E" w:rsidR="008C6F06" w:rsidRPr="00C52CE9" w:rsidRDefault="008C6F06" w:rsidP="00F00898">
            <w:pPr>
              <w:rPr>
                <w:rFonts w:ascii="Times New Roman" w:hAnsi="Times New Roman" w:cs="Times New Roman"/>
              </w:rPr>
            </w:pPr>
            <w:r>
              <w:rPr>
                <w:rFonts w:ascii="Times New Roman" w:hAnsi="Times New Roman" w:cs="Times New Roman"/>
              </w:rPr>
              <w:t>triangular</w:t>
            </w:r>
          </w:p>
        </w:tc>
        <w:tc>
          <w:tcPr>
            <w:tcW w:w="3684" w:type="dxa"/>
          </w:tcPr>
          <w:p w14:paraId="36558C5F" w14:textId="43661967" w:rsidR="008C6F06" w:rsidRPr="00C52CE9" w:rsidRDefault="00E64652" w:rsidP="00F00898">
            <w:pPr>
              <w:rPr>
                <w:rFonts w:ascii="Times New Roman" w:hAnsi="Times New Roman" w:cs="Times New Roman"/>
              </w:rPr>
            </w:pPr>
            <w:r>
              <w:rPr>
                <w:rFonts w:ascii="Times New Roman" w:hAnsi="Times New Roman" w:cs="Times New Roman"/>
              </w:rPr>
              <w:t xml:space="preserve">likeliest = 200, </w:t>
            </w:r>
            <w:r w:rsidRPr="00C52CE9">
              <w:rPr>
                <w:rFonts w:ascii="Times New Roman" w:hAnsi="Times New Roman" w:cs="Times New Roman"/>
              </w:rPr>
              <w:t xml:space="preserve">± </w:t>
            </w:r>
            <w:r>
              <w:rPr>
                <w:rFonts w:ascii="Times New Roman" w:hAnsi="Times New Roman" w:cs="Times New Roman"/>
              </w:rPr>
              <w:t>20</w:t>
            </w:r>
            <w:r w:rsidRPr="00C52CE9">
              <w:rPr>
                <w:rFonts w:ascii="Times New Roman" w:hAnsi="Times New Roman" w:cs="Times New Roman"/>
              </w:rPr>
              <w:t>% likeliest</w:t>
            </w:r>
            <w:r>
              <w:rPr>
                <w:rFonts w:ascii="Times New Roman" w:hAnsi="Times New Roman" w:cs="Times New Roman"/>
              </w:rPr>
              <w:t xml:space="preserve"> </w:t>
            </w:r>
            <w:r>
              <w:rPr>
                <w:rFonts w:ascii="Times New Roman" w:hAnsi="Times New Roman" w:cs="Times New Roman"/>
              </w:rPr>
              <w:br/>
              <w:t>[160, 240]</w:t>
            </w:r>
          </w:p>
        </w:tc>
      </w:tr>
      <w:tr w:rsidR="00E64652" w:rsidRPr="00C52CE9" w14:paraId="10619888" w14:textId="77777777" w:rsidTr="00720C92">
        <w:tc>
          <w:tcPr>
            <w:tcW w:w="2226" w:type="dxa"/>
          </w:tcPr>
          <w:p w14:paraId="3EC1F81C" w14:textId="2A4EEF1F" w:rsidR="00E64652" w:rsidRPr="00C52CE9" w:rsidRDefault="00E64652"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r</w:t>
            </w:r>
            <w:r w:rsidRPr="00C52CE9">
              <w:rPr>
                <w:rFonts w:ascii="Times New Roman" w:hAnsi="Times New Roman" w:cs="Times New Roman"/>
                <w:sz w:val="20"/>
                <w:szCs w:val="20"/>
              </w:rPr>
              <w:t>emoval</w:t>
            </w:r>
            <w:r w:rsidR="00563507">
              <w:rPr>
                <w:rFonts w:ascii="Times New Roman" w:hAnsi="Times New Roman" w:cs="Times New Roman"/>
                <w:sz w:val="20"/>
                <w:szCs w:val="20"/>
              </w:rPr>
              <w:t xml:space="preserve"> of product</w:t>
            </w:r>
            <w:r w:rsidRPr="00C52CE9">
              <w:rPr>
                <w:rFonts w:ascii="Times New Roman" w:hAnsi="Times New Roman" w:cs="Times New Roman"/>
                <w:sz w:val="20"/>
                <w:szCs w:val="20"/>
              </w:rPr>
              <w:br/>
              <w:t>(% product</w:t>
            </w:r>
            <w:r w:rsidR="00B21C14">
              <w:rPr>
                <w:rFonts w:ascii="Times New Roman" w:hAnsi="Times New Roman" w:cs="Times New Roman"/>
                <w:sz w:val="20"/>
                <w:szCs w:val="20"/>
              </w:rPr>
              <w:t xml:space="preserve"> lost</w:t>
            </w:r>
            <w:r w:rsidRPr="00C52CE9">
              <w:rPr>
                <w:rFonts w:ascii="Times New Roman" w:hAnsi="Times New Roman" w:cs="Times New Roman"/>
                <w:sz w:val="20"/>
                <w:szCs w:val="20"/>
              </w:rPr>
              <w:t>)</w:t>
            </w:r>
          </w:p>
        </w:tc>
        <w:tc>
          <w:tcPr>
            <w:tcW w:w="1108" w:type="dxa"/>
          </w:tcPr>
          <w:p w14:paraId="32581B52"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P-17</w:t>
            </w:r>
          </w:p>
        </w:tc>
        <w:tc>
          <w:tcPr>
            <w:tcW w:w="1237" w:type="dxa"/>
          </w:tcPr>
          <w:p w14:paraId="64F40EE9" w14:textId="6EAF8B20" w:rsidR="00E64652" w:rsidRPr="00C52CE9" w:rsidRDefault="00E64652" w:rsidP="00F00898">
            <w:pPr>
              <w:rPr>
                <w:rFonts w:ascii="Times New Roman" w:hAnsi="Times New Roman" w:cs="Times New Roman"/>
              </w:rPr>
            </w:pPr>
            <w:r w:rsidRPr="00C52CE9">
              <w:rPr>
                <w:rFonts w:ascii="Times New Roman" w:hAnsi="Times New Roman" w:cs="Times New Roman"/>
              </w:rPr>
              <w:t>1.72</w:t>
            </w:r>
          </w:p>
        </w:tc>
        <w:tc>
          <w:tcPr>
            <w:tcW w:w="1280" w:type="dxa"/>
          </w:tcPr>
          <w:p w14:paraId="01ECF038" w14:textId="6366E90F" w:rsidR="00E64652" w:rsidRPr="00C52CE9" w:rsidRDefault="00E64652" w:rsidP="00F00898">
            <w:pPr>
              <w:rPr>
                <w:rFonts w:ascii="Times New Roman" w:hAnsi="Times New Roman" w:cs="Times New Roman"/>
              </w:rPr>
            </w:pPr>
            <w:r>
              <w:rPr>
                <w:rFonts w:ascii="Times New Roman" w:hAnsi="Times New Roman" w:cs="Times New Roman"/>
              </w:rPr>
              <w:t>normal</w:t>
            </w:r>
          </w:p>
        </w:tc>
        <w:tc>
          <w:tcPr>
            <w:tcW w:w="3684" w:type="dxa"/>
          </w:tcPr>
          <w:p w14:paraId="420D385C" w14:textId="77777777" w:rsidR="009C4CE9" w:rsidRDefault="00E64652" w:rsidP="00F00898">
            <w:pPr>
              <w:rPr>
                <w:rFonts w:ascii="Times New Roman" w:hAnsi="Times New Roman" w:cs="Times New Roman"/>
              </w:rPr>
            </w:pPr>
            <w:r>
              <w:rPr>
                <w:rFonts w:ascii="Times New Roman" w:hAnsi="Times New Roman" w:cs="Times New Roman"/>
              </w:rPr>
              <w:t>mean</w:t>
            </w:r>
            <w:r w:rsidRPr="00C52CE9">
              <w:rPr>
                <w:rFonts w:ascii="Times New Roman" w:hAnsi="Times New Roman" w:cs="Times New Roman"/>
              </w:rPr>
              <w:t xml:space="preserve"> = </w:t>
            </w:r>
            <w:r>
              <w:rPr>
                <w:rFonts w:ascii="Times New Roman" w:hAnsi="Times New Roman" w:cs="Times New Roman"/>
              </w:rPr>
              <w:t>1.72, SD = 0.17</w:t>
            </w:r>
            <w:r w:rsidR="00704838">
              <w:rPr>
                <w:rFonts w:ascii="Times New Roman" w:hAnsi="Times New Roman" w:cs="Times New Roman"/>
              </w:rPr>
              <w:t xml:space="preserve"> </w:t>
            </w:r>
          </w:p>
          <w:p w14:paraId="79C83336" w14:textId="1BE88399" w:rsidR="00E64652" w:rsidRPr="00C52CE9" w:rsidRDefault="00704838" w:rsidP="00F00898">
            <w:pPr>
              <w:rPr>
                <w:rFonts w:ascii="Times New Roman" w:hAnsi="Times New Roman" w:cs="Times New Roman"/>
              </w:rPr>
            </w:pPr>
            <w:r>
              <w:rPr>
                <w:rFonts w:ascii="Times New Roman" w:hAnsi="Times New Roman" w:cs="Times New Roman"/>
              </w:rPr>
              <w:t>[1.08, 2.26]</w:t>
            </w:r>
          </w:p>
        </w:tc>
      </w:tr>
      <w:tr w:rsidR="00E64652" w:rsidRPr="00C52CE9" w14:paraId="55B2CB83" w14:textId="77777777" w:rsidTr="009C4CE9">
        <w:trPr>
          <w:trHeight w:val="620"/>
        </w:trPr>
        <w:tc>
          <w:tcPr>
            <w:tcW w:w="2226" w:type="dxa"/>
          </w:tcPr>
          <w:p w14:paraId="0B2551D5" w14:textId="28756036" w:rsidR="00E64652" w:rsidRPr="00C52CE9" w:rsidRDefault="00E64652"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r</w:t>
            </w:r>
            <w:r w:rsidRPr="00C52CE9">
              <w:rPr>
                <w:rFonts w:ascii="Times New Roman" w:hAnsi="Times New Roman" w:cs="Times New Roman"/>
                <w:sz w:val="20"/>
                <w:szCs w:val="20"/>
              </w:rPr>
              <w:t>emoval</w:t>
            </w:r>
            <w:r w:rsidR="00563507">
              <w:rPr>
                <w:rFonts w:ascii="Times New Roman" w:hAnsi="Times New Roman" w:cs="Times New Roman"/>
                <w:sz w:val="20"/>
                <w:szCs w:val="20"/>
              </w:rPr>
              <w:t xml:space="preserve"> of impurities</w:t>
            </w:r>
            <w:r w:rsidRPr="00C52CE9">
              <w:rPr>
                <w:rFonts w:ascii="Times New Roman" w:hAnsi="Times New Roman" w:cs="Times New Roman"/>
                <w:sz w:val="20"/>
                <w:szCs w:val="20"/>
              </w:rPr>
              <w:br/>
              <w:t>(% impurities</w:t>
            </w:r>
            <w:r w:rsidR="00B21C14">
              <w:rPr>
                <w:rFonts w:ascii="Times New Roman" w:hAnsi="Times New Roman" w:cs="Times New Roman"/>
                <w:sz w:val="20"/>
                <w:szCs w:val="20"/>
              </w:rPr>
              <w:t xml:space="preserve"> removed</w:t>
            </w:r>
            <w:r w:rsidRPr="00C52CE9">
              <w:rPr>
                <w:rFonts w:ascii="Times New Roman" w:hAnsi="Times New Roman" w:cs="Times New Roman"/>
                <w:sz w:val="20"/>
                <w:szCs w:val="20"/>
              </w:rPr>
              <w:t>)</w:t>
            </w:r>
          </w:p>
        </w:tc>
        <w:tc>
          <w:tcPr>
            <w:tcW w:w="1108" w:type="dxa"/>
          </w:tcPr>
          <w:p w14:paraId="31C1033D"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P-17</w:t>
            </w:r>
          </w:p>
        </w:tc>
        <w:tc>
          <w:tcPr>
            <w:tcW w:w="1237" w:type="dxa"/>
          </w:tcPr>
          <w:p w14:paraId="01EAF967" w14:textId="48DFB3DE" w:rsidR="00E64652" w:rsidRPr="00C52CE9" w:rsidRDefault="00E64652" w:rsidP="00F00898">
            <w:pPr>
              <w:rPr>
                <w:rFonts w:ascii="Times New Roman" w:hAnsi="Times New Roman" w:cs="Times New Roman"/>
              </w:rPr>
            </w:pPr>
            <w:r w:rsidRPr="00C52CE9">
              <w:rPr>
                <w:rFonts w:ascii="Times New Roman" w:hAnsi="Times New Roman" w:cs="Times New Roman"/>
              </w:rPr>
              <w:t>1.72</w:t>
            </w:r>
          </w:p>
        </w:tc>
        <w:tc>
          <w:tcPr>
            <w:tcW w:w="1280" w:type="dxa"/>
          </w:tcPr>
          <w:p w14:paraId="2E6E8790" w14:textId="28E77535" w:rsidR="00E64652" w:rsidRPr="00C52CE9" w:rsidRDefault="00E64652" w:rsidP="00F00898">
            <w:pPr>
              <w:rPr>
                <w:rFonts w:ascii="Times New Roman" w:hAnsi="Times New Roman" w:cs="Times New Roman"/>
              </w:rPr>
            </w:pPr>
            <w:r>
              <w:rPr>
                <w:rFonts w:ascii="Times New Roman" w:hAnsi="Times New Roman" w:cs="Times New Roman"/>
              </w:rPr>
              <w:t>normal</w:t>
            </w:r>
          </w:p>
        </w:tc>
        <w:tc>
          <w:tcPr>
            <w:tcW w:w="3684" w:type="dxa"/>
          </w:tcPr>
          <w:p w14:paraId="5CC7B254" w14:textId="77777777" w:rsidR="009C4CE9" w:rsidRDefault="00E64652" w:rsidP="00F00898">
            <w:pPr>
              <w:rPr>
                <w:rFonts w:ascii="Times New Roman" w:hAnsi="Times New Roman" w:cs="Times New Roman"/>
              </w:rPr>
            </w:pPr>
            <w:r>
              <w:rPr>
                <w:rFonts w:ascii="Times New Roman" w:hAnsi="Times New Roman" w:cs="Times New Roman"/>
              </w:rPr>
              <w:t>mean</w:t>
            </w:r>
            <w:r w:rsidRPr="00C52CE9">
              <w:rPr>
                <w:rFonts w:ascii="Times New Roman" w:hAnsi="Times New Roman" w:cs="Times New Roman"/>
              </w:rPr>
              <w:t xml:space="preserve"> = </w:t>
            </w:r>
            <w:r>
              <w:rPr>
                <w:rFonts w:ascii="Times New Roman" w:hAnsi="Times New Roman" w:cs="Times New Roman"/>
              </w:rPr>
              <w:t>1.72, SD = 0.17</w:t>
            </w:r>
            <w:r w:rsidR="00704838">
              <w:rPr>
                <w:rFonts w:ascii="Times New Roman" w:hAnsi="Times New Roman" w:cs="Times New Roman"/>
              </w:rPr>
              <w:t xml:space="preserve"> </w:t>
            </w:r>
          </w:p>
          <w:p w14:paraId="61535A0F" w14:textId="438EEA84" w:rsidR="00E64652" w:rsidRPr="00C52CE9" w:rsidRDefault="00704838" w:rsidP="00F00898">
            <w:pPr>
              <w:rPr>
                <w:rFonts w:ascii="Times New Roman" w:hAnsi="Times New Roman" w:cs="Times New Roman"/>
              </w:rPr>
            </w:pPr>
            <w:r>
              <w:rPr>
                <w:rFonts w:ascii="Times New Roman" w:hAnsi="Times New Roman" w:cs="Times New Roman"/>
              </w:rPr>
              <w:t>[1.08, 2.26]</w:t>
            </w:r>
          </w:p>
        </w:tc>
      </w:tr>
      <w:tr w:rsidR="008C6F06" w:rsidRPr="00C52CE9" w14:paraId="6E85B73E" w14:textId="77777777" w:rsidTr="009C4CE9">
        <w:trPr>
          <w:trHeight w:val="620"/>
        </w:trPr>
        <w:tc>
          <w:tcPr>
            <w:tcW w:w="2226" w:type="dxa"/>
          </w:tcPr>
          <w:p w14:paraId="4736472B" w14:textId="065F1727"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P&amp;F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lux </w:t>
            </w:r>
            <w:r w:rsidR="00720C92" w:rsidRPr="00C52CE9">
              <w:rPr>
                <w:rFonts w:ascii="Times New Roman" w:hAnsi="Times New Roman" w:cs="Times New Roman"/>
                <w:sz w:val="20"/>
                <w:szCs w:val="20"/>
              </w:rPr>
              <w:t>(L/m</w:t>
            </w:r>
            <w:r w:rsidR="00720C92" w:rsidRPr="00720C92">
              <w:rPr>
                <w:rFonts w:ascii="Times New Roman" w:hAnsi="Times New Roman" w:cs="Times New Roman"/>
                <w:sz w:val="20"/>
                <w:szCs w:val="20"/>
                <w:vertAlign w:val="superscript"/>
              </w:rPr>
              <w:t>2</w:t>
            </w:r>
            <w:r w:rsidR="00720C92" w:rsidRPr="00720C92">
              <w:rPr>
                <w:rFonts w:ascii="Grotesque" w:hAnsi="Grotesque" w:cs="Times New Roman"/>
                <w:sz w:val="20"/>
                <w:szCs w:val="20"/>
              </w:rPr>
              <w:t>∙</w:t>
            </w:r>
            <w:r w:rsidR="00720C92" w:rsidRPr="00C52CE9">
              <w:rPr>
                <w:rFonts w:ascii="Times New Roman" w:hAnsi="Times New Roman" w:cs="Times New Roman"/>
                <w:sz w:val="20"/>
                <w:szCs w:val="20"/>
              </w:rPr>
              <w:t>h)</w:t>
            </w:r>
          </w:p>
        </w:tc>
        <w:tc>
          <w:tcPr>
            <w:tcW w:w="1108" w:type="dxa"/>
          </w:tcPr>
          <w:p w14:paraId="085509A7"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P-17</w:t>
            </w:r>
          </w:p>
        </w:tc>
        <w:tc>
          <w:tcPr>
            <w:tcW w:w="1237" w:type="dxa"/>
          </w:tcPr>
          <w:p w14:paraId="19399239"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30</w:t>
            </w:r>
          </w:p>
        </w:tc>
        <w:tc>
          <w:tcPr>
            <w:tcW w:w="1280" w:type="dxa"/>
          </w:tcPr>
          <w:p w14:paraId="50AB493B" w14:textId="1EF2253B" w:rsidR="008C6F06" w:rsidRPr="00C52CE9" w:rsidRDefault="008C6F06" w:rsidP="00F00898">
            <w:pPr>
              <w:rPr>
                <w:rFonts w:ascii="Times New Roman" w:hAnsi="Times New Roman" w:cs="Times New Roman"/>
              </w:rPr>
            </w:pPr>
            <w:r>
              <w:rPr>
                <w:rFonts w:ascii="Times New Roman" w:hAnsi="Times New Roman" w:cs="Times New Roman"/>
              </w:rPr>
              <w:t>triangular</w:t>
            </w:r>
          </w:p>
        </w:tc>
        <w:tc>
          <w:tcPr>
            <w:tcW w:w="3684" w:type="dxa"/>
          </w:tcPr>
          <w:p w14:paraId="562542EF" w14:textId="0936C9AF" w:rsidR="008C6F06" w:rsidRPr="00C52CE9" w:rsidRDefault="00E64652" w:rsidP="00F00898">
            <w:pPr>
              <w:rPr>
                <w:rFonts w:ascii="Times New Roman" w:hAnsi="Times New Roman" w:cs="Times New Roman"/>
              </w:rPr>
            </w:pPr>
            <w:r>
              <w:rPr>
                <w:rFonts w:ascii="Times New Roman" w:hAnsi="Times New Roman" w:cs="Times New Roman"/>
              </w:rPr>
              <w:t xml:space="preserve">likeliest = 30, </w:t>
            </w:r>
            <w:r w:rsidRPr="00C52CE9">
              <w:rPr>
                <w:rFonts w:ascii="Times New Roman" w:hAnsi="Times New Roman" w:cs="Times New Roman"/>
              </w:rPr>
              <w:t xml:space="preserve">± </w:t>
            </w:r>
            <w:r>
              <w:rPr>
                <w:rFonts w:ascii="Times New Roman" w:hAnsi="Times New Roman" w:cs="Times New Roman"/>
              </w:rPr>
              <w:t>20</w:t>
            </w:r>
            <w:r w:rsidRPr="00C52CE9">
              <w:rPr>
                <w:rFonts w:ascii="Times New Roman" w:hAnsi="Times New Roman" w:cs="Times New Roman"/>
              </w:rPr>
              <w:t>% likeliest</w:t>
            </w:r>
            <w:r>
              <w:rPr>
                <w:rFonts w:ascii="Times New Roman" w:hAnsi="Times New Roman" w:cs="Times New Roman"/>
              </w:rPr>
              <w:br/>
              <w:t>[24, 36]</w:t>
            </w:r>
          </w:p>
        </w:tc>
      </w:tr>
      <w:tr w:rsidR="008C6F06" w:rsidRPr="00C52CE9" w14:paraId="7FB33017" w14:textId="77777777" w:rsidTr="009C4CE9">
        <w:trPr>
          <w:trHeight w:val="620"/>
        </w:trPr>
        <w:tc>
          <w:tcPr>
            <w:tcW w:w="2226" w:type="dxa"/>
          </w:tcPr>
          <w:p w14:paraId="1AD3BF5C" w14:textId="71BAC39A"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UF/DF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lux </w:t>
            </w:r>
            <w:r w:rsidR="00720C92" w:rsidRPr="00C52CE9">
              <w:rPr>
                <w:rFonts w:ascii="Times New Roman" w:hAnsi="Times New Roman" w:cs="Times New Roman"/>
                <w:sz w:val="20"/>
                <w:szCs w:val="20"/>
              </w:rPr>
              <w:t>(L/m</w:t>
            </w:r>
            <w:r w:rsidR="00720C92" w:rsidRPr="00720C92">
              <w:rPr>
                <w:rFonts w:ascii="Times New Roman" w:hAnsi="Times New Roman" w:cs="Times New Roman"/>
                <w:sz w:val="20"/>
                <w:szCs w:val="20"/>
                <w:vertAlign w:val="superscript"/>
              </w:rPr>
              <w:t>2</w:t>
            </w:r>
            <w:r w:rsidR="00720C92" w:rsidRPr="00720C92">
              <w:rPr>
                <w:rFonts w:ascii="Grotesque" w:hAnsi="Grotesque" w:cs="Times New Roman"/>
                <w:sz w:val="20"/>
                <w:szCs w:val="20"/>
              </w:rPr>
              <w:t>∙</w:t>
            </w:r>
            <w:r w:rsidR="00720C92" w:rsidRPr="00C52CE9">
              <w:rPr>
                <w:rFonts w:ascii="Times New Roman" w:hAnsi="Times New Roman" w:cs="Times New Roman"/>
                <w:sz w:val="20"/>
                <w:szCs w:val="20"/>
              </w:rPr>
              <w:t>h)</w:t>
            </w:r>
          </w:p>
        </w:tc>
        <w:tc>
          <w:tcPr>
            <w:tcW w:w="1108" w:type="dxa"/>
          </w:tcPr>
          <w:p w14:paraId="4860ED62"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P-19</w:t>
            </w:r>
          </w:p>
        </w:tc>
        <w:tc>
          <w:tcPr>
            <w:tcW w:w="1237" w:type="dxa"/>
          </w:tcPr>
          <w:p w14:paraId="434D9AC7"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30</w:t>
            </w:r>
          </w:p>
        </w:tc>
        <w:tc>
          <w:tcPr>
            <w:tcW w:w="1280" w:type="dxa"/>
          </w:tcPr>
          <w:p w14:paraId="1337AF98"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triangular</w:t>
            </w:r>
          </w:p>
        </w:tc>
        <w:tc>
          <w:tcPr>
            <w:tcW w:w="3684" w:type="dxa"/>
          </w:tcPr>
          <w:p w14:paraId="5A5811E4" w14:textId="62DE2482" w:rsidR="008C6F06" w:rsidRPr="00C52CE9" w:rsidRDefault="00E64652" w:rsidP="00F00898">
            <w:pPr>
              <w:rPr>
                <w:rFonts w:ascii="Times New Roman" w:hAnsi="Times New Roman" w:cs="Times New Roman"/>
              </w:rPr>
            </w:pPr>
            <w:r>
              <w:rPr>
                <w:rFonts w:ascii="Times New Roman" w:hAnsi="Times New Roman" w:cs="Times New Roman"/>
              </w:rPr>
              <w:t xml:space="preserve">likeliest = 30, </w:t>
            </w:r>
            <w:r w:rsidRPr="00C52CE9">
              <w:rPr>
                <w:rFonts w:ascii="Times New Roman" w:hAnsi="Times New Roman" w:cs="Times New Roman"/>
              </w:rPr>
              <w:t xml:space="preserve">± </w:t>
            </w:r>
            <w:r>
              <w:rPr>
                <w:rFonts w:ascii="Times New Roman" w:hAnsi="Times New Roman" w:cs="Times New Roman"/>
              </w:rPr>
              <w:t>20</w:t>
            </w:r>
            <w:r w:rsidRPr="00C52CE9">
              <w:rPr>
                <w:rFonts w:ascii="Times New Roman" w:hAnsi="Times New Roman" w:cs="Times New Roman"/>
              </w:rPr>
              <w:t>% likeliest</w:t>
            </w:r>
            <w:r>
              <w:rPr>
                <w:rFonts w:ascii="Times New Roman" w:hAnsi="Times New Roman" w:cs="Times New Roman"/>
              </w:rPr>
              <w:br/>
              <w:t>[24, 36]</w:t>
            </w:r>
          </w:p>
        </w:tc>
      </w:tr>
      <w:tr w:rsidR="008C6F06" w:rsidRPr="00C52CE9" w14:paraId="7C097132" w14:textId="77777777" w:rsidTr="009C4CE9">
        <w:trPr>
          <w:trHeight w:val="620"/>
        </w:trPr>
        <w:tc>
          <w:tcPr>
            <w:tcW w:w="2226" w:type="dxa"/>
          </w:tcPr>
          <w:p w14:paraId="1848E183" w14:textId="7DD3D622" w:rsidR="008C6F06" w:rsidRPr="00C52CE9" w:rsidRDefault="008C6F06" w:rsidP="00F00898">
            <w:pPr>
              <w:rPr>
                <w:rFonts w:ascii="Times New Roman" w:hAnsi="Times New Roman" w:cs="Times New Roman"/>
                <w:sz w:val="20"/>
                <w:szCs w:val="20"/>
              </w:rPr>
            </w:pPr>
            <w:r w:rsidRPr="00C52CE9">
              <w:rPr>
                <w:rFonts w:ascii="Times New Roman" w:hAnsi="Times New Roman" w:cs="Times New Roman"/>
                <w:sz w:val="20"/>
                <w:szCs w:val="20"/>
              </w:rPr>
              <w:t xml:space="preserve">CEX </w:t>
            </w:r>
            <w:r w:rsidR="000657F7">
              <w:rPr>
                <w:rFonts w:ascii="Times New Roman" w:hAnsi="Times New Roman" w:cs="Times New Roman"/>
                <w:sz w:val="20"/>
                <w:szCs w:val="20"/>
              </w:rPr>
              <w:t>r</w:t>
            </w:r>
            <w:r w:rsidRPr="00C52CE9">
              <w:rPr>
                <w:rFonts w:ascii="Times New Roman" w:hAnsi="Times New Roman" w:cs="Times New Roman"/>
                <w:sz w:val="20"/>
                <w:szCs w:val="20"/>
              </w:rPr>
              <w:t xml:space="preserve">ecovery </w:t>
            </w:r>
            <w:r w:rsidRPr="00C52CE9">
              <w:rPr>
                <w:rFonts w:ascii="Times New Roman" w:hAnsi="Times New Roman" w:cs="Times New Roman"/>
                <w:sz w:val="20"/>
                <w:szCs w:val="20"/>
              </w:rPr>
              <w:br/>
              <w:t>(% product</w:t>
            </w:r>
            <w:r w:rsidR="006A45CF">
              <w:rPr>
                <w:rFonts w:ascii="Times New Roman" w:hAnsi="Times New Roman" w:cs="Times New Roman"/>
                <w:sz w:val="20"/>
                <w:szCs w:val="20"/>
              </w:rPr>
              <w:t xml:space="preserve"> recovered</w:t>
            </w:r>
            <w:r w:rsidRPr="00C52CE9">
              <w:rPr>
                <w:rFonts w:ascii="Times New Roman" w:hAnsi="Times New Roman" w:cs="Times New Roman"/>
                <w:sz w:val="20"/>
                <w:szCs w:val="20"/>
              </w:rPr>
              <w:t>)</w:t>
            </w:r>
          </w:p>
        </w:tc>
        <w:tc>
          <w:tcPr>
            <w:tcW w:w="1108" w:type="dxa"/>
          </w:tcPr>
          <w:p w14:paraId="3F001B82" w14:textId="77777777" w:rsidR="008C6F06" w:rsidRPr="00C52CE9" w:rsidRDefault="008C6F06" w:rsidP="00F00898">
            <w:pPr>
              <w:rPr>
                <w:rFonts w:ascii="Times New Roman" w:hAnsi="Times New Roman" w:cs="Times New Roman"/>
              </w:rPr>
            </w:pPr>
            <w:r w:rsidRPr="00C52CE9">
              <w:rPr>
                <w:rFonts w:ascii="Times New Roman" w:hAnsi="Times New Roman" w:cs="Times New Roman"/>
              </w:rPr>
              <w:t>P-20</w:t>
            </w:r>
          </w:p>
        </w:tc>
        <w:tc>
          <w:tcPr>
            <w:tcW w:w="1237" w:type="dxa"/>
          </w:tcPr>
          <w:p w14:paraId="70906771" w14:textId="0A4CD456" w:rsidR="008C6F06" w:rsidRPr="00C52CE9" w:rsidRDefault="008C6F06" w:rsidP="00F00898">
            <w:pPr>
              <w:rPr>
                <w:rFonts w:ascii="Times New Roman" w:hAnsi="Times New Roman" w:cs="Times New Roman"/>
              </w:rPr>
            </w:pPr>
            <w:r w:rsidRPr="00C52CE9">
              <w:rPr>
                <w:rFonts w:ascii="Times New Roman" w:hAnsi="Times New Roman" w:cs="Times New Roman"/>
              </w:rPr>
              <w:t>8</w:t>
            </w:r>
            <w:r w:rsidR="00B23F01">
              <w:rPr>
                <w:rFonts w:ascii="Times New Roman" w:hAnsi="Times New Roman" w:cs="Times New Roman"/>
              </w:rPr>
              <w:t>8.5</w:t>
            </w:r>
          </w:p>
        </w:tc>
        <w:tc>
          <w:tcPr>
            <w:tcW w:w="1280" w:type="dxa"/>
          </w:tcPr>
          <w:p w14:paraId="6EDD577B" w14:textId="7C70910C" w:rsidR="008C6F06" w:rsidRPr="00C52CE9" w:rsidRDefault="00E62A76" w:rsidP="00F00898">
            <w:pPr>
              <w:rPr>
                <w:rFonts w:ascii="Times New Roman" w:hAnsi="Times New Roman" w:cs="Times New Roman"/>
              </w:rPr>
            </w:pPr>
            <w:r>
              <w:rPr>
                <w:rFonts w:ascii="Times New Roman" w:hAnsi="Times New Roman" w:cs="Times New Roman"/>
              </w:rPr>
              <w:t>triangular</w:t>
            </w:r>
          </w:p>
        </w:tc>
        <w:tc>
          <w:tcPr>
            <w:tcW w:w="3684" w:type="dxa"/>
          </w:tcPr>
          <w:p w14:paraId="48804A4A" w14:textId="77777777" w:rsidR="009C4CE9" w:rsidRDefault="00C52D4A" w:rsidP="00F00898">
            <w:pPr>
              <w:rPr>
                <w:rFonts w:ascii="Times New Roman" w:hAnsi="Times New Roman" w:cs="Times New Roman"/>
              </w:rPr>
            </w:pPr>
            <w:r w:rsidRPr="00C52CE9">
              <w:rPr>
                <w:rFonts w:ascii="Times New Roman" w:hAnsi="Times New Roman" w:cs="Times New Roman"/>
              </w:rPr>
              <w:t xml:space="preserve">± </w:t>
            </w:r>
            <w:r>
              <w:rPr>
                <w:rFonts w:ascii="Times New Roman" w:hAnsi="Times New Roman" w:cs="Times New Roman"/>
              </w:rPr>
              <w:t>10</w:t>
            </w:r>
            <w:r w:rsidRPr="00C52CE9">
              <w:rPr>
                <w:rFonts w:ascii="Times New Roman" w:hAnsi="Times New Roman" w:cs="Times New Roman"/>
              </w:rPr>
              <w:t xml:space="preserve">% </w:t>
            </w:r>
            <w:r>
              <w:rPr>
                <w:rFonts w:ascii="Times New Roman" w:hAnsi="Times New Roman" w:cs="Times New Roman"/>
              </w:rPr>
              <w:t>base case</w:t>
            </w:r>
            <w:r w:rsidRPr="00C52CE9">
              <w:rPr>
                <w:rFonts w:ascii="Times New Roman" w:hAnsi="Times New Roman" w:cs="Times New Roman"/>
              </w:rPr>
              <w:t xml:space="preserve"> </w:t>
            </w:r>
          </w:p>
          <w:p w14:paraId="3C71FD26" w14:textId="35E7C46B" w:rsidR="00E62A76" w:rsidRPr="00C52CE9" w:rsidRDefault="008C6F06" w:rsidP="00F00898">
            <w:pPr>
              <w:rPr>
                <w:rFonts w:ascii="Times New Roman" w:hAnsi="Times New Roman" w:cs="Times New Roman"/>
              </w:rPr>
            </w:pPr>
            <w:r w:rsidRPr="00C52CE9">
              <w:rPr>
                <w:rFonts w:ascii="Times New Roman" w:hAnsi="Times New Roman" w:cs="Times New Roman"/>
              </w:rPr>
              <w:t>[80, 9</w:t>
            </w:r>
            <w:r w:rsidR="00B23F01">
              <w:rPr>
                <w:rFonts w:ascii="Times New Roman" w:hAnsi="Times New Roman" w:cs="Times New Roman"/>
              </w:rPr>
              <w:t>7</w:t>
            </w:r>
            <w:r w:rsidRPr="00C52CE9">
              <w:rPr>
                <w:rFonts w:ascii="Times New Roman" w:hAnsi="Times New Roman" w:cs="Times New Roman"/>
              </w:rPr>
              <w:t>]</w:t>
            </w:r>
          </w:p>
        </w:tc>
      </w:tr>
      <w:tr w:rsidR="00B23F01" w:rsidRPr="00C52CE9" w14:paraId="4E2BF05B" w14:textId="77777777" w:rsidTr="009C4CE9">
        <w:trPr>
          <w:trHeight w:val="620"/>
        </w:trPr>
        <w:tc>
          <w:tcPr>
            <w:tcW w:w="2226" w:type="dxa"/>
          </w:tcPr>
          <w:p w14:paraId="516513DE" w14:textId="06965182" w:rsidR="00B23F01" w:rsidRPr="00C52CE9" w:rsidRDefault="00B23F01" w:rsidP="00F00898">
            <w:pPr>
              <w:rPr>
                <w:rFonts w:ascii="Times New Roman" w:hAnsi="Times New Roman" w:cs="Times New Roman"/>
                <w:sz w:val="20"/>
                <w:szCs w:val="20"/>
              </w:rPr>
            </w:pPr>
            <w:r w:rsidRPr="00C52CE9">
              <w:rPr>
                <w:rFonts w:ascii="Times New Roman" w:hAnsi="Times New Roman" w:cs="Times New Roman"/>
                <w:sz w:val="20"/>
                <w:szCs w:val="20"/>
              </w:rPr>
              <w:t xml:space="preserve">CEX </w:t>
            </w:r>
            <w:r w:rsidR="000657F7">
              <w:rPr>
                <w:rFonts w:ascii="Times New Roman" w:hAnsi="Times New Roman" w:cs="Times New Roman"/>
                <w:sz w:val="20"/>
                <w:szCs w:val="20"/>
              </w:rPr>
              <w:t>r</w:t>
            </w:r>
            <w:r w:rsidRPr="00C52CE9">
              <w:rPr>
                <w:rFonts w:ascii="Times New Roman" w:hAnsi="Times New Roman" w:cs="Times New Roman"/>
                <w:sz w:val="20"/>
                <w:szCs w:val="20"/>
              </w:rPr>
              <w:t xml:space="preserve">ecovery </w:t>
            </w:r>
            <w:r w:rsidRPr="00C52CE9">
              <w:rPr>
                <w:rFonts w:ascii="Times New Roman" w:hAnsi="Times New Roman" w:cs="Times New Roman"/>
                <w:sz w:val="20"/>
                <w:szCs w:val="20"/>
              </w:rPr>
              <w:br/>
              <w:t xml:space="preserve">(% </w:t>
            </w:r>
            <w:r>
              <w:rPr>
                <w:rFonts w:ascii="Times New Roman" w:hAnsi="Times New Roman" w:cs="Times New Roman"/>
                <w:sz w:val="20"/>
                <w:szCs w:val="20"/>
              </w:rPr>
              <w:t>impurities</w:t>
            </w:r>
            <w:r w:rsidR="00B21C14">
              <w:rPr>
                <w:rFonts w:ascii="Times New Roman" w:hAnsi="Times New Roman" w:cs="Times New Roman"/>
                <w:sz w:val="20"/>
                <w:szCs w:val="20"/>
              </w:rPr>
              <w:t xml:space="preserve"> recovered</w:t>
            </w:r>
            <w:r w:rsidRPr="00C52CE9">
              <w:rPr>
                <w:rFonts w:ascii="Times New Roman" w:hAnsi="Times New Roman" w:cs="Times New Roman"/>
                <w:sz w:val="20"/>
                <w:szCs w:val="20"/>
              </w:rPr>
              <w:t>)</w:t>
            </w:r>
          </w:p>
        </w:tc>
        <w:tc>
          <w:tcPr>
            <w:tcW w:w="1108" w:type="dxa"/>
          </w:tcPr>
          <w:p w14:paraId="2DB808DC" w14:textId="35C990BD" w:rsidR="00B23F01" w:rsidRPr="00C52CE9" w:rsidRDefault="00B23F01" w:rsidP="00F00898">
            <w:pPr>
              <w:rPr>
                <w:rFonts w:ascii="Times New Roman" w:hAnsi="Times New Roman" w:cs="Times New Roman"/>
              </w:rPr>
            </w:pPr>
            <w:r w:rsidRPr="00C52CE9">
              <w:rPr>
                <w:rFonts w:ascii="Times New Roman" w:hAnsi="Times New Roman" w:cs="Times New Roman"/>
              </w:rPr>
              <w:t>P-20</w:t>
            </w:r>
          </w:p>
        </w:tc>
        <w:tc>
          <w:tcPr>
            <w:tcW w:w="1237" w:type="dxa"/>
          </w:tcPr>
          <w:p w14:paraId="0838B844" w14:textId="0063EAE9" w:rsidR="00B23F01" w:rsidRPr="00C52CE9" w:rsidRDefault="00B23F01" w:rsidP="00F00898">
            <w:pPr>
              <w:rPr>
                <w:rFonts w:ascii="Times New Roman" w:hAnsi="Times New Roman" w:cs="Times New Roman"/>
              </w:rPr>
            </w:pPr>
            <w:r>
              <w:rPr>
                <w:rFonts w:ascii="Times New Roman" w:hAnsi="Times New Roman" w:cs="Times New Roman"/>
              </w:rPr>
              <w:t>5.0</w:t>
            </w:r>
          </w:p>
        </w:tc>
        <w:tc>
          <w:tcPr>
            <w:tcW w:w="1280" w:type="dxa"/>
          </w:tcPr>
          <w:p w14:paraId="0301C21A" w14:textId="45210F3B" w:rsidR="00B23F01" w:rsidRPr="00C52CE9" w:rsidRDefault="00E62A76" w:rsidP="00F00898">
            <w:pPr>
              <w:rPr>
                <w:rFonts w:ascii="Times New Roman" w:hAnsi="Times New Roman" w:cs="Times New Roman"/>
              </w:rPr>
            </w:pPr>
            <w:r>
              <w:rPr>
                <w:rFonts w:ascii="Times New Roman" w:hAnsi="Times New Roman" w:cs="Times New Roman"/>
              </w:rPr>
              <w:t>triangular</w:t>
            </w:r>
          </w:p>
        </w:tc>
        <w:tc>
          <w:tcPr>
            <w:tcW w:w="3684" w:type="dxa"/>
          </w:tcPr>
          <w:p w14:paraId="4E4D54AD" w14:textId="77777777" w:rsidR="009C4CE9" w:rsidRDefault="00C52D4A" w:rsidP="00F00898">
            <w:pPr>
              <w:rPr>
                <w:rFonts w:ascii="Times New Roman" w:hAnsi="Times New Roman" w:cs="Times New Roman"/>
              </w:rPr>
            </w:pPr>
            <w:r w:rsidRPr="00C52CE9">
              <w:rPr>
                <w:rFonts w:ascii="Times New Roman" w:hAnsi="Times New Roman" w:cs="Times New Roman"/>
              </w:rPr>
              <w:t xml:space="preserve">± </w:t>
            </w:r>
            <w:r>
              <w:rPr>
                <w:rFonts w:ascii="Times New Roman" w:hAnsi="Times New Roman" w:cs="Times New Roman"/>
              </w:rPr>
              <w:t>10</w:t>
            </w:r>
            <w:r w:rsidRPr="00C52CE9">
              <w:rPr>
                <w:rFonts w:ascii="Times New Roman" w:hAnsi="Times New Roman" w:cs="Times New Roman"/>
              </w:rPr>
              <w:t xml:space="preserve">% </w:t>
            </w:r>
            <w:r>
              <w:rPr>
                <w:rFonts w:ascii="Times New Roman" w:hAnsi="Times New Roman" w:cs="Times New Roman"/>
              </w:rPr>
              <w:t>base case</w:t>
            </w:r>
          </w:p>
          <w:p w14:paraId="7580182A" w14:textId="00BC2E6A" w:rsidR="00B23F01" w:rsidRPr="00C52CE9" w:rsidRDefault="00B23F01" w:rsidP="00F00898">
            <w:pPr>
              <w:rPr>
                <w:rFonts w:ascii="Times New Roman" w:hAnsi="Times New Roman" w:cs="Times New Roman"/>
              </w:rPr>
            </w:pPr>
            <w:r w:rsidRPr="00C52CE9">
              <w:rPr>
                <w:rFonts w:ascii="Times New Roman" w:hAnsi="Times New Roman" w:cs="Times New Roman"/>
              </w:rPr>
              <w:t>[</w:t>
            </w:r>
            <w:r>
              <w:rPr>
                <w:rFonts w:ascii="Times New Roman" w:hAnsi="Times New Roman" w:cs="Times New Roman"/>
              </w:rPr>
              <w:t>4.5</w:t>
            </w:r>
            <w:r w:rsidRPr="00C52CE9">
              <w:rPr>
                <w:rFonts w:ascii="Times New Roman" w:hAnsi="Times New Roman" w:cs="Times New Roman"/>
              </w:rPr>
              <w:t xml:space="preserve">, </w:t>
            </w:r>
            <w:r>
              <w:rPr>
                <w:rFonts w:ascii="Times New Roman" w:hAnsi="Times New Roman" w:cs="Times New Roman"/>
              </w:rPr>
              <w:t>5.5</w:t>
            </w:r>
            <w:r w:rsidRPr="00C52CE9">
              <w:rPr>
                <w:rFonts w:ascii="Times New Roman" w:hAnsi="Times New Roman" w:cs="Times New Roman"/>
              </w:rPr>
              <w:t>]</w:t>
            </w:r>
          </w:p>
        </w:tc>
      </w:tr>
      <w:tr w:rsidR="00E64652" w:rsidRPr="00C52CE9" w14:paraId="22AB015F" w14:textId="77777777" w:rsidTr="009C4CE9">
        <w:trPr>
          <w:trHeight w:val="620"/>
        </w:trPr>
        <w:tc>
          <w:tcPr>
            <w:tcW w:w="2226" w:type="dxa"/>
          </w:tcPr>
          <w:p w14:paraId="11487591" w14:textId="1108C8EC" w:rsidR="00E64652" w:rsidRPr="00C52CE9" w:rsidRDefault="00E64652" w:rsidP="00F00898">
            <w:pPr>
              <w:rPr>
                <w:rFonts w:ascii="Times New Roman" w:hAnsi="Times New Roman" w:cs="Times New Roman"/>
                <w:sz w:val="20"/>
                <w:szCs w:val="20"/>
              </w:rPr>
            </w:pPr>
            <w:r w:rsidRPr="00C52CE9">
              <w:rPr>
                <w:rFonts w:ascii="Times New Roman" w:hAnsi="Times New Roman" w:cs="Times New Roman"/>
                <w:sz w:val="20"/>
                <w:szCs w:val="20"/>
              </w:rPr>
              <w:t xml:space="preserve">UF/DF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iltration </w:t>
            </w:r>
            <w:r w:rsidR="000657F7">
              <w:rPr>
                <w:rFonts w:ascii="Times New Roman" w:hAnsi="Times New Roman" w:cs="Times New Roman"/>
                <w:sz w:val="20"/>
                <w:szCs w:val="20"/>
              </w:rPr>
              <w:t>f</w:t>
            </w:r>
            <w:r w:rsidRPr="00C52CE9">
              <w:rPr>
                <w:rFonts w:ascii="Times New Roman" w:hAnsi="Times New Roman" w:cs="Times New Roman"/>
                <w:sz w:val="20"/>
                <w:szCs w:val="20"/>
              </w:rPr>
              <w:t xml:space="preserve">lux </w:t>
            </w:r>
            <w:r w:rsidR="00720C92" w:rsidRPr="00C52CE9">
              <w:rPr>
                <w:rFonts w:ascii="Times New Roman" w:hAnsi="Times New Roman" w:cs="Times New Roman"/>
                <w:sz w:val="20"/>
                <w:szCs w:val="20"/>
              </w:rPr>
              <w:t>(L/m</w:t>
            </w:r>
            <w:r w:rsidR="00720C92" w:rsidRPr="00720C92">
              <w:rPr>
                <w:rFonts w:ascii="Times New Roman" w:hAnsi="Times New Roman" w:cs="Times New Roman"/>
                <w:sz w:val="20"/>
                <w:szCs w:val="20"/>
                <w:vertAlign w:val="superscript"/>
              </w:rPr>
              <w:t>2</w:t>
            </w:r>
            <w:r w:rsidR="00720C92" w:rsidRPr="00720C92">
              <w:rPr>
                <w:rFonts w:ascii="Grotesque" w:hAnsi="Grotesque" w:cs="Times New Roman"/>
                <w:sz w:val="20"/>
                <w:szCs w:val="20"/>
              </w:rPr>
              <w:t>∙</w:t>
            </w:r>
            <w:r w:rsidR="00720C92" w:rsidRPr="00C52CE9">
              <w:rPr>
                <w:rFonts w:ascii="Times New Roman" w:hAnsi="Times New Roman" w:cs="Times New Roman"/>
                <w:sz w:val="20"/>
                <w:szCs w:val="20"/>
              </w:rPr>
              <w:t>h)</w:t>
            </w:r>
          </w:p>
        </w:tc>
        <w:tc>
          <w:tcPr>
            <w:tcW w:w="1108" w:type="dxa"/>
          </w:tcPr>
          <w:p w14:paraId="23D2EC75"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P-22</w:t>
            </w:r>
          </w:p>
        </w:tc>
        <w:tc>
          <w:tcPr>
            <w:tcW w:w="1237" w:type="dxa"/>
          </w:tcPr>
          <w:p w14:paraId="6034396E"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40</w:t>
            </w:r>
          </w:p>
        </w:tc>
        <w:tc>
          <w:tcPr>
            <w:tcW w:w="1280" w:type="dxa"/>
          </w:tcPr>
          <w:p w14:paraId="4E8C1823" w14:textId="77777777" w:rsidR="00E64652" w:rsidRPr="00C52CE9" w:rsidRDefault="00E64652" w:rsidP="00F00898">
            <w:pPr>
              <w:rPr>
                <w:rFonts w:ascii="Times New Roman" w:hAnsi="Times New Roman" w:cs="Times New Roman"/>
              </w:rPr>
            </w:pPr>
            <w:r w:rsidRPr="00C52CE9">
              <w:rPr>
                <w:rFonts w:ascii="Times New Roman" w:hAnsi="Times New Roman" w:cs="Times New Roman"/>
              </w:rPr>
              <w:t>triangular</w:t>
            </w:r>
          </w:p>
        </w:tc>
        <w:tc>
          <w:tcPr>
            <w:tcW w:w="3684" w:type="dxa"/>
          </w:tcPr>
          <w:p w14:paraId="6F86D51F" w14:textId="463ED50C" w:rsidR="00E64652" w:rsidRPr="00C52CE9" w:rsidRDefault="00E64652" w:rsidP="00F00898">
            <w:pPr>
              <w:rPr>
                <w:rFonts w:ascii="Times New Roman" w:hAnsi="Times New Roman" w:cs="Times New Roman"/>
              </w:rPr>
            </w:pPr>
            <w:r>
              <w:rPr>
                <w:rFonts w:ascii="Times New Roman" w:hAnsi="Times New Roman" w:cs="Times New Roman"/>
              </w:rPr>
              <w:t xml:space="preserve">likeliest = 40, </w:t>
            </w:r>
            <w:r w:rsidRPr="00C52CE9">
              <w:rPr>
                <w:rFonts w:ascii="Times New Roman" w:hAnsi="Times New Roman" w:cs="Times New Roman"/>
              </w:rPr>
              <w:t xml:space="preserve">± </w:t>
            </w:r>
            <w:r>
              <w:rPr>
                <w:rFonts w:ascii="Times New Roman" w:hAnsi="Times New Roman" w:cs="Times New Roman"/>
              </w:rPr>
              <w:t>20</w:t>
            </w:r>
            <w:r w:rsidRPr="00C52CE9">
              <w:rPr>
                <w:rFonts w:ascii="Times New Roman" w:hAnsi="Times New Roman" w:cs="Times New Roman"/>
              </w:rPr>
              <w:t>% likeliest</w:t>
            </w:r>
            <w:r>
              <w:rPr>
                <w:rFonts w:ascii="Times New Roman" w:hAnsi="Times New Roman" w:cs="Times New Roman"/>
              </w:rPr>
              <w:br/>
              <w:t>[32, 48]</w:t>
            </w:r>
          </w:p>
        </w:tc>
      </w:tr>
    </w:tbl>
    <w:p w14:paraId="02FCB0F9" w14:textId="01D6F764" w:rsidR="00F0002E" w:rsidRDefault="00DD5F3D" w:rsidP="00F00898">
      <w:pPr>
        <w:spacing w:line="480" w:lineRule="auto"/>
        <w:rPr>
          <w:rFonts w:ascii="Times New Roman" w:hAnsi="Times New Roman" w:cs="Times New Roman"/>
        </w:rPr>
      </w:pPr>
      <w:r w:rsidRPr="00A92422">
        <w:rPr>
          <w:rFonts w:ascii="Times New Roman" w:hAnsi="Times New Roman" w:cs="Times New Roman"/>
          <w:b/>
          <w:bCs/>
        </w:rPr>
        <w:t xml:space="preserve">Table </w:t>
      </w:r>
      <w:r>
        <w:rPr>
          <w:rFonts w:ascii="Times New Roman" w:hAnsi="Times New Roman" w:cs="Times New Roman"/>
          <w:b/>
          <w:bCs/>
        </w:rPr>
        <w:t>1</w:t>
      </w:r>
      <w:r w:rsidRPr="00A92422">
        <w:rPr>
          <w:rFonts w:ascii="Times New Roman" w:hAnsi="Times New Roman" w:cs="Times New Roman"/>
          <w:b/>
          <w:bCs/>
        </w:rPr>
        <w:t>.</w:t>
      </w:r>
      <w:r w:rsidRPr="00F0002E">
        <w:rPr>
          <w:rFonts w:ascii="Times New Roman" w:hAnsi="Times New Roman" w:cs="Times New Roman"/>
        </w:rPr>
        <w:t xml:space="preserve"> Input parameters selected for uncertainty quantification and the defined probability distributions. </w:t>
      </w:r>
      <w:r>
        <w:rPr>
          <w:rFonts w:ascii="Times New Roman" w:hAnsi="Times New Roman" w:cs="Times New Roman"/>
        </w:rPr>
        <w:t xml:space="preserve">FW, fresh weight; P&amp;F, </w:t>
      </w:r>
      <w:proofErr w:type="gramStart"/>
      <w:r>
        <w:rPr>
          <w:rFonts w:ascii="Times New Roman" w:hAnsi="Times New Roman" w:cs="Times New Roman"/>
        </w:rPr>
        <w:t>plate</w:t>
      </w:r>
      <w:proofErr w:type="gramEnd"/>
      <w:r>
        <w:rPr>
          <w:rFonts w:ascii="Times New Roman" w:hAnsi="Times New Roman" w:cs="Times New Roman"/>
        </w:rPr>
        <w:t xml:space="preserve"> and frame; UF/DF, ultrafiltration/diafiltration.</w:t>
      </w:r>
    </w:p>
    <w:p w14:paraId="2EDD7376" w14:textId="77777777" w:rsidR="00B97A74" w:rsidRDefault="00B97A74" w:rsidP="00F00898">
      <w:pPr>
        <w:spacing w:line="480" w:lineRule="auto"/>
        <w:rPr>
          <w:rFonts w:ascii="Times New Roman" w:hAnsi="Times New Roman" w:cs="Times New Roman"/>
          <w:sz w:val="24"/>
          <w:szCs w:val="24"/>
        </w:rPr>
      </w:pPr>
    </w:p>
    <w:p w14:paraId="0956B3B3" w14:textId="0E28E9C8" w:rsidR="00F0002E" w:rsidRDefault="00F0002E" w:rsidP="00F00898">
      <w:pPr>
        <w:spacing w:line="480" w:lineRule="auto"/>
        <w:rPr>
          <w:rFonts w:ascii="Times New Roman" w:hAnsi="Times New Roman" w:cs="Times New Roman"/>
          <w:sz w:val="24"/>
          <w:szCs w:val="24"/>
        </w:rPr>
      </w:pPr>
      <w:r>
        <w:rPr>
          <w:rFonts w:ascii="Times New Roman" w:hAnsi="Times New Roman" w:cs="Times New Roman"/>
          <w:sz w:val="24"/>
          <w:szCs w:val="24"/>
        </w:rPr>
        <w:t xml:space="preserve">2.3 </w:t>
      </w:r>
      <w:r w:rsidR="00005FDF" w:rsidRPr="00182A40">
        <w:rPr>
          <w:rFonts w:ascii="Times New Roman" w:hAnsi="Times New Roman" w:cs="Times New Roman"/>
          <w:i/>
          <w:iCs/>
          <w:sz w:val="24"/>
          <w:szCs w:val="24"/>
        </w:rPr>
        <w:t xml:space="preserve">Input </w:t>
      </w:r>
      <w:r w:rsidR="00A87A6C" w:rsidRPr="00182A40">
        <w:rPr>
          <w:rFonts w:ascii="Times New Roman" w:hAnsi="Times New Roman" w:cs="Times New Roman"/>
          <w:i/>
          <w:iCs/>
          <w:sz w:val="24"/>
          <w:szCs w:val="24"/>
        </w:rPr>
        <w:t>p</w:t>
      </w:r>
      <w:r w:rsidR="00005FDF" w:rsidRPr="00182A40">
        <w:rPr>
          <w:rFonts w:ascii="Times New Roman" w:hAnsi="Times New Roman" w:cs="Times New Roman"/>
          <w:i/>
          <w:iCs/>
          <w:sz w:val="24"/>
          <w:szCs w:val="24"/>
        </w:rPr>
        <w:t>arameter</w:t>
      </w:r>
      <w:r w:rsidRPr="00182A40">
        <w:rPr>
          <w:rFonts w:ascii="Times New Roman" w:hAnsi="Times New Roman" w:cs="Times New Roman"/>
          <w:i/>
          <w:iCs/>
          <w:sz w:val="24"/>
          <w:szCs w:val="24"/>
        </w:rPr>
        <w:t xml:space="preserve"> </w:t>
      </w:r>
      <w:r w:rsidR="00A87A6C" w:rsidRPr="00182A40">
        <w:rPr>
          <w:rFonts w:ascii="Times New Roman" w:hAnsi="Times New Roman" w:cs="Times New Roman"/>
          <w:i/>
          <w:iCs/>
          <w:sz w:val="24"/>
          <w:szCs w:val="24"/>
        </w:rPr>
        <w:t>c</w:t>
      </w:r>
      <w:r w:rsidR="007648EB" w:rsidRPr="00182A40">
        <w:rPr>
          <w:rFonts w:ascii="Times New Roman" w:hAnsi="Times New Roman" w:cs="Times New Roman"/>
          <w:i/>
          <w:iCs/>
          <w:sz w:val="24"/>
          <w:szCs w:val="24"/>
        </w:rPr>
        <w:t>orrelations</w:t>
      </w:r>
    </w:p>
    <w:p w14:paraId="7FFD54E4" w14:textId="6DAC7EA7" w:rsidR="00F0002E" w:rsidRDefault="00005FD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Input parameter values are by default generated independent of each other </w:t>
      </w:r>
      <w:r w:rsidR="00430A3A">
        <w:rPr>
          <w:rFonts w:ascii="Times New Roman" w:hAnsi="Times New Roman" w:cs="Times New Roman"/>
          <w:sz w:val="24"/>
          <w:szCs w:val="24"/>
        </w:rPr>
        <w:t>using</w:t>
      </w:r>
      <w:r>
        <w:rPr>
          <w:rFonts w:ascii="Times New Roman" w:hAnsi="Times New Roman" w:cs="Times New Roman"/>
          <w:sz w:val="24"/>
          <w:szCs w:val="24"/>
        </w:rPr>
        <w:t xml:space="preserve"> random selection from the given probability distribution. </w:t>
      </w:r>
      <w:r w:rsidR="00430A3A">
        <w:rPr>
          <w:rFonts w:ascii="Times New Roman" w:hAnsi="Times New Roman" w:cs="Times New Roman"/>
          <w:sz w:val="24"/>
          <w:szCs w:val="24"/>
        </w:rPr>
        <w:t xml:space="preserve">However, parameter-parameter interactions and correlations are to be expected during manufacturing. </w:t>
      </w:r>
      <w:r w:rsidR="00301132">
        <w:rPr>
          <w:rFonts w:ascii="Times New Roman" w:hAnsi="Times New Roman" w:cs="Times New Roman"/>
          <w:sz w:val="24"/>
          <w:szCs w:val="24"/>
        </w:rPr>
        <w:t xml:space="preserve">We consider several parameter correlations in the uncertainty quantification analysis </w:t>
      </w:r>
      <w:r w:rsidR="00B35D78">
        <w:rPr>
          <w:rFonts w:ascii="Times New Roman" w:hAnsi="Times New Roman" w:cs="Times New Roman"/>
          <w:sz w:val="24"/>
          <w:szCs w:val="24"/>
        </w:rPr>
        <w:t>by defining</w:t>
      </w:r>
      <w:r w:rsidR="00301132">
        <w:rPr>
          <w:rFonts w:ascii="Times New Roman" w:hAnsi="Times New Roman" w:cs="Times New Roman"/>
          <w:sz w:val="24"/>
          <w:szCs w:val="24"/>
        </w:rPr>
        <w:t xml:space="preserve"> Pearson correlation coefficients</w:t>
      </w:r>
      <w:r w:rsidR="000C491B">
        <w:rPr>
          <w:rFonts w:ascii="Times New Roman" w:hAnsi="Times New Roman" w:cs="Times New Roman"/>
          <w:sz w:val="24"/>
          <w:szCs w:val="24"/>
        </w:rPr>
        <w:t xml:space="preserve"> in Crystal Ball </w:t>
      </w:r>
      <w:r w:rsidR="00B35D78">
        <w:rPr>
          <w:rFonts w:ascii="Times New Roman" w:hAnsi="Times New Roman" w:cs="Times New Roman"/>
          <w:sz w:val="24"/>
          <w:szCs w:val="24"/>
        </w:rPr>
        <w:t>to establish a degree of linear relationship between two variables</w:t>
      </w:r>
      <w:r w:rsidR="00301132">
        <w:rPr>
          <w:rFonts w:ascii="Times New Roman" w:hAnsi="Times New Roman" w:cs="Times New Roman"/>
          <w:sz w:val="24"/>
          <w:szCs w:val="24"/>
        </w:rPr>
        <w:t xml:space="preserve">. The Pearson correlation </w:t>
      </w:r>
      <w:r w:rsidR="00301132">
        <w:rPr>
          <w:rFonts w:ascii="Times New Roman" w:hAnsi="Times New Roman" w:cs="Times New Roman"/>
          <w:sz w:val="24"/>
          <w:szCs w:val="24"/>
        </w:rPr>
        <w:lastRenderedPageBreak/>
        <w:t xml:space="preserve">coefficients </w:t>
      </w:r>
      <w:r w:rsidR="00B35D78">
        <w:rPr>
          <w:rFonts w:ascii="Times New Roman" w:hAnsi="Times New Roman" w:cs="Times New Roman"/>
          <w:sz w:val="24"/>
          <w:szCs w:val="24"/>
        </w:rPr>
        <w:t xml:space="preserve">used in the model </w:t>
      </w:r>
      <w:r w:rsidR="00301132">
        <w:rPr>
          <w:rFonts w:ascii="Times New Roman" w:hAnsi="Times New Roman" w:cs="Times New Roman"/>
          <w:sz w:val="24"/>
          <w:szCs w:val="24"/>
        </w:rPr>
        <w:t xml:space="preserve">are primarily based on the reported findings in </w:t>
      </w:r>
      <w:r w:rsidR="00467765" w:rsidRPr="00467765">
        <w:rPr>
          <w:rFonts w:ascii="Times New Roman" w:hAnsi="Times New Roman" w:cs="Times New Roman"/>
          <w:noProof/>
          <w:sz w:val="24"/>
          <w:szCs w:val="24"/>
        </w:rPr>
        <w:t>Knödler</w:t>
      </w:r>
      <w:r w:rsidR="00467765">
        <w:rPr>
          <w:rFonts w:ascii="Times New Roman" w:hAnsi="Times New Roman" w:cs="Times New Roman"/>
          <w:sz w:val="24"/>
          <w:szCs w:val="24"/>
        </w:rPr>
        <w:t xml:space="preserve"> and colleagues </w:t>
      </w:r>
      <w:r w:rsidR="00AE1903">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{"citationItems":[{"id":"ITEM-1","itemData":{"DOI":"10.3389/fpls.2019.01245","ISSN":"1664-462X","abstract":"Transgenic plants have the potential to produce recombinant proteins on an agricultural scale, with yields of several tons per year. The cost-effectiveness of transgenic plants increases if simple cultivation facilities such as greenhouses can be used for production. In such a setting, we expressed a novel affinity ligand based on the fluorescent protein DsRed, which we used as a carrier for the linear epitope ELDKWA from the HIV-neutralizing antibody 2F5. The DsRed-2F5-epitope (DFE) fusion protein was produced in 12 consecutive batches of transgenic tobacco (Nicotiana tabacum) plants over the course of 2 years and was purified using a combination of blanching and immobilized metal-ion affinity chromatography (IMAC). The average purity after IMAC was 57 ± 26% (n = 24) in terms of total soluble protein, but the average yield of pure DFE (12 mg kg−1) showed substantial variation (± 97 mg kg−1, n = 24) which correlated with seasonal changes. Specifically, we found that temperature peaks (&gt;28°C) and intense illuminance (&gt;45 klx h−1) were associated with lower DFE yields after purification, reflecting the loss of the epitope-containing C-terminus in up to 90% of the product. Whereas the weather factors were of limited use to predict product yields of individual harvests conducted for each batch (spaced by 1 week), the average batch yields were well approximated by simple linear regression models using two independent variables for prediction (illuminance and plant age). Interestingly, accumulation levels determined by fluorescence analysis were not affected by weather conditions but positively correlated with plant age, suggesting that the product was still expressed at high levels, but the extreme conditions affected its stability, albeit still preserving the fluorophore function. The efficient production of intact recombinant proteins in plants may therefore require adequate climate control and shading in greenhouses or even cultivation in fully controlled indoor farms.","author":[{"dropping-particle":"","family":"Knödler","given":"Matthias","non-dropping-particle":"","parse-names":false,"suffix":""},{"dropping-particle":"","family":"Rühl","given":"Clemens","non-dropping-particle":"","parse-names":false,"suffix":""},{"dropping-particle":"","family":"Emonts","given":"Jessica","non-dropping-particle":"","parse-names":false,"suffix":""},{"dropping-particle":"","family":"Buyel","given":"Johannes Felix","non-dropping-particle":"","parse-names":false,"suffix":""}],"container-title":"Frontiers in Plant Science","id":"ITEM-1","issued":{"date-parts":[["2019","10","8"]]},"page":"1245","publisher":"Frontiers Media S.A.","title":"Seasonal Weather Changes Affect the Yield and Quality of Recombinant Proteins Produced in Transgenic Tobacco Plants in a Greenhouse Setting","type":"article-journal","volume":"10"},"uris":["http://www.mendeley.com/documents/?uuid=9959d07e-cfcc-3fe8-a4d5-cefb35e75324"]}],"mendeley":{"formattedCitation":"(Knödler et al., 2019)","plainTextFormattedCitation":"(Knödler et al., 2019)","previouslyFormattedCitation":"(Knödler et al., 2019)"},"properties":{"noteIndex":0},"schema":"https://github.com/citation-style-language/schema/raw/master/csl-citation.json"}</w:instrText>
      </w:r>
      <w:r w:rsidR="00AE1903">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(Knödler et al., 2019)</w:t>
      </w:r>
      <w:r w:rsidR="00AE1903">
        <w:rPr>
          <w:rFonts w:ascii="Times New Roman" w:hAnsi="Times New Roman" w:cs="Times New Roman"/>
          <w:sz w:val="24"/>
          <w:szCs w:val="24"/>
        </w:rPr>
        <w:fldChar w:fldCharType="end"/>
      </w:r>
      <w:r w:rsidR="00301132">
        <w:rPr>
          <w:rFonts w:ascii="Times New Roman" w:hAnsi="Times New Roman" w:cs="Times New Roman"/>
          <w:sz w:val="24"/>
          <w:szCs w:val="24"/>
        </w:rPr>
        <w:t xml:space="preserve">. We also assume </w:t>
      </w:r>
      <w:proofErr w:type="gramStart"/>
      <w:r w:rsidR="00AE1903">
        <w:rPr>
          <w:rFonts w:ascii="Times New Roman" w:hAnsi="Times New Roman" w:cs="Times New Roman"/>
          <w:sz w:val="24"/>
          <w:szCs w:val="24"/>
        </w:rPr>
        <w:t>on the basis of</w:t>
      </w:r>
      <w:proofErr w:type="gramEnd"/>
      <w:r w:rsidR="00AE1903">
        <w:rPr>
          <w:rFonts w:ascii="Times New Roman" w:hAnsi="Times New Roman" w:cs="Times New Roman"/>
          <w:sz w:val="24"/>
          <w:szCs w:val="24"/>
        </w:rPr>
        <w:t xml:space="preserve"> working process knowledge </w:t>
      </w:r>
      <w:r w:rsidR="00301132">
        <w:rPr>
          <w:rFonts w:ascii="Times New Roman" w:hAnsi="Times New Roman" w:cs="Times New Roman"/>
          <w:sz w:val="24"/>
          <w:szCs w:val="24"/>
        </w:rPr>
        <w:t xml:space="preserve">that there is a moderate positive correlation (r = 0.7) between product </w:t>
      </w:r>
      <w:r w:rsidR="00956892">
        <w:rPr>
          <w:rFonts w:ascii="Times New Roman" w:hAnsi="Times New Roman" w:cs="Times New Roman"/>
          <w:sz w:val="24"/>
          <w:szCs w:val="24"/>
        </w:rPr>
        <w:t>loss</w:t>
      </w:r>
      <w:r w:rsidR="007B0F3B">
        <w:rPr>
          <w:rFonts w:ascii="Times New Roman" w:hAnsi="Times New Roman" w:cs="Times New Roman"/>
          <w:sz w:val="24"/>
          <w:szCs w:val="24"/>
        </w:rPr>
        <w:t xml:space="preserve"> </w:t>
      </w:r>
      <w:r w:rsidR="00301132">
        <w:rPr>
          <w:rFonts w:ascii="Times New Roman" w:hAnsi="Times New Roman" w:cs="Times New Roman"/>
          <w:sz w:val="24"/>
          <w:szCs w:val="24"/>
        </w:rPr>
        <w:t xml:space="preserve">and impurities removal in the plate and frame filtration </w:t>
      </w:r>
      <w:r w:rsidR="000A0E17">
        <w:rPr>
          <w:rFonts w:ascii="Times New Roman" w:hAnsi="Times New Roman" w:cs="Times New Roman"/>
          <w:sz w:val="24"/>
          <w:szCs w:val="24"/>
        </w:rPr>
        <w:t>procedure P-11</w:t>
      </w:r>
      <w:r w:rsidR="00301132">
        <w:rPr>
          <w:rFonts w:ascii="Times New Roman" w:hAnsi="Times New Roman" w:cs="Times New Roman"/>
          <w:sz w:val="24"/>
          <w:szCs w:val="24"/>
        </w:rPr>
        <w:t xml:space="preserve">. </w:t>
      </w:r>
    </w:p>
    <w:tbl>
      <w:tblPr>
        <w:tblStyle w:val="TableGrid"/>
        <w:tblW w:w="10885" w:type="dxa"/>
        <w:tblLayout w:type="fixed"/>
        <w:tblLook w:val="04A0" w:firstRow="1" w:lastRow="0" w:firstColumn="1" w:lastColumn="0" w:noHBand="0" w:noVBand="1"/>
      </w:tblPr>
      <w:tblGrid>
        <w:gridCol w:w="1615"/>
        <w:gridCol w:w="1440"/>
        <w:gridCol w:w="1440"/>
        <w:gridCol w:w="1440"/>
        <w:gridCol w:w="1710"/>
        <w:gridCol w:w="1620"/>
        <w:gridCol w:w="1620"/>
      </w:tblGrid>
      <w:tr w:rsidR="00A92422" w14:paraId="48C68062" w14:textId="77777777" w:rsidTr="00F9206A">
        <w:tc>
          <w:tcPr>
            <w:tcW w:w="1615" w:type="dxa"/>
            <w:shd w:val="clear" w:color="auto" w:fill="B4C6E7" w:themeFill="accent1" w:themeFillTint="66"/>
          </w:tcPr>
          <w:p w14:paraId="33410E85" w14:textId="77777777" w:rsidR="00A92422" w:rsidRPr="00A92422" w:rsidRDefault="00A92422" w:rsidP="00F00898">
            <w:pPr>
              <w:rPr>
                <w:rFonts w:ascii="Times New Roman" w:hAnsi="Times New Roman" w:cs="Times New Roman"/>
              </w:rPr>
            </w:pPr>
          </w:p>
        </w:tc>
        <w:tc>
          <w:tcPr>
            <w:tcW w:w="1440" w:type="dxa"/>
            <w:shd w:val="clear" w:color="auto" w:fill="B4C6E7" w:themeFill="accent1" w:themeFillTint="66"/>
          </w:tcPr>
          <w:p w14:paraId="61D6C221" w14:textId="0A0569A7" w:rsidR="00A92422" w:rsidRPr="00A92422" w:rsidRDefault="001D3F2B" w:rsidP="00F00898">
            <w:pPr>
              <w:rPr>
                <w:rFonts w:ascii="Times New Roman" w:hAnsi="Times New Roman" w:cs="Times New Roman"/>
              </w:rPr>
            </w:pPr>
            <w:r>
              <w:rPr>
                <w:rFonts w:ascii="Times New Roman" w:hAnsi="Times New Roman" w:cs="Times New Roman"/>
              </w:rPr>
              <w:t xml:space="preserve">Field </w:t>
            </w:r>
            <w:r w:rsidR="00563507">
              <w:rPr>
                <w:rFonts w:ascii="Times New Roman" w:hAnsi="Times New Roman" w:cs="Times New Roman"/>
              </w:rPr>
              <w:t>g</w:t>
            </w:r>
            <w:r>
              <w:rPr>
                <w:rFonts w:ascii="Times New Roman" w:hAnsi="Times New Roman" w:cs="Times New Roman"/>
              </w:rPr>
              <w:t xml:space="preserve">rowth </w:t>
            </w:r>
            <w:r w:rsidR="00563507">
              <w:rPr>
                <w:rFonts w:ascii="Times New Roman" w:hAnsi="Times New Roman" w:cs="Times New Roman"/>
              </w:rPr>
              <w:t>y</w:t>
            </w:r>
            <w:r>
              <w:rPr>
                <w:rFonts w:ascii="Times New Roman" w:hAnsi="Times New Roman" w:cs="Times New Roman"/>
              </w:rPr>
              <w:t>ield</w:t>
            </w:r>
            <w:r>
              <w:rPr>
                <w:rFonts w:ascii="Times New Roman" w:hAnsi="Times New Roman" w:cs="Times New Roman"/>
              </w:rPr>
              <w:br/>
              <w:t>(P-2)</w:t>
            </w:r>
          </w:p>
        </w:tc>
        <w:tc>
          <w:tcPr>
            <w:tcW w:w="1440" w:type="dxa"/>
            <w:shd w:val="clear" w:color="auto" w:fill="B4C6E7" w:themeFill="accent1" w:themeFillTint="66"/>
          </w:tcPr>
          <w:p w14:paraId="06E26693" w14:textId="6776B2C1" w:rsidR="00A92422" w:rsidRPr="00A92422" w:rsidRDefault="001D3F2B" w:rsidP="00F00898">
            <w:pPr>
              <w:rPr>
                <w:rFonts w:ascii="Times New Roman" w:hAnsi="Times New Roman" w:cs="Times New Roman"/>
              </w:rPr>
            </w:pPr>
            <w:r w:rsidRPr="00A92422">
              <w:rPr>
                <w:rFonts w:ascii="Times New Roman" w:hAnsi="Times New Roman" w:cs="Times New Roman"/>
              </w:rPr>
              <w:t xml:space="preserve">Field </w:t>
            </w:r>
            <w:r w:rsidR="00563507">
              <w:rPr>
                <w:rFonts w:ascii="Times New Roman" w:hAnsi="Times New Roman" w:cs="Times New Roman"/>
              </w:rPr>
              <w:t>g</w:t>
            </w:r>
            <w:r w:rsidRPr="00A92422">
              <w:rPr>
                <w:rFonts w:ascii="Times New Roman" w:hAnsi="Times New Roman" w:cs="Times New Roman"/>
              </w:rPr>
              <w:t xml:space="preserve">rowth </w:t>
            </w:r>
            <w:r w:rsidR="00563507">
              <w:rPr>
                <w:rFonts w:ascii="Times New Roman" w:hAnsi="Times New Roman" w:cs="Times New Roman"/>
              </w:rPr>
              <w:t>t</w:t>
            </w:r>
            <w:r w:rsidRPr="00A92422">
              <w:rPr>
                <w:rFonts w:ascii="Times New Roman" w:hAnsi="Times New Roman" w:cs="Times New Roman"/>
              </w:rPr>
              <w:t>ime</w:t>
            </w:r>
            <w:r>
              <w:rPr>
                <w:rFonts w:ascii="Times New Roman" w:hAnsi="Times New Roman" w:cs="Times New Roman"/>
              </w:rPr>
              <w:br/>
              <w:t>(P-2)</w:t>
            </w:r>
          </w:p>
        </w:tc>
        <w:tc>
          <w:tcPr>
            <w:tcW w:w="1440" w:type="dxa"/>
            <w:shd w:val="clear" w:color="auto" w:fill="B4C6E7" w:themeFill="accent1" w:themeFillTint="66"/>
          </w:tcPr>
          <w:p w14:paraId="3685CF2C" w14:textId="543C4F6C" w:rsidR="00A92422" w:rsidRPr="00A92422" w:rsidRDefault="001D3F2B" w:rsidP="00F00898">
            <w:pPr>
              <w:rPr>
                <w:rFonts w:ascii="Times New Roman" w:hAnsi="Times New Roman" w:cs="Times New Roman"/>
              </w:rPr>
            </w:pPr>
            <w:r w:rsidRPr="00A92422">
              <w:rPr>
                <w:rFonts w:ascii="Times New Roman" w:hAnsi="Times New Roman" w:cs="Times New Roman"/>
              </w:rPr>
              <w:t xml:space="preserve">Expression </w:t>
            </w:r>
            <w:r w:rsidR="00563507">
              <w:rPr>
                <w:rFonts w:ascii="Times New Roman" w:hAnsi="Times New Roman" w:cs="Times New Roman"/>
              </w:rPr>
              <w:t>l</w:t>
            </w:r>
            <w:r w:rsidRPr="00A92422">
              <w:rPr>
                <w:rFonts w:ascii="Times New Roman" w:hAnsi="Times New Roman" w:cs="Times New Roman"/>
              </w:rPr>
              <w:t>evel</w:t>
            </w:r>
            <w:r>
              <w:rPr>
                <w:rFonts w:ascii="Times New Roman" w:hAnsi="Times New Roman" w:cs="Times New Roman"/>
              </w:rPr>
              <w:br/>
              <w:t>(P-4)</w:t>
            </w:r>
          </w:p>
        </w:tc>
        <w:tc>
          <w:tcPr>
            <w:tcW w:w="1710" w:type="dxa"/>
            <w:shd w:val="clear" w:color="auto" w:fill="B4C6E7" w:themeFill="accent1" w:themeFillTint="66"/>
          </w:tcPr>
          <w:p w14:paraId="4669A68C" w14:textId="44C047F0" w:rsidR="00A92422" w:rsidRPr="00A92422" w:rsidRDefault="001D3F2B" w:rsidP="00F00898">
            <w:pPr>
              <w:rPr>
                <w:rFonts w:ascii="Times New Roman" w:hAnsi="Times New Roman" w:cs="Times New Roman"/>
              </w:rPr>
            </w:pPr>
            <w:r w:rsidRPr="00A92422">
              <w:rPr>
                <w:rFonts w:ascii="Times New Roman" w:hAnsi="Times New Roman" w:cs="Times New Roman"/>
              </w:rPr>
              <w:t xml:space="preserve">P&amp;F </w:t>
            </w:r>
            <w:r w:rsidR="00563507">
              <w:rPr>
                <w:rFonts w:ascii="Times New Roman" w:hAnsi="Times New Roman" w:cs="Times New Roman"/>
              </w:rPr>
              <w:t>r</w:t>
            </w:r>
            <w:r w:rsidRPr="00A92422">
              <w:rPr>
                <w:rFonts w:ascii="Times New Roman" w:hAnsi="Times New Roman" w:cs="Times New Roman"/>
              </w:rPr>
              <w:t>emoval</w:t>
            </w:r>
            <w:r w:rsidR="00563507">
              <w:rPr>
                <w:rFonts w:ascii="Times New Roman" w:hAnsi="Times New Roman" w:cs="Times New Roman"/>
              </w:rPr>
              <w:t xml:space="preserve"> of product</w:t>
            </w:r>
            <w:r>
              <w:rPr>
                <w:rFonts w:ascii="Times New Roman" w:hAnsi="Times New Roman" w:cs="Times New Roman"/>
              </w:rPr>
              <w:t xml:space="preserve"> </w:t>
            </w:r>
            <w:r>
              <w:rPr>
                <w:rFonts w:ascii="Times New Roman" w:hAnsi="Times New Roman" w:cs="Times New Roman"/>
              </w:rPr>
              <w:br/>
              <w:t>(P-11)</w:t>
            </w:r>
          </w:p>
        </w:tc>
        <w:tc>
          <w:tcPr>
            <w:tcW w:w="1620" w:type="dxa"/>
            <w:shd w:val="clear" w:color="auto" w:fill="B4C6E7" w:themeFill="accent1" w:themeFillTint="66"/>
          </w:tcPr>
          <w:p w14:paraId="5E272159" w14:textId="4C27D9D4" w:rsidR="00A92422" w:rsidRPr="00A92422" w:rsidRDefault="001D3F2B" w:rsidP="00F00898">
            <w:pPr>
              <w:rPr>
                <w:rFonts w:ascii="Times New Roman" w:hAnsi="Times New Roman" w:cs="Times New Roman"/>
              </w:rPr>
            </w:pPr>
            <w:r w:rsidRPr="00A92422">
              <w:rPr>
                <w:rFonts w:ascii="Times New Roman" w:hAnsi="Times New Roman" w:cs="Times New Roman"/>
              </w:rPr>
              <w:t xml:space="preserve">P&amp;F </w:t>
            </w:r>
            <w:r w:rsidR="00563507">
              <w:rPr>
                <w:rFonts w:ascii="Times New Roman" w:hAnsi="Times New Roman" w:cs="Times New Roman"/>
              </w:rPr>
              <w:t>r</w:t>
            </w:r>
            <w:r w:rsidRPr="00A92422">
              <w:rPr>
                <w:rFonts w:ascii="Times New Roman" w:hAnsi="Times New Roman" w:cs="Times New Roman"/>
              </w:rPr>
              <w:t>emoval</w:t>
            </w:r>
            <w:r w:rsidR="00563507">
              <w:rPr>
                <w:rFonts w:ascii="Times New Roman" w:hAnsi="Times New Roman" w:cs="Times New Roman"/>
              </w:rPr>
              <w:t xml:space="preserve"> of </w:t>
            </w:r>
            <w:r w:rsidRPr="00A92422">
              <w:rPr>
                <w:rFonts w:ascii="Times New Roman" w:hAnsi="Times New Roman" w:cs="Times New Roman"/>
              </w:rPr>
              <w:t>impurities</w:t>
            </w:r>
            <w:r>
              <w:rPr>
                <w:rFonts w:ascii="Times New Roman" w:hAnsi="Times New Roman" w:cs="Times New Roman"/>
              </w:rPr>
              <w:t xml:space="preserve"> (P-11)</w:t>
            </w:r>
          </w:p>
        </w:tc>
        <w:tc>
          <w:tcPr>
            <w:tcW w:w="1620" w:type="dxa"/>
            <w:shd w:val="clear" w:color="auto" w:fill="B4C6E7" w:themeFill="accent1" w:themeFillTint="66"/>
          </w:tcPr>
          <w:p w14:paraId="1E374108" w14:textId="0DA22814" w:rsidR="00A92422" w:rsidRPr="00A92422" w:rsidRDefault="001D3F2B" w:rsidP="00F00898">
            <w:pPr>
              <w:rPr>
                <w:rFonts w:ascii="Times New Roman" w:hAnsi="Times New Roman" w:cs="Times New Roman"/>
              </w:rPr>
            </w:pPr>
            <w:r w:rsidRPr="00A92422">
              <w:rPr>
                <w:rFonts w:ascii="Times New Roman" w:hAnsi="Times New Roman" w:cs="Times New Roman"/>
              </w:rPr>
              <w:t xml:space="preserve">CEX </w:t>
            </w:r>
            <w:r w:rsidR="00563507">
              <w:rPr>
                <w:rFonts w:ascii="Times New Roman" w:hAnsi="Times New Roman" w:cs="Times New Roman"/>
              </w:rPr>
              <w:t>r</w:t>
            </w:r>
            <w:r w:rsidRPr="00A92422">
              <w:rPr>
                <w:rFonts w:ascii="Times New Roman" w:hAnsi="Times New Roman" w:cs="Times New Roman"/>
              </w:rPr>
              <w:t>ecovery</w:t>
            </w:r>
            <w:r w:rsidR="00563507">
              <w:rPr>
                <w:rFonts w:ascii="Times New Roman" w:hAnsi="Times New Roman" w:cs="Times New Roman"/>
              </w:rPr>
              <w:t xml:space="preserve"> of </w:t>
            </w:r>
            <w:r>
              <w:rPr>
                <w:rFonts w:ascii="Times New Roman" w:hAnsi="Times New Roman" w:cs="Times New Roman"/>
              </w:rPr>
              <w:t>product</w:t>
            </w:r>
            <w:r>
              <w:rPr>
                <w:rFonts w:ascii="Times New Roman" w:hAnsi="Times New Roman" w:cs="Times New Roman"/>
              </w:rPr>
              <w:br/>
              <w:t>(P-20)</w:t>
            </w:r>
          </w:p>
        </w:tc>
      </w:tr>
      <w:tr w:rsidR="00A92422" w14:paraId="612E7380" w14:textId="77777777" w:rsidTr="00F9206A">
        <w:tc>
          <w:tcPr>
            <w:tcW w:w="1615" w:type="dxa"/>
            <w:shd w:val="clear" w:color="auto" w:fill="B4C6E7" w:themeFill="accent1" w:themeFillTint="66"/>
          </w:tcPr>
          <w:p w14:paraId="02381D73" w14:textId="71EFD9DB" w:rsidR="00A92422" w:rsidRPr="00A92422" w:rsidRDefault="006A5F22" w:rsidP="00F00898">
            <w:pPr>
              <w:rPr>
                <w:rFonts w:ascii="Times New Roman" w:hAnsi="Times New Roman" w:cs="Times New Roman"/>
              </w:rPr>
            </w:pPr>
            <w:r>
              <w:rPr>
                <w:rFonts w:ascii="Times New Roman" w:hAnsi="Times New Roman" w:cs="Times New Roman"/>
              </w:rPr>
              <w:t xml:space="preserve">Field </w:t>
            </w:r>
            <w:r w:rsidR="00563507">
              <w:rPr>
                <w:rFonts w:ascii="Times New Roman" w:hAnsi="Times New Roman" w:cs="Times New Roman"/>
              </w:rPr>
              <w:t>g</w:t>
            </w:r>
            <w:r>
              <w:rPr>
                <w:rFonts w:ascii="Times New Roman" w:hAnsi="Times New Roman" w:cs="Times New Roman"/>
              </w:rPr>
              <w:t xml:space="preserve">rowth </w:t>
            </w:r>
            <w:r w:rsidR="00563507">
              <w:rPr>
                <w:rFonts w:ascii="Times New Roman" w:hAnsi="Times New Roman" w:cs="Times New Roman"/>
              </w:rPr>
              <w:t>y</w:t>
            </w:r>
            <w:r>
              <w:rPr>
                <w:rFonts w:ascii="Times New Roman" w:hAnsi="Times New Roman" w:cs="Times New Roman"/>
              </w:rPr>
              <w:t>ield</w:t>
            </w:r>
            <w:r w:rsidR="000A0E17">
              <w:rPr>
                <w:rFonts w:ascii="Times New Roman" w:hAnsi="Times New Roman" w:cs="Times New Roman"/>
              </w:rPr>
              <w:br/>
              <w:t>(P-2)</w:t>
            </w:r>
          </w:p>
        </w:tc>
        <w:tc>
          <w:tcPr>
            <w:tcW w:w="1440" w:type="dxa"/>
            <w:shd w:val="clear" w:color="auto" w:fill="D9E2F3" w:themeFill="accent1" w:themeFillTint="33"/>
          </w:tcPr>
          <w:p w14:paraId="3DCE8331" w14:textId="639FDC8C" w:rsidR="00A92422" w:rsidRPr="00A92422" w:rsidRDefault="002E0891" w:rsidP="00F00898">
            <w:pPr>
              <w:rPr>
                <w:rFonts w:ascii="Times New Roman" w:hAnsi="Times New Roman" w:cs="Times New Roman"/>
              </w:rPr>
            </w:pPr>
            <w:r>
              <w:rPr>
                <w:rFonts w:ascii="Times New Roman" w:hAnsi="Times New Roman" w:cs="Times New Roman"/>
              </w:rPr>
              <w:t>--</w:t>
            </w:r>
          </w:p>
        </w:tc>
        <w:tc>
          <w:tcPr>
            <w:tcW w:w="1440" w:type="dxa"/>
          </w:tcPr>
          <w:p w14:paraId="368BD468" w14:textId="054F2C15" w:rsidR="00A92422" w:rsidRPr="00A92422" w:rsidRDefault="00A92422" w:rsidP="00F00898">
            <w:pPr>
              <w:rPr>
                <w:rFonts w:ascii="Times New Roman" w:hAnsi="Times New Roman" w:cs="Times New Roman"/>
              </w:rPr>
            </w:pPr>
            <w:r w:rsidRPr="00A92422">
              <w:rPr>
                <w:rFonts w:ascii="Times New Roman" w:hAnsi="Times New Roman" w:cs="Times New Roman"/>
              </w:rPr>
              <w:t>r = 0.8842</w:t>
            </w:r>
          </w:p>
        </w:tc>
        <w:tc>
          <w:tcPr>
            <w:tcW w:w="1440" w:type="dxa"/>
          </w:tcPr>
          <w:p w14:paraId="2D606FF3" w14:textId="77777777" w:rsidR="00A92422" w:rsidRPr="00A92422" w:rsidRDefault="00A92422" w:rsidP="00F00898">
            <w:pPr>
              <w:rPr>
                <w:rFonts w:ascii="Times New Roman" w:hAnsi="Times New Roman" w:cs="Times New Roman"/>
              </w:rPr>
            </w:pPr>
          </w:p>
        </w:tc>
        <w:tc>
          <w:tcPr>
            <w:tcW w:w="1710" w:type="dxa"/>
          </w:tcPr>
          <w:p w14:paraId="67B392C5" w14:textId="4B42433E" w:rsidR="00A92422" w:rsidRPr="00A92422" w:rsidRDefault="00A92422" w:rsidP="00F00898">
            <w:pPr>
              <w:rPr>
                <w:rFonts w:ascii="Times New Roman" w:hAnsi="Times New Roman" w:cs="Times New Roman"/>
              </w:rPr>
            </w:pPr>
            <w:r w:rsidRPr="00A92422">
              <w:rPr>
                <w:rFonts w:ascii="Times New Roman" w:hAnsi="Times New Roman" w:cs="Times New Roman"/>
              </w:rPr>
              <w:t>r = -0.6321</w:t>
            </w:r>
          </w:p>
        </w:tc>
        <w:tc>
          <w:tcPr>
            <w:tcW w:w="1620" w:type="dxa"/>
          </w:tcPr>
          <w:p w14:paraId="6F127312" w14:textId="77777777" w:rsidR="00A92422" w:rsidRPr="00A92422" w:rsidRDefault="00A92422" w:rsidP="00F00898">
            <w:pPr>
              <w:rPr>
                <w:rFonts w:ascii="Times New Roman" w:hAnsi="Times New Roman" w:cs="Times New Roman"/>
              </w:rPr>
            </w:pPr>
          </w:p>
        </w:tc>
        <w:tc>
          <w:tcPr>
            <w:tcW w:w="1620" w:type="dxa"/>
          </w:tcPr>
          <w:p w14:paraId="31D55BC5" w14:textId="77777777" w:rsidR="00A92422" w:rsidRPr="00A92422" w:rsidRDefault="00A92422" w:rsidP="00F00898">
            <w:pPr>
              <w:rPr>
                <w:rFonts w:ascii="Times New Roman" w:hAnsi="Times New Roman" w:cs="Times New Roman"/>
              </w:rPr>
            </w:pPr>
          </w:p>
        </w:tc>
      </w:tr>
      <w:tr w:rsidR="00A92422" w14:paraId="2C3AFE16" w14:textId="77777777" w:rsidTr="00F9206A">
        <w:tc>
          <w:tcPr>
            <w:tcW w:w="1615" w:type="dxa"/>
            <w:shd w:val="clear" w:color="auto" w:fill="B4C6E7" w:themeFill="accent1" w:themeFillTint="66"/>
          </w:tcPr>
          <w:p w14:paraId="4E11D4A9" w14:textId="5F782BA4" w:rsidR="00A92422" w:rsidRPr="00A92422" w:rsidRDefault="00A92422" w:rsidP="00F00898">
            <w:pPr>
              <w:rPr>
                <w:rFonts w:ascii="Times New Roman" w:hAnsi="Times New Roman" w:cs="Times New Roman"/>
              </w:rPr>
            </w:pPr>
            <w:r w:rsidRPr="00A92422">
              <w:rPr>
                <w:rFonts w:ascii="Times New Roman" w:hAnsi="Times New Roman" w:cs="Times New Roman"/>
              </w:rPr>
              <w:t xml:space="preserve">Field </w:t>
            </w:r>
            <w:r w:rsidR="00563507">
              <w:rPr>
                <w:rFonts w:ascii="Times New Roman" w:hAnsi="Times New Roman" w:cs="Times New Roman"/>
              </w:rPr>
              <w:t>g</w:t>
            </w:r>
            <w:r w:rsidRPr="00A92422">
              <w:rPr>
                <w:rFonts w:ascii="Times New Roman" w:hAnsi="Times New Roman" w:cs="Times New Roman"/>
              </w:rPr>
              <w:t xml:space="preserve">rowth </w:t>
            </w:r>
            <w:r w:rsidR="00563507">
              <w:rPr>
                <w:rFonts w:ascii="Times New Roman" w:hAnsi="Times New Roman" w:cs="Times New Roman"/>
              </w:rPr>
              <w:t>t</w:t>
            </w:r>
            <w:r w:rsidRPr="00A92422">
              <w:rPr>
                <w:rFonts w:ascii="Times New Roman" w:hAnsi="Times New Roman" w:cs="Times New Roman"/>
              </w:rPr>
              <w:t>ime</w:t>
            </w:r>
            <w:r w:rsidR="000A0E17">
              <w:rPr>
                <w:rFonts w:ascii="Times New Roman" w:hAnsi="Times New Roman" w:cs="Times New Roman"/>
              </w:rPr>
              <w:br/>
              <w:t>(P-2)</w:t>
            </w:r>
          </w:p>
        </w:tc>
        <w:tc>
          <w:tcPr>
            <w:tcW w:w="1440" w:type="dxa"/>
          </w:tcPr>
          <w:p w14:paraId="1D182519" w14:textId="2B86C55A" w:rsidR="00A92422" w:rsidRPr="00A92422" w:rsidRDefault="00A92422" w:rsidP="00F00898">
            <w:pPr>
              <w:rPr>
                <w:rFonts w:ascii="Times New Roman" w:hAnsi="Times New Roman" w:cs="Times New Roman"/>
              </w:rPr>
            </w:pPr>
            <w:r w:rsidRPr="00A92422">
              <w:rPr>
                <w:rFonts w:ascii="Times New Roman" w:hAnsi="Times New Roman" w:cs="Times New Roman"/>
              </w:rPr>
              <w:t>r = 0.8842</w:t>
            </w:r>
          </w:p>
        </w:tc>
        <w:tc>
          <w:tcPr>
            <w:tcW w:w="1440" w:type="dxa"/>
            <w:shd w:val="clear" w:color="auto" w:fill="D9E2F3" w:themeFill="accent1" w:themeFillTint="33"/>
          </w:tcPr>
          <w:p w14:paraId="4253F16B" w14:textId="5ECDB9B4" w:rsidR="00A92422" w:rsidRPr="00A92422" w:rsidRDefault="002E0891" w:rsidP="00F00898">
            <w:pPr>
              <w:rPr>
                <w:rFonts w:ascii="Times New Roman" w:hAnsi="Times New Roman" w:cs="Times New Roman"/>
              </w:rPr>
            </w:pPr>
            <w:r>
              <w:rPr>
                <w:rFonts w:ascii="Times New Roman" w:hAnsi="Times New Roman" w:cs="Times New Roman"/>
              </w:rPr>
              <w:t>--</w:t>
            </w:r>
          </w:p>
        </w:tc>
        <w:tc>
          <w:tcPr>
            <w:tcW w:w="1440" w:type="dxa"/>
          </w:tcPr>
          <w:p w14:paraId="29617EB3" w14:textId="77777777" w:rsidR="00A92422" w:rsidRPr="00A92422" w:rsidRDefault="00A92422" w:rsidP="00F00898">
            <w:pPr>
              <w:rPr>
                <w:rFonts w:ascii="Times New Roman" w:hAnsi="Times New Roman" w:cs="Times New Roman"/>
              </w:rPr>
            </w:pPr>
          </w:p>
        </w:tc>
        <w:tc>
          <w:tcPr>
            <w:tcW w:w="1710" w:type="dxa"/>
          </w:tcPr>
          <w:p w14:paraId="1C4650ED" w14:textId="77777777" w:rsidR="00A92422" w:rsidRPr="00A92422" w:rsidRDefault="00A92422" w:rsidP="00F00898">
            <w:pPr>
              <w:rPr>
                <w:rFonts w:ascii="Times New Roman" w:hAnsi="Times New Roman" w:cs="Times New Roman"/>
              </w:rPr>
            </w:pPr>
          </w:p>
        </w:tc>
        <w:tc>
          <w:tcPr>
            <w:tcW w:w="1620" w:type="dxa"/>
          </w:tcPr>
          <w:p w14:paraId="509B5AE7" w14:textId="77777777" w:rsidR="00A92422" w:rsidRPr="00A92422" w:rsidRDefault="00A92422" w:rsidP="00F00898">
            <w:pPr>
              <w:rPr>
                <w:rFonts w:ascii="Times New Roman" w:hAnsi="Times New Roman" w:cs="Times New Roman"/>
              </w:rPr>
            </w:pPr>
          </w:p>
        </w:tc>
        <w:tc>
          <w:tcPr>
            <w:tcW w:w="1620" w:type="dxa"/>
          </w:tcPr>
          <w:p w14:paraId="72FB42B5" w14:textId="77777777" w:rsidR="00A92422" w:rsidRPr="00A92422" w:rsidRDefault="00A92422" w:rsidP="00F00898">
            <w:pPr>
              <w:rPr>
                <w:rFonts w:ascii="Times New Roman" w:hAnsi="Times New Roman" w:cs="Times New Roman"/>
              </w:rPr>
            </w:pPr>
          </w:p>
        </w:tc>
      </w:tr>
      <w:tr w:rsidR="00A92422" w14:paraId="43281573" w14:textId="77777777" w:rsidTr="00F9206A">
        <w:tc>
          <w:tcPr>
            <w:tcW w:w="1615" w:type="dxa"/>
            <w:shd w:val="clear" w:color="auto" w:fill="B4C6E7" w:themeFill="accent1" w:themeFillTint="66"/>
          </w:tcPr>
          <w:p w14:paraId="6E324DDB" w14:textId="74E550EA" w:rsidR="00A92422" w:rsidRPr="00A92422" w:rsidRDefault="00A92422" w:rsidP="00F00898">
            <w:pPr>
              <w:rPr>
                <w:rFonts w:ascii="Times New Roman" w:hAnsi="Times New Roman" w:cs="Times New Roman"/>
              </w:rPr>
            </w:pPr>
            <w:r w:rsidRPr="00A92422">
              <w:rPr>
                <w:rFonts w:ascii="Times New Roman" w:hAnsi="Times New Roman" w:cs="Times New Roman"/>
              </w:rPr>
              <w:t xml:space="preserve">Expression </w:t>
            </w:r>
            <w:r w:rsidR="00563507">
              <w:rPr>
                <w:rFonts w:ascii="Times New Roman" w:hAnsi="Times New Roman" w:cs="Times New Roman"/>
              </w:rPr>
              <w:t>l</w:t>
            </w:r>
            <w:r w:rsidRPr="00A92422">
              <w:rPr>
                <w:rFonts w:ascii="Times New Roman" w:hAnsi="Times New Roman" w:cs="Times New Roman"/>
              </w:rPr>
              <w:t>evel</w:t>
            </w:r>
            <w:r w:rsidR="000A0E17">
              <w:rPr>
                <w:rFonts w:ascii="Times New Roman" w:hAnsi="Times New Roman" w:cs="Times New Roman"/>
              </w:rPr>
              <w:br/>
              <w:t>(P-4)</w:t>
            </w:r>
          </w:p>
        </w:tc>
        <w:tc>
          <w:tcPr>
            <w:tcW w:w="1440" w:type="dxa"/>
          </w:tcPr>
          <w:p w14:paraId="1AE1CFC9" w14:textId="77777777" w:rsidR="00A92422" w:rsidRPr="00A92422" w:rsidRDefault="00A92422" w:rsidP="00F00898">
            <w:pPr>
              <w:rPr>
                <w:rFonts w:ascii="Times New Roman" w:hAnsi="Times New Roman" w:cs="Times New Roman"/>
              </w:rPr>
            </w:pPr>
          </w:p>
        </w:tc>
        <w:tc>
          <w:tcPr>
            <w:tcW w:w="1440" w:type="dxa"/>
          </w:tcPr>
          <w:p w14:paraId="63ED03FF" w14:textId="77777777" w:rsidR="00A92422" w:rsidRPr="00A92422" w:rsidRDefault="00A92422" w:rsidP="00F00898">
            <w:pPr>
              <w:rPr>
                <w:rFonts w:ascii="Times New Roman" w:hAnsi="Times New Roman" w:cs="Times New Roman"/>
              </w:rPr>
            </w:pPr>
          </w:p>
        </w:tc>
        <w:tc>
          <w:tcPr>
            <w:tcW w:w="1440" w:type="dxa"/>
            <w:shd w:val="clear" w:color="auto" w:fill="D9E2F3" w:themeFill="accent1" w:themeFillTint="33"/>
          </w:tcPr>
          <w:p w14:paraId="16BF2D66" w14:textId="3EE87855" w:rsidR="00A92422" w:rsidRPr="00A92422" w:rsidRDefault="002E0891" w:rsidP="00F00898">
            <w:pPr>
              <w:rPr>
                <w:rFonts w:ascii="Times New Roman" w:hAnsi="Times New Roman" w:cs="Times New Roman"/>
              </w:rPr>
            </w:pPr>
            <w:r>
              <w:rPr>
                <w:rFonts w:ascii="Times New Roman" w:hAnsi="Times New Roman" w:cs="Times New Roman"/>
              </w:rPr>
              <w:t>--</w:t>
            </w:r>
          </w:p>
        </w:tc>
        <w:tc>
          <w:tcPr>
            <w:tcW w:w="1710" w:type="dxa"/>
          </w:tcPr>
          <w:p w14:paraId="3F3D5AC7" w14:textId="77777777" w:rsidR="00A92422" w:rsidRPr="00A92422" w:rsidRDefault="00A92422" w:rsidP="00F00898">
            <w:pPr>
              <w:rPr>
                <w:rFonts w:ascii="Times New Roman" w:hAnsi="Times New Roman" w:cs="Times New Roman"/>
              </w:rPr>
            </w:pPr>
          </w:p>
        </w:tc>
        <w:tc>
          <w:tcPr>
            <w:tcW w:w="1620" w:type="dxa"/>
          </w:tcPr>
          <w:p w14:paraId="2FD04B07" w14:textId="77777777" w:rsidR="00A92422" w:rsidRPr="00A92422" w:rsidRDefault="00A92422" w:rsidP="00F00898">
            <w:pPr>
              <w:rPr>
                <w:rFonts w:ascii="Times New Roman" w:hAnsi="Times New Roman" w:cs="Times New Roman"/>
              </w:rPr>
            </w:pPr>
          </w:p>
        </w:tc>
        <w:tc>
          <w:tcPr>
            <w:tcW w:w="1620" w:type="dxa"/>
          </w:tcPr>
          <w:p w14:paraId="64DB1100" w14:textId="594BDA49" w:rsidR="00A92422" w:rsidRPr="00A92422" w:rsidRDefault="00A92422" w:rsidP="00F00898">
            <w:pPr>
              <w:rPr>
                <w:rFonts w:ascii="Times New Roman" w:hAnsi="Times New Roman" w:cs="Times New Roman"/>
              </w:rPr>
            </w:pPr>
            <w:r w:rsidRPr="00A92422">
              <w:rPr>
                <w:rFonts w:ascii="Times New Roman" w:hAnsi="Times New Roman" w:cs="Times New Roman"/>
              </w:rPr>
              <w:t>r = 0.6042</w:t>
            </w:r>
          </w:p>
        </w:tc>
      </w:tr>
      <w:tr w:rsidR="00A92422" w14:paraId="687E8437" w14:textId="77777777" w:rsidTr="00F9206A">
        <w:tc>
          <w:tcPr>
            <w:tcW w:w="1615" w:type="dxa"/>
            <w:shd w:val="clear" w:color="auto" w:fill="B4C6E7" w:themeFill="accent1" w:themeFillTint="66"/>
          </w:tcPr>
          <w:p w14:paraId="73CBBE8E" w14:textId="2F5A2663" w:rsidR="00A92422" w:rsidRPr="00A92422" w:rsidRDefault="00A92422" w:rsidP="00F00898">
            <w:pPr>
              <w:rPr>
                <w:rFonts w:ascii="Times New Roman" w:hAnsi="Times New Roman" w:cs="Times New Roman"/>
              </w:rPr>
            </w:pPr>
            <w:r w:rsidRPr="00A92422">
              <w:rPr>
                <w:rFonts w:ascii="Times New Roman" w:hAnsi="Times New Roman" w:cs="Times New Roman"/>
              </w:rPr>
              <w:t xml:space="preserve">P&amp;F </w:t>
            </w:r>
            <w:r w:rsidR="00563507">
              <w:rPr>
                <w:rFonts w:ascii="Times New Roman" w:hAnsi="Times New Roman" w:cs="Times New Roman"/>
              </w:rPr>
              <w:t>r</w:t>
            </w:r>
            <w:r w:rsidRPr="00A92422">
              <w:rPr>
                <w:rFonts w:ascii="Times New Roman" w:hAnsi="Times New Roman" w:cs="Times New Roman"/>
              </w:rPr>
              <w:t>emoval</w:t>
            </w:r>
            <w:r w:rsidR="00563507">
              <w:rPr>
                <w:rFonts w:ascii="Times New Roman" w:hAnsi="Times New Roman" w:cs="Times New Roman"/>
              </w:rPr>
              <w:t xml:space="preserve"> of </w:t>
            </w:r>
            <w:r w:rsidRPr="00A92422">
              <w:rPr>
                <w:rFonts w:ascii="Times New Roman" w:hAnsi="Times New Roman" w:cs="Times New Roman"/>
              </w:rPr>
              <w:t>product</w:t>
            </w:r>
            <w:r w:rsidR="000A0E17">
              <w:rPr>
                <w:rFonts w:ascii="Times New Roman" w:hAnsi="Times New Roman" w:cs="Times New Roman"/>
              </w:rPr>
              <w:t xml:space="preserve"> </w:t>
            </w:r>
            <w:r w:rsidR="000A0E17">
              <w:rPr>
                <w:rFonts w:ascii="Times New Roman" w:hAnsi="Times New Roman" w:cs="Times New Roman"/>
              </w:rPr>
              <w:br/>
              <w:t>(P-11)</w:t>
            </w:r>
          </w:p>
        </w:tc>
        <w:tc>
          <w:tcPr>
            <w:tcW w:w="1440" w:type="dxa"/>
          </w:tcPr>
          <w:p w14:paraId="6A5A4F5C" w14:textId="77777777" w:rsidR="00A92422" w:rsidRPr="00A92422" w:rsidRDefault="00A92422" w:rsidP="00F00898">
            <w:pPr>
              <w:rPr>
                <w:rFonts w:ascii="Times New Roman" w:hAnsi="Times New Roman" w:cs="Times New Roman"/>
              </w:rPr>
            </w:pPr>
          </w:p>
        </w:tc>
        <w:tc>
          <w:tcPr>
            <w:tcW w:w="1440" w:type="dxa"/>
          </w:tcPr>
          <w:p w14:paraId="25A36D57" w14:textId="3EC9281B" w:rsidR="00A92422" w:rsidRPr="00A92422" w:rsidRDefault="00A92422" w:rsidP="00F00898">
            <w:pPr>
              <w:rPr>
                <w:rFonts w:ascii="Times New Roman" w:hAnsi="Times New Roman" w:cs="Times New Roman"/>
              </w:rPr>
            </w:pPr>
            <w:r w:rsidRPr="00A92422">
              <w:rPr>
                <w:rFonts w:ascii="Times New Roman" w:hAnsi="Times New Roman" w:cs="Times New Roman"/>
              </w:rPr>
              <w:t>r = -0.6321</w:t>
            </w:r>
          </w:p>
        </w:tc>
        <w:tc>
          <w:tcPr>
            <w:tcW w:w="1440" w:type="dxa"/>
          </w:tcPr>
          <w:p w14:paraId="09A6722F" w14:textId="77777777" w:rsidR="00A92422" w:rsidRPr="00A92422" w:rsidRDefault="00A92422" w:rsidP="00F00898">
            <w:pPr>
              <w:rPr>
                <w:rFonts w:ascii="Times New Roman" w:hAnsi="Times New Roman" w:cs="Times New Roman"/>
              </w:rPr>
            </w:pPr>
          </w:p>
        </w:tc>
        <w:tc>
          <w:tcPr>
            <w:tcW w:w="1710" w:type="dxa"/>
            <w:shd w:val="clear" w:color="auto" w:fill="D9E2F3" w:themeFill="accent1" w:themeFillTint="33"/>
          </w:tcPr>
          <w:p w14:paraId="517724CE" w14:textId="4BDC05C4" w:rsidR="00A92422" w:rsidRPr="00A92422" w:rsidRDefault="002E0891" w:rsidP="00F00898">
            <w:pPr>
              <w:rPr>
                <w:rFonts w:ascii="Times New Roman" w:hAnsi="Times New Roman" w:cs="Times New Roman"/>
              </w:rPr>
            </w:pPr>
            <w:r>
              <w:rPr>
                <w:rFonts w:ascii="Times New Roman" w:hAnsi="Times New Roman" w:cs="Times New Roman"/>
              </w:rPr>
              <w:t>--</w:t>
            </w:r>
          </w:p>
        </w:tc>
        <w:tc>
          <w:tcPr>
            <w:tcW w:w="1620" w:type="dxa"/>
          </w:tcPr>
          <w:p w14:paraId="62CBC15C" w14:textId="1F3DDA90" w:rsidR="00A92422" w:rsidRPr="00A92422" w:rsidRDefault="00A92422" w:rsidP="00F00898">
            <w:pPr>
              <w:rPr>
                <w:rFonts w:ascii="Times New Roman" w:hAnsi="Times New Roman" w:cs="Times New Roman"/>
              </w:rPr>
            </w:pPr>
            <w:r w:rsidRPr="00A92422">
              <w:rPr>
                <w:rFonts w:ascii="Times New Roman" w:hAnsi="Times New Roman" w:cs="Times New Roman"/>
              </w:rPr>
              <w:t>r = 0.7</w:t>
            </w:r>
          </w:p>
        </w:tc>
        <w:tc>
          <w:tcPr>
            <w:tcW w:w="1620" w:type="dxa"/>
          </w:tcPr>
          <w:p w14:paraId="3DC5CE0C" w14:textId="25D5876A" w:rsidR="00A92422" w:rsidRPr="00A92422" w:rsidRDefault="00A92422" w:rsidP="00F00898">
            <w:pPr>
              <w:rPr>
                <w:rFonts w:ascii="Times New Roman" w:hAnsi="Times New Roman" w:cs="Times New Roman"/>
              </w:rPr>
            </w:pPr>
            <w:r w:rsidRPr="00A92422">
              <w:rPr>
                <w:rFonts w:ascii="Times New Roman" w:hAnsi="Times New Roman" w:cs="Times New Roman"/>
              </w:rPr>
              <w:t>r = 0.9432</w:t>
            </w:r>
          </w:p>
        </w:tc>
      </w:tr>
      <w:tr w:rsidR="00A92422" w14:paraId="5E2E5F3A" w14:textId="77777777" w:rsidTr="00F9206A">
        <w:tc>
          <w:tcPr>
            <w:tcW w:w="1615" w:type="dxa"/>
            <w:shd w:val="clear" w:color="auto" w:fill="B4C6E7" w:themeFill="accent1" w:themeFillTint="66"/>
          </w:tcPr>
          <w:p w14:paraId="58A3145C" w14:textId="668F7C2F" w:rsidR="00A92422" w:rsidRPr="00A92422" w:rsidRDefault="00A92422" w:rsidP="00F00898">
            <w:pPr>
              <w:rPr>
                <w:rFonts w:ascii="Times New Roman" w:hAnsi="Times New Roman" w:cs="Times New Roman"/>
              </w:rPr>
            </w:pPr>
            <w:r w:rsidRPr="00A92422">
              <w:rPr>
                <w:rFonts w:ascii="Times New Roman" w:hAnsi="Times New Roman" w:cs="Times New Roman"/>
              </w:rPr>
              <w:t xml:space="preserve">P&amp;F </w:t>
            </w:r>
            <w:r w:rsidR="00563507">
              <w:rPr>
                <w:rFonts w:ascii="Times New Roman" w:hAnsi="Times New Roman" w:cs="Times New Roman"/>
              </w:rPr>
              <w:t>r</w:t>
            </w:r>
            <w:r w:rsidRPr="00A92422">
              <w:rPr>
                <w:rFonts w:ascii="Times New Roman" w:hAnsi="Times New Roman" w:cs="Times New Roman"/>
              </w:rPr>
              <w:t>emoval</w:t>
            </w:r>
            <w:r w:rsidR="00563507">
              <w:rPr>
                <w:rFonts w:ascii="Times New Roman" w:hAnsi="Times New Roman" w:cs="Times New Roman"/>
              </w:rPr>
              <w:t xml:space="preserve"> of </w:t>
            </w:r>
            <w:r w:rsidRPr="00A92422">
              <w:rPr>
                <w:rFonts w:ascii="Times New Roman" w:hAnsi="Times New Roman" w:cs="Times New Roman"/>
              </w:rPr>
              <w:t>impurities</w:t>
            </w:r>
            <w:r w:rsidR="000A0E17">
              <w:rPr>
                <w:rFonts w:ascii="Times New Roman" w:hAnsi="Times New Roman" w:cs="Times New Roman"/>
              </w:rPr>
              <w:t xml:space="preserve"> (P-11)</w:t>
            </w:r>
          </w:p>
        </w:tc>
        <w:tc>
          <w:tcPr>
            <w:tcW w:w="1440" w:type="dxa"/>
          </w:tcPr>
          <w:p w14:paraId="0350FA39" w14:textId="77777777" w:rsidR="00A92422" w:rsidRPr="00A92422" w:rsidRDefault="00A92422" w:rsidP="00F00898">
            <w:pPr>
              <w:rPr>
                <w:rFonts w:ascii="Times New Roman" w:hAnsi="Times New Roman" w:cs="Times New Roman"/>
              </w:rPr>
            </w:pPr>
          </w:p>
        </w:tc>
        <w:tc>
          <w:tcPr>
            <w:tcW w:w="1440" w:type="dxa"/>
          </w:tcPr>
          <w:p w14:paraId="549C064B" w14:textId="77777777" w:rsidR="00A92422" w:rsidRPr="00A92422" w:rsidRDefault="00A92422" w:rsidP="00F00898">
            <w:pPr>
              <w:rPr>
                <w:rFonts w:ascii="Times New Roman" w:hAnsi="Times New Roman" w:cs="Times New Roman"/>
              </w:rPr>
            </w:pPr>
          </w:p>
        </w:tc>
        <w:tc>
          <w:tcPr>
            <w:tcW w:w="1440" w:type="dxa"/>
          </w:tcPr>
          <w:p w14:paraId="00AA3DD3" w14:textId="77777777" w:rsidR="00A92422" w:rsidRPr="00A92422" w:rsidRDefault="00A92422" w:rsidP="00F00898">
            <w:pPr>
              <w:rPr>
                <w:rFonts w:ascii="Times New Roman" w:hAnsi="Times New Roman" w:cs="Times New Roman"/>
              </w:rPr>
            </w:pPr>
          </w:p>
        </w:tc>
        <w:tc>
          <w:tcPr>
            <w:tcW w:w="1710" w:type="dxa"/>
          </w:tcPr>
          <w:p w14:paraId="17701828" w14:textId="77777777" w:rsidR="00A92422" w:rsidRPr="00A92422" w:rsidRDefault="00A92422" w:rsidP="00F00898">
            <w:pPr>
              <w:rPr>
                <w:rFonts w:ascii="Times New Roman" w:hAnsi="Times New Roman" w:cs="Times New Roman"/>
              </w:rPr>
            </w:pPr>
            <w:r w:rsidRPr="00A92422">
              <w:rPr>
                <w:rFonts w:ascii="Times New Roman" w:hAnsi="Times New Roman" w:cs="Times New Roman"/>
              </w:rPr>
              <w:t>r = 0.7</w:t>
            </w:r>
          </w:p>
          <w:p w14:paraId="1E127237" w14:textId="381F72FC" w:rsidR="00A92422" w:rsidRPr="00A92422" w:rsidRDefault="00A92422" w:rsidP="00F00898">
            <w:pPr>
              <w:rPr>
                <w:rFonts w:ascii="Times New Roman" w:hAnsi="Times New Roman" w:cs="Times New Roman"/>
              </w:rPr>
            </w:pPr>
          </w:p>
        </w:tc>
        <w:tc>
          <w:tcPr>
            <w:tcW w:w="1620" w:type="dxa"/>
            <w:shd w:val="clear" w:color="auto" w:fill="D9E2F3" w:themeFill="accent1" w:themeFillTint="33"/>
          </w:tcPr>
          <w:p w14:paraId="44B4620D" w14:textId="7A3A836C" w:rsidR="00A92422" w:rsidRPr="00A92422" w:rsidRDefault="002E0891" w:rsidP="00F00898">
            <w:pPr>
              <w:rPr>
                <w:rFonts w:ascii="Times New Roman" w:hAnsi="Times New Roman" w:cs="Times New Roman"/>
              </w:rPr>
            </w:pPr>
            <w:r>
              <w:rPr>
                <w:rFonts w:ascii="Times New Roman" w:hAnsi="Times New Roman" w:cs="Times New Roman"/>
              </w:rPr>
              <w:t>--</w:t>
            </w:r>
          </w:p>
        </w:tc>
        <w:tc>
          <w:tcPr>
            <w:tcW w:w="1620" w:type="dxa"/>
          </w:tcPr>
          <w:p w14:paraId="5722694C" w14:textId="77777777" w:rsidR="00A92422" w:rsidRPr="00A92422" w:rsidRDefault="00A92422" w:rsidP="00F00898">
            <w:pPr>
              <w:rPr>
                <w:rFonts w:ascii="Times New Roman" w:hAnsi="Times New Roman" w:cs="Times New Roman"/>
              </w:rPr>
            </w:pPr>
          </w:p>
        </w:tc>
      </w:tr>
      <w:tr w:rsidR="00A92422" w14:paraId="5BA81D71" w14:textId="77777777" w:rsidTr="00F9206A">
        <w:tc>
          <w:tcPr>
            <w:tcW w:w="1615" w:type="dxa"/>
            <w:shd w:val="clear" w:color="auto" w:fill="B4C6E7" w:themeFill="accent1" w:themeFillTint="66"/>
          </w:tcPr>
          <w:p w14:paraId="34080D03" w14:textId="39A4A3EE" w:rsidR="00A92422" w:rsidRPr="00A92422" w:rsidRDefault="00A92422" w:rsidP="00F00898">
            <w:pPr>
              <w:rPr>
                <w:rFonts w:ascii="Times New Roman" w:hAnsi="Times New Roman" w:cs="Times New Roman"/>
              </w:rPr>
            </w:pPr>
            <w:r w:rsidRPr="00A92422">
              <w:rPr>
                <w:rFonts w:ascii="Times New Roman" w:hAnsi="Times New Roman" w:cs="Times New Roman"/>
              </w:rPr>
              <w:t xml:space="preserve">CEX </w:t>
            </w:r>
            <w:r w:rsidR="00563507">
              <w:rPr>
                <w:rFonts w:ascii="Times New Roman" w:hAnsi="Times New Roman" w:cs="Times New Roman"/>
              </w:rPr>
              <w:t>r</w:t>
            </w:r>
            <w:r w:rsidRPr="00A92422">
              <w:rPr>
                <w:rFonts w:ascii="Times New Roman" w:hAnsi="Times New Roman" w:cs="Times New Roman"/>
              </w:rPr>
              <w:t>ecovery</w:t>
            </w:r>
            <w:r w:rsidR="00563507">
              <w:rPr>
                <w:rFonts w:ascii="Times New Roman" w:hAnsi="Times New Roman" w:cs="Times New Roman"/>
              </w:rPr>
              <w:t xml:space="preserve"> of </w:t>
            </w:r>
            <w:r w:rsidR="001D3F2B">
              <w:rPr>
                <w:rFonts w:ascii="Times New Roman" w:hAnsi="Times New Roman" w:cs="Times New Roman"/>
              </w:rPr>
              <w:t>product</w:t>
            </w:r>
            <w:r w:rsidR="000A0E17">
              <w:rPr>
                <w:rFonts w:ascii="Times New Roman" w:hAnsi="Times New Roman" w:cs="Times New Roman"/>
              </w:rPr>
              <w:br/>
              <w:t>(</w:t>
            </w:r>
            <w:r w:rsidR="001D3F2B">
              <w:rPr>
                <w:rFonts w:ascii="Times New Roman" w:hAnsi="Times New Roman" w:cs="Times New Roman"/>
              </w:rPr>
              <w:t>P-20)</w:t>
            </w:r>
          </w:p>
        </w:tc>
        <w:tc>
          <w:tcPr>
            <w:tcW w:w="1440" w:type="dxa"/>
          </w:tcPr>
          <w:p w14:paraId="33E7F6DF" w14:textId="77777777" w:rsidR="00A92422" w:rsidRPr="00A92422" w:rsidRDefault="00A92422" w:rsidP="00F00898">
            <w:pPr>
              <w:rPr>
                <w:rFonts w:ascii="Times New Roman" w:hAnsi="Times New Roman" w:cs="Times New Roman"/>
              </w:rPr>
            </w:pPr>
          </w:p>
        </w:tc>
        <w:tc>
          <w:tcPr>
            <w:tcW w:w="1440" w:type="dxa"/>
          </w:tcPr>
          <w:p w14:paraId="64F68720" w14:textId="77777777" w:rsidR="00A92422" w:rsidRPr="00A92422" w:rsidRDefault="00A92422" w:rsidP="00F00898">
            <w:pPr>
              <w:rPr>
                <w:rFonts w:ascii="Times New Roman" w:hAnsi="Times New Roman" w:cs="Times New Roman"/>
              </w:rPr>
            </w:pPr>
          </w:p>
        </w:tc>
        <w:tc>
          <w:tcPr>
            <w:tcW w:w="1440" w:type="dxa"/>
          </w:tcPr>
          <w:p w14:paraId="60AAC6B7" w14:textId="089581E0" w:rsidR="00A92422" w:rsidRPr="00A92422" w:rsidRDefault="00A92422" w:rsidP="00F00898">
            <w:pPr>
              <w:rPr>
                <w:rFonts w:ascii="Times New Roman" w:hAnsi="Times New Roman" w:cs="Times New Roman"/>
              </w:rPr>
            </w:pPr>
            <w:r w:rsidRPr="00A92422">
              <w:rPr>
                <w:rFonts w:ascii="Times New Roman" w:hAnsi="Times New Roman" w:cs="Times New Roman"/>
              </w:rPr>
              <w:t>r = 0.6042</w:t>
            </w:r>
          </w:p>
        </w:tc>
        <w:tc>
          <w:tcPr>
            <w:tcW w:w="1710" w:type="dxa"/>
          </w:tcPr>
          <w:p w14:paraId="1296507F" w14:textId="1E9D67D6" w:rsidR="00A92422" w:rsidRPr="00A92422" w:rsidRDefault="00A92422" w:rsidP="00F00898">
            <w:pPr>
              <w:rPr>
                <w:rFonts w:ascii="Times New Roman" w:hAnsi="Times New Roman" w:cs="Times New Roman"/>
              </w:rPr>
            </w:pPr>
            <w:r w:rsidRPr="00A92422">
              <w:rPr>
                <w:rFonts w:ascii="Times New Roman" w:hAnsi="Times New Roman" w:cs="Times New Roman"/>
              </w:rPr>
              <w:t>r = 0.9432</w:t>
            </w:r>
          </w:p>
        </w:tc>
        <w:tc>
          <w:tcPr>
            <w:tcW w:w="1620" w:type="dxa"/>
          </w:tcPr>
          <w:p w14:paraId="2B9ACED6" w14:textId="77777777" w:rsidR="00A92422" w:rsidRPr="00A92422" w:rsidRDefault="00A92422" w:rsidP="00F00898">
            <w:pPr>
              <w:rPr>
                <w:rFonts w:ascii="Times New Roman" w:hAnsi="Times New Roman" w:cs="Times New Roman"/>
              </w:rPr>
            </w:pPr>
          </w:p>
        </w:tc>
        <w:tc>
          <w:tcPr>
            <w:tcW w:w="1620" w:type="dxa"/>
            <w:shd w:val="clear" w:color="auto" w:fill="D9E2F3" w:themeFill="accent1" w:themeFillTint="33"/>
          </w:tcPr>
          <w:p w14:paraId="6CFDB225" w14:textId="2E8AE8C4" w:rsidR="00A92422" w:rsidRPr="00A92422" w:rsidRDefault="002E0891" w:rsidP="00F00898">
            <w:pPr>
              <w:rPr>
                <w:rFonts w:ascii="Times New Roman" w:hAnsi="Times New Roman" w:cs="Times New Roman"/>
              </w:rPr>
            </w:pPr>
            <w:r>
              <w:rPr>
                <w:rFonts w:ascii="Times New Roman" w:hAnsi="Times New Roman" w:cs="Times New Roman"/>
              </w:rPr>
              <w:t>--</w:t>
            </w:r>
          </w:p>
        </w:tc>
      </w:tr>
    </w:tbl>
    <w:p w14:paraId="266E87AB" w14:textId="69D51E8D" w:rsidR="00F0002E" w:rsidRDefault="00DD5F3D" w:rsidP="00F00898">
      <w:pPr>
        <w:spacing w:line="480" w:lineRule="auto"/>
        <w:rPr>
          <w:rFonts w:ascii="Times New Roman" w:hAnsi="Times New Roman" w:cs="Times New Roman"/>
          <w:sz w:val="24"/>
          <w:szCs w:val="24"/>
        </w:rPr>
      </w:pPr>
      <w:r w:rsidRPr="00A92422">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A92422">
        <w:rPr>
          <w:rFonts w:ascii="Times New Roman" w:hAnsi="Times New Roman" w:cs="Times New Roman"/>
          <w:b/>
          <w:bCs/>
          <w:sz w:val="24"/>
          <w:szCs w:val="24"/>
        </w:rPr>
        <w:t>.</w:t>
      </w:r>
      <w:r>
        <w:rPr>
          <w:rFonts w:ascii="Times New Roman" w:hAnsi="Times New Roman" w:cs="Times New Roman"/>
          <w:sz w:val="24"/>
          <w:szCs w:val="24"/>
        </w:rPr>
        <w:t xml:space="preserve"> Pearson correlation coefficients</w:t>
      </w:r>
    </w:p>
    <w:p w14:paraId="3001F405" w14:textId="77777777" w:rsidR="00FC71A5" w:rsidRDefault="00FC71A5" w:rsidP="00F00898">
      <w:pPr>
        <w:spacing w:line="480" w:lineRule="auto"/>
        <w:rPr>
          <w:rFonts w:ascii="Times New Roman" w:hAnsi="Times New Roman" w:cs="Times New Roman"/>
          <w:sz w:val="24"/>
          <w:szCs w:val="24"/>
        </w:rPr>
      </w:pPr>
    </w:p>
    <w:p w14:paraId="449A7421" w14:textId="122EE826" w:rsidR="007648EB" w:rsidRDefault="007648EB" w:rsidP="00F00898">
      <w:pPr>
        <w:spacing w:line="480" w:lineRule="auto"/>
        <w:rPr>
          <w:rFonts w:ascii="Times New Roman" w:hAnsi="Times New Roman" w:cs="Times New Roman"/>
          <w:sz w:val="24"/>
          <w:szCs w:val="24"/>
        </w:rPr>
      </w:pPr>
      <w:r w:rsidRPr="00182A40">
        <w:rPr>
          <w:rFonts w:ascii="Times New Roman" w:hAnsi="Times New Roman" w:cs="Times New Roman"/>
          <w:i/>
          <w:iCs/>
          <w:sz w:val="24"/>
          <w:szCs w:val="24"/>
        </w:rPr>
        <w:t xml:space="preserve">2.4 </w:t>
      </w:r>
      <w:r w:rsidR="00C55369" w:rsidRPr="00182A40">
        <w:rPr>
          <w:rFonts w:ascii="Times New Roman" w:hAnsi="Times New Roman" w:cs="Times New Roman"/>
          <w:i/>
          <w:iCs/>
          <w:sz w:val="24"/>
          <w:szCs w:val="24"/>
        </w:rPr>
        <w:t>Forecast</w:t>
      </w:r>
      <w:r w:rsidRPr="00182A40">
        <w:rPr>
          <w:rFonts w:ascii="Times New Roman" w:hAnsi="Times New Roman" w:cs="Times New Roman"/>
          <w:i/>
          <w:iCs/>
          <w:sz w:val="24"/>
          <w:szCs w:val="24"/>
        </w:rPr>
        <w:t xml:space="preserve"> variable selection</w:t>
      </w:r>
    </w:p>
    <w:p w14:paraId="18CA3533" w14:textId="425AE7E7" w:rsidR="00CD2D36" w:rsidRDefault="00301132"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selected a set of </w:t>
      </w:r>
      <w:r w:rsidR="001D3F2B">
        <w:rPr>
          <w:rFonts w:ascii="Times New Roman" w:hAnsi="Times New Roman" w:cs="Times New Roman"/>
          <w:sz w:val="24"/>
          <w:szCs w:val="24"/>
        </w:rPr>
        <w:t>forecast</w:t>
      </w:r>
      <w:r>
        <w:rPr>
          <w:rFonts w:ascii="Times New Roman" w:hAnsi="Times New Roman" w:cs="Times New Roman"/>
          <w:sz w:val="24"/>
          <w:szCs w:val="24"/>
        </w:rPr>
        <w:t xml:space="preserve"> variables </w:t>
      </w:r>
      <w:r w:rsidR="001D3F2B">
        <w:rPr>
          <w:rFonts w:ascii="Times New Roman" w:hAnsi="Times New Roman" w:cs="Times New Roman"/>
          <w:sz w:val="24"/>
          <w:szCs w:val="24"/>
        </w:rPr>
        <w:t>to capture the value in</w:t>
      </w:r>
      <w:r>
        <w:rPr>
          <w:rFonts w:ascii="Times New Roman" w:hAnsi="Times New Roman" w:cs="Times New Roman"/>
          <w:sz w:val="24"/>
          <w:szCs w:val="24"/>
        </w:rPr>
        <w:t xml:space="preserve"> uncertainty quantification as a tool to </w:t>
      </w:r>
      <w:r w:rsidR="00890E25">
        <w:rPr>
          <w:rFonts w:ascii="Times New Roman" w:hAnsi="Times New Roman" w:cs="Times New Roman"/>
          <w:sz w:val="24"/>
          <w:szCs w:val="24"/>
        </w:rPr>
        <w:t xml:space="preserve">identify parameters that are likely to impact the bottom line </w:t>
      </w:r>
      <w:r>
        <w:rPr>
          <w:rFonts w:ascii="Times New Roman" w:hAnsi="Times New Roman" w:cs="Times New Roman"/>
          <w:sz w:val="24"/>
          <w:szCs w:val="24"/>
        </w:rPr>
        <w:t xml:space="preserve">and </w:t>
      </w:r>
      <w:r w:rsidR="00890E25">
        <w:rPr>
          <w:rFonts w:ascii="Times New Roman" w:hAnsi="Times New Roman" w:cs="Times New Roman"/>
          <w:sz w:val="24"/>
          <w:szCs w:val="24"/>
        </w:rPr>
        <w:t xml:space="preserve">to </w:t>
      </w:r>
      <w:r>
        <w:rPr>
          <w:rFonts w:ascii="Times New Roman" w:hAnsi="Times New Roman" w:cs="Times New Roman"/>
          <w:sz w:val="24"/>
          <w:szCs w:val="24"/>
        </w:rPr>
        <w:t>optimize field-grown plant-made product facilities. T</w:t>
      </w:r>
      <w:r w:rsidR="009F3152">
        <w:rPr>
          <w:rFonts w:ascii="Times New Roman" w:hAnsi="Times New Roman" w:cs="Times New Roman"/>
          <w:sz w:val="24"/>
          <w:szCs w:val="24"/>
        </w:rPr>
        <w:t xml:space="preserve">able 3 provides a list of all forecast variables measured in the uncertainty quantification analysis. </w:t>
      </w:r>
      <w:r w:rsidR="00FE756B">
        <w:rPr>
          <w:rFonts w:ascii="Times New Roman" w:hAnsi="Times New Roman" w:cs="Times New Roman"/>
          <w:sz w:val="24"/>
          <w:szCs w:val="24"/>
        </w:rPr>
        <w:t xml:space="preserve">The </w:t>
      </w:r>
      <w:r w:rsidR="00956892">
        <w:rPr>
          <w:rFonts w:ascii="Times New Roman" w:hAnsi="Times New Roman" w:cs="Times New Roman"/>
          <w:sz w:val="24"/>
          <w:szCs w:val="24"/>
        </w:rPr>
        <w:t>cost of goods sold (</w:t>
      </w:r>
      <w:r w:rsidR="00FE756B">
        <w:rPr>
          <w:rFonts w:ascii="Times New Roman" w:hAnsi="Times New Roman" w:cs="Times New Roman"/>
          <w:sz w:val="24"/>
          <w:szCs w:val="24"/>
        </w:rPr>
        <w:t>COGS</w:t>
      </w:r>
      <w:r w:rsidR="00956892">
        <w:rPr>
          <w:rFonts w:ascii="Times New Roman" w:hAnsi="Times New Roman" w:cs="Times New Roman"/>
          <w:sz w:val="24"/>
          <w:szCs w:val="24"/>
        </w:rPr>
        <w:t>)</w:t>
      </w:r>
      <w:r w:rsidR="00FE756B">
        <w:rPr>
          <w:rFonts w:ascii="Times New Roman" w:hAnsi="Times New Roman" w:cs="Times New Roman"/>
          <w:sz w:val="24"/>
          <w:szCs w:val="24"/>
        </w:rPr>
        <w:t xml:space="preserve"> forecast variable is calculated with depreciation included</w:t>
      </w:r>
      <w:r w:rsidR="0099644A">
        <w:rPr>
          <w:rFonts w:ascii="Times New Roman" w:hAnsi="Times New Roman" w:cs="Times New Roman"/>
          <w:sz w:val="24"/>
          <w:szCs w:val="24"/>
        </w:rPr>
        <w:t xml:space="preserve">. </w:t>
      </w:r>
      <w:r w:rsidR="005723BA">
        <w:rPr>
          <w:rFonts w:ascii="Times New Roman" w:hAnsi="Times New Roman" w:cs="Times New Roman"/>
          <w:sz w:val="24"/>
          <w:szCs w:val="24"/>
        </w:rPr>
        <w:t xml:space="preserve"> </w:t>
      </w:r>
      <w:r w:rsidR="00FE756B">
        <w:rPr>
          <w:rFonts w:ascii="Times New Roman" w:hAnsi="Times New Roman" w:cs="Times New Roman"/>
          <w:sz w:val="24"/>
          <w:szCs w:val="24"/>
        </w:rPr>
        <w:t xml:space="preserve">  </w:t>
      </w:r>
    </w:p>
    <w:tbl>
      <w:tblPr>
        <w:tblStyle w:val="TableGrid"/>
        <w:tblW w:w="9355" w:type="dxa"/>
        <w:tblLook w:val="04A0" w:firstRow="1" w:lastRow="0" w:firstColumn="1" w:lastColumn="0" w:noHBand="0" w:noVBand="1"/>
      </w:tblPr>
      <w:tblGrid>
        <w:gridCol w:w="3235"/>
        <w:gridCol w:w="3780"/>
        <w:gridCol w:w="2340"/>
      </w:tblGrid>
      <w:tr w:rsidR="00892D62" w:rsidRPr="00C52CE9" w14:paraId="4D6516B6" w14:textId="77777777" w:rsidTr="00892D62">
        <w:trPr>
          <w:trHeight w:val="258"/>
        </w:trPr>
        <w:tc>
          <w:tcPr>
            <w:tcW w:w="3235" w:type="dxa"/>
            <w:shd w:val="clear" w:color="auto" w:fill="B4C6E7" w:themeFill="accent1" w:themeFillTint="66"/>
            <w:vAlign w:val="center"/>
          </w:tcPr>
          <w:p w14:paraId="66304784" w14:textId="22DAE892" w:rsidR="00892D62" w:rsidRPr="00CD2D36" w:rsidRDefault="00892D62" w:rsidP="00F00898">
            <w:pPr>
              <w:jc w:val="center"/>
              <w:rPr>
                <w:rFonts w:ascii="Times New Roman" w:hAnsi="Times New Roman" w:cs="Times New Roman"/>
              </w:rPr>
            </w:pPr>
            <w:r w:rsidRPr="00CD2D36">
              <w:rPr>
                <w:rFonts w:ascii="Times New Roman" w:hAnsi="Times New Roman" w:cs="Times New Roman"/>
              </w:rPr>
              <w:lastRenderedPageBreak/>
              <w:t>Forecast Variable</w:t>
            </w:r>
          </w:p>
        </w:tc>
        <w:tc>
          <w:tcPr>
            <w:tcW w:w="3780" w:type="dxa"/>
            <w:shd w:val="clear" w:color="auto" w:fill="B4C6E7" w:themeFill="accent1" w:themeFillTint="66"/>
            <w:vAlign w:val="center"/>
          </w:tcPr>
          <w:p w14:paraId="6268F1C8" w14:textId="49347171" w:rsidR="00892D62" w:rsidRPr="00CD2D36" w:rsidRDefault="00892D62" w:rsidP="00F00898">
            <w:pPr>
              <w:jc w:val="center"/>
              <w:rPr>
                <w:rFonts w:ascii="Times New Roman" w:hAnsi="Times New Roman" w:cs="Times New Roman"/>
              </w:rPr>
            </w:pPr>
            <w:r w:rsidRPr="00CD2D36">
              <w:rPr>
                <w:rFonts w:ascii="Times New Roman" w:hAnsi="Times New Roman" w:cs="Times New Roman"/>
              </w:rPr>
              <w:t>Justification</w:t>
            </w:r>
          </w:p>
        </w:tc>
        <w:tc>
          <w:tcPr>
            <w:tcW w:w="2340" w:type="dxa"/>
            <w:shd w:val="clear" w:color="auto" w:fill="B4C6E7" w:themeFill="accent1" w:themeFillTint="66"/>
          </w:tcPr>
          <w:p w14:paraId="754A33AD" w14:textId="3B00923D" w:rsidR="00892D62" w:rsidRPr="00CD2D36" w:rsidRDefault="00892D62" w:rsidP="00F00898">
            <w:pPr>
              <w:jc w:val="center"/>
              <w:rPr>
                <w:rFonts w:ascii="Times New Roman" w:hAnsi="Times New Roman" w:cs="Times New Roman"/>
              </w:rPr>
            </w:pPr>
            <w:r>
              <w:rPr>
                <w:rFonts w:ascii="Times New Roman" w:hAnsi="Times New Roman" w:cs="Times New Roman"/>
              </w:rPr>
              <w:t>Desired Output</w:t>
            </w:r>
          </w:p>
        </w:tc>
      </w:tr>
      <w:tr w:rsidR="00892D62" w:rsidRPr="00CD2D36" w14:paraId="13AD7F31" w14:textId="77777777" w:rsidTr="00892D62">
        <w:trPr>
          <w:trHeight w:val="1174"/>
        </w:trPr>
        <w:tc>
          <w:tcPr>
            <w:tcW w:w="3235" w:type="dxa"/>
          </w:tcPr>
          <w:p w14:paraId="4599E71C" w14:textId="68B0F887" w:rsidR="00892D62" w:rsidRDefault="00892D62" w:rsidP="00F00898">
            <w:pPr>
              <w:rPr>
                <w:rFonts w:ascii="Times New Roman" w:hAnsi="Times New Roman" w:cs="Times New Roman"/>
              </w:rPr>
            </w:pPr>
            <w:r>
              <w:rPr>
                <w:rFonts w:ascii="Times New Roman" w:hAnsi="Times New Roman" w:cs="Times New Roman"/>
              </w:rPr>
              <w:t xml:space="preserve">Internal </w:t>
            </w:r>
            <w:r w:rsidR="00563507">
              <w:rPr>
                <w:rFonts w:ascii="Times New Roman" w:hAnsi="Times New Roman" w:cs="Times New Roman"/>
              </w:rPr>
              <w:t>r</w:t>
            </w:r>
            <w:r>
              <w:rPr>
                <w:rFonts w:ascii="Times New Roman" w:hAnsi="Times New Roman" w:cs="Times New Roman"/>
              </w:rPr>
              <w:t xml:space="preserve">ate of </w:t>
            </w:r>
            <w:r w:rsidR="00563507">
              <w:rPr>
                <w:rFonts w:ascii="Times New Roman" w:hAnsi="Times New Roman" w:cs="Times New Roman"/>
              </w:rPr>
              <w:t>r</w:t>
            </w:r>
            <w:r>
              <w:rPr>
                <w:rFonts w:ascii="Times New Roman" w:hAnsi="Times New Roman" w:cs="Times New Roman"/>
              </w:rPr>
              <w:t xml:space="preserve">eturn, </w:t>
            </w:r>
            <w:r w:rsidR="00563507">
              <w:rPr>
                <w:rFonts w:ascii="Times New Roman" w:hAnsi="Times New Roman" w:cs="Times New Roman"/>
              </w:rPr>
              <w:t>a</w:t>
            </w:r>
            <w:r>
              <w:rPr>
                <w:rFonts w:ascii="Times New Roman" w:hAnsi="Times New Roman" w:cs="Times New Roman"/>
              </w:rPr>
              <w:t xml:space="preserve">fter </w:t>
            </w:r>
            <w:r w:rsidR="00563507">
              <w:rPr>
                <w:rFonts w:ascii="Times New Roman" w:hAnsi="Times New Roman" w:cs="Times New Roman"/>
              </w:rPr>
              <w:t>t</w:t>
            </w:r>
            <w:r>
              <w:rPr>
                <w:rFonts w:ascii="Times New Roman" w:hAnsi="Times New Roman" w:cs="Times New Roman"/>
              </w:rPr>
              <w:t xml:space="preserve">ax </w:t>
            </w:r>
            <w:r>
              <w:rPr>
                <w:rFonts w:ascii="Times New Roman" w:hAnsi="Times New Roman" w:cs="Times New Roman"/>
              </w:rPr>
              <w:br/>
              <w:t>(% discount rate)</w:t>
            </w:r>
          </w:p>
        </w:tc>
        <w:tc>
          <w:tcPr>
            <w:tcW w:w="3780" w:type="dxa"/>
          </w:tcPr>
          <w:p w14:paraId="62D0356F" w14:textId="0E1B072A" w:rsidR="00892D62" w:rsidRDefault="00892D62" w:rsidP="00F00898">
            <w:pPr>
              <w:rPr>
                <w:rFonts w:ascii="Times New Roman" w:hAnsi="Times New Roman" w:cs="Times New Roman"/>
              </w:rPr>
            </w:pPr>
            <w:r>
              <w:rPr>
                <w:rFonts w:ascii="Times New Roman" w:hAnsi="Times New Roman" w:cs="Times New Roman"/>
              </w:rPr>
              <w:t>Represents a measure of the project profitability based on future cash flows in present dollar value, while taking in consideration the initial investment, operating costs, revenues, and taxes</w:t>
            </w:r>
            <w:r w:rsidR="00F9206A">
              <w:rPr>
                <w:rFonts w:ascii="Times New Roman" w:hAnsi="Times New Roman" w:cs="Times New Roman"/>
              </w:rPr>
              <w:t>.</w:t>
            </w:r>
          </w:p>
        </w:tc>
        <w:tc>
          <w:tcPr>
            <w:tcW w:w="2340" w:type="dxa"/>
          </w:tcPr>
          <w:p w14:paraId="2C9D1936" w14:textId="1BA87FF6" w:rsidR="00892D62" w:rsidRDefault="00892D62" w:rsidP="00F00898">
            <w:pPr>
              <w:rPr>
                <w:rFonts w:ascii="Times New Roman" w:hAnsi="Times New Roman" w:cs="Times New Roman"/>
              </w:rPr>
            </w:pPr>
            <w:r>
              <w:rPr>
                <w:rFonts w:ascii="Times New Roman" w:hAnsi="Times New Roman" w:cs="Times New Roman"/>
              </w:rPr>
              <w:t>≥ 30%</w:t>
            </w:r>
          </w:p>
        </w:tc>
      </w:tr>
      <w:tr w:rsidR="00892D62" w:rsidRPr="00CD2D36" w14:paraId="4894633F" w14:textId="77777777" w:rsidTr="00892D62">
        <w:trPr>
          <w:trHeight w:val="691"/>
        </w:trPr>
        <w:tc>
          <w:tcPr>
            <w:tcW w:w="3235" w:type="dxa"/>
          </w:tcPr>
          <w:p w14:paraId="08479D83" w14:textId="703F9E5A" w:rsidR="00892D62" w:rsidRPr="00CD2D36" w:rsidRDefault="00892D62" w:rsidP="00F00898">
            <w:pPr>
              <w:rPr>
                <w:rFonts w:ascii="Times New Roman" w:hAnsi="Times New Roman" w:cs="Times New Roman"/>
              </w:rPr>
            </w:pPr>
            <w:r>
              <w:rPr>
                <w:rFonts w:ascii="Times New Roman" w:hAnsi="Times New Roman" w:cs="Times New Roman"/>
              </w:rPr>
              <w:t xml:space="preserve">Cost of </w:t>
            </w:r>
            <w:r w:rsidR="00563507">
              <w:rPr>
                <w:rFonts w:ascii="Times New Roman" w:hAnsi="Times New Roman" w:cs="Times New Roman"/>
              </w:rPr>
              <w:t>g</w:t>
            </w:r>
            <w:r>
              <w:rPr>
                <w:rFonts w:ascii="Times New Roman" w:hAnsi="Times New Roman" w:cs="Times New Roman"/>
              </w:rPr>
              <w:t xml:space="preserve">oods </w:t>
            </w:r>
            <w:r w:rsidR="00563507">
              <w:rPr>
                <w:rFonts w:ascii="Times New Roman" w:hAnsi="Times New Roman" w:cs="Times New Roman"/>
              </w:rPr>
              <w:t>s</w:t>
            </w:r>
            <w:r>
              <w:rPr>
                <w:rFonts w:ascii="Times New Roman" w:hAnsi="Times New Roman" w:cs="Times New Roman"/>
              </w:rPr>
              <w:t xml:space="preserve">old </w:t>
            </w:r>
            <w:r>
              <w:rPr>
                <w:rFonts w:ascii="Times New Roman" w:hAnsi="Times New Roman" w:cs="Times New Roman"/>
              </w:rPr>
              <w:br/>
              <w:t>($/kg product)</w:t>
            </w:r>
          </w:p>
        </w:tc>
        <w:tc>
          <w:tcPr>
            <w:tcW w:w="3780" w:type="dxa"/>
          </w:tcPr>
          <w:p w14:paraId="31C80C83" w14:textId="22003240" w:rsidR="00892D62" w:rsidRDefault="00892D62" w:rsidP="00F00898">
            <w:pPr>
              <w:rPr>
                <w:rFonts w:ascii="Times New Roman" w:hAnsi="Times New Roman" w:cs="Times New Roman"/>
              </w:rPr>
            </w:pPr>
            <w:r>
              <w:rPr>
                <w:rFonts w:ascii="Times New Roman" w:hAnsi="Times New Roman" w:cs="Times New Roman"/>
              </w:rPr>
              <w:t>Represents the product</w:t>
            </w:r>
            <w:r w:rsidR="00DD6409">
              <w:rPr>
                <w:rFonts w:ascii="Times New Roman" w:hAnsi="Times New Roman" w:cs="Times New Roman"/>
              </w:rPr>
              <w:t xml:space="preserve">ion </w:t>
            </w:r>
            <w:r>
              <w:rPr>
                <w:rFonts w:ascii="Times New Roman" w:hAnsi="Times New Roman" w:cs="Times New Roman"/>
              </w:rPr>
              <w:t>cost and serves as a key determinant of profitability.</w:t>
            </w:r>
          </w:p>
        </w:tc>
        <w:tc>
          <w:tcPr>
            <w:tcW w:w="2340" w:type="dxa"/>
          </w:tcPr>
          <w:p w14:paraId="346509AC" w14:textId="7C30A3D0" w:rsidR="00892D62" w:rsidRDefault="00892D62" w:rsidP="00F00898">
            <w:pPr>
              <w:rPr>
                <w:rFonts w:ascii="Times New Roman" w:hAnsi="Times New Roman" w:cs="Times New Roman"/>
              </w:rPr>
            </w:pPr>
            <w:r>
              <w:rPr>
                <w:rFonts w:ascii="Times New Roman" w:hAnsi="Times New Roman" w:cs="Times New Roman"/>
              </w:rPr>
              <w:t>≤ $850/kg product</w:t>
            </w:r>
          </w:p>
        </w:tc>
      </w:tr>
      <w:tr w:rsidR="00892D62" w:rsidRPr="00CD2D36" w14:paraId="56564C99" w14:textId="77777777" w:rsidTr="00892D62">
        <w:trPr>
          <w:trHeight w:val="654"/>
        </w:trPr>
        <w:tc>
          <w:tcPr>
            <w:tcW w:w="3235" w:type="dxa"/>
          </w:tcPr>
          <w:p w14:paraId="5BB062A3" w14:textId="5E733BDA" w:rsidR="00892D62" w:rsidRDefault="00892D62" w:rsidP="00F00898">
            <w:pPr>
              <w:rPr>
                <w:rFonts w:ascii="Times New Roman" w:hAnsi="Times New Roman" w:cs="Times New Roman"/>
              </w:rPr>
            </w:pPr>
            <w:r w:rsidRPr="00CD2D36">
              <w:rPr>
                <w:rFonts w:ascii="Times New Roman" w:hAnsi="Times New Roman" w:cs="Times New Roman"/>
              </w:rPr>
              <w:t xml:space="preserve">Annual </w:t>
            </w:r>
            <w:r w:rsidR="00563507">
              <w:rPr>
                <w:rFonts w:ascii="Times New Roman" w:hAnsi="Times New Roman" w:cs="Times New Roman"/>
              </w:rPr>
              <w:t>t</w:t>
            </w:r>
            <w:r w:rsidRPr="00CD2D36">
              <w:rPr>
                <w:rFonts w:ascii="Times New Roman" w:hAnsi="Times New Roman" w:cs="Times New Roman"/>
              </w:rPr>
              <w:t>hroughput</w:t>
            </w:r>
            <w:r>
              <w:rPr>
                <w:rFonts w:ascii="Times New Roman" w:hAnsi="Times New Roman" w:cs="Times New Roman"/>
              </w:rPr>
              <w:t xml:space="preserve"> </w:t>
            </w:r>
            <w:r>
              <w:rPr>
                <w:rFonts w:ascii="Times New Roman" w:hAnsi="Times New Roman" w:cs="Times New Roman"/>
              </w:rPr>
              <w:br/>
              <w:t>(kg product/year)</w:t>
            </w:r>
          </w:p>
        </w:tc>
        <w:tc>
          <w:tcPr>
            <w:tcW w:w="3780" w:type="dxa"/>
          </w:tcPr>
          <w:p w14:paraId="7F08D772" w14:textId="794B573A" w:rsidR="00892D62" w:rsidRDefault="00892D62" w:rsidP="00F00898">
            <w:pPr>
              <w:rPr>
                <w:rFonts w:ascii="Times New Roman" w:hAnsi="Times New Roman" w:cs="Times New Roman"/>
              </w:rPr>
            </w:pPr>
            <w:r>
              <w:rPr>
                <w:rFonts w:ascii="Times New Roman" w:hAnsi="Times New Roman" w:cs="Times New Roman"/>
              </w:rPr>
              <w:t xml:space="preserve">Represents the product supply and can inform supply chain management and market penetration strategies. </w:t>
            </w:r>
          </w:p>
        </w:tc>
        <w:tc>
          <w:tcPr>
            <w:tcW w:w="2340" w:type="dxa"/>
          </w:tcPr>
          <w:p w14:paraId="5754B6F4" w14:textId="1DC1AF42" w:rsidR="00892D62" w:rsidRDefault="00892D62" w:rsidP="00F00898">
            <w:pPr>
              <w:rPr>
                <w:rFonts w:ascii="Times New Roman" w:hAnsi="Times New Roman" w:cs="Times New Roman"/>
              </w:rPr>
            </w:pPr>
            <w:r>
              <w:rPr>
                <w:rFonts w:ascii="Times New Roman" w:hAnsi="Times New Roman" w:cs="Times New Roman"/>
              </w:rPr>
              <w:t>≥ 4.0 x 10</w:t>
            </w:r>
            <w:r w:rsidRPr="00892D62">
              <w:rPr>
                <w:rFonts w:ascii="Times New Roman" w:hAnsi="Times New Roman" w:cs="Times New Roman"/>
                <w:vertAlign w:val="superscript"/>
              </w:rPr>
              <w:t>4</w:t>
            </w:r>
            <w:r>
              <w:rPr>
                <w:rFonts w:ascii="Times New Roman" w:hAnsi="Times New Roman" w:cs="Times New Roman"/>
              </w:rPr>
              <w:t xml:space="preserve"> kg/year</w:t>
            </w:r>
          </w:p>
          <w:p w14:paraId="24C39F5F" w14:textId="63968F7F" w:rsidR="00892D62" w:rsidRPr="00892D62" w:rsidRDefault="00892D62" w:rsidP="00F00898">
            <w:pPr>
              <w:rPr>
                <w:rFonts w:ascii="Times New Roman" w:hAnsi="Times New Roman" w:cs="Times New Roman"/>
              </w:rPr>
            </w:pPr>
            <w:r>
              <w:rPr>
                <w:rFonts w:ascii="Times New Roman" w:hAnsi="Times New Roman" w:cs="Times New Roman"/>
              </w:rPr>
              <w:t>≤ 6.5 x 10</w:t>
            </w:r>
            <w:r w:rsidRPr="00892D62">
              <w:rPr>
                <w:rFonts w:ascii="Times New Roman" w:hAnsi="Times New Roman" w:cs="Times New Roman"/>
                <w:vertAlign w:val="superscript"/>
              </w:rPr>
              <w:t>4</w:t>
            </w:r>
            <w:r>
              <w:rPr>
                <w:rFonts w:ascii="Times New Roman" w:hAnsi="Times New Roman" w:cs="Times New Roman"/>
              </w:rPr>
              <w:t xml:space="preserve"> kg/year</w:t>
            </w:r>
          </w:p>
        </w:tc>
      </w:tr>
      <w:tr w:rsidR="00892D62" w:rsidRPr="00CD2D36" w14:paraId="45FF8600" w14:textId="77777777" w:rsidTr="00892D62">
        <w:trPr>
          <w:trHeight w:val="900"/>
        </w:trPr>
        <w:tc>
          <w:tcPr>
            <w:tcW w:w="3235" w:type="dxa"/>
          </w:tcPr>
          <w:p w14:paraId="25FC0395" w14:textId="015735A7" w:rsidR="00892D62" w:rsidRPr="00CD2D36" w:rsidRDefault="00892D62" w:rsidP="00F00898">
            <w:pPr>
              <w:rPr>
                <w:rFonts w:ascii="Times New Roman" w:hAnsi="Times New Roman" w:cs="Times New Roman"/>
              </w:rPr>
            </w:pPr>
            <w:r>
              <w:rPr>
                <w:rFonts w:ascii="Times New Roman" w:hAnsi="Times New Roman" w:cs="Times New Roman"/>
              </w:rPr>
              <w:t xml:space="preserve">Product </w:t>
            </w:r>
            <w:r w:rsidR="00563507">
              <w:rPr>
                <w:rFonts w:ascii="Times New Roman" w:hAnsi="Times New Roman" w:cs="Times New Roman"/>
              </w:rPr>
              <w:t>p</w:t>
            </w:r>
            <w:r>
              <w:rPr>
                <w:rFonts w:ascii="Times New Roman" w:hAnsi="Times New Roman" w:cs="Times New Roman"/>
              </w:rPr>
              <w:t xml:space="preserve">urity </w:t>
            </w:r>
            <w:r>
              <w:rPr>
                <w:rFonts w:ascii="Times New Roman" w:hAnsi="Times New Roman" w:cs="Times New Roman"/>
              </w:rPr>
              <w:br/>
              <w:t>(% purity)</w:t>
            </w:r>
          </w:p>
        </w:tc>
        <w:tc>
          <w:tcPr>
            <w:tcW w:w="3780" w:type="dxa"/>
          </w:tcPr>
          <w:p w14:paraId="1923F76D" w14:textId="3DEE9054" w:rsidR="00892D62" w:rsidRDefault="00892D62" w:rsidP="00F00898">
            <w:pPr>
              <w:rPr>
                <w:rFonts w:ascii="Times New Roman" w:hAnsi="Times New Roman" w:cs="Times New Roman"/>
              </w:rPr>
            </w:pPr>
            <w:r>
              <w:rPr>
                <w:rFonts w:ascii="Times New Roman" w:hAnsi="Times New Roman" w:cs="Times New Roman"/>
              </w:rPr>
              <w:t>Represents the product quality and can inform manufacturing strategies to ensure standards for the product critical quality attributes are met</w:t>
            </w:r>
            <w:r w:rsidR="00F9206A">
              <w:rPr>
                <w:rFonts w:ascii="Times New Roman" w:hAnsi="Times New Roman" w:cs="Times New Roman"/>
              </w:rPr>
              <w:t>.</w:t>
            </w:r>
          </w:p>
        </w:tc>
        <w:tc>
          <w:tcPr>
            <w:tcW w:w="2340" w:type="dxa"/>
          </w:tcPr>
          <w:p w14:paraId="60C92A8D" w14:textId="4CC7A334" w:rsidR="00892D62" w:rsidRDefault="00892D62" w:rsidP="00F00898">
            <w:pPr>
              <w:rPr>
                <w:rFonts w:ascii="Times New Roman" w:hAnsi="Times New Roman" w:cs="Times New Roman"/>
              </w:rPr>
            </w:pPr>
            <w:r>
              <w:rPr>
                <w:rFonts w:ascii="Times New Roman" w:hAnsi="Times New Roman" w:cs="Times New Roman"/>
              </w:rPr>
              <w:t>≥ 97.5%</w:t>
            </w:r>
          </w:p>
        </w:tc>
      </w:tr>
    </w:tbl>
    <w:p w14:paraId="0B3560BF" w14:textId="76A910D3" w:rsidR="0082171A" w:rsidRDefault="00DD5F3D" w:rsidP="00F00898">
      <w:pPr>
        <w:spacing w:line="480" w:lineRule="auto"/>
        <w:jc w:val="both"/>
        <w:rPr>
          <w:rFonts w:ascii="Times New Roman" w:hAnsi="Times New Roman" w:cs="Times New Roman"/>
          <w:sz w:val="24"/>
          <w:szCs w:val="24"/>
        </w:rPr>
      </w:pPr>
      <w:r w:rsidRPr="00CD2D36">
        <w:rPr>
          <w:rFonts w:ascii="Times New Roman" w:hAnsi="Times New Roman" w:cs="Times New Roman"/>
          <w:b/>
          <w:bCs/>
          <w:sz w:val="24"/>
          <w:szCs w:val="24"/>
        </w:rPr>
        <w:t>Table 3.</w:t>
      </w:r>
      <w:r>
        <w:rPr>
          <w:rFonts w:ascii="Times New Roman" w:hAnsi="Times New Roman" w:cs="Times New Roman"/>
          <w:sz w:val="24"/>
          <w:szCs w:val="24"/>
        </w:rPr>
        <w:t xml:space="preserve"> The selected forecast variables, a brief justification of their inclusion/significance, and hypothesized desired output ranges </w:t>
      </w:r>
      <w:r w:rsidR="00331583">
        <w:rPr>
          <w:rFonts w:ascii="Times New Roman" w:hAnsi="Times New Roman" w:cs="Times New Roman"/>
          <w:sz w:val="24"/>
          <w:szCs w:val="24"/>
        </w:rPr>
        <w:t xml:space="preserve">are </w:t>
      </w:r>
      <w:r>
        <w:rPr>
          <w:rFonts w:ascii="Times New Roman" w:hAnsi="Times New Roman" w:cs="Times New Roman"/>
          <w:sz w:val="24"/>
          <w:szCs w:val="24"/>
        </w:rPr>
        <w:t>included for the sake of illustrating richness of analysis capabilities.</w:t>
      </w:r>
    </w:p>
    <w:p w14:paraId="05C0CF90" w14:textId="77777777" w:rsidR="00B97A74" w:rsidRPr="00B71E59" w:rsidRDefault="00B97A74" w:rsidP="00F00898">
      <w:pPr>
        <w:spacing w:line="480" w:lineRule="auto"/>
        <w:jc w:val="both"/>
        <w:rPr>
          <w:rFonts w:ascii="Times New Roman" w:hAnsi="Times New Roman" w:cs="Times New Roman"/>
          <w:sz w:val="24"/>
          <w:szCs w:val="24"/>
        </w:rPr>
      </w:pPr>
    </w:p>
    <w:p w14:paraId="67988C1B" w14:textId="50EA629A" w:rsidR="00F3644D" w:rsidRPr="00182A40" w:rsidRDefault="00F3644D" w:rsidP="00F00898">
      <w:p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2.5 Sensitivity Analysis</w:t>
      </w:r>
    </w:p>
    <w:p w14:paraId="7331A62C" w14:textId="14C379AD" w:rsidR="00F3644D" w:rsidRDefault="00F3644D"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Sensitivity analysis </w:t>
      </w:r>
      <w:r w:rsidR="00F4328E">
        <w:rPr>
          <w:rFonts w:ascii="Times New Roman" w:hAnsi="Times New Roman" w:cs="Times New Roman"/>
          <w:sz w:val="24"/>
          <w:szCs w:val="24"/>
        </w:rPr>
        <w:t>is</w:t>
      </w:r>
      <w:r>
        <w:rPr>
          <w:rFonts w:ascii="Times New Roman" w:hAnsi="Times New Roman" w:cs="Times New Roman"/>
          <w:sz w:val="24"/>
          <w:szCs w:val="24"/>
        </w:rPr>
        <w:t xml:space="preserve"> </w:t>
      </w:r>
      <w:r w:rsidR="00F4328E">
        <w:rPr>
          <w:rFonts w:ascii="Times New Roman" w:hAnsi="Times New Roman" w:cs="Times New Roman"/>
          <w:sz w:val="24"/>
          <w:szCs w:val="24"/>
        </w:rPr>
        <w:t>generated by</w:t>
      </w:r>
      <w:r>
        <w:rPr>
          <w:rFonts w:ascii="Times New Roman" w:hAnsi="Times New Roman" w:cs="Times New Roman"/>
          <w:sz w:val="24"/>
          <w:szCs w:val="24"/>
        </w:rPr>
        <w:t xml:space="preserve"> Crystal Ball</w:t>
      </w:r>
      <w:r w:rsidRPr="009F1583">
        <w:rPr>
          <w:rFonts w:ascii="Times New Roman" w:hAnsi="Times New Roman" w:cs="Times New Roman"/>
          <w:sz w:val="24"/>
          <w:szCs w:val="24"/>
        </w:rPr>
        <w:t xml:space="preserve"> </w:t>
      </w:r>
      <w:r w:rsidR="00F4328E">
        <w:rPr>
          <w:rFonts w:ascii="Times New Roman" w:hAnsi="Times New Roman" w:cs="Times New Roman"/>
          <w:sz w:val="24"/>
          <w:szCs w:val="24"/>
        </w:rPr>
        <w:t xml:space="preserve">for each forecast variable </w:t>
      </w:r>
      <w:r w:rsidR="00B35D78">
        <w:rPr>
          <w:rFonts w:ascii="Times New Roman" w:hAnsi="Times New Roman" w:cs="Times New Roman"/>
          <w:sz w:val="24"/>
          <w:szCs w:val="24"/>
        </w:rPr>
        <w:t>using</w:t>
      </w:r>
      <w:r w:rsidR="00F4328E">
        <w:rPr>
          <w:rFonts w:ascii="Times New Roman" w:hAnsi="Times New Roman" w:cs="Times New Roman"/>
          <w:sz w:val="24"/>
          <w:szCs w:val="24"/>
        </w:rPr>
        <w:t xml:space="preserve"> simulation run</w:t>
      </w:r>
      <w:r w:rsidR="00B35D78">
        <w:rPr>
          <w:rFonts w:ascii="Times New Roman" w:hAnsi="Times New Roman" w:cs="Times New Roman"/>
          <w:sz w:val="24"/>
          <w:szCs w:val="24"/>
        </w:rPr>
        <w:t xml:space="preserve"> data</w:t>
      </w:r>
      <w:r w:rsidR="00F4328E">
        <w:rPr>
          <w:rFonts w:ascii="Times New Roman" w:hAnsi="Times New Roman" w:cs="Times New Roman"/>
          <w:sz w:val="24"/>
          <w:szCs w:val="24"/>
        </w:rPr>
        <w:t>. A</w:t>
      </w:r>
      <w:r w:rsidRPr="009F1583">
        <w:rPr>
          <w:rFonts w:ascii="Times New Roman" w:hAnsi="Times New Roman" w:cs="Times New Roman"/>
          <w:sz w:val="24"/>
          <w:szCs w:val="24"/>
        </w:rPr>
        <w:t xml:space="preserve"> rank correlation coefficient </w:t>
      </w:r>
      <w:r w:rsidR="00F4328E">
        <w:rPr>
          <w:rFonts w:ascii="Times New Roman" w:hAnsi="Times New Roman" w:cs="Times New Roman"/>
          <w:sz w:val="24"/>
          <w:szCs w:val="24"/>
        </w:rPr>
        <w:t xml:space="preserve">is calculated </w:t>
      </w:r>
      <w:r w:rsidRPr="009F1583">
        <w:rPr>
          <w:rFonts w:ascii="Times New Roman" w:hAnsi="Times New Roman" w:cs="Times New Roman"/>
          <w:sz w:val="24"/>
          <w:szCs w:val="24"/>
        </w:rPr>
        <w:t xml:space="preserve">between every </w:t>
      </w:r>
      <w:r w:rsidR="00F4328E">
        <w:rPr>
          <w:rFonts w:ascii="Times New Roman" w:hAnsi="Times New Roman" w:cs="Times New Roman"/>
          <w:sz w:val="24"/>
          <w:szCs w:val="24"/>
        </w:rPr>
        <w:t>forecast and assumption.</w:t>
      </w:r>
      <w:r w:rsidRPr="009F1583">
        <w:rPr>
          <w:rFonts w:ascii="Times New Roman" w:hAnsi="Times New Roman" w:cs="Times New Roman"/>
          <w:sz w:val="24"/>
          <w:szCs w:val="24"/>
        </w:rPr>
        <w:t xml:space="preserve"> </w:t>
      </w:r>
      <w:r w:rsidR="00F4328E">
        <w:rPr>
          <w:rFonts w:ascii="Times New Roman" w:hAnsi="Times New Roman" w:cs="Times New Roman"/>
          <w:sz w:val="24"/>
          <w:szCs w:val="24"/>
        </w:rPr>
        <w:t xml:space="preserve">Percent contribution to variance is calculated from the rank correlation coefficient. </w:t>
      </w:r>
      <w:r w:rsidR="00B35D78">
        <w:rPr>
          <w:rFonts w:ascii="Times New Roman" w:hAnsi="Times New Roman" w:cs="Times New Roman"/>
          <w:sz w:val="24"/>
          <w:szCs w:val="24"/>
        </w:rPr>
        <w:t xml:space="preserve">Correlation among the input parameters was not included while considering the Monte Carlo-based simulations runs for sensitivity analysis. </w:t>
      </w:r>
    </w:p>
    <w:p w14:paraId="419EE84C" w14:textId="77777777" w:rsidR="00F3644D" w:rsidRPr="00F3644D" w:rsidRDefault="00F3644D" w:rsidP="00F00898">
      <w:pPr>
        <w:spacing w:line="480" w:lineRule="auto"/>
        <w:rPr>
          <w:rFonts w:ascii="Times New Roman" w:hAnsi="Times New Roman" w:cs="Times New Roman"/>
          <w:sz w:val="24"/>
          <w:szCs w:val="24"/>
        </w:rPr>
      </w:pPr>
    </w:p>
    <w:p w14:paraId="21ACC729" w14:textId="10ABEF74" w:rsidR="00380697" w:rsidRDefault="00380697" w:rsidP="00F00898">
      <w:pPr>
        <w:spacing w:line="480" w:lineRule="auto"/>
        <w:rPr>
          <w:rFonts w:ascii="Times New Roman" w:hAnsi="Times New Roman" w:cs="Times New Roman"/>
          <w:b/>
          <w:bCs/>
          <w:sz w:val="28"/>
          <w:szCs w:val="28"/>
        </w:rPr>
      </w:pPr>
      <w:r w:rsidRPr="00C52CE9">
        <w:rPr>
          <w:rFonts w:ascii="Times New Roman" w:hAnsi="Times New Roman" w:cs="Times New Roman"/>
          <w:b/>
          <w:bCs/>
          <w:sz w:val="28"/>
          <w:szCs w:val="28"/>
        </w:rPr>
        <w:t>3. Results</w:t>
      </w:r>
    </w:p>
    <w:p w14:paraId="25523120" w14:textId="0E5A7351" w:rsidR="00533E3D" w:rsidRPr="00182A40" w:rsidRDefault="007648EB" w:rsidP="00F00898">
      <w:p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 xml:space="preserve">3.1 </w:t>
      </w:r>
      <w:r w:rsidR="00A87A6C" w:rsidRPr="00182A40">
        <w:rPr>
          <w:rFonts w:ascii="Times New Roman" w:hAnsi="Times New Roman" w:cs="Times New Roman"/>
          <w:i/>
          <w:iCs/>
          <w:sz w:val="24"/>
          <w:szCs w:val="24"/>
        </w:rPr>
        <w:t>Uncertainty quantification</w:t>
      </w:r>
    </w:p>
    <w:p w14:paraId="5C4514B1" w14:textId="5301E40A" w:rsidR="00EB6C13" w:rsidRDefault="00CF7A1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Individual</w:t>
      </w:r>
      <w:r w:rsidR="000C400E">
        <w:rPr>
          <w:rFonts w:ascii="Times New Roman" w:hAnsi="Times New Roman" w:cs="Times New Roman"/>
          <w:sz w:val="24"/>
          <w:szCs w:val="24"/>
        </w:rPr>
        <w:t xml:space="preserve"> </w:t>
      </w:r>
      <w:r w:rsidR="00EB6C13">
        <w:rPr>
          <w:rFonts w:ascii="Times New Roman" w:hAnsi="Times New Roman" w:cs="Times New Roman"/>
          <w:sz w:val="24"/>
          <w:szCs w:val="24"/>
        </w:rPr>
        <w:t>forecast variable</w:t>
      </w:r>
      <w:r w:rsidR="000E655F">
        <w:rPr>
          <w:rFonts w:ascii="Times New Roman" w:hAnsi="Times New Roman" w:cs="Times New Roman"/>
          <w:sz w:val="24"/>
          <w:szCs w:val="24"/>
        </w:rPr>
        <w:t xml:space="preserve"> uncertainty quantification is shown</w:t>
      </w:r>
      <w:r w:rsidR="00741D6C">
        <w:rPr>
          <w:rFonts w:ascii="Times New Roman" w:hAnsi="Times New Roman" w:cs="Times New Roman"/>
          <w:sz w:val="24"/>
          <w:szCs w:val="24"/>
        </w:rPr>
        <w:t xml:space="preserve"> </w:t>
      </w:r>
      <w:r w:rsidR="000E655F">
        <w:rPr>
          <w:rFonts w:ascii="Times New Roman" w:hAnsi="Times New Roman" w:cs="Times New Roman"/>
          <w:sz w:val="24"/>
          <w:szCs w:val="24"/>
        </w:rPr>
        <w:t>by histogram, cumulative probability distribution, and top input parameter contributions to variance</w:t>
      </w:r>
      <w:r w:rsidR="00741D6C">
        <w:rPr>
          <w:rFonts w:ascii="Times New Roman" w:hAnsi="Times New Roman" w:cs="Times New Roman"/>
          <w:sz w:val="24"/>
          <w:szCs w:val="24"/>
        </w:rPr>
        <w:t xml:space="preserve"> in Figure </w:t>
      </w:r>
      <w:r w:rsidR="001D3F2B">
        <w:rPr>
          <w:rFonts w:ascii="Times New Roman" w:hAnsi="Times New Roman" w:cs="Times New Roman"/>
          <w:sz w:val="24"/>
          <w:szCs w:val="24"/>
        </w:rPr>
        <w:t>2</w:t>
      </w:r>
      <w:r w:rsidR="00741D6C">
        <w:rPr>
          <w:rFonts w:ascii="Times New Roman" w:hAnsi="Times New Roman" w:cs="Times New Roman"/>
          <w:sz w:val="24"/>
          <w:szCs w:val="24"/>
        </w:rPr>
        <w:t xml:space="preserve">. </w:t>
      </w:r>
      <w:r w:rsidR="00EB6C13">
        <w:rPr>
          <w:rFonts w:ascii="Times New Roman" w:hAnsi="Times New Roman" w:cs="Times New Roman"/>
          <w:sz w:val="24"/>
          <w:szCs w:val="24"/>
        </w:rPr>
        <w:t>Expression level</w:t>
      </w:r>
      <w:r w:rsidR="004635D4">
        <w:rPr>
          <w:rFonts w:ascii="Times New Roman" w:hAnsi="Times New Roman" w:cs="Times New Roman"/>
          <w:sz w:val="24"/>
          <w:szCs w:val="24"/>
        </w:rPr>
        <w:t xml:space="preserve"> (P-4)</w:t>
      </w:r>
      <w:r w:rsidR="00EB6C13">
        <w:rPr>
          <w:rFonts w:ascii="Times New Roman" w:hAnsi="Times New Roman" w:cs="Times New Roman"/>
          <w:sz w:val="24"/>
          <w:szCs w:val="24"/>
        </w:rPr>
        <w:t>, field growth yield</w:t>
      </w:r>
      <w:r w:rsidR="004635D4">
        <w:rPr>
          <w:rFonts w:ascii="Times New Roman" w:hAnsi="Times New Roman" w:cs="Times New Roman"/>
          <w:sz w:val="24"/>
          <w:szCs w:val="24"/>
        </w:rPr>
        <w:t xml:space="preserve"> (P-2)</w:t>
      </w:r>
      <w:r w:rsidR="00EB6C13">
        <w:rPr>
          <w:rFonts w:ascii="Times New Roman" w:hAnsi="Times New Roman" w:cs="Times New Roman"/>
          <w:sz w:val="24"/>
          <w:szCs w:val="24"/>
        </w:rPr>
        <w:t>, field growth time</w:t>
      </w:r>
      <w:r w:rsidR="004635D4">
        <w:rPr>
          <w:rFonts w:ascii="Times New Roman" w:hAnsi="Times New Roman" w:cs="Times New Roman"/>
          <w:sz w:val="24"/>
          <w:szCs w:val="24"/>
        </w:rPr>
        <w:t xml:space="preserve"> (P-2)</w:t>
      </w:r>
      <w:r w:rsidR="00EB6C13">
        <w:rPr>
          <w:rFonts w:ascii="Times New Roman" w:hAnsi="Times New Roman" w:cs="Times New Roman"/>
          <w:sz w:val="24"/>
          <w:szCs w:val="24"/>
        </w:rPr>
        <w:t xml:space="preserve">, P&amp;F removal of product (P-13), and CEX recovery of product </w:t>
      </w:r>
      <w:r w:rsidR="004635D4">
        <w:rPr>
          <w:rFonts w:ascii="Times New Roman" w:hAnsi="Times New Roman" w:cs="Times New Roman"/>
          <w:sz w:val="24"/>
          <w:szCs w:val="24"/>
        </w:rPr>
        <w:t xml:space="preserve">(P-20) </w:t>
      </w:r>
      <w:r w:rsidR="00EB6C13">
        <w:rPr>
          <w:rFonts w:ascii="Times New Roman" w:hAnsi="Times New Roman" w:cs="Times New Roman"/>
          <w:sz w:val="24"/>
          <w:szCs w:val="24"/>
        </w:rPr>
        <w:t>have been generally identified as top contributors to variance f</w:t>
      </w:r>
      <w:r w:rsidR="001D3F2B">
        <w:rPr>
          <w:rFonts w:ascii="Times New Roman" w:hAnsi="Times New Roman" w:cs="Times New Roman"/>
          <w:sz w:val="24"/>
          <w:szCs w:val="24"/>
        </w:rPr>
        <w:t>or</w:t>
      </w:r>
      <w:r w:rsidR="00EB6C13">
        <w:rPr>
          <w:rFonts w:ascii="Times New Roman" w:hAnsi="Times New Roman" w:cs="Times New Roman"/>
          <w:sz w:val="24"/>
          <w:szCs w:val="24"/>
        </w:rPr>
        <w:t xml:space="preserve"> the selected set of forecast variables</w:t>
      </w:r>
      <w:r w:rsidR="001D3F2B">
        <w:rPr>
          <w:rFonts w:ascii="Times New Roman" w:hAnsi="Times New Roman" w:cs="Times New Roman"/>
          <w:sz w:val="24"/>
          <w:szCs w:val="24"/>
        </w:rPr>
        <w:t xml:space="preserve"> analyzed</w:t>
      </w:r>
      <w:r w:rsidR="00EB6C13">
        <w:rPr>
          <w:rFonts w:ascii="Times New Roman" w:hAnsi="Times New Roman" w:cs="Times New Roman"/>
          <w:sz w:val="24"/>
          <w:szCs w:val="24"/>
        </w:rPr>
        <w:t xml:space="preserve">. </w:t>
      </w:r>
      <w:r w:rsidR="00ED404F">
        <w:rPr>
          <w:rFonts w:ascii="Times New Roman" w:hAnsi="Times New Roman" w:cs="Times New Roman"/>
          <w:sz w:val="24"/>
          <w:szCs w:val="24"/>
        </w:rPr>
        <w:t>Additional information on the forecast variable</w:t>
      </w:r>
      <w:r w:rsidR="008E39BE">
        <w:rPr>
          <w:rFonts w:ascii="Times New Roman" w:hAnsi="Times New Roman" w:cs="Times New Roman"/>
          <w:sz w:val="24"/>
          <w:szCs w:val="24"/>
        </w:rPr>
        <w:t xml:space="preserve"> outputs</w:t>
      </w:r>
      <w:r w:rsidR="001D3F2B">
        <w:rPr>
          <w:rFonts w:ascii="Times New Roman" w:hAnsi="Times New Roman" w:cs="Times New Roman"/>
          <w:sz w:val="24"/>
          <w:szCs w:val="24"/>
        </w:rPr>
        <w:t>,</w:t>
      </w:r>
      <w:r w:rsidR="00ED404F">
        <w:rPr>
          <w:rFonts w:ascii="Times New Roman" w:hAnsi="Times New Roman" w:cs="Times New Roman"/>
          <w:sz w:val="24"/>
          <w:szCs w:val="24"/>
        </w:rPr>
        <w:t xml:space="preserve"> including</w:t>
      </w:r>
      <w:r w:rsidR="000E655F">
        <w:rPr>
          <w:rFonts w:ascii="Times New Roman" w:hAnsi="Times New Roman" w:cs="Times New Roman"/>
          <w:sz w:val="24"/>
          <w:szCs w:val="24"/>
        </w:rPr>
        <w:t xml:space="preserve"> </w:t>
      </w:r>
      <w:r w:rsidR="00ED404F">
        <w:rPr>
          <w:rFonts w:ascii="Times New Roman" w:hAnsi="Times New Roman" w:cs="Times New Roman"/>
          <w:sz w:val="24"/>
          <w:szCs w:val="24"/>
        </w:rPr>
        <w:t xml:space="preserve">graphical assessment of normality and a list of </w:t>
      </w:r>
      <w:r w:rsidR="000E655F">
        <w:rPr>
          <w:rFonts w:ascii="Times New Roman" w:hAnsi="Times New Roman" w:cs="Times New Roman"/>
          <w:sz w:val="24"/>
          <w:szCs w:val="24"/>
        </w:rPr>
        <w:t>contributions to variance for all input parameters</w:t>
      </w:r>
      <w:r w:rsidR="001D3F2B">
        <w:rPr>
          <w:rFonts w:ascii="Times New Roman" w:hAnsi="Times New Roman" w:cs="Times New Roman"/>
          <w:sz w:val="24"/>
          <w:szCs w:val="24"/>
        </w:rPr>
        <w:t>,</w:t>
      </w:r>
      <w:r w:rsidR="00ED404F">
        <w:rPr>
          <w:rFonts w:ascii="Times New Roman" w:hAnsi="Times New Roman" w:cs="Times New Roman"/>
          <w:sz w:val="24"/>
          <w:szCs w:val="24"/>
        </w:rPr>
        <w:t xml:space="preserve"> is included in Supplementary Information</w:t>
      </w:r>
      <w:r w:rsidR="00C9373D">
        <w:rPr>
          <w:rFonts w:ascii="Times New Roman" w:hAnsi="Times New Roman" w:cs="Times New Roman"/>
          <w:sz w:val="24"/>
          <w:szCs w:val="24"/>
        </w:rPr>
        <w:t xml:space="preserve"> (S4. Forecast contributions to variance; S</w:t>
      </w:r>
      <w:r w:rsidR="00181A24">
        <w:rPr>
          <w:rFonts w:ascii="Times New Roman" w:hAnsi="Times New Roman" w:cs="Times New Roman"/>
          <w:sz w:val="24"/>
          <w:szCs w:val="24"/>
        </w:rPr>
        <w:t>6</w:t>
      </w:r>
      <w:r w:rsidR="00C9373D">
        <w:rPr>
          <w:rFonts w:ascii="Times New Roman" w:hAnsi="Times New Roman" w:cs="Times New Roman"/>
          <w:sz w:val="24"/>
          <w:szCs w:val="24"/>
        </w:rPr>
        <w:t>. Forecast variable normality)</w:t>
      </w:r>
      <w:r w:rsidR="000E655F">
        <w:rPr>
          <w:rFonts w:ascii="Times New Roman" w:hAnsi="Times New Roman" w:cs="Times New Roman"/>
          <w:sz w:val="24"/>
          <w:szCs w:val="24"/>
        </w:rPr>
        <w:t>.</w:t>
      </w:r>
    </w:p>
    <w:p w14:paraId="180EDEA0" w14:textId="6CC2B492" w:rsidR="00767FB1" w:rsidRDefault="008B2037" w:rsidP="007B3389">
      <w:pPr>
        <w:spacing w:line="480" w:lineRule="auto"/>
        <w:ind w:left="-12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06CD86" wp14:editId="2B8CBEFF">
            <wp:extent cx="7551682" cy="5481292"/>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997"/>
                    <a:stretch/>
                  </pic:blipFill>
                  <pic:spPr bwMode="auto">
                    <a:xfrm>
                      <a:off x="0" y="0"/>
                      <a:ext cx="7576400" cy="5499233"/>
                    </a:xfrm>
                    <a:prstGeom prst="rect">
                      <a:avLst/>
                    </a:prstGeom>
                    <a:noFill/>
                    <a:ln>
                      <a:noFill/>
                    </a:ln>
                    <a:extLst>
                      <a:ext uri="{53640926-AAD7-44D8-BBD7-CCE9431645EC}">
                        <a14:shadowObscured xmlns:a14="http://schemas.microsoft.com/office/drawing/2010/main"/>
                      </a:ext>
                    </a:extLst>
                  </pic:spPr>
                </pic:pic>
              </a:graphicData>
            </a:graphic>
          </wp:inline>
        </w:drawing>
      </w:r>
    </w:p>
    <w:p w14:paraId="0D7F6B6E" w14:textId="7B54DD08" w:rsidR="00767FB1" w:rsidRPr="00A53F85" w:rsidRDefault="00767FB1" w:rsidP="00F00898">
      <w:pPr>
        <w:spacing w:line="480" w:lineRule="auto"/>
        <w:jc w:val="both"/>
        <w:rPr>
          <w:rFonts w:ascii="Times New Roman" w:hAnsi="Times New Roman" w:cs="Times New Roman"/>
          <w:sz w:val="24"/>
          <w:szCs w:val="24"/>
        </w:rPr>
      </w:pPr>
      <w:r w:rsidRPr="00A53F85">
        <w:rPr>
          <w:rFonts w:ascii="Times New Roman" w:hAnsi="Times New Roman" w:cs="Times New Roman"/>
          <w:b/>
          <w:bCs/>
          <w:sz w:val="24"/>
          <w:szCs w:val="24"/>
        </w:rPr>
        <w:t>Fig</w:t>
      </w:r>
      <w:r>
        <w:rPr>
          <w:rFonts w:ascii="Times New Roman" w:hAnsi="Times New Roman" w:cs="Times New Roman"/>
          <w:b/>
          <w:bCs/>
          <w:sz w:val="24"/>
          <w:szCs w:val="24"/>
        </w:rPr>
        <w:t>ure</w:t>
      </w:r>
      <w:r w:rsidRPr="00A53F85">
        <w:rPr>
          <w:rFonts w:ascii="Times New Roman" w:hAnsi="Times New Roman" w:cs="Times New Roman"/>
          <w:b/>
          <w:bCs/>
          <w:sz w:val="24"/>
          <w:szCs w:val="24"/>
        </w:rPr>
        <w:t xml:space="preserve"> 2. </w:t>
      </w:r>
      <w:r w:rsidRPr="00A53F85">
        <w:rPr>
          <w:rFonts w:ascii="Times New Roman" w:hAnsi="Times New Roman" w:cs="Times New Roman"/>
          <w:sz w:val="24"/>
          <w:szCs w:val="24"/>
        </w:rPr>
        <w:t>Probability distributions and top five assumption contributions to forecast variance for internal rate of return (</w:t>
      </w:r>
      <w:r w:rsidR="008B2037">
        <w:rPr>
          <w:rFonts w:ascii="Times New Roman" w:hAnsi="Times New Roman" w:cs="Times New Roman"/>
          <w:sz w:val="24"/>
          <w:szCs w:val="24"/>
        </w:rPr>
        <w:t>a</w:t>
      </w:r>
      <w:r w:rsidRPr="00A53F85">
        <w:rPr>
          <w:rFonts w:ascii="Times New Roman" w:hAnsi="Times New Roman" w:cs="Times New Roman"/>
          <w:sz w:val="24"/>
          <w:szCs w:val="24"/>
        </w:rPr>
        <w:t xml:space="preserve">, </w:t>
      </w:r>
      <w:r w:rsidR="008B2037">
        <w:rPr>
          <w:rFonts w:ascii="Times New Roman" w:hAnsi="Times New Roman" w:cs="Times New Roman"/>
          <w:sz w:val="24"/>
          <w:szCs w:val="24"/>
        </w:rPr>
        <w:t>b</w:t>
      </w:r>
      <w:r w:rsidRPr="00A53F85">
        <w:rPr>
          <w:rFonts w:ascii="Times New Roman" w:hAnsi="Times New Roman" w:cs="Times New Roman"/>
          <w:sz w:val="24"/>
          <w:szCs w:val="24"/>
        </w:rPr>
        <w:t>), cost of goods sold (</w:t>
      </w:r>
      <w:r w:rsidR="008B2037">
        <w:rPr>
          <w:rFonts w:ascii="Times New Roman" w:hAnsi="Times New Roman" w:cs="Times New Roman"/>
          <w:sz w:val="24"/>
          <w:szCs w:val="24"/>
        </w:rPr>
        <w:t>c</w:t>
      </w:r>
      <w:r w:rsidRPr="00A53F85">
        <w:rPr>
          <w:rFonts w:ascii="Times New Roman" w:hAnsi="Times New Roman" w:cs="Times New Roman"/>
          <w:sz w:val="24"/>
          <w:szCs w:val="24"/>
        </w:rPr>
        <w:t>,</w:t>
      </w:r>
      <w:r w:rsidR="008B2037">
        <w:rPr>
          <w:rFonts w:ascii="Times New Roman" w:hAnsi="Times New Roman" w:cs="Times New Roman"/>
          <w:sz w:val="24"/>
          <w:szCs w:val="24"/>
        </w:rPr>
        <w:t xml:space="preserve"> d</w:t>
      </w:r>
      <w:r w:rsidRPr="00A53F85">
        <w:rPr>
          <w:rFonts w:ascii="Times New Roman" w:hAnsi="Times New Roman" w:cs="Times New Roman"/>
          <w:sz w:val="24"/>
          <w:szCs w:val="24"/>
        </w:rPr>
        <w:t>), annual throughput (</w:t>
      </w:r>
      <w:r w:rsidR="008B2037">
        <w:rPr>
          <w:rFonts w:ascii="Times New Roman" w:hAnsi="Times New Roman" w:cs="Times New Roman"/>
          <w:sz w:val="24"/>
          <w:szCs w:val="24"/>
        </w:rPr>
        <w:t>e</w:t>
      </w:r>
      <w:r w:rsidRPr="00A53F85">
        <w:rPr>
          <w:rFonts w:ascii="Times New Roman" w:hAnsi="Times New Roman" w:cs="Times New Roman"/>
          <w:sz w:val="24"/>
          <w:szCs w:val="24"/>
        </w:rPr>
        <w:t xml:space="preserve">, </w:t>
      </w:r>
      <w:r w:rsidR="008B2037">
        <w:rPr>
          <w:rFonts w:ascii="Times New Roman" w:hAnsi="Times New Roman" w:cs="Times New Roman"/>
          <w:sz w:val="24"/>
          <w:szCs w:val="24"/>
        </w:rPr>
        <w:t>f</w:t>
      </w:r>
      <w:r w:rsidRPr="00A53F85">
        <w:rPr>
          <w:rFonts w:ascii="Times New Roman" w:hAnsi="Times New Roman" w:cs="Times New Roman"/>
          <w:sz w:val="24"/>
          <w:szCs w:val="24"/>
        </w:rPr>
        <w:t>), and final product purity (</w:t>
      </w:r>
      <w:r w:rsidR="008B2037">
        <w:rPr>
          <w:rFonts w:ascii="Times New Roman" w:hAnsi="Times New Roman" w:cs="Times New Roman"/>
          <w:sz w:val="24"/>
          <w:szCs w:val="24"/>
        </w:rPr>
        <w:t>g</w:t>
      </w:r>
      <w:r w:rsidRPr="00A53F85">
        <w:rPr>
          <w:rFonts w:ascii="Times New Roman" w:hAnsi="Times New Roman" w:cs="Times New Roman"/>
          <w:sz w:val="24"/>
          <w:szCs w:val="24"/>
        </w:rPr>
        <w:t>,</w:t>
      </w:r>
      <w:r w:rsidR="008B2037">
        <w:rPr>
          <w:rFonts w:ascii="Times New Roman" w:hAnsi="Times New Roman" w:cs="Times New Roman"/>
          <w:sz w:val="24"/>
          <w:szCs w:val="24"/>
        </w:rPr>
        <w:t xml:space="preserve"> h</w:t>
      </w:r>
      <w:r w:rsidRPr="00A53F85">
        <w:rPr>
          <w:rFonts w:ascii="Times New Roman" w:hAnsi="Times New Roman" w:cs="Times New Roman"/>
          <w:sz w:val="24"/>
          <w:szCs w:val="24"/>
        </w:rPr>
        <w:t xml:space="preserve">). </w:t>
      </w:r>
    </w:p>
    <w:p w14:paraId="5B5D7291" w14:textId="77777777" w:rsidR="00767FB1" w:rsidRDefault="00767FB1" w:rsidP="00F00898">
      <w:pPr>
        <w:spacing w:line="480" w:lineRule="auto"/>
        <w:jc w:val="both"/>
        <w:rPr>
          <w:rFonts w:ascii="Times New Roman" w:hAnsi="Times New Roman" w:cs="Times New Roman"/>
          <w:sz w:val="24"/>
          <w:szCs w:val="24"/>
        </w:rPr>
      </w:pPr>
    </w:p>
    <w:p w14:paraId="2D44B005" w14:textId="1BE13CC7" w:rsidR="00EB6C13" w:rsidRDefault="000E655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Relationships between the </w:t>
      </w:r>
      <w:r w:rsidR="00D6606D">
        <w:rPr>
          <w:rFonts w:ascii="Times New Roman" w:hAnsi="Times New Roman" w:cs="Times New Roman"/>
          <w:sz w:val="24"/>
          <w:szCs w:val="24"/>
        </w:rPr>
        <w:t>forecast variables are sh</w:t>
      </w:r>
      <w:r w:rsidR="00EB6C13">
        <w:rPr>
          <w:rFonts w:ascii="Times New Roman" w:hAnsi="Times New Roman" w:cs="Times New Roman"/>
          <w:sz w:val="24"/>
          <w:szCs w:val="24"/>
        </w:rPr>
        <w:t xml:space="preserve">own in Figure 3, highlighting the </w:t>
      </w:r>
      <w:r w:rsidR="005972E7">
        <w:rPr>
          <w:rFonts w:ascii="Times New Roman" w:hAnsi="Times New Roman" w:cs="Times New Roman"/>
          <w:sz w:val="24"/>
          <w:szCs w:val="24"/>
        </w:rPr>
        <w:t>interplay</w:t>
      </w:r>
      <w:r w:rsidR="00EB6C13">
        <w:rPr>
          <w:rFonts w:ascii="Times New Roman" w:hAnsi="Times New Roman" w:cs="Times New Roman"/>
          <w:sz w:val="24"/>
          <w:szCs w:val="24"/>
        </w:rPr>
        <w:t xml:space="preserve"> between the process performance </w:t>
      </w:r>
      <w:r w:rsidR="001D3F2B">
        <w:rPr>
          <w:rFonts w:ascii="Times New Roman" w:hAnsi="Times New Roman" w:cs="Times New Roman"/>
          <w:sz w:val="24"/>
          <w:szCs w:val="24"/>
        </w:rPr>
        <w:t xml:space="preserve">and profitability </w:t>
      </w:r>
      <w:r w:rsidR="00EB6C13">
        <w:rPr>
          <w:rFonts w:ascii="Times New Roman" w:hAnsi="Times New Roman" w:cs="Times New Roman"/>
          <w:sz w:val="24"/>
          <w:szCs w:val="24"/>
        </w:rPr>
        <w:t>forecast variables</w:t>
      </w:r>
      <w:r w:rsidR="001D3F2B">
        <w:rPr>
          <w:rFonts w:ascii="Times New Roman" w:hAnsi="Times New Roman" w:cs="Times New Roman"/>
          <w:sz w:val="24"/>
          <w:szCs w:val="24"/>
        </w:rPr>
        <w:t xml:space="preserve">. </w:t>
      </w:r>
      <w:r w:rsidR="00DA2E34">
        <w:rPr>
          <w:rFonts w:ascii="Times New Roman" w:hAnsi="Times New Roman" w:cs="Times New Roman"/>
          <w:sz w:val="24"/>
          <w:szCs w:val="24"/>
        </w:rPr>
        <w:t xml:space="preserve">As can be generally </w:t>
      </w:r>
      <w:r w:rsidR="00DA2E34">
        <w:rPr>
          <w:rFonts w:ascii="Times New Roman" w:hAnsi="Times New Roman" w:cs="Times New Roman"/>
          <w:sz w:val="24"/>
          <w:szCs w:val="24"/>
        </w:rPr>
        <w:lastRenderedPageBreak/>
        <w:t xml:space="preserve">expected, high </w:t>
      </w:r>
      <w:r w:rsidR="001D3F2B">
        <w:rPr>
          <w:rFonts w:ascii="Times New Roman" w:hAnsi="Times New Roman" w:cs="Times New Roman"/>
          <w:sz w:val="24"/>
          <w:szCs w:val="24"/>
        </w:rPr>
        <w:t>Annual Throughput</w:t>
      </w:r>
      <w:r w:rsidR="00DA2E34">
        <w:rPr>
          <w:rFonts w:ascii="Times New Roman" w:hAnsi="Times New Roman" w:cs="Times New Roman"/>
          <w:sz w:val="24"/>
          <w:szCs w:val="24"/>
        </w:rPr>
        <w:t xml:space="preserve"> and low COGS are associated with high </w:t>
      </w:r>
      <w:r w:rsidR="001600BD">
        <w:rPr>
          <w:rFonts w:ascii="Times New Roman" w:hAnsi="Times New Roman" w:cs="Times New Roman"/>
          <w:sz w:val="24"/>
          <w:szCs w:val="24"/>
        </w:rPr>
        <w:t>internal rate of return (</w:t>
      </w:r>
      <w:r w:rsidR="00DA2E34">
        <w:rPr>
          <w:rFonts w:ascii="Times New Roman" w:hAnsi="Times New Roman" w:cs="Times New Roman"/>
          <w:sz w:val="24"/>
          <w:szCs w:val="24"/>
        </w:rPr>
        <w:t>IRR</w:t>
      </w:r>
      <w:r w:rsidR="001600BD">
        <w:rPr>
          <w:rFonts w:ascii="Times New Roman" w:hAnsi="Times New Roman" w:cs="Times New Roman"/>
          <w:sz w:val="24"/>
          <w:szCs w:val="24"/>
        </w:rPr>
        <w:t>)</w:t>
      </w:r>
      <w:r w:rsidR="00DA2E34">
        <w:rPr>
          <w:rFonts w:ascii="Times New Roman" w:hAnsi="Times New Roman" w:cs="Times New Roman"/>
          <w:sz w:val="24"/>
          <w:szCs w:val="24"/>
        </w:rPr>
        <w:t xml:space="preserve">. The density plots </w:t>
      </w:r>
      <w:r w:rsidR="00956892">
        <w:rPr>
          <w:rFonts w:ascii="Times New Roman" w:hAnsi="Times New Roman" w:cs="Times New Roman"/>
          <w:sz w:val="24"/>
          <w:szCs w:val="24"/>
        </w:rPr>
        <w:t xml:space="preserve">(Figure 3, E-H) </w:t>
      </w:r>
      <w:r w:rsidR="00DA2E34">
        <w:rPr>
          <w:rFonts w:ascii="Times New Roman" w:hAnsi="Times New Roman" w:cs="Times New Roman"/>
          <w:sz w:val="24"/>
          <w:szCs w:val="24"/>
        </w:rPr>
        <w:t>show a negative skewness for all three process performance forecast variables. Based on the</w:t>
      </w:r>
      <w:r w:rsidR="001D3F2B">
        <w:rPr>
          <w:rFonts w:ascii="Times New Roman" w:hAnsi="Times New Roman" w:cs="Times New Roman"/>
          <w:sz w:val="24"/>
          <w:szCs w:val="24"/>
        </w:rPr>
        <w:t xml:space="preserve"> desired </w:t>
      </w:r>
      <w:r w:rsidR="00297326">
        <w:rPr>
          <w:rFonts w:ascii="Times New Roman" w:hAnsi="Times New Roman" w:cs="Times New Roman"/>
          <w:sz w:val="24"/>
          <w:szCs w:val="24"/>
        </w:rPr>
        <w:t>forecast target ranges</w:t>
      </w:r>
      <w:r w:rsidR="001D3F2B">
        <w:rPr>
          <w:rFonts w:ascii="Times New Roman" w:hAnsi="Times New Roman" w:cs="Times New Roman"/>
          <w:sz w:val="24"/>
          <w:szCs w:val="24"/>
        </w:rPr>
        <w:t xml:space="preserve"> listed in Table 3</w:t>
      </w:r>
      <w:r w:rsidR="00DA2E34">
        <w:rPr>
          <w:rFonts w:ascii="Times New Roman" w:hAnsi="Times New Roman" w:cs="Times New Roman"/>
          <w:sz w:val="24"/>
          <w:szCs w:val="24"/>
        </w:rPr>
        <w:t xml:space="preserve">, we </w:t>
      </w:r>
      <w:r w:rsidR="000B711F">
        <w:rPr>
          <w:rFonts w:ascii="Times New Roman" w:hAnsi="Times New Roman" w:cs="Times New Roman"/>
          <w:sz w:val="24"/>
          <w:szCs w:val="24"/>
        </w:rPr>
        <w:t xml:space="preserve">project </w:t>
      </w:r>
      <w:r w:rsidR="00900788">
        <w:rPr>
          <w:rFonts w:ascii="Times New Roman" w:hAnsi="Times New Roman" w:cs="Times New Roman"/>
          <w:sz w:val="24"/>
          <w:szCs w:val="24"/>
        </w:rPr>
        <w:t xml:space="preserve">the manufacturing, </w:t>
      </w:r>
      <w:r w:rsidR="008E39BE">
        <w:rPr>
          <w:rFonts w:ascii="Times New Roman" w:hAnsi="Times New Roman" w:cs="Times New Roman"/>
          <w:sz w:val="24"/>
          <w:szCs w:val="24"/>
        </w:rPr>
        <w:t xml:space="preserve">as given by </w:t>
      </w:r>
      <w:r w:rsidR="00900788">
        <w:rPr>
          <w:rFonts w:ascii="Times New Roman" w:hAnsi="Times New Roman" w:cs="Times New Roman"/>
          <w:sz w:val="24"/>
          <w:szCs w:val="24"/>
        </w:rPr>
        <w:t xml:space="preserve">the model simulation, meeting </w:t>
      </w:r>
      <w:r w:rsidR="000A5C42">
        <w:rPr>
          <w:rFonts w:ascii="Times New Roman" w:hAnsi="Times New Roman" w:cs="Times New Roman"/>
          <w:sz w:val="24"/>
          <w:szCs w:val="24"/>
        </w:rPr>
        <w:t xml:space="preserve">desired COGS </w:t>
      </w:r>
      <w:r w:rsidR="00900788">
        <w:rPr>
          <w:rFonts w:ascii="Times New Roman" w:hAnsi="Times New Roman" w:cs="Times New Roman"/>
          <w:sz w:val="24"/>
          <w:szCs w:val="24"/>
        </w:rPr>
        <w:t xml:space="preserve">output specifications with </w:t>
      </w:r>
      <w:r w:rsidR="000A5C42">
        <w:rPr>
          <w:rFonts w:ascii="Times New Roman" w:hAnsi="Times New Roman" w:cs="Times New Roman"/>
          <w:sz w:val="24"/>
          <w:szCs w:val="24"/>
        </w:rPr>
        <w:t xml:space="preserve">86.5% certainty (17,299/20,000 trials), annual throughput with 93.7% certainty (18,747/20,000 trials), product purity with 92.6% certainty (18,529/20,000 trials), IRR with 82.5% certainty (16,490/20,000 trials), and meeting all four output specifications with </w:t>
      </w:r>
      <w:r w:rsidR="000B711F">
        <w:rPr>
          <w:rFonts w:ascii="Times New Roman" w:hAnsi="Times New Roman" w:cs="Times New Roman"/>
          <w:sz w:val="24"/>
          <w:szCs w:val="24"/>
        </w:rPr>
        <w:t>80.8</w:t>
      </w:r>
      <w:r w:rsidR="00DA2E34">
        <w:rPr>
          <w:rFonts w:ascii="Times New Roman" w:hAnsi="Times New Roman" w:cs="Times New Roman"/>
          <w:sz w:val="24"/>
          <w:szCs w:val="24"/>
        </w:rPr>
        <w:t>% certainty</w:t>
      </w:r>
      <w:r w:rsidR="000A5C42">
        <w:rPr>
          <w:rFonts w:ascii="Times New Roman" w:hAnsi="Times New Roman" w:cs="Times New Roman"/>
          <w:sz w:val="24"/>
          <w:szCs w:val="24"/>
        </w:rPr>
        <w:t xml:space="preserve"> (16,161/20,000 trials)</w:t>
      </w:r>
      <w:r w:rsidR="00900788">
        <w:rPr>
          <w:rFonts w:ascii="Times New Roman" w:hAnsi="Times New Roman" w:cs="Times New Roman"/>
          <w:sz w:val="24"/>
          <w:szCs w:val="24"/>
        </w:rPr>
        <w:t>.</w:t>
      </w:r>
      <w:r w:rsidR="00DA2E34">
        <w:rPr>
          <w:rFonts w:ascii="Times New Roman" w:hAnsi="Times New Roman" w:cs="Times New Roman"/>
          <w:sz w:val="24"/>
          <w:szCs w:val="24"/>
        </w:rPr>
        <w:t xml:space="preserve"> </w:t>
      </w:r>
    </w:p>
    <w:p w14:paraId="1D951970" w14:textId="3172B7A8" w:rsidR="00767FB1" w:rsidRDefault="005E5474" w:rsidP="00F00898">
      <w:pPr>
        <w:spacing w:line="480" w:lineRule="auto"/>
        <w:ind w:left="-1260" w:right="-12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A0F8F5" wp14:editId="19B99308">
            <wp:extent cx="7503795" cy="3800830"/>
            <wp:effectExtent l="0" t="0" r="190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18503" cy="3808280"/>
                    </a:xfrm>
                    <a:prstGeom prst="rect">
                      <a:avLst/>
                    </a:prstGeom>
                    <a:noFill/>
                  </pic:spPr>
                </pic:pic>
              </a:graphicData>
            </a:graphic>
          </wp:inline>
        </w:drawing>
      </w:r>
    </w:p>
    <w:p w14:paraId="7BFDB19B" w14:textId="77777777" w:rsidR="00767FB1" w:rsidRPr="00A53F85" w:rsidRDefault="00767FB1" w:rsidP="00F00898">
      <w:pPr>
        <w:spacing w:line="480" w:lineRule="auto"/>
        <w:jc w:val="both"/>
        <w:rPr>
          <w:rFonts w:ascii="Times New Roman" w:hAnsi="Times New Roman" w:cs="Times New Roman"/>
          <w:sz w:val="24"/>
          <w:szCs w:val="24"/>
        </w:rPr>
      </w:pPr>
      <w:r w:rsidRPr="00A53F85">
        <w:rPr>
          <w:rFonts w:ascii="Times New Roman" w:hAnsi="Times New Roman" w:cs="Times New Roman"/>
          <w:b/>
          <w:bCs/>
          <w:sz w:val="24"/>
          <w:szCs w:val="24"/>
        </w:rPr>
        <w:t>Fig</w:t>
      </w:r>
      <w:r>
        <w:rPr>
          <w:rFonts w:ascii="Times New Roman" w:hAnsi="Times New Roman" w:cs="Times New Roman"/>
          <w:b/>
          <w:bCs/>
          <w:sz w:val="24"/>
          <w:szCs w:val="24"/>
        </w:rPr>
        <w:t>ure</w:t>
      </w:r>
      <w:r w:rsidRPr="00A53F85">
        <w:rPr>
          <w:rFonts w:ascii="Times New Roman" w:hAnsi="Times New Roman" w:cs="Times New Roman"/>
          <w:b/>
          <w:bCs/>
          <w:sz w:val="24"/>
          <w:szCs w:val="24"/>
        </w:rPr>
        <w:t xml:space="preserve"> 3. </w:t>
      </w:r>
      <w:r w:rsidRPr="00A53F85">
        <w:rPr>
          <w:rFonts w:ascii="Times New Roman" w:hAnsi="Times New Roman" w:cs="Times New Roman"/>
          <w:sz w:val="24"/>
          <w:szCs w:val="24"/>
        </w:rPr>
        <w:t>Relationship between the forecast parameter outputs as a function of internal rate of return and data density. Contour plots display overall and pairwise relationships (A – D). A 3D-scatter plot displays the overall relationship (E</w:t>
      </w:r>
      <w:proofErr w:type="gramStart"/>
      <w:r w:rsidRPr="00A53F85">
        <w:rPr>
          <w:rFonts w:ascii="Times New Roman" w:hAnsi="Times New Roman" w:cs="Times New Roman"/>
          <w:sz w:val="24"/>
          <w:szCs w:val="24"/>
        </w:rPr>
        <w:t>)</w:t>
      </w:r>
      <w:proofErr w:type="gramEnd"/>
      <w:r w:rsidRPr="00A53F85">
        <w:rPr>
          <w:rFonts w:ascii="Times New Roman" w:hAnsi="Times New Roman" w:cs="Times New Roman"/>
          <w:sz w:val="24"/>
          <w:szCs w:val="24"/>
        </w:rPr>
        <w:t xml:space="preserve"> and binned scattered plots display pairwise relationships (F – H).</w:t>
      </w:r>
    </w:p>
    <w:p w14:paraId="0AE04CA1" w14:textId="77777777" w:rsidR="003013FB" w:rsidRDefault="003013FB" w:rsidP="00F00898">
      <w:pPr>
        <w:spacing w:line="480" w:lineRule="auto"/>
        <w:rPr>
          <w:rFonts w:ascii="Times New Roman" w:hAnsi="Times New Roman" w:cs="Times New Roman"/>
          <w:sz w:val="24"/>
          <w:szCs w:val="24"/>
        </w:rPr>
      </w:pPr>
    </w:p>
    <w:p w14:paraId="3B0C75F5" w14:textId="7B9E19E4" w:rsidR="007648EB" w:rsidRPr="00182A40" w:rsidRDefault="007648EB" w:rsidP="00F00898">
      <w:p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 xml:space="preserve">3.2 </w:t>
      </w:r>
      <w:r w:rsidR="00F24450" w:rsidRPr="00182A40">
        <w:rPr>
          <w:rFonts w:ascii="Times New Roman" w:hAnsi="Times New Roman" w:cs="Times New Roman"/>
          <w:i/>
          <w:iCs/>
          <w:sz w:val="24"/>
          <w:szCs w:val="24"/>
        </w:rPr>
        <w:t>Facility oversizing</w:t>
      </w:r>
    </w:p>
    <w:p w14:paraId="24DFC2D2" w14:textId="6FC1FBBA" w:rsidR="00BC6EB4" w:rsidRDefault="003013FB"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87A6C">
        <w:rPr>
          <w:rFonts w:ascii="Times New Roman" w:hAnsi="Times New Roman" w:cs="Times New Roman"/>
          <w:sz w:val="24"/>
          <w:szCs w:val="24"/>
        </w:rPr>
        <w:t xml:space="preserve">equipment of the </w:t>
      </w:r>
      <w:r>
        <w:rPr>
          <w:rFonts w:ascii="Times New Roman" w:hAnsi="Times New Roman" w:cs="Times New Roman"/>
          <w:sz w:val="24"/>
          <w:szCs w:val="24"/>
        </w:rPr>
        <w:t xml:space="preserve">base case facility model </w:t>
      </w:r>
      <w:r w:rsidR="00A87A6C">
        <w:rPr>
          <w:rFonts w:ascii="Times New Roman" w:hAnsi="Times New Roman" w:cs="Times New Roman"/>
          <w:sz w:val="24"/>
          <w:szCs w:val="24"/>
        </w:rPr>
        <w:t xml:space="preserve">is sized </w:t>
      </w:r>
      <w:r w:rsidR="00F1216B">
        <w:rPr>
          <w:rFonts w:ascii="Times New Roman" w:hAnsi="Times New Roman" w:cs="Times New Roman"/>
          <w:sz w:val="24"/>
          <w:szCs w:val="24"/>
        </w:rPr>
        <w:t>to maximize equipment utilization for the nominal static average input parameters.</w:t>
      </w:r>
      <w:r w:rsidR="00A87A6C">
        <w:rPr>
          <w:rFonts w:ascii="Times New Roman" w:hAnsi="Times New Roman" w:cs="Times New Roman"/>
          <w:sz w:val="24"/>
          <w:szCs w:val="24"/>
        </w:rPr>
        <w:t xml:space="preserve"> Here w</w:t>
      </w:r>
      <w:r>
        <w:rPr>
          <w:rFonts w:ascii="Times New Roman" w:hAnsi="Times New Roman" w:cs="Times New Roman"/>
          <w:sz w:val="24"/>
          <w:szCs w:val="24"/>
        </w:rPr>
        <w:t xml:space="preserve">e </w:t>
      </w:r>
      <w:r w:rsidR="00A87A6C">
        <w:rPr>
          <w:rFonts w:ascii="Times New Roman" w:hAnsi="Times New Roman" w:cs="Times New Roman"/>
          <w:sz w:val="24"/>
          <w:szCs w:val="24"/>
        </w:rPr>
        <w:t xml:space="preserve">investigate the impact of oversizing equipment </w:t>
      </w:r>
      <w:r w:rsidR="002659FA">
        <w:rPr>
          <w:rFonts w:ascii="Times New Roman" w:hAnsi="Times New Roman" w:cs="Times New Roman"/>
          <w:sz w:val="24"/>
          <w:szCs w:val="24"/>
        </w:rPr>
        <w:t xml:space="preserve">(base case = 0% oversize) </w:t>
      </w:r>
      <w:r w:rsidR="00A87A6C">
        <w:rPr>
          <w:rFonts w:ascii="Times New Roman" w:hAnsi="Times New Roman" w:cs="Times New Roman"/>
          <w:sz w:val="24"/>
          <w:szCs w:val="24"/>
        </w:rPr>
        <w:t xml:space="preserve">to </w:t>
      </w:r>
      <w:r w:rsidR="002659FA">
        <w:rPr>
          <w:rFonts w:ascii="Times New Roman" w:hAnsi="Times New Roman" w:cs="Times New Roman"/>
          <w:sz w:val="24"/>
          <w:szCs w:val="24"/>
        </w:rPr>
        <w:t>reduce</w:t>
      </w:r>
      <w:r w:rsidR="00A87A6C">
        <w:rPr>
          <w:rFonts w:ascii="Times New Roman" w:hAnsi="Times New Roman" w:cs="Times New Roman"/>
          <w:sz w:val="24"/>
          <w:szCs w:val="24"/>
        </w:rPr>
        <w:t xml:space="preserve"> or </w:t>
      </w:r>
      <w:r w:rsidR="007161F1">
        <w:rPr>
          <w:rFonts w:ascii="Times New Roman" w:hAnsi="Times New Roman" w:cs="Times New Roman"/>
          <w:sz w:val="24"/>
          <w:szCs w:val="24"/>
        </w:rPr>
        <w:t>eliminate</w:t>
      </w:r>
      <w:r w:rsidR="00A87A6C">
        <w:rPr>
          <w:rFonts w:ascii="Times New Roman" w:hAnsi="Times New Roman" w:cs="Times New Roman"/>
          <w:sz w:val="24"/>
          <w:szCs w:val="24"/>
        </w:rPr>
        <w:t xml:space="preserve"> </w:t>
      </w:r>
      <w:r w:rsidR="002659FA">
        <w:rPr>
          <w:rFonts w:ascii="Times New Roman" w:hAnsi="Times New Roman" w:cs="Times New Roman"/>
          <w:sz w:val="24"/>
          <w:szCs w:val="24"/>
        </w:rPr>
        <w:t xml:space="preserve">probability of </w:t>
      </w:r>
      <w:r w:rsidR="00A87A6C">
        <w:rPr>
          <w:rFonts w:ascii="Times New Roman" w:hAnsi="Times New Roman" w:cs="Times New Roman"/>
          <w:sz w:val="24"/>
          <w:szCs w:val="24"/>
        </w:rPr>
        <w:t xml:space="preserve">process stream waste </w:t>
      </w:r>
      <w:r w:rsidR="008E39BE">
        <w:rPr>
          <w:rFonts w:ascii="Times New Roman" w:hAnsi="Times New Roman" w:cs="Times New Roman"/>
          <w:sz w:val="24"/>
          <w:szCs w:val="24"/>
        </w:rPr>
        <w:t xml:space="preserve">for above average throughput trials </w:t>
      </w:r>
      <w:r w:rsidR="00A87A6C">
        <w:rPr>
          <w:rFonts w:ascii="Times New Roman" w:hAnsi="Times New Roman" w:cs="Times New Roman"/>
          <w:sz w:val="24"/>
          <w:szCs w:val="24"/>
        </w:rPr>
        <w:t xml:space="preserve">on techno-economics. </w:t>
      </w:r>
      <w:r w:rsidR="00E27BD6">
        <w:rPr>
          <w:rFonts w:ascii="Times New Roman" w:hAnsi="Times New Roman" w:cs="Times New Roman"/>
          <w:sz w:val="24"/>
          <w:szCs w:val="24"/>
        </w:rPr>
        <w:t xml:space="preserve">A facility model with </w:t>
      </w:r>
      <w:r w:rsidR="007161F1">
        <w:rPr>
          <w:rFonts w:ascii="Times New Roman" w:hAnsi="Times New Roman" w:cs="Times New Roman"/>
          <w:sz w:val="24"/>
          <w:szCs w:val="24"/>
        </w:rPr>
        <w:t>100%</w:t>
      </w:r>
      <w:r w:rsidR="00A87A6C">
        <w:rPr>
          <w:rFonts w:ascii="Times New Roman" w:hAnsi="Times New Roman" w:cs="Times New Roman"/>
          <w:sz w:val="24"/>
          <w:szCs w:val="24"/>
        </w:rPr>
        <w:t xml:space="preserve"> oversizing is defined </w:t>
      </w:r>
      <w:r w:rsidR="002460B9">
        <w:rPr>
          <w:rFonts w:ascii="Times New Roman" w:hAnsi="Times New Roman" w:cs="Times New Roman"/>
          <w:sz w:val="24"/>
          <w:szCs w:val="24"/>
        </w:rPr>
        <w:t xml:space="preserve">as a scenario with </w:t>
      </w:r>
      <w:r w:rsidR="00A87A6C">
        <w:rPr>
          <w:rFonts w:ascii="Times New Roman" w:hAnsi="Times New Roman" w:cs="Times New Roman"/>
          <w:sz w:val="24"/>
          <w:szCs w:val="24"/>
        </w:rPr>
        <w:t xml:space="preserve">equipment </w:t>
      </w:r>
      <w:r w:rsidR="002659FA">
        <w:rPr>
          <w:rFonts w:ascii="Times New Roman" w:hAnsi="Times New Roman" w:cs="Times New Roman"/>
          <w:sz w:val="24"/>
          <w:szCs w:val="24"/>
        </w:rPr>
        <w:t xml:space="preserve">sized </w:t>
      </w:r>
      <w:r w:rsidR="002460B9">
        <w:rPr>
          <w:rFonts w:ascii="Times New Roman" w:hAnsi="Times New Roman" w:cs="Times New Roman"/>
          <w:sz w:val="24"/>
          <w:szCs w:val="24"/>
        </w:rPr>
        <w:t>to</w:t>
      </w:r>
      <w:r w:rsidR="002659FA">
        <w:rPr>
          <w:rFonts w:ascii="Times New Roman" w:hAnsi="Times New Roman" w:cs="Times New Roman"/>
          <w:sz w:val="24"/>
          <w:szCs w:val="24"/>
        </w:rPr>
        <w:t xml:space="preserve"> </w:t>
      </w:r>
      <w:r w:rsidR="007161F1">
        <w:rPr>
          <w:rFonts w:ascii="Times New Roman" w:hAnsi="Times New Roman" w:cs="Times New Roman"/>
          <w:sz w:val="24"/>
          <w:szCs w:val="24"/>
        </w:rPr>
        <w:t xml:space="preserve">process the maximum stream volume </w:t>
      </w:r>
      <w:r w:rsidR="002460B9">
        <w:rPr>
          <w:rFonts w:ascii="Times New Roman" w:hAnsi="Times New Roman" w:cs="Times New Roman"/>
          <w:sz w:val="24"/>
          <w:szCs w:val="24"/>
        </w:rPr>
        <w:t xml:space="preserve">possible </w:t>
      </w:r>
      <w:r w:rsidR="007161F1">
        <w:rPr>
          <w:rFonts w:ascii="Times New Roman" w:hAnsi="Times New Roman" w:cs="Times New Roman"/>
          <w:sz w:val="24"/>
          <w:szCs w:val="24"/>
        </w:rPr>
        <w:t xml:space="preserve">within the selected input parameter ranges. Simulations were performed at 0% (base case), 25%, 50%, 75%, and 100% oversizing. </w:t>
      </w:r>
      <w:r w:rsidR="002460B9">
        <w:rPr>
          <w:rFonts w:ascii="Times New Roman" w:hAnsi="Times New Roman" w:cs="Times New Roman"/>
          <w:sz w:val="24"/>
          <w:szCs w:val="24"/>
        </w:rPr>
        <w:t>The following equipment</w:t>
      </w:r>
      <w:r w:rsidR="007161F1">
        <w:rPr>
          <w:rFonts w:ascii="Times New Roman" w:hAnsi="Times New Roman" w:cs="Times New Roman"/>
          <w:sz w:val="24"/>
          <w:szCs w:val="24"/>
        </w:rPr>
        <w:t xml:space="preserve"> were re-sized for this analysis</w:t>
      </w:r>
      <w:r w:rsidR="002460B9">
        <w:rPr>
          <w:rFonts w:ascii="Times New Roman" w:hAnsi="Times New Roman" w:cs="Times New Roman"/>
          <w:sz w:val="24"/>
          <w:szCs w:val="24"/>
        </w:rPr>
        <w:t>: heat tank (</w:t>
      </w:r>
      <w:r w:rsidR="001D017C">
        <w:rPr>
          <w:rFonts w:ascii="Times New Roman" w:hAnsi="Times New Roman" w:cs="Times New Roman"/>
          <w:sz w:val="24"/>
          <w:szCs w:val="24"/>
        </w:rPr>
        <w:t>V-101</w:t>
      </w:r>
      <w:r w:rsidR="002460B9">
        <w:rPr>
          <w:rFonts w:ascii="Times New Roman" w:hAnsi="Times New Roman" w:cs="Times New Roman"/>
          <w:sz w:val="24"/>
          <w:szCs w:val="24"/>
        </w:rPr>
        <w:t>), evaporator (</w:t>
      </w:r>
      <w:r w:rsidR="001D017C">
        <w:rPr>
          <w:rFonts w:ascii="Times New Roman" w:hAnsi="Times New Roman" w:cs="Times New Roman"/>
          <w:sz w:val="24"/>
          <w:szCs w:val="24"/>
        </w:rPr>
        <w:t>EV-101</w:t>
      </w:r>
      <w:r w:rsidR="002460B9">
        <w:rPr>
          <w:rFonts w:ascii="Times New Roman" w:hAnsi="Times New Roman" w:cs="Times New Roman"/>
          <w:sz w:val="24"/>
          <w:szCs w:val="24"/>
        </w:rPr>
        <w:t xml:space="preserve">), </w:t>
      </w:r>
      <w:r w:rsidR="001D017C">
        <w:rPr>
          <w:rFonts w:ascii="Times New Roman" w:hAnsi="Times New Roman" w:cs="Times New Roman"/>
          <w:sz w:val="24"/>
          <w:szCs w:val="24"/>
        </w:rPr>
        <w:t xml:space="preserve">tangential flow filtration </w:t>
      </w:r>
      <w:proofErr w:type="gramStart"/>
      <w:r w:rsidR="002460B9">
        <w:rPr>
          <w:rFonts w:ascii="Times New Roman" w:hAnsi="Times New Roman" w:cs="Times New Roman"/>
          <w:sz w:val="24"/>
          <w:szCs w:val="24"/>
        </w:rPr>
        <w:t>hold</w:t>
      </w:r>
      <w:proofErr w:type="gramEnd"/>
      <w:r w:rsidR="002460B9">
        <w:rPr>
          <w:rFonts w:ascii="Times New Roman" w:hAnsi="Times New Roman" w:cs="Times New Roman"/>
          <w:sz w:val="24"/>
          <w:szCs w:val="24"/>
        </w:rPr>
        <w:t xml:space="preserve"> tank (</w:t>
      </w:r>
      <w:r w:rsidR="001D017C">
        <w:rPr>
          <w:rFonts w:ascii="Times New Roman" w:hAnsi="Times New Roman" w:cs="Times New Roman"/>
          <w:sz w:val="24"/>
          <w:szCs w:val="24"/>
        </w:rPr>
        <w:t>V-102</w:t>
      </w:r>
      <w:r w:rsidR="002460B9">
        <w:rPr>
          <w:rFonts w:ascii="Times New Roman" w:hAnsi="Times New Roman" w:cs="Times New Roman"/>
          <w:sz w:val="24"/>
          <w:szCs w:val="24"/>
        </w:rPr>
        <w:t xml:space="preserve">), CEX </w:t>
      </w:r>
      <w:r w:rsidR="001D017C">
        <w:rPr>
          <w:rFonts w:ascii="Times New Roman" w:hAnsi="Times New Roman" w:cs="Times New Roman"/>
          <w:sz w:val="24"/>
          <w:szCs w:val="24"/>
        </w:rPr>
        <w:t xml:space="preserve">column </w:t>
      </w:r>
      <w:r w:rsidR="002460B9">
        <w:rPr>
          <w:rFonts w:ascii="Times New Roman" w:hAnsi="Times New Roman" w:cs="Times New Roman"/>
          <w:sz w:val="24"/>
          <w:szCs w:val="24"/>
        </w:rPr>
        <w:t>(</w:t>
      </w:r>
      <w:r w:rsidR="001D017C">
        <w:rPr>
          <w:rFonts w:ascii="Times New Roman" w:hAnsi="Times New Roman" w:cs="Times New Roman"/>
          <w:sz w:val="24"/>
          <w:szCs w:val="24"/>
        </w:rPr>
        <w:t>C-101</w:t>
      </w:r>
      <w:r w:rsidR="002460B9">
        <w:rPr>
          <w:rFonts w:ascii="Times New Roman" w:hAnsi="Times New Roman" w:cs="Times New Roman"/>
          <w:sz w:val="24"/>
          <w:szCs w:val="24"/>
        </w:rPr>
        <w:t>)</w:t>
      </w:r>
      <w:r w:rsidR="00181A24">
        <w:rPr>
          <w:rFonts w:ascii="Times New Roman" w:hAnsi="Times New Roman" w:cs="Times New Roman"/>
          <w:sz w:val="24"/>
          <w:szCs w:val="24"/>
        </w:rPr>
        <w:t xml:space="preserve"> (S5. Equipment oversizing specifications)</w:t>
      </w:r>
      <w:r w:rsidR="007161F1">
        <w:rPr>
          <w:rFonts w:ascii="Times New Roman" w:hAnsi="Times New Roman" w:cs="Times New Roman"/>
          <w:sz w:val="24"/>
          <w:szCs w:val="24"/>
        </w:rPr>
        <w:t>. All other equipment</w:t>
      </w:r>
      <w:r w:rsidR="00A87A6C">
        <w:rPr>
          <w:rFonts w:ascii="Times New Roman" w:hAnsi="Times New Roman" w:cs="Times New Roman"/>
          <w:sz w:val="24"/>
          <w:szCs w:val="24"/>
        </w:rPr>
        <w:t xml:space="preserve"> </w:t>
      </w:r>
      <w:proofErr w:type="gramStart"/>
      <w:r w:rsidR="008E39BE">
        <w:rPr>
          <w:rFonts w:ascii="Times New Roman" w:hAnsi="Times New Roman" w:cs="Times New Roman"/>
          <w:sz w:val="24"/>
          <w:szCs w:val="24"/>
        </w:rPr>
        <w:t>were capable of</w:t>
      </w:r>
      <w:r w:rsidR="00F157AB">
        <w:rPr>
          <w:rFonts w:ascii="Times New Roman" w:hAnsi="Times New Roman" w:cs="Times New Roman"/>
          <w:sz w:val="24"/>
          <w:szCs w:val="24"/>
        </w:rPr>
        <w:t xml:space="preserve"> process</w:t>
      </w:r>
      <w:r w:rsidR="008E39BE">
        <w:rPr>
          <w:rFonts w:ascii="Times New Roman" w:hAnsi="Times New Roman" w:cs="Times New Roman"/>
          <w:sz w:val="24"/>
          <w:szCs w:val="24"/>
        </w:rPr>
        <w:t>ing</w:t>
      </w:r>
      <w:proofErr w:type="gramEnd"/>
      <w:r w:rsidR="007161F1">
        <w:rPr>
          <w:rFonts w:ascii="Times New Roman" w:hAnsi="Times New Roman" w:cs="Times New Roman"/>
          <w:sz w:val="24"/>
          <w:szCs w:val="24"/>
        </w:rPr>
        <w:t xml:space="preserve"> the maximum stream volume without re-sizing</w:t>
      </w:r>
      <w:r w:rsidR="002460B9">
        <w:rPr>
          <w:rFonts w:ascii="Times New Roman" w:hAnsi="Times New Roman" w:cs="Times New Roman"/>
          <w:sz w:val="24"/>
          <w:szCs w:val="24"/>
        </w:rPr>
        <w:t xml:space="preserve"> using a rated throughput</w:t>
      </w:r>
      <w:r w:rsidR="007161F1">
        <w:rPr>
          <w:rFonts w:ascii="Times New Roman" w:hAnsi="Times New Roman" w:cs="Times New Roman"/>
          <w:sz w:val="24"/>
          <w:szCs w:val="24"/>
        </w:rPr>
        <w:t xml:space="preserve">. </w:t>
      </w:r>
    </w:p>
    <w:p w14:paraId="7EEC8BD0" w14:textId="4ABAF266" w:rsidR="00CF7A1F" w:rsidRDefault="002460B9"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Simulation trials in which the equipment capacity is exceeded operate according to </w:t>
      </w:r>
      <w:r w:rsidR="00DA2CD0">
        <w:rPr>
          <w:rFonts w:ascii="Times New Roman" w:hAnsi="Times New Roman" w:cs="Times New Roman"/>
          <w:sz w:val="24"/>
          <w:szCs w:val="24"/>
        </w:rPr>
        <w:t>what</w:t>
      </w:r>
      <w:r w:rsidR="002F160F">
        <w:rPr>
          <w:rFonts w:ascii="Times New Roman" w:hAnsi="Times New Roman" w:cs="Times New Roman"/>
          <w:sz w:val="24"/>
          <w:szCs w:val="24"/>
        </w:rPr>
        <w:t xml:space="preserve"> we</w:t>
      </w:r>
      <w:r w:rsidR="00DA2CD0">
        <w:rPr>
          <w:rFonts w:ascii="Times New Roman" w:hAnsi="Times New Roman" w:cs="Times New Roman"/>
          <w:sz w:val="24"/>
          <w:szCs w:val="24"/>
        </w:rPr>
        <w:t xml:space="preserve"> are terming </w:t>
      </w:r>
      <w:r w:rsidR="004F47E4">
        <w:rPr>
          <w:rFonts w:ascii="Times New Roman" w:hAnsi="Times New Roman" w:cs="Times New Roman"/>
          <w:sz w:val="24"/>
          <w:szCs w:val="24"/>
        </w:rPr>
        <w:t xml:space="preserve">as </w:t>
      </w:r>
      <w:r w:rsidR="00DA2CD0">
        <w:rPr>
          <w:rFonts w:ascii="Times New Roman" w:hAnsi="Times New Roman" w:cs="Times New Roman"/>
          <w:sz w:val="24"/>
          <w:szCs w:val="24"/>
        </w:rPr>
        <w:t>effective assumptions.</w:t>
      </w:r>
      <w:r>
        <w:rPr>
          <w:rFonts w:ascii="Times New Roman" w:hAnsi="Times New Roman" w:cs="Times New Roman"/>
          <w:sz w:val="24"/>
          <w:szCs w:val="24"/>
        </w:rPr>
        <w:t xml:space="preserve"> </w:t>
      </w:r>
      <w:r w:rsidR="00DA2CD0">
        <w:rPr>
          <w:rFonts w:ascii="Times New Roman" w:hAnsi="Times New Roman" w:cs="Times New Roman"/>
          <w:sz w:val="24"/>
          <w:szCs w:val="24"/>
        </w:rPr>
        <w:t xml:space="preserve">The effective assumption is the </w:t>
      </w:r>
      <w:r w:rsidR="00B35D78">
        <w:rPr>
          <w:rFonts w:ascii="Times New Roman" w:hAnsi="Times New Roman" w:cs="Times New Roman"/>
          <w:sz w:val="24"/>
          <w:szCs w:val="24"/>
        </w:rPr>
        <w:t xml:space="preserve">defined </w:t>
      </w:r>
      <w:r w:rsidR="00DA2CD0">
        <w:rPr>
          <w:rFonts w:ascii="Times New Roman" w:hAnsi="Times New Roman" w:cs="Times New Roman"/>
          <w:sz w:val="24"/>
          <w:szCs w:val="24"/>
        </w:rPr>
        <w:t xml:space="preserve">assumption </w:t>
      </w:r>
      <w:r w:rsidR="002F160F">
        <w:rPr>
          <w:rFonts w:ascii="Times New Roman" w:hAnsi="Times New Roman" w:cs="Times New Roman"/>
          <w:sz w:val="24"/>
          <w:szCs w:val="24"/>
        </w:rPr>
        <w:t xml:space="preserve">probability </w:t>
      </w:r>
      <w:r w:rsidR="00DA2CD0">
        <w:rPr>
          <w:rFonts w:ascii="Times New Roman" w:hAnsi="Times New Roman" w:cs="Times New Roman"/>
          <w:sz w:val="24"/>
          <w:szCs w:val="24"/>
        </w:rPr>
        <w:t>distribution constrained by the equipment capacity</w:t>
      </w:r>
      <w:r w:rsidR="008E39BE">
        <w:rPr>
          <w:rFonts w:ascii="Times New Roman" w:hAnsi="Times New Roman" w:cs="Times New Roman"/>
          <w:sz w:val="24"/>
          <w:szCs w:val="24"/>
        </w:rPr>
        <w:t>, as described in the Materials &amp; Methods section</w:t>
      </w:r>
      <w:r w:rsidR="00DA2CD0">
        <w:rPr>
          <w:rFonts w:ascii="Times New Roman" w:hAnsi="Times New Roman" w:cs="Times New Roman"/>
          <w:sz w:val="24"/>
          <w:szCs w:val="24"/>
        </w:rPr>
        <w:t xml:space="preserve">. An effective assumption </w:t>
      </w:r>
      <w:r w:rsidR="002F160F">
        <w:rPr>
          <w:rFonts w:ascii="Times New Roman" w:hAnsi="Times New Roman" w:cs="Times New Roman"/>
          <w:sz w:val="24"/>
          <w:szCs w:val="24"/>
        </w:rPr>
        <w:t xml:space="preserve">constrained by equipment capacity </w:t>
      </w:r>
      <w:r w:rsidR="007F662D">
        <w:rPr>
          <w:rFonts w:ascii="Times New Roman" w:hAnsi="Times New Roman" w:cs="Times New Roman"/>
          <w:sz w:val="24"/>
          <w:szCs w:val="24"/>
        </w:rPr>
        <w:t>is</w:t>
      </w:r>
      <w:r w:rsidR="00DA2CD0">
        <w:rPr>
          <w:rFonts w:ascii="Times New Roman" w:hAnsi="Times New Roman" w:cs="Times New Roman"/>
          <w:sz w:val="24"/>
          <w:szCs w:val="24"/>
        </w:rPr>
        <w:t xml:space="preserve"> observed for field growth yield and CEX recovery of product, as shown in Figure </w:t>
      </w:r>
      <w:r w:rsidR="007F662D">
        <w:rPr>
          <w:rFonts w:ascii="Times New Roman" w:hAnsi="Times New Roman" w:cs="Times New Roman"/>
          <w:sz w:val="24"/>
          <w:szCs w:val="24"/>
        </w:rPr>
        <w:t>4</w:t>
      </w:r>
      <w:r w:rsidR="00321636">
        <w:rPr>
          <w:rFonts w:ascii="Times New Roman" w:hAnsi="Times New Roman" w:cs="Times New Roman"/>
          <w:sz w:val="24"/>
          <w:szCs w:val="24"/>
        </w:rPr>
        <w:t xml:space="preserve">. </w:t>
      </w:r>
      <w:r w:rsidR="00DA2CD0">
        <w:rPr>
          <w:rFonts w:ascii="Times New Roman" w:hAnsi="Times New Roman" w:cs="Times New Roman"/>
          <w:sz w:val="24"/>
          <w:szCs w:val="24"/>
        </w:rPr>
        <w:t xml:space="preserve">There is a pronounced difference between the effective field growth yield and the </w:t>
      </w:r>
      <w:r w:rsidR="008E39BE">
        <w:rPr>
          <w:rFonts w:ascii="Times New Roman" w:hAnsi="Times New Roman" w:cs="Times New Roman"/>
          <w:sz w:val="24"/>
          <w:szCs w:val="24"/>
        </w:rPr>
        <w:t xml:space="preserve">governing </w:t>
      </w:r>
      <w:r w:rsidR="00DA2CD0">
        <w:rPr>
          <w:rFonts w:ascii="Times New Roman" w:hAnsi="Times New Roman" w:cs="Times New Roman"/>
          <w:sz w:val="24"/>
          <w:szCs w:val="24"/>
        </w:rPr>
        <w:t xml:space="preserve">field growth yield </w:t>
      </w:r>
      <w:r w:rsidR="008E39BE">
        <w:rPr>
          <w:rFonts w:ascii="Times New Roman" w:hAnsi="Times New Roman" w:cs="Times New Roman"/>
          <w:sz w:val="24"/>
          <w:szCs w:val="24"/>
        </w:rPr>
        <w:t>probability distribution</w:t>
      </w:r>
      <w:r w:rsidR="00B35D78">
        <w:rPr>
          <w:rFonts w:ascii="Times New Roman" w:hAnsi="Times New Roman" w:cs="Times New Roman"/>
          <w:sz w:val="24"/>
          <w:szCs w:val="24"/>
        </w:rPr>
        <w:t>s under</w:t>
      </w:r>
      <w:r w:rsidR="00DA2CD0">
        <w:rPr>
          <w:rFonts w:ascii="Times New Roman" w:hAnsi="Times New Roman" w:cs="Times New Roman"/>
          <w:sz w:val="24"/>
          <w:szCs w:val="24"/>
        </w:rPr>
        <w:t xml:space="preserve"> the 0% and 25% </w:t>
      </w:r>
      <w:r w:rsidR="00743E62">
        <w:rPr>
          <w:rFonts w:ascii="Times New Roman" w:hAnsi="Times New Roman" w:cs="Times New Roman"/>
          <w:sz w:val="24"/>
          <w:szCs w:val="24"/>
        </w:rPr>
        <w:t xml:space="preserve">equipment </w:t>
      </w:r>
      <w:r w:rsidR="00DA2CD0">
        <w:rPr>
          <w:rFonts w:ascii="Times New Roman" w:hAnsi="Times New Roman" w:cs="Times New Roman"/>
          <w:sz w:val="24"/>
          <w:szCs w:val="24"/>
        </w:rPr>
        <w:t>oversize scenarios</w:t>
      </w:r>
      <w:r w:rsidR="007D15AF">
        <w:rPr>
          <w:rFonts w:ascii="Times New Roman" w:hAnsi="Times New Roman" w:cs="Times New Roman"/>
          <w:sz w:val="24"/>
          <w:szCs w:val="24"/>
        </w:rPr>
        <w:t xml:space="preserve">, </w:t>
      </w:r>
      <w:r w:rsidR="00B35D78">
        <w:rPr>
          <w:rFonts w:ascii="Times New Roman" w:hAnsi="Times New Roman" w:cs="Times New Roman"/>
          <w:sz w:val="24"/>
          <w:szCs w:val="24"/>
        </w:rPr>
        <w:t xml:space="preserve">the differences being </w:t>
      </w:r>
      <w:r w:rsidR="007D15AF">
        <w:rPr>
          <w:rFonts w:ascii="Times New Roman" w:hAnsi="Times New Roman" w:cs="Times New Roman"/>
          <w:sz w:val="24"/>
          <w:szCs w:val="24"/>
        </w:rPr>
        <w:t xml:space="preserve">statistically </w:t>
      </w:r>
      <w:r w:rsidR="00B35D78">
        <w:rPr>
          <w:rFonts w:ascii="Times New Roman" w:hAnsi="Times New Roman" w:cs="Times New Roman"/>
          <w:sz w:val="24"/>
          <w:szCs w:val="24"/>
        </w:rPr>
        <w:t>significant</w:t>
      </w:r>
      <w:r w:rsidR="007D15AF">
        <w:rPr>
          <w:rFonts w:ascii="Times New Roman" w:hAnsi="Times New Roman" w:cs="Times New Roman"/>
          <w:sz w:val="24"/>
          <w:szCs w:val="24"/>
        </w:rPr>
        <w:t xml:space="preserve"> from </w:t>
      </w:r>
      <w:r w:rsidR="00CF36C2">
        <w:rPr>
          <w:rFonts w:ascii="Times New Roman" w:hAnsi="Times New Roman" w:cs="Times New Roman"/>
          <w:sz w:val="24"/>
          <w:szCs w:val="24"/>
        </w:rPr>
        <w:t>all</w:t>
      </w:r>
      <w:r w:rsidR="007D15AF">
        <w:rPr>
          <w:rFonts w:ascii="Times New Roman" w:hAnsi="Times New Roman" w:cs="Times New Roman"/>
          <w:sz w:val="24"/>
          <w:szCs w:val="24"/>
        </w:rPr>
        <w:t xml:space="preserve"> other </w:t>
      </w:r>
      <w:r w:rsidR="00CF36C2">
        <w:rPr>
          <w:rFonts w:ascii="Times New Roman" w:hAnsi="Times New Roman" w:cs="Times New Roman"/>
          <w:sz w:val="24"/>
          <w:szCs w:val="24"/>
        </w:rPr>
        <w:t xml:space="preserve">equipment oversize </w:t>
      </w:r>
      <w:r w:rsidR="007D15AF">
        <w:rPr>
          <w:rFonts w:ascii="Times New Roman" w:hAnsi="Times New Roman" w:cs="Times New Roman"/>
          <w:sz w:val="24"/>
          <w:szCs w:val="24"/>
        </w:rPr>
        <w:t>scenarios</w:t>
      </w:r>
      <w:r w:rsidR="00CF36C2">
        <w:rPr>
          <w:rFonts w:ascii="Times New Roman" w:hAnsi="Times New Roman" w:cs="Times New Roman"/>
          <w:sz w:val="24"/>
          <w:szCs w:val="24"/>
        </w:rPr>
        <w:t xml:space="preserve">. The hypotheses being tested here are about the equality of the means of the two probability distributions, and the tests used are the standard two-sample t-tests with two-sided alternatives, at level of significance </w:t>
      </w:r>
      <w:r w:rsidR="00973A5C">
        <w:rPr>
          <w:rFonts w:ascii="Calibri" w:hAnsi="Calibri" w:cs="Calibri"/>
          <w:sz w:val="24"/>
          <w:szCs w:val="24"/>
        </w:rPr>
        <w:t>α</w:t>
      </w:r>
      <w:r w:rsidR="007D15AF">
        <w:rPr>
          <w:rFonts w:ascii="Times New Roman" w:hAnsi="Times New Roman" w:cs="Times New Roman"/>
          <w:sz w:val="24"/>
          <w:szCs w:val="24"/>
        </w:rPr>
        <w:t xml:space="preserve"> = 0.05</w:t>
      </w:r>
      <w:r w:rsidR="00DA2CD0">
        <w:rPr>
          <w:rFonts w:ascii="Times New Roman" w:hAnsi="Times New Roman" w:cs="Times New Roman"/>
          <w:sz w:val="24"/>
          <w:szCs w:val="24"/>
        </w:rPr>
        <w:t>.</w:t>
      </w:r>
      <w:r w:rsidR="007D15AF">
        <w:rPr>
          <w:rFonts w:ascii="Times New Roman" w:hAnsi="Times New Roman" w:cs="Times New Roman"/>
          <w:sz w:val="24"/>
          <w:szCs w:val="24"/>
        </w:rPr>
        <w:t xml:space="preserve"> Means of the</w:t>
      </w:r>
      <w:r w:rsidR="00CF36C2">
        <w:rPr>
          <w:rFonts w:ascii="Times New Roman" w:hAnsi="Times New Roman" w:cs="Times New Roman"/>
          <w:sz w:val="24"/>
          <w:szCs w:val="24"/>
        </w:rPr>
        <w:t>se two probability distributions under</w:t>
      </w:r>
      <w:r w:rsidR="007D15AF">
        <w:rPr>
          <w:rFonts w:ascii="Times New Roman" w:hAnsi="Times New Roman" w:cs="Times New Roman"/>
          <w:sz w:val="24"/>
          <w:szCs w:val="24"/>
        </w:rPr>
        <w:t xml:space="preserve"> 50</w:t>
      </w:r>
      <w:r w:rsidR="00CF36C2">
        <w:rPr>
          <w:rFonts w:ascii="Times New Roman" w:hAnsi="Times New Roman" w:cs="Times New Roman"/>
          <w:sz w:val="24"/>
          <w:szCs w:val="24"/>
        </w:rPr>
        <w:t>%</w:t>
      </w:r>
      <w:r w:rsidR="007D15AF">
        <w:rPr>
          <w:rFonts w:ascii="Times New Roman" w:hAnsi="Times New Roman" w:cs="Times New Roman"/>
          <w:sz w:val="24"/>
          <w:szCs w:val="24"/>
        </w:rPr>
        <w:t>, 75</w:t>
      </w:r>
      <w:r w:rsidR="00CF36C2">
        <w:rPr>
          <w:rFonts w:ascii="Times New Roman" w:hAnsi="Times New Roman" w:cs="Times New Roman"/>
          <w:sz w:val="24"/>
          <w:szCs w:val="24"/>
        </w:rPr>
        <w:t>%</w:t>
      </w:r>
      <w:r w:rsidR="007D15AF">
        <w:rPr>
          <w:rFonts w:ascii="Times New Roman" w:hAnsi="Times New Roman" w:cs="Times New Roman"/>
          <w:sz w:val="24"/>
          <w:szCs w:val="24"/>
        </w:rPr>
        <w:t xml:space="preserve">, and 100% oversizing scenarios were not </w:t>
      </w:r>
      <w:r w:rsidR="007D15AF">
        <w:rPr>
          <w:rFonts w:ascii="Times New Roman" w:hAnsi="Times New Roman" w:cs="Times New Roman"/>
          <w:sz w:val="24"/>
          <w:szCs w:val="24"/>
        </w:rPr>
        <w:lastRenderedPageBreak/>
        <w:t>statistically different.</w:t>
      </w:r>
      <w:r w:rsidR="00DA2CD0">
        <w:rPr>
          <w:rFonts w:ascii="Times New Roman" w:hAnsi="Times New Roman" w:cs="Times New Roman"/>
          <w:sz w:val="24"/>
          <w:szCs w:val="24"/>
        </w:rPr>
        <w:t xml:space="preserve"> </w:t>
      </w:r>
      <w:r w:rsidR="00971651">
        <w:rPr>
          <w:rFonts w:ascii="Times New Roman" w:hAnsi="Times New Roman" w:cs="Times New Roman"/>
          <w:sz w:val="24"/>
          <w:szCs w:val="24"/>
        </w:rPr>
        <w:t>Subsequent statistical evaluation of the probability distributions of these scenarios illustrated that the 50% scenario output is not borne of an equal distribution to that of the 75% and 100% oversizing scenarios (</w:t>
      </w:r>
      <w:r w:rsidR="00CF36C2">
        <w:rPr>
          <w:rFonts w:ascii="Times New Roman" w:hAnsi="Times New Roman" w:cs="Times New Roman"/>
          <w:sz w:val="24"/>
          <w:szCs w:val="24"/>
        </w:rPr>
        <w:t>tests for equality of pairs of probability distributions are performed</w:t>
      </w:r>
      <w:r w:rsidR="00971651">
        <w:rPr>
          <w:rFonts w:ascii="Times New Roman" w:hAnsi="Times New Roman" w:cs="Times New Roman"/>
          <w:sz w:val="24"/>
          <w:szCs w:val="24"/>
        </w:rPr>
        <w:t xml:space="preserve"> using </w:t>
      </w:r>
      <w:r w:rsidR="00CF36C2">
        <w:rPr>
          <w:rFonts w:ascii="Times New Roman" w:hAnsi="Times New Roman" w:cs="Times New Roman"/>
          <w:sz w:val="24"/>
          <w:szCs w:val="24"/>
        </w:rPr>
        <w:t xml:space="preserve">the </w:t>
      </w:r>
      <w:r w:rsidR="00971651">
        <w:rPr>
          <w:rFonts w:ascii="Times New Roman" w:hAnsi="Times New Roman" w:cs="Times New Roman"/>
          <w:sz w:val="24"/>
          <w:szCs w:val="24"/>
        </w:rPr>
        <w:t>two-sample Kolmogorov-Smirnov test,</w:t>
      </w:r>
      <w:r w:rsidR="00CF36C2">
        <w:rPr>
          <w:rFonts w:ascii="Times New Roman" w:hAnsi="Times New Roman" w:cs="Times New Roman"/>
          <w:sz w:val="24"/>
          <w:szCs w:val="24"/>
        </w:rPr>
        <w:t xml:space="preserve"> at significance level</w:t>
      </w:r>
      <w:r w:rsidR="00971651">
        <w:rPr>
          <w:rFonts w:ascii="Times New Roman" w:hAnsi="Times New Roman" w:cs="Times New Roman"/>
          <w:sz w:val="24"/>
          <w:szCs w:val="24"/>
        </w:rPr>
        <w:t xml:space="preserve"> </w:t>
      </w:r>
      <w:r w:rsidR="00F56249">
        <w:rPr>
          <w:rFonts w:ascii="Calibri" w:hAnsi="Calibri" w:cs="Calibri"/>
          <w:sz w:val="24"/>
          <w:szCs w:val="24"/>
        </w:rPr>
        <w:t>α</w:t>
      </w:r>
      <w:r w:rsidR="00971651">
        <w:rPr>
          <w:rFonts w:ascii="Times New Roman" w:hAnsi="Times New Roman" w:cs="Times New Roman"/>
          <w:sz w:val="24"/>
          <w:szCs w:val="24"/>
        </w:rPr>
        <w:t xml:space="preserve"> = 0.05). </w:t>
      </w:r>
      <w:r w:rsidR="00DA2CD0">
        <w:rPr>
          <w:rFonts w:ascii="Times New Roman" w:hAnsi="Times New Roman" w:cs="Times New Roman"/>
          <w:sz w:val="24"/>
          <w:szCs w:val="24"/>
        </w:rPr>
        <w:t xml:space="preserve">The </w:t>
      </w:r>
      <w:r w:rsidR="007D15AF">
        <w:rPr>
          <w:rFonts w:ascii="Times New Roman" w:hAnsi="Times New Roman" w:cs="Times New Roman"/>
          <w:sz w:val="24"/>
          <w:szCs w:val="24"/>
        </w:rPr>
        <w:t xml:space="preserve">difference between the mean </w:t>
      </w:r>
      <w:r w:rsidR="00DA2CD0">
        <w:rPr>
          <w:rFonts w:ascii="Times New Roman" w:hAnsi="Times New Roman" w:cs="Times New Roman"/>
          <w:sz w:val="24"/>
          <w:szCs w:val="24"/>
        </w:rPr>
        <w:t xml:space="preserve">effective CEX recovery of product </w:t>
      </w:r>
      <w:r w:rsidR="007D15AF">
        <w:rPr>
          <w:rFonts w:ascii="Times New Roman" w:hAnsi="Times New Roman" w:cs="Times New Roman"/>
          <w:sz w:val="24"/>
          <w:szCs w:val="24"/>
        </w:rPr>
        <w:t>for the 0% oversizing scenario and all other</w:t>
      </w:r>
      <w:r w:rsidR="00CF36C2">
        <w:rPr>
          <w:rFonts w:ascii="Times New Roman" w:hAnsi="Times New Roman" w:cs="Times New Roman"/>
          <w:sz w:val="24"/>
          <w:szCs w:val="24"/>
        </w:rPr>
        <w:t xml:space="preserve"> scenarios</w:t>
      </w:r>
      <w:r w:rsidR="007D15AF">
        <w:rPr>
          <w:rFonts w:ascii="Times New Roman" w:hAnsi="Times New Roman" w:cs="Times New Roman"/>
          <w:sz w:val="24"/>
          <w:szCs w:val="24"/>
        </w:rPr>
        <w:t xml:space="preserve"> is statistically significant. Means</w:t>
      </w:r>
      <w:r w:rsidR="00CF36C2">
        <w:rPr>
          <w:rFonts w:ascii="Times New Roman" w:hAnsi="Times New Roman" w:cs="Times New Roman"/>
          <w:sz w:val="24"/>
          <w:szCs w:val="24"/>
        </w:rPr>
        <w:t>, and more generally,</w:t>
      </w:r>
      <w:r w:rsidR="007D15AF">
        <w:rPr>
          <w:rFonts w:ascii="Times New Roman" w:hAnsi="Times New Roman" w:cs="Times New Roman"/>
          <w:sz w:val="24"/>
          <w:szCs w:val="24"/>
        </w:rPr>
        <w:t xml:space="preserve"> </w:t>
      </w:r>
      <w:r w:rsidR="00CF36C2">
        <w:rPr>
          <w:rFonts w:ascii="Times New Roman" w:hAnsi="Times New Roman" w:cs="Times New Roman"/>
          <w:sz w:val="24"/>
          <w:szCs w:val="24"/>
        </w:rPr>
        <w:t>the</w:t>
      </w:r>
      <w:r w:rsidR="00971651">
        <w:rPr>
          <w:rFonts w:ascii="Times New Roman" w:hAnsi="Times New Roman" w:cs="Times New Roman"/>
          <w:sz w:val="24"/>
          <w:szCs w:val="24"/>
        </w:rPr>
        <w:t xml:space="preserve"> distributions</w:t>
      </w:r>
      <w:r w:rsidR="00CF36C2">
        <w:rPr>
          <w:rFonts w:ascii="Times New Roman" w:hAnsi="Times New Roman" w:cs="Times New Roman"/>
          <w:sz w:val="24"/>
          <w:szCs w:val="24"/>
        </w:rPr>
        <w:t>,</w:t>
      </w:r>
      <w:r w:rsidR="00971651">
        <w:rPr>
          <w:rFonts w:ascii="Times New Roman" w:hAnsi="Times New Roman" w:cs="Times New Roman"/>
          <w:sz w:val="24"/>
          <w:szCs w:val="24"/>
        </w:rPr>
        <w:t xml:space="preserve"> </w:t>
      </w:r>
      <w:r w:rsidR="00CF36C2">
        <w:rPr>
          <w:rFonts w:ascii="Times New Roman" w:hAnsi="Times New Roman" w:cs="Times New Roman"/>
          <w:sz w:val="24"/>
          <w:szCs w:val="24"/>
        </w:rPr>
        <w:t>under</w:t>
      </w:r>
      <w:r w:rsidR="007D15AF">
        <w:rPr>
          <w:rFonts w:ascii="Times New Roman" w:hAnsi="Times New Roman" w:cs="Times New Roman"/>
          <w:sz w:val="24"/>
          <w:szCs w:val="24"/>
        </w:rPr>
        <w:t xml:space="preserve"> the 25</w:t>
      </w:r>
      <w:r w:rsidR="00CF36C2">
        <w:rPr>
          <w:rFonts w:ascii="Times New Roman" w:hAnsi="Times New Roman" w:cs="Times New Roman"/>
          <w:sz w:val="24"/>
          <w:szCs w:val="24"/>
        </w:rPr>
        <w:t>%</w:t>
      </w:r>
      <w:r w:rsidR="007D15AF">
        <w:rPr>
          <w:rFonts w:ascii="Times New Roman" w:hAnsi="Times New Roman" w:cs="Times New Roman"/>
          <w:sz w:val="24"/>
          <w:szCs w:val="24"/>
        </w:rPr>
        <w:t>, 50</w:t>
      </w:r>
      <w:r w:rsidR="00CF36C2">
        <w:rPr>
          <w:rFonts w:ascii="Times New Roman" w:hAnsi="Times New Roman" w:cs="Times New Roman"/>
          <w:sz w:val="24"/>
          <w:szCs w:val="24"/>
        </w:rPr>
        <w:t>%</w:t>
      </w:r>
      <w:r w:rsidR="007D15AF">
        <w:rPr>
          <w:rFonts w:ascii="Times New Roman" w:hAnsi="Times New Roman" w:cs="Times New Roman"/>
          <w:sz w:val="24"/>
          <w:szCs w:val="24"/>
        </w:rPr>
        <w:t>, 75</w:t>
      </w:r>
      <w:r w:rsidR="00CF36C2">
        <w:rPr>
          <w:rFonts w:ascii="Times New Roman" w:hAnsi="Times New Roman" w:cs="Times New Roman"/>
          <w:sz w:val="24"/>
          <w:szCs w:val="24"/>
        </w:rPr>
        <w:t>%</w:t>
      </w:r>
      <w:r w:rsidR="007D15AF">
        <w:rPr>
          <w:rFonts w:ascii="Times New Roman" w:hAnsi="Times New Roman" w:cs="Times New Roman"/>
          <w:sz w:val="24"/>
          <w:szCs w:val="24"/>
        </w:rPr>
        <w:t xml:space="preserve">, and 100% oversizing scenarios were not statistically different. </w:t>
      </w:r>
      <w:r w:rsidR="00181A24">
        <w:rPr>
          <w:rFonts w:ascii="Times New Roman" w:hAnsi="Times New Roman" w:cs="Times New Roman"/>
          <w:sz w:val="24"/>
          <w:szCs w:val="24"/>
        </w:rPr>
        <w:t xml:space="preserve">Additional details of the two-sample statistical analyses are included in Supplementary Information (S7. Two-sample t-tests for means; S8. </w:t>
      </w:r>
      <w:proofErr w:type="spellStart"/>
      <w:r w:rsidR="00181A24">
        <w:rPr>
          <w:rFonts w:ascii="Times New Roman" w:hAnsi="Times New Roman" w:cs="Times New Roman"/>
          <w:sz w:val="24"/>
          <w:szCs w:val="24"/>
        </w:rPr>
        <w:t>Kolmogorv</w:t>
      </w:r>
      <w:proofErr w:type="spellEnd"/>
      <w:r w:rsidR="00181A24">
        <w:rPr>
          <w:rFonts w:ascii="Times New Roman" w:hAnsi="Times New Roman" w:cs="Times New Roman"/>
          <w:sz w:val="24"/>
          <w:szCs w:val="24"/>
        </w:rPr>
        <w:t xml:space="preserve">-Smirnov tests for distributions). </w:t>
      </w:r>
    </w:p>
    <w:p w14:paraId="0DA4BD73" w14:textId="490F4D6C" w:rsidR="00767FB1" w:rsidRDefault="00ED64E3" w:rsidP="00F00898">
      <w:pPr>
        <w:spacing w:line="480" w:lineRule="auto"/>
        <w:ind w:left="-12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868BB5" wp14:editId="77A5B9FB">
            <wp:extent cx="7466881" cy="4417695"/>
            <wp:effectExtent l="0" t="0" r="127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1010"/>
                    <a:stretch/>
                  </pic:blipFill>
                  <pic:spPr bwMode="auto">
                    <a:xfrm>
                      <a:off x="0" y="0"/>
                      <a:ext cx="7495596" cy="4434684"/>
                    </a:xfrm>
                    <a:prstGeom prst="rect">
                      <a:avLst/>
                    </a:prstGeom>
                    <a:noFill/>
                    <a:ln>
                      <a:noFill/>
                    </a:ln>
                    <a:extLst>
                      <a:ext uri="{53640926-AAD7-44D8-BBD7-CCE9431645EC}">
                        <a14:shadowObscured xmlns:a14="http://schemas.microsoft.com/office/drawing/2010/main"/>
                      </a:ext>
                    </a:extLst>
                  </pic:spPr>
                </pic:pic>
              </a:graphicData>
            </a:graphic>
          </wp:inline>
        </w:drawing>
      </w:r>
    </w:p>
    <w:p w14:paraId="0404A5AB" w14:textId="27F3B942" w:rsidR="00767FB1" w:rsidRPr="00A53F85" w:rsidRDefault="00767FB1" w:rsidP="00F00898">
      <w:pPr>
        <w:spacing w:line="480" w:lineRule="auto"/>
        <w:jc w:val="both"/>
        <w:rPr>
          <w:rFonts w:ascii="Times New Roman" w:hAnsi="Times New Roman" w:cs="Times New Roman"/>
          <w:sz w:val="24"/>
          <w:szCs w:val="24"/>
        </w:rPr>
      </w:pPr>
      <w:r w:rsidRPr="00A53F85">
        <w:rPr>
          <w:rFonts w:ascii="Times New Roman" w:hAnsi="Times New Roman" w:cs="Times New Roman"/>
          <w:b/>
          <w:bCs/>
          <w:sz w:val="24"/>
          <w:szCs w:val="24"/>
        </w:rPr>
        <w:lastRenderedPageBreak/>
        <w:t>Fig</w:t>
      </w:r>
      <w:r>
        <w:rPr>
          <w:rFonts w:ascii="Times New Roman" w:hAnsi="Times New Roman" w:cs="Times New Roman"/>
          <w:b/>
          <w:bCs/>
          <w:sz w:val="24"/>
          <w:szCs w:val="24"/>
        </w:rPr>
        <w:t>ure</w:t>
      </w:r>
      <w:r w:rsidRPr="00A53F85">
        <w:rPr>
          <w:rFonts w:ascii="Times New Roman" w:hAnsi="Times New Roman" w:cs="Times New Roman"/>
          <w:b/>
          <w:bCs/>
          <w:sz w:val="24"/>
          <w:szCs w:val="24"/>
        </w:rPr>
        <w:t xml:space="preserve"> 4. </w:t>
      </w:r>
      <w:r w:rsidRPr="00A53F85">
        <w:rPr>
          <w:rFonts w:ascii="Times New Roman" w:hAnsi="Times New Roman" w:cs="Times New Roman"/>
          <w:sz w:val="24"/>
          <w:szCs w:val="24"/>
        </w:rPr>
        <w:t xml:space="preserve">Impact on input variables due to extent of equipment oversizing is displayed using histograms, scatter plots of the mean simulation values, and box plots for field growth </w:t>
      </w:r>
      <w:r w:rsidR="001600BD">
        <w:rPr>
          <w:rFonts w:ascii="Times New Roman" w:hAnsi="Times New Roman" w:cs="Times New Roman"/>
          <w:sz w:val="24"/>
          <w:szCs w:val="24"/>
        </w:rPr>
        <w:t>yield</w:t>
      </w:r>
      <w:r w:rsidRPr="00A53F85">
        <w:rPr>
          <w:rFonts w:ascii="Times New Roman" w:hAnsi="Times New Roman" w:cs="Times New Roman"/>
          <w:sz w:val="24"/>
          <w:szCs w:val="24"/>
        </w:rPr>
        <w:t xml:space="preserve"> (</w:t>
      </w:r>
      <w:r w:rsidR="00ED64E3">
        <w:rPr>
          <w:rFonts w:ascii="Times New Roman" w:hAnsi="Times New Roman" w:cs="Times New Roman"/>
          <w:sz w:val="24"/>
          <w:szCs w:val="24"/>
        </w:rPr>
        <w:t>a</w:t>
      </w:r>
      <w:r w:rsidRPr="00A53F85">
        <w:rPr>
          <w:rFonts w:ascii="Times New Roman" w:hAnsi="Times New Roman" w:cs="Times New Roman"/>
          <w:sz w:val="24"/>
          <w:szCs w:val="24"/>
        </w:rPr>
        <w:t xml:space="preserve">, </w:t>
      </w:r>
      <w:r w:rsidR="00ED64E3">
        <w:rPr>
          <w:rFonts w:ascii="Times New Roman" w:hAnsi="Times New Roman" w:cs="Times New Roman"/>
          <w:sz w:val="24"/>
          <w:szCs w:val="24"/>
        </w:rPr>
        <w:t>b</w:t>
      </w:r>
      <w:r w:rsidRPr="00A53F85">
        <w:rPr>
          <w:rFonts w:ascii="Times New Roman" w:hAnsi="Times New Roman" w:cs="Times New Roman"/>
          <w:sz w:val="24"/>
          <w:szCs w:val="24"/>
        </w:rPr>
        <w:t xml:space="preserve">, </w:t>
      </w:r>
      <w:r w:rsidR="00ED64E3">
        <w:rPr>
          <w:rFonts w:ascii="Times New Roman" w:hAnsi="Times New Roman" w:cs="Times New Roman"/>
          <w:sz w:val="24"/>
          <w:szCs w:val="24"/>
        </w:rPr>
        <w:t>c</w:t>
      </w:r>
      <w:r w:rsidRPr="00A53F85">
        <w:rPr>
          <w:rFonts w:ascii="Times New Roman" w:hAnsi="Times New Roman" w:cs="Times New Roman"/>
          <w:sz w:val="24"/>
          <w:szCs w:val="24"/>
        </w:rPr>
        <w:t xml:space="preserve">) and CEX </w:t>
      </w:r>
      <w:r w:rsidR="001600BD">
        <w:rPr>
          <w:rFonts w:ascii="Times New Roman" w:hAnsi="Times New Roman" w:cs="Times New Roman"/>
          <w:sz w:val="24"/>
          <w:szCs w:val="24"/>
        </w:rPr>
        <w:t>recovery</w:t>
      </w:r>
      <w:r w:rsidRPr="00A53F85">
        <w:rPr>
          <w:rFonts w:ascii="Times New Roman" w:hAnsi="Times New Roman" w:cs="Times New Roman"/>
          <w:sz w:val="24"/>
          <w:szCs w:val="24"/>
        </w:rPr>
        <w:t xml:space="preserve"> of product (</w:t>
      </w:r>
      <w:r w:rsidR="00ED64E3">
        <w:rPr>
          <w:rFonts w:ascii="Times New Roman" w:hAnsi="Times New Roman" w:cs="Times New Roman"/>
          <w:sz w:val="24"/>
          <w:szCs w:val="24"/>
        </w:rPr>
        <w:t>d</w:t>
      </w:r>
      <w:r w:rsidRPr="00A53F85">
        <w:rPr>
          <w:rFonts w:ascii="Times New Roman" w:hAnsi="Times New Roman" w:cs="Times New Roman"/>
          <w:sz w:val="24"/>
          <w:szCs w:val="24"/>
        </w:rPr>
        <w:t xml:space="preserve">, </w:t>
      </w:r>
      <w:r w:rsidR="00ED64E3">
        <w:rPr>
          <w:rFonts w:ascii="Times New Roman" w:hAnsi="Times New Roman" w:cs="Times New Roman"/>
          <w:sz w:val="24"/>
          <w:szCs w:val="24"/>
        </w:rPr>
        <w:t>e</w:t>
      </w:r>
      <w:r w:rsidRPr="00A53F85">
        <w:rPr>
          <w:rFonts w:ascii="Times New Roman" w:hAnsi="Times New Roman" w:cs="Times New Roman"/>
          <w:sz w:val="24"/>
          <w:szCs w:val="24"/>
        </w:rPr>
        <w:t xml:space="preserve">, </w:t>
      </w:r>
      <w:r w:rsidR="00ED64E3">
        <w:rPr>
          <w:rFonts w:ascii="Times New Roman" w:hAnsi="Times New Roman" w:cs="Times New Roman"/>
          <w:sz w:val="24"/>
          <w:szCs w:val="24"/>
        </w:rPr>
        <w:t>f</w:t>
      </w:r>
      <w:r w:rsidRPr="00A53F85">
        <w:rPr>
          <w:rFonts w:ascii="Times New Roman" w:hAnsi="Times New Roman" w:cs="Times New Roman"/>
          <w:sz w:val="24"/>
          <w:szCs w:val="24"/>
        </w:rPr>
        <w:t xml:space="preserve">). Error bars represent the 95% confidence interval of the mean. </w:t>
      </w:r>
    </w:p>
    <w:p w14:paraId="424BFEF4" w14:textId="77777777" w:rsidR="00767FB1" w:rsidRDefault="00767FB1" w:rsidP="00F00898">
      <w:pPr>
        <w:spacing w:line="480" w:lineRule="auto"/>
        <w:jc w:val="both"/>
        <w:rPr>
          <w:rFonts w:ascii="Times New Roman" w:hAnsi="Times New Roman" w:cs="Times New Roman"/>
          <w:sz w:val="24"/>
          <w:szCs w:val="24"/>
        </w:rPr>
      </w:pPr>
    </w:p>
    <w:p w14:paraId="4CF9FB30" w14:textId="7DE55E4C" w:rsidR="00767FB1" w:rsidRDefault="00CF7A1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Individual forecast variable uncertainty quantification is shown across the equipment oversize scenarios by histogram and scatter plots of the mean values in Figure </w:t>
      </w:r>
      <w:r w:rsidR="007F662D">
        <w:rPr>
          <w:rFonts w:ascii="Times New Roman" w:hAnsi="Times New Roman" w:cs="Times New Roman"/>
          <w:sz w:val="24"/>
          <w:szCs w:val="24"/>
        </w:rPr>
        <w:t>5</w:t>
      </w:r>
      <w:r>
        <w:rPr>
          <w:rFonts w:ascii="Times New Roman" w:hAnsi="Times New Roman" w:cs="Times New Roman"/>
          <w:sz w:val="24"/>
          <w:szCs w:val="24"/>
        </w:rPr>
        <w:t xml:space="preserve">. </w:t>
      </w:r>
      <w:r w:rsidR="002F160F">
        <w:rPr>
          <w:rFonts w:ascii="Times New Roman" w:hAnsi="Times New Roman" w:cs="Times New Roman"/>
          <w:sz w:val="24"/>
          <w:szCs w:val="24"/>
        </w:rPr>
        <w:t xml:space="preserve">The profitability of the facility model, as given by IRR, is inversely related to extent of equipment oversizing. </w:t>
      </w:r>
      <w:r w:rsidR="007D15AF">
        <w:rPr>
          <w:rFonts w:ascii="Times New Roman" w:hAnsi="Times New Roman" w:cs="Times New Roman"/>
          <w:sz w:val="24"/>
          <w:szCs w:val="24"/>
        </w:rPr>
        <w:t xml:space="preserve">The mean </w:t>
      </w:r>
      <w:r w:rsidR="00B83B8A">
        <w:rPr>
          <w:rFonts w:ascii="Times New Roman" w:hAnsi="Times New Roman" w:cs="Times New Roman"/>
          <w:sz w:val="24"/>
          <w:szCs w:val="24"/>
        </w:rPr>
        <w:t xml:space="preserve">IRR </w:t>
      </w:r>
      <w:r w:rsidR="007D15AF">
        <w:rPr>
          <w:rFonts w:ascii="Times New Roman" w:hAnsi="Times New Roman" w:cs="Times New Roman"/>
          <w:sz w:val="24"/>
          <w:szCs w:val="24"/>
        </w:rPr>
        <w:t>value</w:t>
      </w:r>
      <w:r w:rsidR="00CF36C2">
        <w:rPr>
          <w:rFonts w:ascii="Times New Roman" w:hAnsi="Times New Roman" w:cs="Times New Roman"/>
          <w:sz w:val="24"/>
          <w:szCs w:val="24"/>
        </w:rPr>
        <w:t>s</w:t>
      </w:r>
      <w:r w:rsidR="007D15AF">
        <w:rPr>
          <w:rFonts w:ascii="Times New Roman" w:hAnsi="Times New Roman" w:cs="Times New Roman"/>
          <w:sz w:val="24"/>
          <w:szCs w:val="24"/>
        </w:rPr>
        <w:t xml:space="preserve"> for </w:t>
      </w:r>
      <w:r w:rsidR="00CF36C2">
        <w:rPr>
          <w:rFonts w:ascii="Times New Roman" w:hAnsi="Times New Roman" w:cs="Times New Roman"/>
          <w:sz w:val="24"/>
          <w:szCs w:val="24"/>
        </w:rPr>
        <w:t>the different</w:t>
      </w:r>
      <w:r w:rsidR="007D15AF">
        <w:rPr>
          <w:rFonts w:ascii="Times New Roman" w:hAnsi="Times New Roman" w:cs="Times New Roman"/>
          <w:sz w:val="24"/>
          <w:szCs w:val="24"/>
        </w:rPr>
        <w:t xml:space="preserve"> scenario</w:t>
      </w:r>
      <w:r w:rsidR="00CF36C2">
        <w:rPr>
          <w:rFonts w:ascii="Times New Roman" w:hAnsi="Times New Roman" w:cs="Times New Roman"/>
          <w:sz w:val="24"/>
          <w:szCs w:val="24"/>
        </w:rPr>
        <w:t>s</w:t>
      </w:r>
      <w:r w:rsidR="007D15AF">
        <w:rPr>
          <w:rFonts w:ascii="Times New Roman" w:hAnsi="Times New Roman" w:cs="Times New Roman"/>
          <w:sz w:val="24"/>
          <w:szCs w:val="24"/>
        </w:rPr>
        <w:t xml:space="preserve"> </w:t>
      </w:r>
      <w:r w:rsidR="00CF36C2">
        <w:rPr>
          <w:rFonts w:ascii="Times New Roman" w:hAnsi="Times New Roman" w:cs="Times New Roman"/>
          <w:sz w:val="24"/>
          <w:szCs w:val="24"/>
        </w:rPr>
        <w:t>are significantly different</w:t>
      </w:r>
      <w:r w:rsidR="007D15AF">
        <w:rPr>
          <w:rFonts w:ascii="Times New Roman" w:hAnsi="Times New Roman" w:cs="Times New Roman"/>
          <w:sz w:val="24"/>
          <w:szCs w:val="24"/>
        </w:rPr>
        <w:t>. We postulate that this</w:t>
      </w:r>
      <w:r w:rsidR="002F160F">
        <w:rPr>
          <w:rFonts w:ascii="Times New Roman" w:hAnsi="Times New Roman" w:cs="Times New Roman"/>
          <w:sz w:val="24"/>
          <w:szCs w:val="24"/>
        </w:rPr>
        <w:t xml:space="preserve"> can be largely explained by the monotonically increasing mean value of COGS</w:t>
      </w:r>
      <w:r w:rsidR="007D15AF">
        <w:rPr>
          <w:rFonts w:ascii="Times New Roman" w:hAnsi="Times New Roman" w:cs="Times New Roman"/>
          <w:sz w:val="24"/>
          <w:szCs w:val="24"/>
        </w:rPr>
        <w:t xml:space="preserve"> (the mean COGS value for each scenario is also statistically distinct)</w:t>
      </w:r>
      <w:r w:rsidR="002F160F">
        <w:rPr>
          <w:rFonts w:ascii="Times New Roman" w:hAnsi="Times New Roman" w:cs="Times New Roman"/>
          <w:sz w:val="24"/>
          <w:szCs w:val="24"/>
        </w:rPr>
        <w:t>. The mean value of annual throughput also increases with extent of equipment oversizing</w:t>
      </w:r>
      <w:r w:rsidR="00B83B8A">
        <w:rPr>
          <w:rFonts w:ascii="Times New Roman" w:hAnsi="Times New Roman" w:cs="Times New Roman"/>
          <w:sz w:val="24"/>
          <w:szCs w:val="24"/>
        </w:rPr>
        <w:t xml:space="preserve"> up until 50% oversizing, whereupon additional oversizing does not contribute a statistically significant </w:t>
      </w:r>
      <w:r w:rsidR="0017444A">
        <w:rPr>
          <w:rFonts w:ascii="Times New Roman" w:hAnsi="Times New Roman" w:cs="Times New Roman"/>
          <w:sz w:val="24"/>
          <w:szCs w:val="24"/>
        </w:rPr>
        <w:t>difference</w:t>
      </w:r>
      <w:r w:rsidR="00B83B8A">
        <w:rPr>
          <w:rFonts w:ascii="Times New Roman" w:hAnsi="Times New Roman" w:cs="Times New Roman"/>
          <w:sz w:val="24"/>
          <w:szCs w:val="24"/>
        </w:rPr>
        <w:t xml:space="preserve"> in </w:t>
      </w:r>
      <w:r w:rsidR="00CF36C2">
        <w:rPr>
          <w:rFonts w:ascii="Times New Roman" w:hAnsi="Times New Roman" w:cs="Times New Roman"/>
          <w:sz w:val="24"/>
          <w:szCs w:val="24"/>
        </w:rPr>
        <w:t xml:space="preserve">the </w:t>
      </w:r>
      <w:r w:rsidR="00B83B8A">
        <w:rPr>
          <w:rFonts w:ascii="Times New Roman" w:hAnsi="Times New Roman" w:cs="Times New Roman"/>
          <w:sz w:val="24"/>
          <w:szCs w:val="24"/>
        </w:rPr>
        <w:t xml:space="preserve">mean </w:t>
      </w:r>
      <w:r w:rsidR="00CF36C2">
        <w:rPr>
          <w:rFonts w:ascii="Times New Roman" w:hAnsi="Times New Roman" w:cs="Times New Roman"/>
          <w:sz w:val="24"/>
          <w:szCs w:val="24"/>
        </w:rPr>
        <w:t>(</w:t>
      </w:r>
      <w:r w:rsidR="0017444A">
        <w:rPr>
          <w:rFonts w:ascii="Times New Roman" w:hAnsi="Times New Roman" w:cs="Times New Roman"/>
          <w:sz w:val="24"/>
          <w:szCs w:val="24"/>
        </w:rPr>
        <w:t>or distribution</w:t>
      </w:r>
      <w:r w:rsidR="00CF36C2">
        <w:rPr>
          <w:rFonts w:ascii="Times New Roman" w:hAnsi="Times New Roman" w:cs="Times New Roman"/>
          <w:sz w:val="24"/>
          <w:szCs w:val="24"/>
        </w:rPr>
        <w:t>) of</w:t>
      </w:r>
      <w:r w:rsidR="0017444A">
        <w:rPr>
          <w:rFonts w:ascii="Times New Roman" w:hAnsi="Times New Roman" w:cs="Times New Roman"/>
          <w:sz w:val="24"/>
          <w:szCs w:val="24"/>
        </w:rPr>
        <w:t xml:space="preserve"> </w:t>
      </w:r>
      <w:r w:rsidR="00B83B8A">
        <w:rPr>
          <w:rFonts w:ascii="Times New Roman" w:hAnsi="Times New Roman" w:cs="Times New Roman"/>
          <w:sz w:val="24"/>
          <w:szCs w:val="24"/>
        </w:rPr>
        <w:t>throughput</w:t>
      </w:r>
      <w:r w:rsidR="00EE4599">
        <w:rPr>
          <w:rFonts w:ascii="Times New Roman" w:hAnsi="Times New Roman" w:cs="Times New Roman"/>
          <w:sz w:val="24"/>
          <w:szCs w:val="24"/>
        </w:rPr>
        <w:t>.</w:t>
      </w:r>
      <w:r w:rsidR="002F160F">
        <w:rPr>
          <w:rFonts w:ascii="Times New Roman" w:hAnsi="Times New Roman" w:cs="Times New Roman"/>
          <w:sz w:val="24"/>
          <w:szCs w:val="24"/>
        </w:rPr>
        <w:t xml:space="preserve"> </w:t>
      </w:r>
      <w:r w:rsidR="00B83B8A">
        <w:rPr>
          <w:rFonts w:ascii="Times New Roman" w:hAnsi="Times New Roman" w:cs="Times New Roman"/>
          <w:sz w:val="24"/>
          <w:szCs w:val="24"/>
        </w:rPr>
        <w:t>For perspective on the relative cost of increased throughput for these scenarios, consider that t</w:t>
      </w:r>
      <w:r w:rsidR="002F160F">
        <w:rPr>
          <w:rFonts w:ascii="Times New Roman" w:hAnsi="Times New Roman" w:cs="Times New Roman"/>
          <w:sz w:val="24"/>
          <w:szCs w:val="24"/>
        </w:rPr>
        <w:t xml:space="preserve">he mean value of the 100% equipment oversizing scenario </w:t>
      </w:r>
      <w:r w:rsidR="00EE4599">
        <w:rPr>
          <w:rFonts w:ascii="Times New Roman" w:hAnsi="Times New Roman" w:cs="Times New Roman"/>
          <w:sz w:val="24"/>
          <w:szCs w:val="24"/>
        </w:rPr>
        <w:t>results in</w:t>
      </w:r>
      <w:r w:rsidR="00580B24">
        <w:rPr>
          <w:rFonts w:ascii="Times New Roman" w:hAnsi="Times New Roman" w:cs="Times New Roman"/>
          <w:sz w:val="24"/>
          <w:szCs w:val="24"/>
        </w:rPr>
        <w:t xml:space="preserve"> 3.85</w:t>
      </w:r>
      <w:r w:rsidR="002F160F">
        <w:rPr>
          <w:rFonts w:ascii="Times New Roman" w:hAnsi="Times New Roman" w:cs="Times New Roman"/>
          <w:sz w:val="24"/>
          <w:szCs w:val="24"/>
        </w:rPr>
        <w:t xml:space="preserve">% greater </w:t>
      </w:r>
      <w:r w:rsidR="00EE4599">
        <w:rPr>
          <w:rFonts w:ascii="Times New Roman" w:hAnsi="Times New Roman" w:cs="Times New Roman"/>
          <w:sz w:val="24"/>
          <w:szCs w:val="24"/>
        </w:rPr>
        <w:t xml:space="preserve">annual throughput and </w:t>
      </w:r>
      <w:r w:rsidR="00580B24">
        <w:rPr>
          <w:rFonts w:ascii="Times New Roman" w:hAnsi="Times New Roman" w:cs="Times New Roman"/>
          <w:sz w:val="24"/>
          <w:szCs w:val="24"/>
        </w:rPr>
        <w:t>21.4</w:t>
      </w:r>
      <w:r w:rsidR="00EE4599">
        <w:rPr>
          <w:rFonts w:ascii="Times New Roman" w:hAnsi="Times New Roman" w:cs="Times New Roman"/>
          <w:sz w:val="24"/>
          <w:szCs w:val="24"/>
        </w:rPr>
        <w:t xml:space="preserve">% greater COGS </w:t>
      </w:r>
      <w:r w:rsidR="002F160F">
        <w:rPr>
          <w:rFonts w:ascii="Times New Roman" w:hAnsi="Times New Roman" w:cs="Times New Roman"/>
          <w:sz w:val="24"/>
          <w:szCs w:val="24"/>
        </w:rPr>
        <w:t>than the 0% scenario</w:t>
      </w:r>
      <w:r w:rsidR="00EE4599">
        <w:rPr>
          <w:rFonts w:ascii="Times New Roman" w:hAnsi="Times New Roman" w:cs="Times New Roman"/>
          <w:sz w:val="24"/>
          <w:szCs w:val="24"/>
        </w:rPr>
        <w:t xml:space="preserve"> values</w:t>
      </w:r>
      <w:r w:rsidR="002F160F">
        <w:rPr>
          <w:rFonts w:ascii="Times New Roman" w:hAnsi="Times New Roman" w:cs="Times New Roman"/>
          <w:sz w:val="24"/>
          <w:szCs w:val="24"/>
        </w:rPr>
        <w:t xml:space="preserve">. </w:t>
      </w:r>
      <w:r w:rsidR="00ED0899">
        <w:rPr>
          <w:rFonts w:ascii="Times New Roman" w:hAnsi="Times New Roman" w:cs="Times New Roman"/>
          <w:sz w:val="24"/>
          <w:szCs w:val="24"/>
        </w:rPr>
        <w:t>In contrast, product purity is more comparable across scenarios</w:t>
      </w:r>
      <w:r w:rsidR="00B83B8A">
        <w:rPr>
          <w:rFonts w:ascii="Times New Roman" w:hAnsi="Times New Roman" w:cs="Times New Roman"/>
          <w:sz w:val="24"/>
          <w:szCs w:val="24"/>
        </w:rPr>
        <w:t xml:space="preserve">; only </w:t>
      </w:r>
      <w:r w:rsidR="00CF36C2">
        <w:rPr>
          <w:rFonts w:ascii="Times New Roman" w:hAnsi="Times New Roman" w:cs="Times New Roman"/>
          <w:sz w:val="24"/>
          <w:szCs w:val="24"/>
        </w:rPr>
        <w:t xml:space="preserve">in </w:t>
      </w:r>
      <w:r w:rsidR="00B83B8A">
        <w:rPr>
          <w:rFonts w:ascii="Times New Roman" w:hAnsi="Times New Roman" w:cs="Times New Roman"/>
          <w:sz w:val="24"/>
          <w:szCs w:val="24"/>
        </w:rPr>
        <w:t>the 0% oversizing scenario</w:t>
      </w:r>
      <w:r w:rsidR="00CF36C2">
        <w:rPr>
          <w:rFonts w:ascii="Times New Roman" w:hAnsi="Times New Roman" w:cs="Times New Roman"/>
          <w:sz w:val="24"/>
          <w:szCs w:val="24"/>
        </w:rPr>
        <w:t>, the</w:t>
      </w:r>
      <w:r w:rsidR="00B83B8A">
        <w:rPr>
          <w:rFonts w:ascii="Times New Roman" w:hAnsi="Times New Roman" w:cs="Times New Roman"/>
          <w:sz w:val="24"/>
          <w:szCs w:val="24"/>
        </w:rPr>
        <w:t xml:space="preserve"> mean </w:t>
      </w:r>
      <w:r w:rsidR="0017444A">
        <w:rPr>
          <w:rFonts w:ascii="Times New Roman" w:hAnsi="Times New Roman" w:cs="Times New Roman"/>
          <w:sz w:val="24"/>
          <w:szCs w:val="24"/>
        </w:rPr>
        <w:t xml:space="preserve">and </w:t>
      </w:r>
      <w:r w:rsidR="00CF36C2">
        <w:rPr>
          <w:rFonts w:ascii="Times New Roman" w:hAnsi="Times New Roman" w:cs="Times New Roman"/>
          <w:sz w:val="24"/>
          <w:szCs w:val="24"/>
        </w:rPr>
        <w:t xml:space="preserve">the </w:t>
      </w:r>
      <w:r w:rsidR="0017444A">
        <w:rPr>
          <w:rFonts w:ascii="Times New Roman" w:hAnsi="Times New Roman" w:cs="Times New Roman"/>
          <w:sz w:val="24"/>
          <w:szCs w:val="24"/>
        </w:rPr>
        <w:t xml:space="preserve">distribution </w:t>
      </w:r>
      <w:r w:rsidR="00CF36C2">
        <w:rPr>
          <w:rFonts w:ascii="Times New Roman" w:hAnsi="Times New Roman" w:cs="Times New Roman"/>
          <w:sz w:val="24"/>
          <w:szCs w:val="24"/>
        </w:rPr>
        <w:t xml:space="preserve">of </w:t>
      </w:r>
      <w:r w:rsidR="00B83B8A">
        <w:rPr>
          <w:rFonts w:ascii="Times New Roman" w:hAnsi="Times New Roman" w:cs="Times New Roman"/>
          <w:sz w:val="24"/>
          <w:szCs w:val="24"/>
        </w:rPr>
        <w:t xml:space="preserve">purity </w:t>
      </w:r>
      <w:r w:rsidR="00CF36C2">
        <w:rPr>
          <w:rFonts w:ascii="Times New Roman" w:hAnsi="Times New Roman" w:cs="Times New Roman"/>
          <w:sz w:val="24"/>
          <w:szCs w:val="24"/>
        </w:rPr>
        <w:t>are</w:t>
      </w:r>
      <w:r w:rsidR="00B83B8A">
        <w:rPr>
          <w:rFonts w:ascii="Times New Roman" w:hAnsi="Times New Roman" w:cs="Times New Roman"/>
          <w:sz w:val="24"/>
          <w:szCs w:val="24"/>
        </w:rPr>
        <w:t xml:space="preserve"> statistically </w:t>
      </w:r>
      <w:r w:rsidR="00673E2E">
        <w:rPr>
          <w:rFonts w:ascii="Times New Roman" w:hAnsi="Times New Roman" w:cs="Times New Roman"/>
          <w:sz w:val="24"/>
          <w:szCs w:val="24"/>
        </w:rPr>
        <w:t>distinct</w:t>
      </w:r>
      <w:r w:rsidR="00B83B8A">
        <w:rPr>
          <w:rFonts w:ascii="Times New Roman" w:hAnsi="Times New Roman" w:cs="Times New Roman"/>
          <w:sz w:val="24"/>
          <w:szCs w:val="24"/>
        </w:rPr>
        <w:t xml:space="preserve"> from </w:t>
      </w:r>
      <w:r w:rsidR="00CF36C2">
        <w:rPr>
          <w:rFonts w:ascii="Times New Roman" w:hAnsi="Times New Roman" w:cs="Times New Roman"/>
          <w:sz w:val="24"/>
          <w:szCs w:val="24"/>
        </w:rPr>
        <w:t xml:space="preserve">those in </w:t>
      </w:r>
      <w:r w:rsidR="00B83B8A">
        <w:rPr>
          <w:rFonts w:ascii="Times New Roman" w:hAnsi="Times New Roman" w:cs="Times New Roman"/>
          <w:sz w:val="24"/>
          <w:szCs w:val="24"/>
        </w:rPr>
        <w:t>the other scenarios</w:t>
      </w:r>
      <w:r w:rsidR="00ED0899">
        <w:rPr>
          <w:rFonts w:ascii="Times New Roman" w:hAnsi="Times New Roman" w:cs="Times New Roman"/>
          <w:sz w:val="24"/>
          <w:szCs w:val="24"/>
        </w:rPr>
        <w:t xml:space="preserve">. </w:t>
      </w:r>
    </w:p>
    <w:p w14:paraId="330344AF" w14:textId="04CC5D5D" w:rsidR="00767FB1" w:rsidRDefault="007B3389" w:rsidP="00F00898">
      <w:pPr>
        <w:spacing w:line="480" w:lineRule="auto"/>
        <w:ind w:left="-12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0FF68D" wp14:editId="6D201848">
            <wp:extent cx="7496175" cy="61039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1086"/>
                    <a:stretch/>
                  </pic:blipFill>
                  <pic:spPr bwMode="auto">
                    <a:xfrm>
                      <a:off x="0" y="0"/>
                      <a:ext cx="7509168" cy="6114556"/>
                    </a:xfrm>
                    <a:prstGeom prst="rect">
                      <a:avLst/>
                    </a:prstGeom>
                    <a:noFill/>
                    <a:ln>
                      <a:noFill/>
                    </a:ln>
                    <a:extLst>
                      <a:ext uri="{53640926-AAD7-44D8-BBD7-CCE9431645EC}">
                        <a14:shadowObscured xmlns:a14="http://schemas.microsoft.com/office/drawing/2010/main"/>
                      </a:ext>
                    </a:extLst>
                  </pic:spPr>
                </pic:pic>
              </a:graphicData>
            </a:graphic>
          </wp:inline>
        </w:drawing>
      </w:r>
    </w:p>
    <w:p w14:paraId="1F6EC7DD" w14:textId="34E646F6" w:rsidR="00767FB1" w:rsidRDefault="00767FB1" w:rsidP="00F00898">
      <w:pPr>
        <w:spacing w:line="480" w:lineRule="auto"/>
        <w:jc w:val="both"/>
        <w:rPr>
          <w:rFonts w:ascii="Times New Roman" w:hAnsi="Times New Roman" w:cs="Times New Roman"/>
          <w:sz w:val="24"/>
          <w:szCs w:val="24"/>
        </w:rPr>
      </w:pPr>
      <w:r w:rsidRPr="00A53F85">
        <w:rPr>
          <w:rFonts w:ascii="Times New Roman" w:hAnsi="Times New Roman" w:cs="Times New Roman"/>
          <w:b/>
          <w:bCs/>
          <w:sz w:val="24"/>
          <w:szCs w:val="24"/>
        </w:rPr>
        <w:t>Fig</w:t>
      </w:r>
      <w:r>
        <w:rPr>
          <w:rFonts w:ascii="Times New Roman" w:hAnsi="Times New Roman" w:cs="Times New Roman"/>
          <w:b/>
          <w:bCs/>
          <w:sz w:val="24"/>
          <w:szCs w:val="24"/>
        </w:rPr>
        <w:t>ure</w:t>
      </w:r>
      <w:r w:rsidRPr="00A53F85">
        <w:rPr>
          <w:rFonts w:ascii="Times New Roman" w:hAnsi="Times New Roman" w:cs="Times New Roman"/>
          <w:b/>
          <w:bCs/>
          <w:sz w:val="24"/>
          <w:szCs w:val="24"/>
        </w:rPr>
        <w:t xml:space="preserve"> 5. </w:t>
      </w:r>
      <w:r w:rsidRPr="00A53F85">
        <w:rPr>
          <w:rFonts w:ascii="Times New Roman" w:hAnsi="Times New Roman" w:cs="Times New Roman"/>
          <w:sz w:val="24"/>
          <w:szCs w:val="24"/>
        </w:rPr>
        <w:t>Impact on forecast variables due to extent of equipment oversizing is displayed using histograms and scatter plots of the mean simulation values for internal rate of return after tax (</w:t>
      </w:r>
      <w:r w:rsidR="007B3389">
        <w:rPr>
          <w:rFonts w:ascii="Times New Roman" w:hAnsi="Times New Roman" w:cs="Times New Roman"/>
          <w:sz w:val="24"/>
          <w:szCs w:val="24"/>
        </w:rPr>
        <w:t>a</w:t>
      </w:r>
      <w:r w:rsidRPr="00A53F85">
        <w:rPr>
          <w:rFonts w:ascii="Times New Roman" w:hAnsi="Times New Roman" w:cs="Times New Roman"/>
          <w:sz w:val="24"/>
          <w:szCs w:val="24"/>
        </w:rPr>
        <w:t>,</w:t>
      </w:r>
      <w:r w:rsidR="007B3389">
        <w:rPr>
          <w:rFonts w:ascii="Times New Roman" w:hAnsi="Times New Roman" w:cs="Times New Roman"/>
          <w:sz w:val="24"/>
          <w:szCs w:val="24"/>
        </w:rPr>
        <w:t xml:space="preserve"> b</w:t>
      </w:r>
      <w:r w:rsidRPr="00A53F85">
        <w:rPr>
          <w:rFonts w:ascii="Times New Roman" w:hAnsi="Times New Roman" w:cs="Times New Roman"/>
          <w:sz w:val="24"/>
          <w:szCs w:val="24"/>
        </w:rPr>
        <w:t>), annual throughput (</w:t>
      </w:r>
      <w:r w:rsidR="007B3389">
        <w:rPr>
          <w:rFonts w:ascii="Times New Roman" w:hAnsi="Times New Roman" w:cs="Times New Roman"/>
          <w:sz w:val="24"/>
          <w:szCs w:val="24"/>
        </w:rPr>
        <w:t>c</w:t>
      </w:r>
      <w:r w:rsidRPr="00A53F85">
        <w:rPr>
          <w:rFonts w:ascii="Times New Roman" w:hAnsi="Times New Roman" w:cs="Times New Roman"/>
          <w:sz w:val="24"/>
          <w:szCs w:val="24"/>
        </w:rPr>
        <w:t xml:space="preserve">, </w:t>
      </w:r>
      <w:r w:rsidR="007B3389">
        <w:rPr>
          <w:rFonts w:ascii="Times New Roman" w:hAnsi="Times New Roman" w:cs="Times New Roman"/>
          <w:sz w:val="24"/>
          <w:szCs w:val="24"/>
        </w:rPr>
        <w:t>d</w:t>
      </w:r>
      <w:r w:rsidRPr="00A53F85">
        <w:rPr>
          <w:rFonts w:ascii="Times New Roman" w:hAnsi="Times New Roman" w:cs="Times New Roman"/>
          <w:sz w:val="24"/>
          <w:szCs w:val="24"/>
        </w:rPr>
        <w:t>), cost of goods sold (</w:t>
      </w:r>
      <w:r w:rsidR="007B3389">
        <w:rPr>
          <w:rFonts w:ascii="Times New Roman" w:hAnsi="Times New Roman" w:cs="Times New Roman"/>
          <w:sz w:val="24"/>
          <w:szCs w:val="24"/>
        </w:rPr>
        <w:t>e</w:t>
      </w:r>
      <w:r w:rsidRPr="00A53F85">
        <w:rPr>
          <w:rFonts w:ascii="Times New Roman" w:hAnsi="Times New Roman" w:cs="Times New Roman"/>
          <w:sz w:val="24"/>
          <w:szCs w:val="24"/>
        </w:rPr>
        <w:t xml:space="preserve">, </w:t>
      </w:r>
      <w:r w:rsidR="007B3389">
        <w:rPr>
          <w:rFonts w:ascii="Times New Roman" w:hAnsi="Times New Roman" w:cs="Times New Roman"/>
          <w:sz w:val="24"/>
          <w:szCs w:val="24"/>
        </w:rPr>
        <w:t>f</w:t>
      </w:r>
      <w:r w:rsidRPr="00A53F85">
        <w:rPr>
          <w:rFonts w:ascii="Times New Roman" w:hAnsi="Times New Roman" w:cs="Times New Roman"/>
          <w:sz w:val="24"/>
          <w:szCs w:val="24"/>
        </w:rPr>
        <w:t>), and product purity (</w:t>
      </w:r>
      <w:r w:rsidR="007B3389">
        <w:rPr>
          <w:rFonts w:ascii="Times New Roman" w:hAnsi="Times New Roman" w:cs="Times New Roman"/>
          <w:sz w:val="24"/>
          <w:szCs w:val="24"/>
        </w:rPr>
        <w:t>g</w:t>
      </w:r>
      <w:r w:rsidRPr="00A53F85">
        <w:rPr>
          <w:rFonts w:ascii="Times New Roman" w:hAnsi="Times New Roman" w:cs="Times New Roman"/>
          <w:sz w:val="24"/>
          <w:szCs w:val="24"/>
        </w:rPr>
        <w:t xml:space="preserve">, </w:t>
      </w:r>
      <w:r w:rsidR="007B3389">
        <w:rPr>
          <w:rFonts w:ascii="Times New Roman" w:hAnsi="Times New Roman" w:cs="Times New Roman"/>
          <w:sz w:val="24"/>
          <w:szCs w:val="24"/>
        </w:rPr>
        <w:t>h</w:t>
      </w:r>
      <w:r w:rsidRPr="00A53F85">
        <w:rPr>
          <w:rFonts w:ascii="Times New Roman" w:hAnsi="Times New Roman" w:cs="Times New Roman"/>
          <w:sz w:val="24"/>
          <w:szCs w:val="24"/>
        </w:rPr>
        <w:t xml:space="preserve">). Error bars represent the 95% confidence interval of the mean. </w:t>
      </w:r>
    </w:p>
    <w:p w14:paraId="2EE4E721" w14:textId="77777777" w:rsidR="00767FB1" w:rsidRDefault="00767FB1" w:rsidP="00F00898">
      <w:pPr>
        <w:spacing w:line="480" w:lineRule="auto"/>
        <w:jc w:val="both"/>
        <w:rPr>
          <w:rFonts w:ascii="Times New Roman" w:hAnsi="Times New Roman" w:cs="Times New Roman"/>
          <w:sz w:val="24"/>
          <w:szCs w:val="24"/>
        </w:rPr>
      </w:pPr>
    </w:p>
    <w:p w14:paraId="2130A3BE" w14:textId="6BAD58C9" w:rsidR="000C400E" w:rsidRDefault="000C400E"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comparison of cost breakdowns for the equipment oversizing </w:t>
      </w:r>
      <w:r w:rsidR="008F0455">
        <w:rPr>
          <w:rFonts w:ascii="Times New Roman" w:hAnsi="Times New Roman" w:cs="Times New Roman"/>
          <w:sz w:val="24"/>
          <w:szCs w:val="24"/>
        </w:rPr>
        <w:t>scenarios</w:t>
      </w:r>
      <w:r>
        <w:rPr>
          <w:rFonts w:ascii="Times New Roman" w:hAnsi="Times New Roman" w:cs="Times New Roman"/>
          <w:sz w:val="24"/>
          <w:szCs w:val="24"/>
        </w:rPr>
        <w:t xml:space="preserve"> is shown in Figure </w:t>
      </w:r>
      <w:r w:rsidR="007F662D">
        <w:rPr>
          <w:rFonts w:ascii="Times New Roman" w:hAnsi="Times New Roman" w:cs="Times New Roman"/>
          <w:sz w:val="24"/>
          <w:szCs w:val="24"/>
        </w:rPr>
        <w:t>6</w:t>
      </w:r>
      <w:r>
        <w:rPr>
          <w:rFonts w:ascii="Times New Roman" w:hAnsi="Times New Roman" w:cs="Times New Roman"/>
          <w:sz w:val="24"/>
          <w:szCs w:val="24"/>
        </w:rPr>
        <w:t xml:space="preserve">. </w:t>
      </w:r>
      <w:r w:rsidR="008F0455">
        <w:rPr>
          <w:rFonts w:ascii="Times New Roman" w:hAnsi="Times New Roman" w:cs="Times New Roman"/>
          <w:sz w:val="24"/>
          <w:szCs w:val="24"/>
        </w:rPr>
        <w:t>Consumables are the most sensitive cost item</w:t>
      </w:r>
      <w:r w:rsidR="00CF36C2">
        <w:rPr>
          <w:rFonts w:ascii="Times New Roman" w:hAnsi="Times New Roman" w:cs="Times New Roman"/>
          <w:sz w:val="24"/>
          <w:szCs w:val="24"/>
        </w:rPr>
        <w:t>s</w:t>
      </w:r>
      <w:r w:rsidR="008F0455">
        <w:rPr>
          <w:rFonts w:ascii="Times New Roman" w:hAnsi="Times New Roman" w:cs="Times New Roman"/>
          <w:sz w:val="24"/>
          <w:szCs w:val="24"/>
        </w:rPr>
        <w:t xml:space="preserve"> to </w:t>
      </w:r>
      <w:r w:rsidR="00CF36C2">
        <w:rPr>
          <w:rFonts w:ascii="Times New Roman" w:hAnsi="Times New Roman" w:cs="Times New Roman"/>
          <w:sz w:val="24"/>
          <w:szCs w:val="24"/>
        </w:rPr>
        <w:t xml:space="preserve">the </w:t>
      </w:r>
      <w:r w:rsidR="008F0455">
        <w:rPr>
          <w:rFonts w:ascii="Times New Roman" w:hAnsi="Times New Roman" w:cs="Times New Roman"/>
          <w:sz w:val="24"/>
          <w:szCs w:val="24"/>
        </w:rPr>
        <w:t xml:space="preserve">extent of equipment oversizing, increasing </w:t>
      </w:r>
      <w:r w:rsidR="00E10C9A">
        <w:rPr>
          <w:rFonts w:ascii="Times New Roman" w:hAnsi="Times New Roman" w:cs="Times New Roman"/>
          <w:sz w:val="24"/>
          <w:szCs w:val="24"/>
        </w:rPr>
        <w:t xml:space="preserve">the </w:t>
      </w:r>
      <w:r w:rsidR="00580B24">
        <w:rPr>
          <w:rFonts w:ascii="Times New Roman" w:hAnsi="Times New Roman" w:cs="Times New Roman"/>
          <w:sz w:val="24"/>
          <w:szCs w:val="24"/>
        </w:rPr>
        <w:t xml:space="preserve">relative contribution </w:t>
      </w:r>
      <w:r w:rsidR="008F0455">
        <w:rPr>
          <w:rFonts w:ascii="Times New Roman" w:hAnsi="Times New Roman" w:cs="Times New Roman"/>
          <w:sz w:val="24"/>
          <w:szCs w:val="24"/>
        </w:rPr>
        <w:t xml:space="preserve">to </w:t>
      </w:r>
      <w:r w:rsidR="001600BD">
        <w:rPr>
          <w:rFonts w:ascii="Times New Roman" w:hAnsi="Times New Roman" w:cs="Times New Roman"/>
          <w:sz w:val="24"/>
          <w:szCs w:val="24"/>
        </w:rPr>
        <w:t>operating expenditures (</w:t>
      </w:r>
      <w:r w:rsidR="008F0455">
        <w:rPr>
          <w:rFonts w:ascii="Times New Roman" w:hAnsi="Times New Roman" w:cs="Times New Roman"/>
          <w:sz w:val="24"/>
          <w:szCs w:val="24"/>
        </w:rPr>
        <w:t>OPEX</w:t>
      </w:r>
      <w:r w:rsidR="001600BD">
        <w:rPr>
          <w:rFonts w:ascii="Times New Roman" w:hAnsi="Times New Roman" w:cs="Times New Roman"/>
          <w:sz w:val="24"/>
          <w:szCs w:val="24"/>
        </w:rPr>
        <w:t>)</w:t>
      </w:r>
      <w:r w:rsidR="008F0455">
        <w:rPr>
          <w:rFonts w:ascii="Times New Roman" w:hAnsi="Times New Roman" w:cs="Times New Roman"/>
          <w:sz w:val="24"/>
          <w:szCs w:val="24"/>
        </w:rPr>
        <w:t xml:space="preserve"> </w:t>
      </w:r>
      <w:r w:rsidR="00580B24">
        <w:rPr>
          <w:rFonts w:ascii="Times New Roman" w:hAnsi="Times New Roman" w:cs="Times New Roman"/>
          <w:sz w:val="24"/>
          <w:szCs w:val="24"/>
        </w:rPr>
        <w:t xml:space="preserve">by </w:t>
      </w:r>
      <w:r w:rsidR="00581405">
        <w:rPr>
          <w:rFonts w:ascii="Times New Roman" w:hAnsi="Times New Roman" w:cs="Times New Roman"/>
          <w:sz w:val="24"/>
          <w:szCs w:val="24"/>
        </w:rPr>
        <w:t>~</w:t>
      </w:r>
      <w:r w:rsidR="00580B24">
        <w:rPr>
          <w:rFonts w:ascii="Times New Roman" w:hAnsi="Times New Roman" w:cs="Times New Roman"/>
          <w:sz w:val="24"/>
          <w:szCs w:val="24"/>
        </w:rPr>
        <w:t>2</w:t>
      </w:r>
      <w:r w:rsidR="00C063FA">
        <w:rPr>
          <w:rFonts w:ascii="Times New Roman" w:hAnsi="Times New Roman" w:cs="Times New Roman"/>
          <w:sz w:val="24"/>
          <w:szCs w:val="24"/>
        </w:rPr>
        <w:t>0</w:t>
      </w:r>
      <w:r w:rsidR="00580B24">
        <w:rPr>
          <w:rFonts w:ascii="Times New Roman" w:hAnsi="Times New Roman" w:cs="Times New Roman"/>
          <w:sz w:val="24"/>
          <w:szCs w:val="24"/>
        </w:rPr>
        <w:t xml:space="preserve">% </w:t>
      </w:r>
      <w:r w:rsidR="008F0455">
        <w:rPr>
          <w:rFonts w:ascii="Times New Roman" w:hAnsi="Times New Roman" w:cs="Times New Roman"/>
          <w:sz w:val="24"/>
          <w:szCs w:val="24"/>
        </w:rPr>
        <w:t>from</w:t>
      </w:r>
      <w:r w:rsidR="00315B76">
        <w:rPr>
          <w:rFonts w:ascii="Times New Roman" w:hAnsi="Times New Roman" w:cs="Times New Roman"/>
          <w:sz w:val="24"/>
          <w:szCs w:val="24"/>
        </w:rPr>
        <w:t xml:space="preserve"> the</w:t>
      </w:r>
      <w:r w:rsidR="008F0455">
        <w:rPr>
          <w:rFonts w:ascii="Times New Roman" w:hAnsi="Times New Roman" w:cs="Times New Roman"/>
          <w:sz w:val="24"/>
          <w:szCs w:val="24"/>
        </w:rPr>
        <w:t xml:space="preserve"> 0% to 100% oversizing scenario</w:t>
      </w:r>
      <w:r w:rsidR="00C063FA">
        <w:rPr>
          <w:rFonts w:ascii="Times New Roman" w:hAnsi="Times New Roman" w:cs="Times New Roman"/>
          <w:sz w:val="24"/>
          <w:szCs w:val="24"/>
        </w:rPr>
        <w:t xml:space="preserve">. </w:t>
      </w:r>
      <w:r w:rsidR="008F0455">
        <w:rPr>
          <w:rFonts w:ascii="Times New Roman" w:hAnsi="Times New Roman" w:cs="Times New Roman"/>
          <w:sz w:val="24"/>
          <w:szCs w:val="24"/>
        </w:rPr>
        <w:t xml:space="preserve">The UF/DF process section is the most sensitive to extent of equipment oversizing, increasing </w:t>
      </w:r>
      <w:r w:rsidR="00581405">
        <w:rPr>
          <w:rFonts w:ascii="Times New Roman" w:hAnsi="Times New Roman" w:cs="Times New Roman"/>
          <w:sz w:val="24"/>
          <w:szCs w:val="24"/>
        </w:rPr>
        <w:t>relative c</w:t>
      </w:r>
      <w:r w:rsidR="008F0455">
        <w:rPr>
          <w:rFonts w:ascii="Times New Roman" w:hAnsi="Times New Roman" w:cs="Times New Roman"/>
          <w:sz w:val="24"/>
          <w:szCs w:val="24"/>
        </w:rPr>
        <w:t xml:space="preserve">ontribution to OPEX </w:t>
      </w:r>
      <w:r w:rsidR="00581405">
        <w:rPr>
          <w:rFonts w:ascii="Times New Roman" w:hAnsi="Times New Roman" w:cs="Times New Roman"/>
          <w:sz w:val="24"/>
          <w:szCs w:val="24"/>
        </w:rPr>
        <w:t xml:space="preserve">by </w:t>
      </w:r>
      <w:r w:rsidR="00C063FA">
        <w:rPr>
          <w:rFonts w:ascii="Times New Roman" w:hAnsi="Times New Roman" w:cs="Times New Roman"/>
          <w:sz w:val="24"/>
          <w:szCs w:val="24"/>
        </w:rPr>
        <w:t>~15</w:t>
      </w:r>
      <w:r w:rsidR="00581405">
        <w:rPr>
          <w:rFonts w:ascii="Times New Roman" w:hAnsi="Times New Roman" w:cs="Times New Roman"/>
          <w:sz w:val="24"/>
          <w:szCs w:val="24"/>
        </w:rPr>
        <w:t xml:space="preserve">% </w:t>
      </w:r>
      <w:r w:rsidR="008F0455">
        <w:rPr>
          <w:rFonts w:ascii="Times New Roman" w:hAnsi="Times New Roman" w:cs="Times New Roman"/>
          <w:sz w:val="24"/>
          <w:szCs w:val="24"/>
        </w:rPr>
        <w:t xml:space="preserve">from </w:t>
      </w:r>
      <w:r w:rsidR="00315B76">
        <w:rPr>
          <w:rFonts w:ascii="Times New Roman" w:hAnsi="Times New Roman" w:cs="Times New Roman"/>
          <w:sz w:val="24"/>
          <w:szCs w:val="24"/>
        </w:rPr>
        <w:t xml:space="preserve">the </w:t>
      </w:r>
      <w:r w:rsidR="008F0455">
        <w:rPr>
          <w:rFonts w:ascii="Times New Roman" w:hAnsi="Times New Roman" w:cs="Times New Roman"/>
          <w:sz w:val="24"/>
          <w:szCs w:val="24"/>
        </w:rPr>
        <w:t xml:space="preserve">0% to 100% oversizing scenario. This is primarily due to the </w:t>
      </w:r>
      <w:r w:rsidR="007F662D">
        <w:rPr>
          <w:rFonts w:ascii="Times New Roman" w:hAnsi="Times New Roman" w:cs="Times New Roman"/>
          <w:sz w:val="24"/>
          <w:szCs w:val="24"/>
        </w:rPr>
        <w:t xml:space="preserve">contribution of the </w:t>
      </w:r>
      <w:r w:rsidR="008F0455">
        <w:rPr>
          <w:rFonts w:ascii="Times New Roman" w:hAnsi="Times New Roman" w:cs="Times New Roman"/>
          <w:sz w:val="24"/>
          <w:szCs w:val="24"/>
        </w:rPr>
        <w:t>CEX</w:t>
      </w:r>
      <w:r w:rsidR="007F662D">
        <w:rPr>
          <w:rFonts w:ascii="Times New Roman" w:hAnsi="Times New Roman" w:cs="Times New Roman"/>
          <w:sz w:val="24"/>
          <w:szCs w:val="24"/>
        </w:rPr>
        <w:t xml:space="preserve"> procedure</w:t>
      </w:r>
      <w:r w:rsidR="008F0455">
        <w:rPr>
          <w:rFonts w:ascii="Times New Roman" w:hAnsi="Times New Roman" w:cs="Times New Roman"/>
          <w:sz w:val="24"/>
          <w:szCs w:val="24"/>
        </w:rPr>
        <w:t>. The ratio of upstream-to-downstream OPEX generally decreases with extent of equipment oversizing, while the capital intensity, the ratio of OPEX</w:t>
      </w:r>
      <w:r w:rsidR="007F662D">
        <w:rPr>
          <w:rFonts w:ascii="Times New Roman" w:hAnsi="Times New Roman" w:cs="Times New Roman"/>
          <w:sz w:val="24"/>
          <w:szCs w:val="24"/>
        </w:rPr>
        <w:t xml:space="preserve"> </w:t>
      </w:r>
      <w:r w:rsidR="008F0455">
        <w:rPr>
          <w:rFonts w:ascii="Times New Roman" w:hAnsi="Times New Roman" w:cs="Times New Roman"/>
          <w:sz w:val="24"/>
          <w:szCs w:val="24"/>
        </w:rPr>
        <w:t>to</w:t>
      </w:r>
      <w:r w:rsidR="007F662D">
        <w:rPr>
          <w:rFonts w:ascii="Times New Roman" w:hAnsi="Times New Roman" w:cs="Times New Roman"/>
          <w:sz w:val="24"/>
          <w:szCs w:val="24"/>
        </w:rPr>
        <w:t xml:space="preserve"> </w:t>
      </w:r>
      <w:r w:rsidR="001600BD">
        <w:rPr>
          <w:rFonts w:ascii="Times New Roman" w:hAnsi="Times New Roman" w:cs="Times New Roman"/>
          <w:sz w:val="24"/>
          <w:szCs w:val="24"/>
        </w:rPr>
        <w:t>capital expenditures (</w:t>
      </w:r>
      <w:r w:rsidR="008F0455">
        <w:rPr>
          <w:rFonts w:ascii="Times New Roman" w:hAnsi="Times New Roman" w:cs="Times New Roman"/>
          <w:sz w:val="24"/>
          <w:szCs w:val="24"/>
        </w:rPr>
        <w:t>CAPEX</w:t>
      </w:r>
      <w:r w:rsidR="001600BD">
        <w:rPr>
          <w:rFonts w:ascii="Times New Roman" w:hAnsi="Times New Roman" w:cs="Times New Roman"/>
          <w:sz w:val="24"/>
          <w:szCs w:val="24"/>
        </w:rPr>
        <w:t>)</w:t>
      </w:r>
      <w:r w:rsidR="008F0455">
        <w:rPr>
          <w:rFonts w:ascii="Times New Roman" w:hAnsi="Times New Roman" w:cs="Times New Roman"/>
          <w:sz w:val="24"/>
          <w:szCs w:val="24"/>
        </w:rPr>
        <w:t>, generally increases.</w:t>
      </w:r>
      <w:r w:rsidR="00FA6C85">
        <w:rPr>
          <w:rFonts w:ascii="Times New Roman" w:hAnsi="Times New Roman" w:cs="Times New Roman"/>
          <w:sz w:val="24"/>
          <w:szCs w:val="24"/>
        </w:rPr>
        <w:t xml:space="preserve"> This is consistent with the</w:t>
      </w:r>
      <w:r w:rsidR="00315B76">
        <w:rPr>
          <w:rFonts w:ascii="Times New Roman" w:hAnsi="Times New Roman" w:cs="Times New Roman"/>
          <w:sz w:val="24"/>
          <w:szCs w:val="24"/>
        </w:rPr>
        <w:t xml:space="preserve"> generally accepted</w:t>
      </w:r>
      <w:r w:rsidR="00FA6C85">
        <w:rPr>
          <w:rFonts w:ascii="Times New Roman" w:hAnsi="Times New Roman" w:cs="Times New Roman"/>
          <w:sz w:val="24"/>
          <w:szCs w:val="24"/>
        </w:rPr>
        <w:t xml:space="preserve"> notion that downstream processing is higher capital intensity than upstream processing. </w:t>
      </w:r>
    </w:p>
    <w:p w14:paraId="77C6D319" w14:textId="7281580C" w:rsidR="00767FB1" w:rsidRDefault="001D5C3D" w:rsidP="00F00898">
      <w:pPr>
        <w:spacing w:line="480" w:lineRule="auto"/>
        <w:ind w:left="-12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7993FC" wp14:editId="77AB9667">
            <wp:extent cx="7510893" cy="20542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55" r="1"/>
                    <a:stretch/>
                  </pic:blipFill>
                  <pic:spPr bwMode="auto">
                    <a:xfrm>
                      <a:off x="0" y="0"/>
                      <a:ext cx="7582630" cy="2073845"/>
                    </a:xfrm>
                    <a:prstGeom prst="rect">
                      <a:avLst/>
                    </a:prstGeom>
                    <a:noFill/>
                    <a:ln>
                      <a:noFill/>
                    </a:ln>
                    <a:extLst>
                      <a:ext uri="{53640926-AAD7-44D8-BBD7-CCE9431645EC}">
                        <a14:shadowObscured xmlns:a14="http://schemas.microsoft.com/office/drawing/2010/main"/>
                      </a:ext>
                    </a:extLst>
                  </pic:spPr>
                </pic:pic>
              </a:graphicData>
            </a:graphic>
          </wp:inline>
        </w:drawing>
      </w:r>
    </w:p>
    <w:p w14:paraId="219D56B4" w14:textId="0B7D4DB4" w:rsidR="00767FB1" w:rsidRPr="001238BF" w:rsidRDefault="00767FB1" w:rsidP="00F00898">
      <w:pPr>
        <w:spacing w:line="480" w:lineRule="auto"/>
        <w:jc w:val="both"/>
        <w:rPr>
          <w:rFonts w:ascii="Times New Roman" w:hAnsi="Times New Roman" w:cs="Times New Roman"/>
          <w:sz w:val="24"/>
          <w:szCs w:val="24"/>
        </w:rPr>
      </w:pPr>
      <w:r w:rsidRPr="001238BF">
        <w:rPr>
          <w:rFonts w:ascii="Times New Roman" w:hAnsi="Times New Roman" w:cs="Times New Roman"/>
          <w:b/>
          <w:bCs/>
          <w:sz w:val="24"/>
          <w:szCs w:val="24"/>
        </w:rPr>
        <w:t>Fig</w:t>
      </w:r>
      <w:r>
        <w:rPr>
          <w:rFonts w:ascii="Times New Roman" w:hAnsi="Times New Roman" w:cs="Times New Roman"/>
          <w:b/>
          <w:bCs/>
          <w:sz w:val="24"/>
          <w:szCs w:val="24"/>
        </w:rPr>
        <w:t>ure</w:t>
      </w:r>
      <w:r w:rsidRPr="001238BF">
        <w:rPr>
          <w:rFonts w:ascii="Times New Roman" w:hAnsi="Times New Roman" w:cs="Times New Roman"/>
          <w:b/>
          <w:bCs/>
          <w:sz w:val="24"/>
          <w:szCs w:val="24"/>
        </w:rPr>
        <w:t xml:space="preserve"> 6. </w:t>
      </w:r>
      <w:r w:rsidRPr="001238BF">
        <w:rPr>
          <w:rFonts w:ascii="Times New Roman" w:hAnsi="Times New Roman" w:cs="Times New Roman"/>
          <w:sz w:val="24"/>
          <w:szCs w:val="24"/>
        </w:rPr>
        <w:t xml:space="preserve">A comparison of cost breakdowns and equipment oversizing of the facility for the mean simulation values shown by </w:t>
      </w:r>
      <w:r w:rsidR="001D5C3D">
        <w:rPr>
          <w:rFonts w:ascii="Times New Roman" w:hAnsi="Times New Roman" w:cs="Times New Roman"/>
          <w:sz w:val="24"/>
          <w:szCs w:val="24"/>
        </w:rPr>
        <w:t xml:space="preserve">(a) </w:t>
      </w:r>
      <w:r w:rsidRPr="001238BF">
        <w:rPr>
          <w:rFonts w:ascii="Times New Roman" w:hAnsi="Times New Roman" w:cs="Times New Roman"/>
          <w:sz w:val="24"/>
          <w:szCs w:val="24"/>
        </w:rPr>
        <w:t xml:space="preserve">cost item, </w:t>
      </w:r>
      <w:r w:rsidR="001D5C3D">
        <w:rPr>
          <w:rFonts w:ascii="Times New Roman" w:hAnsi="Times New Roman" w:cs="Times New Roman"/>
          <w:sz w:val="24"/>
          <w:szCs w:val="24"/>
        </w:rPr>
        <w:t xml:space="preserve">(b) </w:t>
      </w:r>
      <w:r w:rsidRPr="001238BF">
        <w:rPr>
          <w:rFonts w:ascii="Times New Roman" w:hAnsi="Times New Roman" w:cs="Times New Roman"/>
          <w:sz w:val="24"/>
          <w:szCs w:val="24"/>
        </w:rPr>
        <w:t xml:space="preserve">process section, </w:t>
      </w:r>
      <w:r w:rsidR="001D5C3D">
        <w:rPr>
          <w:rFonts w:ascii="Times New Roman" w:hAnsi="Times New Roman" w:cs="Times New Roman"/>
          <w:sz w:val="24"/>
          <w:szCs w:val="24"/>
        </w:rPr>
        <w:t xml:space="preserve">(c) </w:t>
      </w:r>
      <w:r w:rsidRPr="001238BF">
        <w:rPr>
          <w:rFonts w:ascii="Times New Roman" w:hAnsi="Times New Roman" w:cs="Times New Roman"/>
          <w:sz w:val="24"/>
          <w:szCs w:val="24"/>
        </w:rPr>
        <w:t xml:space="preserve">total upstream contribution, and </w:t>
      </w:r>
      <w:r w:rsidR="001D5C3D">
        <w:rPr>
          <w:rFonts w:ascii="Times New Roman" w:hAnsi="Times New Roman" w:cs="Times New Roman"/>
          <w:sz w:val="24"/>
          <w:szCs w:val="24"/>
        </w:rPr>
        <w:t xml:space="preserve">(d) </w:t>
      </w:r>
      <w:r w:rsidRPr="001238BF">
        <w:rPr>
          <w:rFonts w:ascii="Times New Roman" w:hAnsi="Times New Roman" w:cs="Times New Roman"/>
          <w:sz w:val="24"/>
          <w:szCs w:val="24"/>
        </w:rPr>
        <w:t>the ratio between operating and capital expenditures. Data points represent the cost breakdowns of the simulation trials with the mean internal rate of return, while error bars represent those of the minimum and maximum internal rate of return. QC, quality control; QA, quality assurance; UF/DF, ultrafiltration/diafiltration; OPEX, operating expenditure</w:t>
      </w:r>
      <w:r w:rsidR="001600BD">
        <w:rPr>
          <w:rFonts w:ascii="Times New Roman" w:hAnsi="Times New Roman" w:cs="Times New Roman"/>
          <w:sz w:val="24"/>
          <w:szCs w:val="24"/>
        </w:rPr>
        <w:t>s</w:t>
      </w:r>
      <w:r w:rsidR="00890E25">
        <w:rPr>
          <w:rFonts w:ascii="Times New Roman" w:hAnsi="Times New Roman" w:cs="Times New Roman"/>
          <w:sz w:val="24"/>
          <w:szCs w:val="24"/>
        </w:rPr>
        <w:t xml:space="preserve">; CAPEX, capital </w:t>
      </w:r>
      <w:proofErr w:type="spellStart"/>
      <w:proofErr w:type="gramStart"/>
      <w:r w:rsidR="00890E25">
        <w:rPr>
          <w:rFonts w:ascii="Times New Roman" w:hAnsi="Times New Roman" w:cs="Times New Roman"/>
          <w:sz w:val="24"/>
          <w:szCs w:val="24"/>
        </w:rPr>
        <w:t>expenditure</w:t>
      </w:r>
      <w:r w:rsidRPr="001238BF">
        <w:rPr>
          <w:rFonts w:ascii="Times New Roman" w:hAnsi="Times New Roman" w:cs="Times New Roman"/>
          <w:sz w:val="24"/>
          <w:szCs w:val="24"/>
        </w:rPr>
        <w:t>.</w:t>
      </w:r>
      <w:r w:rsidR="001600BD">
        <w:rPr>
          <w:rFonts w:ascii="Times New Roman" w:hAnsi="Times New Roman" w:cs="Times New Roman"/>
          <w:sz w:val="24"/>
          <w:szCs w:val="24"/>
        </w:rPr>
        <w:t>s</w:t>
      </w:r>
      <w:proofErr w:type="spellEnd"/>
      <w:proofErr w:type="gramEnd"/>
      <w:r w:rsidRPr="001238BF">
        <w:rPr>
          <w:rFonts w:ascii="Times New Roman" w:hAnsi="Times New Roman" w:cs="Times New Roman"/>
          <w:sz w:val="24"/>
          <w:szCs w:val="24"/>
        </w:rPr>
        <w:t xml:space="preserve"> </w:t>
      </w:r>
    </w:p>
    <w:p w14:paraId="15E18A84" w14:textId="5B8AC34D" w:rsidR="00F24450" w:rsidRDefault="00F24450" w:rsidP="00F00898">
      <w:pPr>
        <w:spacing w:line="480" w:lineRule="auto"/>
        <w:rPr>
          <w:rFonts w:ascii="Times New Roman" w:hAnsi="Times New Roman" w:cs="Times New Roman"/>
          <w:sz w:val="24"/>
          <w:szCs w:val="24"/>
        </w:rPr>
      </w:pPr>
    </w:p>
    <w:p w14:paraId="75734BF8" w14:textId="0C798355" w:rsidR="00B24B20" w:rsidRPr="00182A40" w:rsidRDefault="00B24B20" w:rsidP="00F00898">
      <w:pPr>
        <w:spacing w:line="480" w:lineRule="auto"/>
        <w:rPr>
          <w:rFonts w:ascii="Times New Roman" w:hAnsi="Times New Roman" w:cs="Times New Roman"/>
          <w:i/>
          <w:iCs/>
          <w:sz w:val="24"/>
          <w:szCs w:val="24"/>
        </w:rPr>
      </w:pPr>
      <w:r w:rsidRPr="00182A40">
        <w:rPr>
          <w:rFonts w:ascii="Times New Roman" w:hAnsi="Times New Roman" w:cs="Times New Roman"/>
          <w:i/>
          <w:iCs/>
          <w:sz w:val="24"/>
          <w:szCs w:val="24"/>
        </w:rPr>
        <w:t>3.3. Optimization scenario: chromatography retrofit</w:t>
      </w:r>
    </w:p>
    <w:p w14:paraId="71C890BC" w14:textId="08100605" w:rsidR="000C400E" w:rsidRDefault="00E35E5A"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Here, we </w:t>
      </w:r>
      <w:r w:rsidR="00816FB9">
        <w:rPr>
          <w:rFonts w:ascii="Times New Roman" w:hAnsi="Times New Roman" w:cs="Times New Roman"/>
          <w:sz w:val="24"/>
          <w:szCs w:val="24"/>
        </w:rPr>
        <w:t xml:space="preserve">demonstrate how </w:t>
      </w:r>
      <w:r>
        <w:rPr>
          <w:rFonts w:ascii="Times New Roman" w:hAnsi="Times New Roman" w:cs="Times New Roman"/>
          <w:sz w:val="24"/>
          <w:szCs w:val="24"/>
        </w:rPr>
        <w:t xml:space="preserve">the process simulation model representing an existing facility </w:t>
      </w:r>
      <w:r w:rsidR="00816FB9">
        <w:rPr>
          <w:rFonts w:ascii="Times New Roman" w:hAnsi="Times New Roman" w:cs="Times New Roman"/>
          <w:sz w:val="24"/>
          <w:szCs w:val="24"/>
        </w:rPr>
        <w:t xml:space="preserve">can be used to </w:t>
      </w:r>
      <w:r>
        <w:rPr>
          <w:rFonts w:ascii="Times New Roman" w:hAnsi="Times New Roman" w:cs="Times New Roman"/>
          <w:sz w:val="24"/>
          <w:szCs w:val="24"/>
        </w:rPr>
        <w:t>aid in a retrofitting process. We suppose that the facility</w:t>
      </w:r>
      <w:r w:rsidR="0014770C">
        <w:rPr>
          <w:rFonts w:ascii="Times New Roman" w:hAnsi="Times New Roman" w:cs="Times New Roman"/>
          <w:sz w:val="24"/>
          <w:szCs w:val="24"/>
        </w:rPr>
        <w:t>, represented by the base case scenario</w:t>
      </w:r>
      <w:r w:rsidR="00315B76">
        <w:rPr>
          <w:rFonts w:ascii="Times New Roman" w:hAnsi="Times New Roman" w:cs="Times New Roman"/>
          <w:sz w:val="24"/>
          <w:szCs w:val="24"/>
        </w:rPr>
        <w:t xml:space="preserve"> (0% oversizing)</w:t>
      </w:r>
      <w:r w:rsidR="0014770C">
        <w:rPr>
          <w:rFonts w:ascii="Times New Roman" w:hAnsi="Times New Roman" w:cs="Times New Roman"/>
          <w:sz w:val="24"/>
          <w:szCs w:val="24"/>
        </w:rPr>
        <w:t>,</w:t>
      </w:r>
      <w:r>
        <w:rPr>
          <w:rFonts w:ascii="Times New Roman" w:hAnsi="Times New Roman" w:cs="Times New Roman"/>
          <w:sz w:val="24"/>
          <w:szCs w:val="24"/>
        </w:rPr>
        <w:t xml:space="preserve"> is</w:t>
      </w:r>
      <w:r w:rsidR="00315B76">
        <w:rPr>
          <w:rFonts w:ascii="Times New Roman" w:hAnsi="Times New Roman" w:cs="Times New Roman"/>
          <w:sz w:val="24"/>
          <w:szCs w:val="24"/>
        </w:rPr>
        <w:t xml:space="preserve"> </w:t>
      </w:r>
      <w:proofErr w:type="gramStart"/>
      <w:r w:rsidR="00315B76">
        <w:rPr>
          <w:rFonts w:ascii="Times New Roman" w:hAnsi="Times New Roman" w:cs="Times New Roman"/>
          <w:sz w:val="24"/>
          <w:szCs w:val="24"/>
        </w:rPr>
        <w:t>fixed</w:t>
      </w:r>
      <w:proofErr w:type="gramEnd"/>
      <w:r w:rsidR="00315B76">
        <w:rPr>
          <w:rFonts w:ascii="Times New Roman" w:hAnsi="Times New Roman" w:cs="Times New Roman"/>
          <w:sz w:val="24"/>
          <w:szCs w:val="24"/>
        </w:rPr>
        <w:t xml:space="preserve"> and fully constructed except for the </w:t>
      </w:r>
      <w:r w:rsidR="0014770C">
        <w:rPr>
          <w:rFonts w:ascii="Times New Roman" w:hAnsi="Times New Roman" w:cs="Times New Roman"/>
          <w:sz w:val="24"/>
          <w:szCs w:val="24"/>
        </w:rPr>
        <w:t>CEX</w:t>
      </w:r>
      <w:r>
        <w:rPr>
          <w:rFonts w:ascii="Times New Roman" w:hAnsi="Times New Roman" w:cs="Times New Roman"/>
          <w:sz w:val="24"/>
          <w:szCs w:val="24"/>
        </w:rPr>
        <w:t xml:space="preserve"> chromatography step</w:t>
      </w:r>
      <w:r w:rsidR="00315B76">
        <w:rPr>
          <w:rFonts w:ascii="Times New Roman" w:hAnsi="Times New Roman" w:cs="Times New Roman"/>
          <w:sz w:val="24"/>
          <w:szCs w:val="24"/>
        </w:rPr>
        <w:t>, which is anticipated to be added to the floor</w:t>
      </w:r>
      <w:r>
        <w:rPr>
          <w:rFonts w:ascii="Times New Roman" w:hAnsi="Times New Roman" w:cs="Times New Roman"/>
          <w:sz w:val="24"/>
          <w:szCs w:val="24"/>
        </w:rPr>
        <w:t xml:space="preserve"> as the facility manufacturing switches to a new </w:t>
      </w:r>
      <w:r w:rsidR="000C400E">
        <w:rPr>
          <w:rFonts w:ascii="Times New Roman" w:hAnsi="Times New Roman" w:cs="Times New Roman"/>
          <w:sz w:val="24"/>
          <w:szCs w:val="24"/>
        </w:rPr>
        <w:t>target protein</w:t>
      </w:r>
      <w:r w:rsidR="0014770C">
        <w:rPr>
          <w:rFonts w:ascii="Times New Roman" w:hAnsi="Times New Roman" w:cs="Times New Roman"/>
          <w:sz w:val="24"/>
          <w:szCs w:val="24"/>
        </w:rPr>
        <w:t xml:space="preserve"> product</w:t>
      </w:r>
      <w:r w:rsidR="000C400E">
        <w:rPr>
          <w:rFonts w:ascii="Times New Roman" w:hAnsi="Times New Roman" w:cs="Times New Roman"/>
          <w:sz w:val="24"/>
          <w:szCs w:val="24"/>
        </w:rPr>
        <w:t>.</w:t>
      </w:r>
      <w:r w:rsidR="00315B76">
        <w:rPr>
          <w:rFonts w:ascii="Times New Roman" w:hAnsi="Times New Roman" w:cs="Times New Roman"/>
          <w:sz w:val="24"/>
          <w:szCs w:val="24"/>
        </w:rPr>
        <w:t xml:space="preserve"> In this case, the process simulation model can be used to optimize the sizing of the CEX chromatography step in the context of the otherwise existing facility. </w:t>
      </w:r>
    </w:p>
    <w:p w14:paraId="59F6B975" w14:textId="51792F48" w:rsidR="0014770C" w:rsidRDefault="0014770C"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The base case scenario CEX</w:t>
      </w:r>
      <w:r w:rsidR="00315B76">
        <w:rPr>
          <w:rFonts w:ascii="Times New Roman" w:hAnsi="Times New Roman" w:cs="Times New Roman"/>
          <w:sz w:val="24"/>
          <w:szCs w:val="24"/>
        </w:rPr>
        <w:t xml:space="preserve"> column size</w:t>
      </w:r>
      <w:r>
        <w:rPr>
          <w:rFonts w:ascii="Times New Roman" w:hAnsi="Times New Roman" w:cs="Times New Roman"/>
          <w:sz w:val="24"/>
          <w:szCs w:val="24"/>
        </w:rPr>
        <w:t xml:space="preserve">, which was calculated using static average values, is used as the </w:t>
      </w:r>
      <w:r w:rsidR="00315B76">
        <w:rPr>
          <w:rFonts w:ascii="Times New Roman" w:hAnsi="Times New Roman" w:cs="Times New Roman"/>
          <w:sz w:val="24"/>
          <w:szCs w:val="24"/>
        </w:rPr>
        <w:t xml:space="preserve">optimization </w:t>
      </w:r>
      <w:r>
        <w:rPr>
          <w:rFonts w:ascii="Times New Roman" w:hAnsi="Times New Roman" w:cs="Times New Roman"/>
          <w:sz w:val="24"/>
          <w:szCs w:val="24"/>
        </w:rPr>
        <w:t xml:space="preserve">starting point. </w:t>
      </w:r>
      <w:r w:rsidR="00315B76">
        <w:rPr>
          <w:rFonts w:ascii="Times New Roman" w:hAnsi="Times New Roman" w:cs="Times New Roman"/>
          <w:sz w:val="24"/>
          <w:szCs w:val="24"/>
        </w:rPr>
        <w:t xml:space="preserve">We </w:t>
      </w:r>
      <w:r w:rsidR="000529BE">
        <w:rPr>
          <w:rFonts w:ascii="Times New Roman" w:hAnsi="Times New Roman" w:cs="Times New Roman"/>
          <w:sz w:val="24"/>
          <w:szCs w:val="24"/>
        </w:rPr>
        <w:t xml:space="preserve">fixed the bed height and </w:t>
      </w:r>
      <w:proofErr w:type="gramStart"/>
      <w:r w:rsidR="000529BE">
        <w:rPr>
          <w:rFonts w:ascii="Times New Roman" w:hAnsi="Times New Roman" w:cs="Times New Roman"/>
          <w:sz w:val="24"/>
          <w:szCs w:val="24"/>
        </w:rPr>
        <w:t>allow</w:t>
      </w:r>
      <w:proofErr w:type="gramEnd"/>
      <w:r w:rsidR="000529BE">
        <w:rPr>
          <w:rFonts w:ascii="Times New Roman" w:hAnsi="Times New Roman" w:cs="Times New Roman"/>
          <w:sz w:val="24"/>
          <w:szCs w:val="24"/>
        </w:rPr>
        <w:t xml:space="preserve"> the CEX resin volume to vary with bed diameter for </w:t>
      </w:r>
      <w:r>
        <w:rPr>
          <w:rFonts w:ascii="Times New Roman" w:hAnsi="Times New Roman" w:cs="Times New Roman"/>
          <w:sz w:val="24"/>
          <w:szCs w:val="24"/>
        </w:rPr>
        <w:t xml:space="preserve">CEX size </w:t>
      </w:r>
      <w:r w:rsidR="00315B76">
        <w:rPr>
          <w:rFonts w:ascii="Times New Roman" w:hAnsi="Times New Roman" w:cs="Times New Roman"/>
          <w:sz w:val="24"/>
          <w:szCs w:val="24"/>
        </w:rPr>
        <w:t>optimization</w:t>
      </w:r>
      <w:r>
        <w:rPr>
          <w:rFonts w:ascii="Times New Roman" w:hAnsi="Times New Roman" w:cs="Times New Roman"/>
          <w:sz w:val="24"/>
          <w:szCs w:val="24"/>
        </w:rPr>
        <w:t xml:space="preserve">. Oracle Crystal Ball’s </w:t>
      </w:r>
      <w:proofErr w:type="spellStart"/>
      <w:r>
        <w:rPr>
          <w:rFonts w:ascii="Times New Roman" w:hAnsi="Times New Roman" w:cs="Times New Roman"/>
          <w:sz w:val="24"/>
          <w:szCs w:val="24"/>
        </w:rPr>
        <w:t>OptQuest</w:t>
      </w:r>
      <w:proofErr w:type="spellEnd"/>
      <w:r>
        <w:rPr>
          <w:rFonts w:ascii="Times New Roman" w:hAnsi="Times New Roman" w:cs="Times New Roman"/>
          <w:sz w:val="24"/>
          <w:szCs w:val="24"/>
        </w:rPr>
        <w:t xml:space="preserve"> tool was used to determine the CEX diameter that maximizes the mean value IRR of simulations of 20,000 trials in the range of 0.7 – 1.7</w:t>
      </w:r>
      <w:r w:rsidR="00816FB9">
        <w:rPr>
          <w:rFonts w:ascii="Times New Roman" w:hAnsi="Times New Roman" w:cs="Times New Roman"/>
          <w:sz w:val="24"/>
          <w:szCs w:val="24"/>
        </w:rPr>
        <w:t xml:space="preserve"> </w:t>
      </w:r>
      <w:r>
        <w:rPr>
          <w:rFonts w:ascii="Times New Roman" w:hAnsi="Times New Roman" w:cs="Times New Roman"/>
          <w:sz w:val="24"/>
          <w:szCs w:val="24"/>
        </w:rPr>
        <w:t>m diameter (base case = 1.2</w:t>
      </w:r>
      <w:r w:rsidR="00816FB9">
        <w:rPr>
          <w:rFonts w:ascii="Times New Roman" w:hAnsi="Times New Roman" w:cs="Times New Roman"/>
          <w:sz w:val="24"/>
          <w:szCs w:val="24"/>
        </w:rPr>
        <w:t xml:space="preserve"> </w:t>
      </w:r>
      <w:r>
        <w:rPr>
          <w:rFonts w:ascii="Times New Roman" w:hAnsi="Times New Roman" w:cs="Times New Roman"/>
          <w:sz w:val="24"/>
          <w:szCs w:val="24"/>
        </w:rPr>
        <w:t xml:space="preserve">m) </w:t>
      </w:r>
      <w:r w:rsidR="00A05D9E">
        <w:rPr>
          <w:rFonts w:ascii="Times New Roman" w:hAnsi="Times New Roman" w:cs="Times New Roman"/>
          <w:sz w:val="24"/>
          <w:szCs w:val="24"/>
        </w:rPr>
        <w:t xml:space="preserve">discretized in </w:t>
      </w:r>
      <w:r>
        <w:rPr>
          <w:rFonts w:ascii="Times New Roman" w:hAnsi="Times New Roman" w:cs="Times New Roman"/>
          <w:sz w:val="24"/>
          <w:szCs w:val="24"/>
        </w:rPr>
        <w:t>0.</w:t>
      </w:r>
      <w:r w:rsidR="007F662D">
        <w:rPr>
          <w:rFonts w:ascii="Times New Roman" w:hAnsi="Times New Roman" w:cs="Times New Roman"/>
          <w:sz w:val="24"/>
          <w:szCs w:val="24"/>
        </w:rPr>
        <w:t>0</w:t>
      </w:r>
      <w:r>
        <w:rPr>
          <w:rFonts w:ascii="Times New Roman" w:hAnsi="Times New Roman" w:cs="Times New Roman"/>
          <w:sz w:val="24"/>
          <w:szCs w:val="24"/>
        </w:rPr>
        <w:t>1</w:t>
      </w:r>
      <w:r w:rsidR="00816FB9">
        <w:rPr>
          <w:rFonts w:ascii="Times New Roman" w:hAnsi="Times New Roman" w:cs="Times New Roman"/>
          <w:sz w:val="24"/>
          <w:szCs w:val="24"/>
        </w:rPr>
        <w:t xml:space="preserve"> </w:t>
      </w:r>
      <w:r>
        <w:rPr>
          <w:rFonts w:ascii="Times New Roman" w:hAnsi="Times New Roman" w:cs="Times New Roman"/>
          <w:sz w:val="24"/>
          <w:szCs w:val="24"/>
        </w:rPr>
        <w:t xml:space="preserve">m increments. </w:t>
      </w:r>
    </w:p>
    <w:p w14:paraId="6B07B30B" w14:textId="3AA78409" w:rsidR="000C400E" w:rsidRDefault="00A05D9E" w:rsidP="00F0089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results of the CEX optimization are show in Figure </w:t>
      </w:r>
      <w:r w:rsidR="007F662D">
        <w:rPr>
          <w:rFonts w:ascii="Times New Roman" w:hAnsi="Times New Roman" w:cs="Times New Roman"/>
          <w:sz w:val="24"/>
          <w:szCs w:val="24"/>
        </w:rPr>
        <w:t>7</w:t>
      </w:r>
      <w:r>
        <w:rPr>
          <w:rFonts w:ascii="Times New Roman" w:hAnsi="Times New Roman" w:cs="Times New Roman"/>
          <w:sz w:val="24"/>
          <w:szCs w:val="24"/>
        </w:rPr>
        <w:t>. The optimal value was determined to be a diameter of 1.2</w:t>
      </w:r>
      <w:r w:rsidR="00816FB9">
        <w:rPr>
          <w:rFonts w:ascii="Times New Roman" w:hAnsi="Times New Roman" w:cs="Times New Roman"/>
          <w:sz w:val="24"/>
          <w:szCs w:val="24"/>
        </w:rPr>
        <w:t xml:space="preserve"> </w:t>
      </w:r>
      <w:r>
        <w:rPr>
          <w:rFonts w:ascii="Times New Roman" w:hAnsi="Times New Roman" w:cs="Times New Roman"/>
          <w:sz w:val="24"/>
          <w:szCs w:val="24"/>
        </w:rPr>
        <w:t xml:space="preserve">m, which is consistent with the </w:t>
      </w:r>
      <w:r w:rsidR="00101918">
        <w:rPr>
          <w:rFonts w:ascii="Times New Roman" w:hAnsi="Times New Roman" w:cs="Times New Roman"/>
          <w:sz w:val="24"/>
          <w:szCs w:val="24"/>
        </w:rPr>
        <w:t xml:space="preserve">value in the </w:t>
      </w:r>
      <w:r>
        <w:rPr>
          <w:rFonts w:ascii="Times New Roman" w:hAnsi="Times New Roman" w:cs="Times New Roman"/>
          <w:sz w:val="24"/>
          <w:szCs w:val="24"/>
        </w:rPr>
        <w:t xml:space="preserve">base case scenario. </w:t>
      </w:r>
    </w:p>
    <w:p w14:paraId="4C677190" w14:textId="77777777" w:rsidR="00767FB1" w:rsidRDefault="00767FB1" w:rsidP="00F0089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E10C1C" wp14:editId="439A67C9">
            <wp:extent cx="3876675" cy="290905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8511" cy="2917933"/>
                    </a:xfrm>
                    <a:prstGeom prst="rect">
                      <a:avLst/>
                    </a:prstGeom>
                    <a:noFill/>
                  </pic:spPr>
                </pic:pic>
              </a:graphicData>
            </a:graphic>
          </wp:inline>
        </w:drawing>
      </w:r>
    </w:p>
    <w:p w14:paraId="16FFE283" w14:textId="184AD26B" w:rsidR="00767FB1" w:rsidRDefault="00767FB1" w:rsidP="00F00898">
      <w:pPr>
        <w:spacing w:line="480" w:lineRule="auto"/>
        <w:jc w:val="both"/>
        <w:rPr>
          <w:rFonts w:ascii="Times New Roman" w:hAnsi="Times New Roman" w:cs="Times New Roman"/>
          <w:sz w:val="24"/>
          <w:szCs w:val="24"/>
        </w:rPr>
      </w:pPr>
      <w:r w:rsidRPr="001238BF">
        <w:rPr>
          <w:rFonts w:ascii="Times New Roman" w:hAnsi="Times New Roman" w:cs="Times New Roman"/>
          <w:b/>
          <w:bCs/>
          <w:sz w:val="24"/>
          <w:szCs w:val="24"/>
        </w:rPr>
        <w:t>Fig</w:t>
      </w:r>
      <w:r>
        <w:rPr>
          <w:rFonts w:ascii="Times New Roman" w:hAnsi="Times New Roman" w:cs="Times New Roman"/>
          <w:b/>
          <w:bCs/>
          <w:sz w:val="24"/>
          <w:szCs w:val="24"/>
        </w:rPr>
        <w:t>ure</w:t>
      </w:r>
      <w:r w:rsidRPr="001238BF">
        <w:rPr>
          <w:rFonts w:ascii="Times New Roman" w:hAnsi="Times New Roman" w:cs="Times New Roman"/>
          <w:b/>
          <w:bCs/>
          <w:sz w:val="24"/>
          <w:szCs w:val="24"/>
        </w:rPr>
        <w:t xml:space="preserve"> 7. </w:t>
      </w:r>
      <w:r w:rsidRPr="001238BF">
        <w:rPr>
          <w:rFonts w:ascii="Times New Roman" w:hAnsi="Times New Roman" w:cs="Times New Roman"/>
          <w:sz w:val="24"/>
          <w:szCs w:val="24"/>
        </w:rPr>
        <w:t>Uncertainty-based optimization of cation exchange chromatography sizing in the 0% oversize scenario set to maximize the mean internal rate of return given the assumed input parameter probability distributions. The mean internal rate of return is calculated using 20,000 simulation trials at each diameter value tested. Diameter range of 0.7 – 1.7</w:t>
      </w:r>
      <w:r w:rsidR="00816FB9">
        <w:rPr>
          <w:rFonts w:ascii="Times New Roman" w:hAnsi="Times New Roman" w:cs="Times New Roman"/>
          <w:sz w:val="24"/>
          <w:szCs w:val="24"/>
        </w:rPr>
        <w:t xml:space="preserve"> </w:t>
      </w:r>
      <w:r w:rsidRPr="001238BF">
        <w:rPr>
          <w:rFonts w:ascii="Times New Roman" w:hAnsi="Times New Roman" w:cs="Times New Roman"/>
          <w:sz w:val="24"/>
          <w:szCs w:val="24"/>
        </w:rPr>
        <w:t>m is discretized in 0.01</w:t>
      </w:r>
      <w:r w:rsidR="00816FB9">
        <w:rPr>
          <w:rFonts w:ascii="Times New Roman" w:hAnsi="Times New Roman" w:cs="Times New Roman"/>
          <w:sz w:val="24"/>
          <w:szCs w:val="24"/>
        </w:rPr>
        <w:t xml:space="preserve"> </w:t>
      </w:r>
      <w:r w:rsidRPr="001238BF">
        <w:rPr>
          <w:rFonts w:ascii="Times New Roman" w:hAnsi="Times New Roman" w:cs="Times New Roman"/>
          <w:sz w:val="24"/>
          <w:szCs w:val="24"/>
        </w:rPr>
        <w:t xml:space="preserve">m increments.  </w:t>
      </w:r>
    </w:p>
    <w:p w14:paraId="75F77A70" w14:textId="77777777" w:rsidR="00113584" w:rsidRDefault="00113584" w:rsidP="00F00898">
      <w:pPr>
        <w:spacing w:line="480" w:lineRule="auto"/>
        <w:rPr>
          <w:rFonts w:ascii="Times New Roman" w:hAnsi="Times New Roman" w:cs="Times New Roman"/>
          <w:sz w:val="24"/>
          <w:szCs w:val="24"/>
        </w:rPr>
      </w:pPr>
    </w:p>
    <w:p w14:paraId="733E126F" w14:textId="36656606" w:rsidR="00380697" w:rsidRDefault="00380697" w:rsidP="00F00898">
      <w:pPr>
        <w:spacing w:line="480" w:lineRule="auto"/>
        <w:rPr>
          <w:rFonts w:ascii="Times New Roman" w:hAnsi="Times New Roman" w:cs="Times New Roman"/>
          <w:b/>
          <w:bCs/>
          <w:sz w:val="28"/>
          <w:szCs w:val="28"/>
        </w:rPr>
      </w:pPr>
      <w:r w:rsidRPr="00C52CE9">
        <w:rPr>
          <w:rFonts w:ascii="Times New Roman" w:hAnsi="Times New Roman" w:cs="Times New Roman"/>
          <w:b/>
          <w:bCs/>
          <w:sz w:val="28"/>
          <w:szCs w:val="28"/>
        </w:rPr>
        <w:t>4. Discussion</w:t>
      </w:r>
    </w:p>
    <w:p w14:paraId="7D94C4BF" w14:textId="4D68BB1E" w:rsidR="00CD5A35" w:rsidRDefault="00CD5A35"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uncertainty quantification analysis </w:t>
      </w:r>
      <w:r w:rsidR="00C64E5A">
        <w:rPr>
          <w:rFonts w:ascii="Times New Roman" w:hAnsi="Times New Roman" w:cs="Times New Roman"/>
          <w:sz w:val="24"/>
          <w:szCs w:val="24"/>
        </w:rPr>
        <w:t xml:space="preserve">of techno-economic process simulation in this work </w:t>
      </w:r>
      <w:r w:rsidR="00113584">
        <w:rPr>
          <w:rFonts w:ascii="Times New Roman" w:hAnsi="Times New Roman" w:cs="Times New Roman"/>
          <w:sz w:val="24"/>
          <w:szCs w:val="24"/>
        </w:rPr>
        <w:t>presents</w:t>
      </w:r>
      <w:r w:rsidR="00C64E5A">
        <w:rPr>
          <w:rFonts w:ascii="Times New Roman" w:hAnsi="Times New Roman" w:cs="Times New Roman"/>
          <w:sz w:val="24"/>
          <w:szCs w:val="24"/>
        </w:rPr>
        <w:t xml:space="preserve"> a range of potential technical and business insights that can be gained for production of </w:t>
      </w:r>
      <w:r w:rsidR="00817361">
        <w:rPr>
          <w:rFonts w:ascii="Times New Roman" w:hAnsi="Times New Roman" w:cs="Times New Roman"/>
          <w:sz w:val="24"/>
          <w:szCs w:val="24"/>
        </w:rPr>
        <w:t xml:space="preserve">natural and </w:t>
      </w:r>
      <w:r w:rsidR="00C64E5A">
        <w:rPr>
          <w:rFonts w:ascii="Times New Roman" w:hAnsi="Times New Roman" w:cs="Times New Roman"/>
          <w:sz w:val="24"/>
          <w:szCs w:val="24"/>
        </w:rPr>
        <w:t xml:space="preserve">recombinant products </w:t>
      </w:r>
      <w:r w:rsidR="00113584">
        <w:rPr>
          <w:rFonts w:ascii="Times New Roman" w:hAnsi="Times New Roman" w:cs="Times New Roman"/>
          <w:sz w:val="24"/>
          <w:szCs w:val="24"/>
        </w:rPr>
        <w:t>in</w:t>
      </w:r>
      <w:r w:rsidR="00C64E5A">
        <w:rPr>
          <w:rFonts w:ascii="Times New Roman" w:hAnsi="Times New Roman" w:cs="Times New Roman"/>
          <w:sz w:val="24"/>
          <w:szCs w:val="24"/>
        </w:rPr>
        <w:t xml:space="preserve"> biotechnology manufacturing. In </w:t>
      </w:r>
      <w:r w:rsidR="00113584">
        <w:rPr>
          <w:rFonts w:ascii="Times New Roman" w:hAnsi="Times New Roman" w:cs="Times New Roman"/>
          <w:sz w:val="24"/>
          <w:szCs w:val="24"/>
        </w:rPr>
        <w:t>this</w:t>
      </w:r>
      <w:r w:rsidR="00C64E5A">
        <w:rPr>
          <w:rFonts w:ascii="Times New Roman" w:hAnsi="Times New Roman" w:cs="Times New Roman"/>
          <w:sz w:val="24"/>
          <w:szCs w:val="24"/>
        </w:rPr>
        <w:t xml:space="preserve"> work, we </w:t>
      </w:r>
      <w:r w:rsidR="00113584">
        <w:rPr>
          <w:rFonts w:ascii="Times New Roman" w:hAnsi="Times New Roman" w:cs="Times New Roman"/>
          <w:sz w:val="24"/>
          <w:szCs w:val="24"/>
        </w:rPr>
        <w:t xml:space="preserve">have </w:t>
      </w:r>
      <w:r w:rsidR="00C64E5A">
        <w:rPr>
          <w:rFonts w:ascii="Times New Roman" w:hAnsi="Times New Roman" w:cs="Times New Roman"/>
          <w:sz w:val="24"/>
          <w:szCs w:val="24"/>
        </w:rPr>
        <w:t xml:space="preserve">specifically focused on field-grown </w:t>
      </w:r>
      <w:r w:rsidR="00B93D26">
        <w:rPr>
          <w:rFonts w:ascii="Times New Roman" w:hAnsi="Times New Roman" w:cs="Times New Roman"/>
          <w:sz w:val="24"/>
          <w:szCs w:val="24"/>
        </w:rPr>
        <w:t xml:space="preserve">plant molecular </w:t>
      </w:r>
      <w:r w:rsidR="00B5098A">
        <w:rPr>
          <w:rFonts w:ascii="Times New Roman" w:hAnsi="Times New Roman" w:cs="Times New Roman"/>
          <w:sz w:val="24"/>
          <w:szCs w:val="24"/>
        </w:rPr>
        <w:t>f</w:t>
      </w:r>
      <w:r w:rsidR="00B93D26">
        <w:rPr>
          <w:rFonts w:ascii="Times New Roman" w:hAnsi="Times New Roman" w:cs="Times New Roman"/>
          <w:sz w:val="24"/>
          <w:szCs w:val="24"/>
        </w:rPr>
        <w:t>arming</w:t>
      </w:r>
      <w:r w:rsidR="00113584">
        <w:rPr>
          <w:rFonts w:ascii="Times New Roman" w:hAnsi="Times New Roman" w:cs="Times New Roman"/>
          <w:sz w:val="24"/>
          <w:szCs w:val="24"/>
        </w:rPr>
        <w:t xml:space="preserve"> as a high-priority target to benefit from th</w:t>
      </w:r>
      <w:r w:rsidR="00C64E5A">
        <w:rPr>
          <w:rFonts w:ascii="Times New Roman" w:hAnsi="Times New Roman" w:cs="Times New Roman"/>
          <w:sz w:val="24"/>
          <w:szCs w:val="24"/>
        </w:rPr>
        <w:t xml:space="preserve">e quantification and management of uncertainty in driving </w:t>
      </w:r>
      <w:r w:rsidR="00FE756B">
        <w:rPr>
          <w:rFonts w:ascii="Times New Roman" w:hAnsi="Times New Roman" w:cs="Times New Roman"/>
          <w:sz w:val="24"/>
          <w:szCs w:val="24"/>
        </w:rPr>
        <w:t xml:space="preserve">commercial </w:t>
      </w:r>
      <w:r w:rsidR="00C64E5A">
        <w:rPr>
          <w:rFonts w:ascii="Times New Roman" w:hAnsi="Times New Roman" w:cs="Times New Roman"/>
          <w:sz w:val="24"/>
          <w:szCs w:val="24"/>
        </w:rPr>
        <w:t>manufacturing.</w:t>
      </w:r>
      <w:r w:rsidR="00B05E5D">
        <w:rPr>
          <w:rFonts w:ascii="Times New Roman" w:hAnsi="Times New Roman" w:cs="Times New Roman"/>
          <w:sz w:val="24"/>
          <w:szCs w:val="24"/>
        </w:rPr>
        <w:t xml:space="preserve"> Field-grown molecular </w:t>
      </w:r>
      <w:r w:rsidR="00B5098A">
        <w:rPr>
          <w:rFonts w:ascii="Times New Roman" w:hAnsi="Times New Roman" w:cs="Times New Roman"/>
          <w:sz w:val="24"/>
          <w:szCs w:val="24"/>
        </w:rPr>
        <w:t>f</w:t>
      </w:r>
      <w:r w:rsidR="00B05E5D">
        <w:rPr>
          <w:rFonts w:ascii="Times New Roman" w:hAnsi="Times New Roman" w:cs="Times New Roman"/>
          <w:sz w:val="24"/>
          <w:szCs w:val="24"/>
        </w:rPr>
        <w:t xml:space="preserve">arming is </w:t>
      </w:r>
      <w:r w:rsidR="0013161B">
        <w:rPr>
          <w:rFonts w:ascii="Times New Roman" w:hAnsi="Times New Roman" w:cs="Times New Roman"/>
          <w:sz w:val="24"/>
          <w:szCs w:val="24"/>
        </w:rPr>
        <w:t>a critical manufacturing platform</w:t>
      </w:r>
      <w:r w:rsidR="00B05E5D">
        <w:rPr>
          <w:rFonts w:ascii="Times New Roman" w:hAnsi="Times New Roman" w:cs="Times New Roman"/>
          <w:sz w:val="24"/>
          <w:szCs w:val="24"/>
        </w:rPr>
        <w:t xml:space="preserve"> </w:t>
      </w:r>
      <w:r w:rsidR="0013161B">
        <w:rPr>
          <w:rFonts w:ascii="Times New Roman" w:hAnsi="Times New Roman" w:cs="Times New Roman"/>
          <w:sz w:val="24"/>
          <w:szCs w:val="24"/>
        </w:rPr>
        <w:t>for</w:t>
      </w:r>
      <w:r w:rsidR="00B05E5D">
        <w:rPr>
          <w:rFonts w:ascii="Times New Roman" w:hAnsi="Times New Roman" w:cs="Times New Roman"/>
          <w:sz w:val="24"/>
          <w:szCs w:val="24"/>
        </w:rPr>
        <w:t xml:space="preserve"> key commercial products </w:t>
      </w:r>
      <w:r w:rsidR="00B05E5D">
        <w:rPr>
          <w:rFonts w:ascii="Times New Roman" w:hAnsi="Times New Roman" w:cs="Times New Roman"/>
          <w:sz w:val="24"/>
          <w:szCs w:val="24"/>
        </w:rPr>
        <w:lastRenderedPageBreak/>
        <w:t>including artemisinin for malaria treatment</w:t>
      </w:r>
      <w:r w:rsidR="00467765">
        <w:rPr>
          <w:rFonts w:ascii="Times New Roman" w:hAnsi="Times New Roman" w:cs="Times New Roman"/>
          <w:sz w:val="24"/>
          <w:szCs w:val="24"/>
        </w:rPr>
        <w:t xml:space="preserve"> </w:t>
      </w:r>
      <w:r w:rsidR="00B05E5D">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{"citationItems":[{"id":"ITEM-1","itemData":{"DOI":"10.1007/s11427-015-4948-7","ISSN":"18691889","author":[{"dropping-particle":"","family":"Su","given":"Xin Zhuan","non-dropping-particle":"","parse-names":false,"suffix":""},{"dropping-particle":"","family":"Miller","given":"Louis H.","non-dropping-particle":"","parse-names":false,"suffix":""}],"container-title":"Science China. Life sciences","id":"ITEM-1","issue":"11","issued":{"date-parts":[["2015","11","1"]]},"page":"1175-1179","publisher":"NIH Public Access","title":"The discovery of artemisinin and the Nobel Prize in Physiology or Medicine","type":"article-journal","volume":"58"},"uris":["http://www.mendeley.com/documents/?uuid=bb71cbf4-849d-3fa0-b662-dac65b2cfcad"]}],"mendeley":{"formattedCitation":"(Su and Miller, 2015)","plainTextFormattedCitation":"(Su and Miller, 2015)","previouslyFormattedCitation":"(Su and Miller, 2015)"},"properties":{"noteIndex":0},"schema":"https://github.com/citation-style-language/schema/raw/master/csl-citation.json"}</w:instrText>
      </w:r>
      <w:r w:rsidR="00B05E5D">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(Su and Miller, 2015)</w:t>
      </w:r>
      <w:r w:rsidR="00B05E5D">
        <w:rPr>
          <w:rFonts w:ascii="Times New Roman" w:hAnsi="Times New Roman" w:cs="Times New Roman"/>
          <w:sz w:val="24"/>
          <w:szCs w:val="24"/>
        </w:rPr>
        <w:fldChar w:fldCharType="end"/>
      </w:r>
      <w:r w:rsidR="00B05E5D">
        <w:rPr>
          <w:rFonts w:ascii="Times New Roman" w:hAnsi="Times New Roman" w:cs="Times New Roman"/>
          <w:sz w:val="24"/>
          <w:szCs w:val="24"/>
        </w:rPr>
        <w:t>, vinca alkaloids for multiple health indications including diabetes and cancer</w:t>
      </w:r>
      <w:r w:rsidR="00467765">
        <w:rPr>
          <w:rFonts w:ascii="Times New Roman" w:hAnsi="Times New Roman" w:cs="Times New Roman"/>
          <w:sz w:val="24"/>
          <w:szCs w:val="24"/>
        </w:rPr>
        <w:t xml:space="preserve"> </w:t>
      </w:r>
      <w:r w:rsidR="00B05E5D">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{"citationItems":[{"id":"ITEM-1","itemData":{"DOI":"10.2165/00128415-200711380-00080","ISSN":"20087802","PMID":"24404355","abstract":"Vinca alkaloids are a subset of drugs obtained from the Madagascar periwinkle plant. They are naturally extracted from the pink periwinkle plant, Catharanthus roseus G. Don and have a hypoglycemic as well as cytotoxic effects. They have been used to treat diabetes, high blood pressure and have been used as disinfectants. The vinca alkaloids are also important for being cancer fighters. There are four major vinca alkaloids in clinical use: Vinblastine (VBL), vinorelbine (VRL), vincristine (VCR) and vindesine (VDS). VCR, VBL and VRL have been approved for use in the United States. Vinflunine is also a new synthetic vinca alkaloid, which has been approved in Europe for the treatment of second-line transitional cell carcinoma of the urothelium is being developed for other malignancies. Vinca alkaloids are the second-most-used class of cancer drugs and will stay among the original cancer therapies. Different researches and studies for new vinca alkaloid applications will be carried out in this regard.","author":[{"dropping-particle":"","family":"Moudi","given":"Maryam","non-dropping-particle":"","parse-names":false,"suffix":""},{"dropping-particle":"","family":"Go","given":"Rusea","non-dropping-particle":"","parse-names":false,"suffix":""},{"dropping-particle":"","family":"Yien","given":"Christina Yong Seok","non-dropping-particle":"","parse-names":false,"suffix":""},{"dropping-particle":"","family":"Nazre","given":"Mohd","non-dropping-particle":"","parse-names":false,"suffix":""}],"container-title":"International Journal of Preventive Medicine","id":"ITEM-1","issue":"11","issued":{"date-parts":[["2013","11"]]},"page":"1131-1135","publisher":"Wolters Kluwer -- Medknow Publications","title":"Vinca alkaloids","type":"article","volume":"4"},"uris":["http://www.mendeley.com/documents/?uuid=f75eaff5-bb0e-308f-9b22-b07805ecc1c4"]}],"mendeley":{"formattedCitation":"(Moudi et al., 2013)","plainTextFormattedCitation":"(Moudi et al., 2013)","previouslyFormattedCitation":"(Moudi et al., 2013)"},"properties":{"noteIndex":0},"schema":"https://github.com/citation-style-language/schema/raw/master/csl-citation.json"}</w:instrText>
      </w:r>
      <w:r w:rsidR="00B05E5D">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(Moudi et al., 2013)</w:t>
      </w:r>
      <w:r w:rsidR="00B05E5D">
        <w:rPr>
          <w:rFonts w:ascii="Times New Roman" w:hAnsi="Times New Roman" w:cs="Times New Roman"/>
          <w:sz w:val="24"/>
          <w:szCs w:val="24"/>
        </w:rPr>
        <w:fldChar w:fldCharType="end"/>
      </w:r>
      <w:r w:rsidR="00B05E5D">
        <w:rPr>
          <w:rFonts w:ascii="Times New Roman" w:hAnsi="Times New Roman" w:cs="Times New Roman"/>
          <w:sz w:val="24"/>
          <w:szCs w:val="24"/>
        </w:rPr>
        <w:t>, and stevia as a food sweetener</w:t>
      </w:r>
      <w:r w:rsidR="00467765">
        <w:rPr>
          <w:rFonts w:ascii="Times New Roman" w:hAnsi="Times New Roman" w:cs="Times New Roman"/>
          <w:sz w:val="24"/>
          <w:szCs w:val="24"/>
        </w:rPr>
        <w:t xml:space="preserve"> </w:t>
      </w:r>
      <w:r w:rsidR="00B05E5D">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{"citationItems":[{"id":"ITEM-1","itemData":{"DOI":"10.1007/s12355-019-00704-1","ISSN":"09740740","abstract":"Stevia, a natural sweetener, comprises of 200 species of herbs and shrubs from the family Asteraceae (Composite). The most common species of this genus and family with sweetening potential are Stevia dianthoidea, S. phlebophylla, S. anisostemma, S. bertholdii, S. crenata, S. enigmatica, S. eupatoria, S. lemmonii, S. micrantha, S. plummerae, S. rebaudiana, S. salicifolia, S. serrata and S. viscida but among these only S. rebaudiana exhibits the highest level of sweetness. It is cultivated in China, Taiwan, Thailand, Korea, Brazil, Malaysia, Canada, Hawaii and California. Rajasthan, Maharashtra, Kerala and Haryana are the main Stevia growing states in India. Stevia contains ent-kaurene, a diterpene glycoside commonly known as stevioside which is 150–300 times than more sweeter sugar. In addition to its interesting sweetening property, Stevia plant shows many pharmacological properties. Its leaves also contains good amount of protein, amino acid, lipids, vitamins and minerals. Phytochemical screening showed that tannins are also present in higher concentrations followed by alkaloids, glycosides, saponins, sterols, and triterpenes, anthraquinones, and other reducing compounds. Stevia glycosides possess many pharmaceutical properties viz; anti-hyperglycemic, antihypertensive, antioxidant, antimicrobial activity, anticancer effect, anti-inflammatory and immune-modulatory effect etc. Stevia has potential qualities of a sweetener and also constituting a source of many substances with a nutritional effect on the human beings. Among different chemical constituents, stevioside has a potential mode of actions in controlling type 2 diabetes. Stevia-enriched food products bring several benefits to human society. Commercial marketing of products stevia in different form such as leaf powder, liquid and fresh leaves has become a potential adventure for many biotechnological companies because of its large demand.","author":[{"dropping-particle":"","family":"Singh","given":"D. P.","non-dropping-particle":"","parse-names":false,"suffix":""},{"dropping-particle":"","family":"Kumari","given":"Meenakshi","non-dropping-particle":"","parse-names":false,"suffix":""},{"dropping-particle":"","family":"Prakash","given":"H. G.","non-dropping-particle":"","parse-names":false,"suffix":""},{"dropping-particle":"","family":"Rao","given":"G. P.","non-dropping-particle":"","parse-names":false,"suffix":""},{"dropping-particle":"","family":"Solomon","given":"S.","non-dropping-particle":"","parse-names":false,"suffix":""}],"container-title":"Sugar Tech","id":"ITEM-1","issue":"2","issued":{"date-parts":[["2019","4","9"]]},"page":"227-234","publisher":"Springer","title":"Phytochemical and Pharmacological Importance of Stevia: A Calorie-Free Natural Sweetener","type":"article","volume":"21"},"uris":["http://www.mendeley.com/documents/?uuid=57c85d56-9782-303b-aabd-3f1be965a929"]}],"mendeley":{"formattedCitation":"(Singh et al., 2019)","plainTextFormattedCitation":"(Singh et al., 2019)","previouslyFormattedCitation":"(Singh et al., 2019)"},"properties":{"noteIndex":0},"schema":"https://github.com/citation-style-language/schema/raw/master/csl-citation.json"}</w:instrText>
      </w:r>
      <w:r w:rsidR="00B05E5D">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(Singh et al., 2019)</w:t>
      </w:r>
      <w:r w:rsidR="00B05E5D">
        <w:rPr>
          <w:rFonts w:ascii="Times New Roman" w:hAnsi="Times New Roman" w:cs="Times New Roman"/>
          <w:sz w:val="24"/>
          <w:szCs w:val="24"/>
        </w:rPr>
        <w:fldChar w:fldCharType="end"/>
      </w:r>
      <w:r w:rsidR="00893146">
        <w:rPr>
          <w:rFonts w:ascii="Times New Roman" w:hAnsi="Times New Roman" w:cs="Times New Roman"/>
          <w:sz w:val="24"/>
          <w:szCs w:val="24"/>
        </w:rPr>
        <w:t>, and provides distinct advantages in the future of biotechnological integration in a range of global markets</w:t>
      </w:r>
      <w:r w:rsidR="00B05E5D">
        <w:rPr>
          <w:rFonts w:ascii="Times New Roman" w:hAnsi="Times New Roman" w:cs="Times New Roman"/>
          <w:sz w:val="24"/>
          <w:szCs w:val="24"/>
        </w:rPr>
        <w:t>.</w:t>
      </w:r>
      <w:r w:rsidR="00D44A55">
        <w:rPr>
          <w:rFonts w:ascii="Times New Roman" w:hAnsi="Times New Roman" w:cs="Times New Roman"/>
          <w:sz w:val="24"/>
          <w:szCs w:val="24"/>
        </w:rPr>
        <w:t xml:space="preserve"> </w:t>
      </w:r>
      <w:r w:rsidR="00A53C82">
        <w:rPr>
          <w:rFonts w:ascii="Times New Roman" w:hAnsi="Times New Roman" w:cs="Times New Roman"/>
          <w:sz w:val="24"/>
          <w:szCs w:val="24"/>
        </w:rPr>
        <w:t>Addressing t</w:t>
      </w:r>
      <w:r w:rsidR="007C43A3">
        <w:rPr>
          <w:rFonts w:ascii="Times New Roman" w:hAnsi="Times New Roman" w:cs="Times New Roman"/>
          <w:sz w:val="24"/>
          <w:szCs w:val="24"/>
        </w:rPr>
        <w:t xml:space="preserve">he uncertainty associated with plant-based production </w:t>
      </w:r>
      <w:r w:rsidR="00A53C82">
        <w:rPr>
          <w:rFonts w:ascii="Times New Roman" w:hAnsi="Times New Roman" w:cs="Times New Roman"/>
          <w:sz w:val="24"/>
          <w:szCs w:val="24"/>
        </w:rPr>
        <w:t xml:space="preserve">is one promising strategy to approach supply stabilization and </w:t>
      </w:r>
      <w:r w:rsidR="007E2C93">
        <w:rPr>
          <w:rFonts w:ascii="Times New Roman" w:hAnsi="Times New Roman" w:cs="Times New Roman"/>
          <w:sz w:val="24"/>
          <w:szCs w:val="24"/>
        </w:rPr>
        <w:t xml:space="preserve">to </w:t>
      </w:r>
      <w:r w:rsidR="00A53C82">
        <w:rPr>
          <w:rFonts w:ascii="Times New Roman" w:hAnsi="Times New Roman" w:cs="Times New Roman"/>
          <w:sz w:val="24"/>
          <w:szCs w:val="24"/>
        </w:rPr>
        <w:t>develop compelling plant-based manufacturing scheme</w:t>
      </w:r>
      <w:r w:rsidR="007E2C93">
        <w:rPr>
          <w:rFonts w:ascii="Times New Roman" w:hAnsi="Times New Roman" w:cs="Times New Roman"/>
          <w:sz w:val="24"/>
          <w:szCs w:val="24"/>
        </w:rPr>
        <w:t xml:space="preserve">s. </w:t>
      </w:r>
      <w:r w:rsidR="00A53C82">
        <w:rPr>
          <w:rFonts w:ascii="Times New Roman" w:hAnsi="Times New Roman" w:cs="Times New Roman"/>
          <w:sz w:val="24"/>
          <w:szCs w:val="24"/>
        </w:rPr>
        <w:t xml:space="preserve"> </w:t>
      </w:r>
    </w:p>
    <w:p w14:paraId="3C859AEE" w14:textId="77777777" w:rsidR="005A0B7D" w:rsidRDefault="005A0B7D" w:rsidP="00F00898">
      <w:pPr>
        <w:spacing w:line="480" w:lineRule="auto"/>
        <w:jc w:val="both"/>
        <w:rPr>
          <w:rFonts w:ascii="Times New Roman" w:hAnsi="Times New Roman" w:cs="Times New Roman"/>
          <w:sz w:val="24"/>
          <w:szCs w:val="24"/>
        </w:rPr>
      </w:pPr>
    </w:p>
    <w:p w14:paraId="3DA95488" w14:textId="36564C4F" w:rsidR="00ED20E8" w:rsidRPr="00182A40" w:rsidRDefault="00ED20E8" w:rsidP="00F00898">
      <w:pPr>
        <w:spacing w:line="480" w:lineRule="auto"/>
        <w:jc w:val="both"/>
        <w:rPr>
          <w:rFonts w:ascii="Times New Roman" w:hAnsi="Times New Roman" w:cs="Times New Roman"/>
          <w:i/>
          <w:iCs/>
          <w:sz w:val="24"/>
          <w:szCs w:val="24"/>
        </w:rPr>
      </w:pPr>
      <w:r w:rsidRPr="00182A40">
        <w:rPr>
          <w:rFonts w:ascii="Times New Roman" w:hAnsi="Times New Roman" w:cs="Times New Roman"/>
          <w:i/>
          <w:iCs/>
          <w:sz w:val="24"/>
          <w:szCs w:val="24"/>
        </w:rPr>
        <w:t xml:space="preserve">4.1 Positioning plant molecular </w:t>
      </w:r>
      <w:r w:rsidR="00B5098A">
        <w:rPr>
          <w:rFonts w:ascii="Times New Roman" w:hAnsi="Times New Roman" w:cs="Times New Roman"/>
          <w:i/>
          <w:iCs/>
          <w:sz w:val="24"/>
          <w:szCs w:val="24"/>
        </w:rPr>
        <w:t>f</w:t>
      </w:r>
      <w:r w:rsidRPr="00182A40">
        <w:rPr>
          <w:rFonts w:ascii="Times New Roman" w:hAnsi="Times New Roman" w:cs="Times New Roman"/>
          <w:i/>
          <w:iCs/>
          <w:sz w:val="24"/>
          <w:szCs w:val="24"/>
        </w:rPr>
        <w:t xml:space="preserve">arming </w:t>
      </w:r>
      <w:r w:rsidR="00AB4782" w:rsidRPr="00182A40">
        <w:rPr>
          <w:rFonts w:ascii="Times New Roman" w:hAnsi="Times New Roman" w:cs="Times New Roman"/>
          <w:i/>
          <w:iCs/>
          <w:sz w:val="24"/>
          <w:szCs w:val="24"/>
        </w:rPr>
        <w:t>with outdoor field cultivation</w:t>
      </w:r>
    </w:p>
    <w:p w14:paraId="51EBA11E" w14:textId="7AE90CB9" w:rsidR="00D90B5C" w:rsidRDefault="003F5705"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recent paper on scaling-up plant molecular </w:t>
      </w:r>
      <w:r w:rsidR="00B5098A">
        <w:rPr>
          <w:rFonts w:ascii="Times New Roman" w:hAnsi="Times New Roman" w:cs="Times New Roman"/>
          <w:sz w:val="24"/>
          <w:szCs w:val="24"/>
        </w:rPr>
        <w:t>f</w:t>
      </w:r>
      <w:r>
        <w:rPr>
          <w:rFonts w:ascii="Times New Roman" w:hAnsi="Times New Roman" w:cs="Times New Roman"/>
          <w:sz w:val="24"/>
          <w:szCs w:val="24"/>
        </w:rPr>
        <w:t xml:space="preserve">arming does an excellent job in summarizing blockers and opportunities in the </w:t>
      </w:r>
      <w:r w:rsidR="00EC7096">
        <w:rPr>
          <w:rFonts w:ascii="Times New Roman" w:hAnsi="Times New Roman" w:cs="Times New Roman"/>
          <w:sz w:val="24"/>
          <w:szCs w:val="24"/>
        </w:rPr>
        <w:t>industry</w:t>
      </w:r>
      <w:r w:rsidR="004C7916">
        <w:rPr>
          <w:rFonts w:ascii="Times New Roman" w:hAnsi="Times New Roman" w:cs="Times New Roman"/>
          <w:sz w:val="24"/>
          <w:szCs w:val="24"/>
        </w:rPr>
        <w:t xml:space="preserve"> from the perspective of key stakeholders working on the Pharma-Factory project (</w:t>
      </w:r>
      <w:r w:rsidR="004C7916" w:rsidRPr="004C7916">
        <w:rPr>
          <w:rFonts w:ascii="Times New Roman" w:hAnsi="Times New Roman" w:cs="Times New Roman"/>
          <w:sz w:val="24"/>
          <w:szCs w:val="24"/>
        </w:rPr>
        <w:t>https://pharmafactory.org</w:t>
      </w:r>
      <w:r w:rsidR="004C7916">
        <w:rPr>
          <w:rFonts w:ascii="Times New Roman" w:hAnsi="Times New Roman" w:cs="Times New Roman"/>
          <w:sz w:val="24"/>
          <w:szCs w:val="24"/>
        </w:rPr>
        <w:t xml:space="preserve">) and the </w:t>
      </w:r>
      <w:proofErr w:type="spellStart"/>
      <w:r w:rsidR="004C7916">
        <w:rPr>
          <w:rFonts w:ascii="Times New Roman" w:hAnsi="Times New Roman" w:cs="Times New Roman"/>
          <w:sz w:val="24"/>
          <w:szCs w:val="24"/>
        </w:rPr>
        <w:t>Newcotiana</w:t>
      </w:r>
      <w:proofErr w:type="spellEnd"/>
      <w:r w:rsidR="004C7916">
        <w:rPr>
          <w:rFonts w:ascii="Times New Roman" w:hAnsi="Times New Roman" w:cs="Times New Roman"/>
          <w:sz w:val="24"/>
          <w:szCs w:val="24"/>
        </w:rPr>
        <w:t xml:space="preserve"> project (</w:t>
      </w:r>
      <w:r w:rsidR="004C7916" w:rsidRPr="004C7916">
        <w:rPr>
          <w:rFonts w:ascii="Times New Roman" w:hAnsi="Times New Roman" w:cs="Times New Roman"/>
          <w:sz w:val="24"/>
          <w:szCs w:val="24"/>
        </w:rPr>
        <w:t>https://newcotiana.org)</w:t>
      </w:r>
      <w:r w:rsidR="00467765">
        <w:rPr>
          <w:rFonts w:ascii="Times New Roman" w:hAnsi="Times New Roman" w:cs="Times New Roman"/>
          <w:sz w:val="24"/>
          <w:szCs w:val="24"/>
        </w:rPr>
        <w:t xml:space="preserve"> </w:t>
      </w:r>
      <w:r w:rsidR="00EC709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{"citationItems":[{"id":"ITEM-1","itemData":{"DOI":"10.1371/journal.pone.0229952","ISSN":"1932-6203","abstract":"Plant molecular farming (PMF) is a convenient and cost-effective way to produce high-value recombinant proteins that can be used in the production of a range of health products, from pharmaceutical therapeutics to cosmetic products. New plant breeding techniques (NPBTs) provide a means to enhance PMF systems more quickly and with greater precision than ever before. However, the feasibility, regulatory standing and social acceptability of both PMF and NPBTs are in question. This paper explores the perceptions of key stakeholders on two European Union (EU) Horizon 2020 programmes-Pharma-Factory and Newcotiana-towards the barriers and facilitators of PMF and NPBTs in Europe. One-on-one qualitative interviews were undertaken with N = 20 individuals involved in one or both of the two projects at 16 institutions in seven countries (Belgium, France, Germany, Italy, Israel, Spain and the UK). The findings indicate that the current EU regulatory environment and the perception of the public towards biotechnology are seen as the main barriers to scaling-up PMF and NPBTs. Competition from existing systems and the lack of plant-specific regulations likewise present challenges for PMF developing beyond its current niche. However, respondents felt that the communication of the benefits and purpose of NPBT PMF could provide a platform for improving the social acceptance of genetic modification. The importance of the media in this process was highlighted. This article also uses the multi-level perspective to explore the ways in which NPBTs are being legitimated by interested parties and the systemic factors that have shaped and are continuing to shape the development of PMF in Europe.","author":[{"dropping-particle":"","family":"Menary","given":"Jonathan","non-dropping-particle":"","parse-names":false,"suffix":""},{"dropping-particle":"","family":"Hobbs","given":"Matthew","non-dropping-particle":"","parse-names":false,"suffix":""},{"dropping-particle":"","family":"Mesquita de Albuquerque","given":"Sara","non-dropping-particle":"","parse-names":false,"suffix":""},{"dropping-particle":"","family":"Pacho","given":"Agata","non-dropping-particle":"","parse-names":false,"suffix":""},{"dropping-particle":"","family":"Drake","given":"Pascal M. W.","non-dropping-particle":"","parse-names":false,"suffix":""},{"dropping-particle":"","family":"Prendiville","given":"Alison","non-dropping-particle":"","parse-names":false,"suffix":""},{"dropping-particle":"","family":"Ma","given":"Julian K-C.","non-dropping-particle":"","parse-names":false,"suffix":""},{"dropping-particle":"","family":"Fuller","given":"Sebastian S.","non-dropping-particle":"","parse-names":false,"suffix":""}],"container-title":"PLOS ONE","editor":[{"dropping-particle":"","family":"Mor","given":"Tsafrir S.","non-dropping-particle":"","parse-names":false,"suffix":""}],"id":"ITEM-1","issue":"3","issued":{"date-parts":[["2020","3","20"]]},"page":"e0229952","publisher":"Public Library of Science","title":"Shotguns vs Lasers: Identifying barriers and facilitators to scaling-up plant molecular farming for high-value health products","type":"article-journal","volume":"15"},"uris":["http://www.mendeley.com/documents/?uuid=0ae7150d-839b-3292-a4eb-7ee44156d056"]}],"mendeley":{"formattedCitation":"(Menary et al., 2020)","plainTextFormattedCitation":"(Menary et al., 2020)","previouslyFormattedCitation":"(Menary et al., 2020)"},"properties":{"noteIndex":0},"schema":"https://github.com/citation-style-language/schema/raw/master/csl-citation.json"}</w:instrText>
      </w:r>
      <w:r w:rsidR="00EC7096">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(Menary et al., 2020)</w:t>
      </w:r>
      <w:r w:rsidR="00EC709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054A4">
        <w:rPr>
          <w:rFonts w:ascii="Times New Roman" w:hAnsi="Times New Roman" w:cs="Times New Roman"/>
          <w:sz w:val="24"/>
          <w:szCs w:val="24"/>
        </w:rPr>
        <w:t xml:space="preserve">Plant molecular </w:t>
      </w:r>
      <w:r w:rsidR="00B5098A">
        <w:rPr>
          <w:rFonts w:ascii="Times New Roman" w:hAnsi="Times New Roman" w:cs="Times New Roman"/>
          <w:sz w:val="24"/>
          <w:szCs w:val="24"/>
        </w:rPr>
        <w:t>f</w:t>
      </w:r>
      <w:r w:rsidR="003054A4">
        <w:rPr>
          <w:rFonts w:ascii="Times New Roman" w:hAnsi="Times New Roman" w:cs="Times New Roman"/>
          <w:sz w:val="24"/>
          <w:szCs w:val="24"/>
        </w:rPr>
        <w:t>arming has faced a slower technological maturation compared to traditional biotechnology manufacturing platforms. This has been attributed to a variety of factors –</w:t>
      </w:r>
      <w:r w:rsidR="00EC7096">
        <w:rPr>
          <w:rFonts w:ascii="Times New Roman" w:hAnsi="Times New Roman" w:cs="Times New Roman"/>
          <w:sz w:val="24"/>
          <w:szCs w:val="24"/>
        </w:rPr>
        <w:t xml:space="preserve"> </w:t>
      </w:r>
      <w:r w:rsidR="003054A4">
        <w:rPr>
          <w:rFonts w:ascii="Times New Roman" w:hAnsi="Times New Roman" w:cs="Times New Roman"/>
          <w:sz w:val="24"/>
          <w:szCs w:val="24"/>
        </w:rPr>
        <w:t xml:space="preserve">from being constrained to existing regulatory frameworks that </w:t>
      </w:r>
      <w:r w:rsidR="00DA3AB7">
        <w:rPr>
          <w:rFonts w:ascii="Times New Roman" w:hAnsi="Times New Roman" w:cs="Times New Roman"/>
          <w:sz w:val="24"/>
          <w:szCs w:val="24"/>
        </w:rPr>
        <w:t>are not amenable to assessing plant-based product manufacturing</w:t>
      </w:r>
      <w:r w:rsidR="00467765">
        <w:rPr>
          <w:rFonts w:ascii="Times New Roman" w:hAnsi="Times New Roman" w:cs="Times New Roman"/>
          <w:sz w:val="24"/>
          <w:szCs w:val="24"/>
        </w:rPr>
        <w:t xml:space="preserve"> </w:t>
      </w:r>
      <w:r w:rsidR="001F3990">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{"citationItems":[{"id":"ITEM-1","itemData":{"DOI":"10.1007/s11248-007-9074-2","ISSN":"09628819","abstract":"Significant advances over the last few years have seen plant-made pharmaceuticals (PMPs) move from the exploratory research phase towards clinical trials, with the first commercial products for human use expected to reach the market by 2009. Europe has yet to witness the commercial application of PMP technology, although at least one product has begun phase II clinical trials with others following close behind. These emerging products are set to challenge the complex and overlapping regulations that currently govern GM plants and 'conventional' pharmaceutical production. The areas of responsibility are being mapped out between the different EU regulatory agencies, with specific guidelines currently being drawn up for the regulation of PMPs. This article discusses issues surrounding the development of robust risk-assessment and risk-management practices based on health and environmental impact, while working with EU regulatory authorities to ensure appropriate regulatory oversight. © 2007 Springer Science+Business Media B.V.","author":[{"dropping-particle":"","family":"Sparrow","given":"Penelope Amelia Claire","non-dropping-particle":"","parse-names":false,"suffix":""},{"dropping-particle":"","family":"Irwin","given":"Judith A.","non-dropping-particle":"","parse-names":false,"suffix":""},{"dropping-particle":"","family":"Dale","given":"Phil J.","non-dropping-particle":"","parse-names":false,"suffix":""},{"dropping-particle":"","family":"Twyman","given":"Richard M.","non-dropping-particle":"","parse-names":false,"suffix":""},{"dropping-particle":"","family":"Ma","given":"Julian K.C.","non-dropping-particle":"","parse-names":false,"suffix":""}],"container-title":"Transgenic Research","id":"ITEM-1","issue":"2","issued":{"date-parts":[["2007","4","7"]]},"page":"147-161","publisher":"Springer","title":"Pharma-Planta: Road testing the developing regulatory guidelines for plant-made pharmaceuticals","type":"article","volume":"16"},"uris":["http://www.mendeley.com/documents/?uuid=2df3b0f4-88e0-3f05-bff7-c074eb647900"]},{"id":"ITEM-2","itemData":{"DOI":"10.2174/1381612811319310007","ISSN":"13816128","author":[{"dropping-particle":"","family":"Sparrow","given":"Penelope","non-dropping-particle":"","parse-names":false,"suffix":""},{"dropping-particle":"","family":"Broer","given":"Inge","non-dropping-particle":"","parse-names":false,"suffix":""},{"dropping-particle":"","family":"Hood","given":"Elizabeth","non-dropping-particle":"","parse-names":false,"suffix":""},{"dropping-particle":"","family":"Eversole","given":"Kellye","non-dropping-particle":"","parse-names":false,"suffix":""},{"dropping-particle":"","family":"Hartung","given":"Frank","non-dropping-particle":"","parse-names":false,"suffix":""},{"dropping-particle":"","family":"Schiemann","given":"Joachim","non-dropping-particle":"","parse-names":false,"suffix":""}],"container-title":"Current Pharmaceutical Design","id":"ITEM-2","issue":"31","issued":{"date-parts":[["2013","8","1"]]},"page":"5513-5530","title":"Risk Assessment and Regulation of Molecular Farming - A Comparison between Europe and US","type":"article-journal","volume":"19"},"uris":["http://www.mendeley.com/documents/?uuid=21884006-200b-35ef-a972-542028ed663f"]}],"mendeley":{"formattedCitation":"(Sparrow et al., 2013, 2007)","plainTextFormattedCitation":"(Sparrow et al., 2013, 2007)","previouslyFormattedCitation":"(Sparrow et al., 2013, 2007)"},"properties":{"noteIndex":0},"schema":"https://github.com/citation-style-language/schema/raw/master/csl-citation.json"}</w:instrText>
      </w:r>
      <w:r w:rsidR="001F3990">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(Sparrow et al., 2013, 2007)</w:t>
      </w:r>
      <w:r w:rsidR="001F3990">
        <w:rPr>
          <w:rFonts w:ascii="Times New Roman" w:hAnsi="Times New Roman" w:cs="Times New Roman"/>
          <w:sz w:val="24"/>
          <w:szCs w:val="24"/>
        </w:rPr>
        <w:fldChar w:fldCharType="end"/>
      </w:r>
      <w:r w:rsidR="00DA3AB7">
        <w:rPr>
          <w:rFonts w:ascii="Times New Roman" w:hAnsi="Times New Roman" w:cs="Times New Roman"/>
          <w:sz w:val="24"/>
          <w:szCs w:val="24"/>
        </w:rPr>
        <w:t xml:space="preserve">, to a </w:t>
      </w:r>
      <w:r w:rsidR="003054A4">
        <w:rPr>
          <w:rFonts w:ascii="Times New Roman" w:hAnsi="Times New Roman" w:cs="Times New Roman"/>
          <w:sz w:val="24"/>
          <w:szCs w:val="24"/>
        </w:rPr>
        <w:t>lack of landscape-level pressures</w:t>
      </w:r>
      <w:r w:rsidR="00DA3AB7">
        <w:rPr>
          <w:rFonts w:ascii="Times New Roman" w:hAnsi="Times New Roman" w:cs="Times New Roman"/>
          <w:sz w:val="24"/>
          <w:szCs w:val="24"/>
        </w:rPr>
        <w:t xml:space="preserve"> like</w:t>
      </w:r>
      <w:r w:rsidR="003054A4">
        <w:rPr>
          <w:rFonts w:ascii="Times New Roman" w:hAnsi="Times New Roman" w:cs="Times New Roman"/>
          <w:sz w:val="24"/>
          <w:szCs w:val="24"/>
        </w:rPr>
        <w:t xml:space="preserve"> policy driving sustainable manufacturing</w:t>
      </w:r>
      <w:r w:rsidR="00467765">
        <w:rPr>
          <w:rFonts w:ascii="Times New Roman" w:hAnsi="Times New Roman" w:cs="Times New Roman"/>
          <w:sz w:val="24"/>
          <w:szCs w:val="24"/>
        </w:rPr>
        <w:t xml:space="preserve"> </w:t>
      </w:r>
      <w:r w:rsidR="00EC709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10.1111/j.1467-7652.2010.00521.x","ISSN":"14677644","author":[{"dropping-particle":"","family":"Faye","given":"Loïc","non-dropping-particle":"","parse-names":false,"suffix":""},{"dropping-particle":"","family":"Gomord","given":"Veronique","non-dropping-particle":"","parse-names":false,"suffix":""}],"container-title":"Plant Biotechnology Journal","id":"ITEM-1","issue":"5","issued":{"date-parts":[["2010","6","1"]]},"page":"525-528","publisher":"John Wiley &amp; Sons, Ltd","title":"Success stories in molecular farming-a brief overview","type":"article-journal","volume":"8"},"uris":["http://www.mendeley.com/documents/?uuid=7b849933-5838-313e-a004-20fe8b957b6f"]}],"mendeley":{"formattedCitation":"(Faye and Gomord, 2010)","plainTextFormattedCitation":"(Faye and Gomord, 2010)","previouslyFormattedCitation":"(Faye and Gomord, 2010)"},"properties":{"noteIndex":0},"schema":"https://github.com/citation-style-language/schema/raw/master/csl-citation.json"}</w:instrText>
      </w:r>
      <w:r w:rsidR="00EC7096">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(Faye and Gomord, 2010)</w:t>
      </w:r>
      <w:r w:rsidR="00EC7096">
        <w:rPr>
          <w:rFonts w:ascii="Times New Roman" w:hAnsi="Times New Roman" w:cs="Times New Roman"/>
          <w:sz w:val="24"/>
          <w:szCs w:val="24"/>
        </w:rPr>
        <w:fldChar w:fldCharType="end"/>
      </w:r>
      <w:r w:rsidR="003054A4">
        <w:rPr>
          <w:rFonts w:ascii="Times New Roman" w:hAnsi="Times New Roman" w:cs="Times New Roman"/>
          <w:sz w:val="24"/>
          <w:szCs w:val="24"/>
        </w:rPr>
        <w:t>,</w:t>
      </w:r>
      <w:r w:rsidR="00DA3AB7">
        <w:rPr>
          <w:rFonts w:ascii="Times New Roman" w:hAnsi="Times New Roman" w:cs="Times New Roman"/>
          <w:sz w:val="24"/>
          <w:szCs w:val="24"/>
        </w:rPr>
        <w:t xml:space="preserve"> to being locked out of the market from past ventures </w:t>
      </w:r>
      <w:r>
        <w:rPr>
          <w:rFonts w:ascii="Times New Roman" w:hAnsi="Times New Roman" w:cs="Times New Roman"/>
          <w:sz w:val="24"/>
          <w:szCs w:val="24"/>
        </w:rPr>
        <w:t>whose failures are independent of the technology potential/value</w:t>
      </w:r>
      <w:r w:rsidR="00467765">
        <w:rPr>
          <w:rFonts w:ascii="Times New Roman" w:hAnsi="Times New Roman" w:cs="Times New Roman"/>
          <w:sz w:val="24"/>
          <w:szCs w:val="24"/>
        </w:rPr>
        <w:t xml:space="preserve"> </w:t>
      </w:r>
      <w:r w:rsidR="003249D9">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{"citationItems":[{"id":"ITEM-1","itemData":{"DOI":"10.1002/9781118801512","ISBN":"9781118801512","abstract":"A single volume collection that surveys the exciting field of plant-made pharmaceuticals and industrial proteins. This comprehensive book communicates the recent advances and exciting potential for the expanding area of plant biotechnology and is divided into six sections. The first three sections look at the current status of the field, and advances in plant platforms and strategies for improving yields, downstream processing, and controlling post-translational modifications of plant-made recombinant proteins. Section four reviews high-value industrial and pharmacological proteins that are successfully being produced in established and emerging plant platforms. The fifth section looks at regulatory challenges facing the expansion of the field. The final section turns its focus toward small molecule therapeutics, drug screening, plant specialized metabolites, and plants as model organisms to study human disease processes. Molecular Pharming: Applications, Challenges and Emerging Areas offers in-depth coverage of molecular biology of plant expression systems and manipulation of glycosylation processes in plants; plant platforms, subcellular targeting, recovery, and downstream processing; plant-derived protein pharmaceuticals and case studies; regulatory issues; and emerging areas. It is a valuable resource for researchers that are in the field of plant molecular pharming, as well as for those conducting basic research in gene expression, protein quality control, and other subjects relevant to molecular and cellular biology. Broad ranging coverage of a key area of plant biotechnology. Describes efforts to produce pharmaceutical and industrial proteins in plants. Provides reviews of recent advances and technology breakthroughs. Assesses realities of regulatory and cost hurdles. Forward looking with coverage of small molecule technologies and the use of plants as models of human disease processes. Providing wide-ranging and unique coverage, Molecular Pharming: Applications, Challenges and Emerging Areas will be of great interest to the plant science, plant biotechnology, protein science, and pharmacological communities.","author":[{"dropping-particle":"","family":"Kermode","given":"Allison R.","non-dropping-particle":"","parse-names":false,"suffix":""},{"dropping-particle":"","family":"Jiang","given":"Liwen","non-dropping-particle":"","parse-names":false,"suffix":""}],"container-title":"Molecular Pharming: Applications, Challenges and Emerging Areas","id":"ITEM-1","issued":{"date-parts":[["2018","9","12"]]},"number-of-pages":"1-479","publisher":"Wiley Blackwell","title":"Molecular pharming: Applications, challenges and emerging areas","type":"book"},"uris":["http://www.mendeley.com/documents/?uuid=dadb6ca7-d9d8-3c53-b14e-2c37fdcc3938"]}],"mendeley":{"formattedCitation":"(Kermode and Jiang, 2018)","plainTextFormattedCitation":"(Kermode and Jiang, 2018)","previouslyFormattedCitation":"(Kermode and Jiang, 2018)"},"properties":{"noteIndex":0},"schema":"https://github.com/citation-style-language/schema/raw/master/csl-citation.json"}</w:instrText>
      </w:r>
      <w:r w:rsidR="003249D9">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(Kermode and Jiang, 2018)</w:t>
      </w:r>
      <w:r w:rsidR="003249D9">
        <w:rPr>
          <w:rFonts w:ascii="Times New Roman" w:hAnsi="Times New Roman" w:cs="Times New Roman"/>
          <w:sz w:val="24"/>
          <w:szCs w:val="24"/>
        </w:rPr>
        <w:fldChar w:fldCharType="end"/>
      </w:r>
      <w:r w:rsidR="00DA3AB7">
        <w:rPr>
          <w:rFonts w:ascii="Times New Roman" w:hAnsi="Times New Roman" w:cs="Times New Roman"/>
          <w:sz w:val="24"/>
          <w:szCs w:val="24"/>
        </w:rPr>
        <w:t xml:space="preserve">, to a lack of </w:t>
      </w:r>
      <w:r w:rsidR="00BF67D1">
        <w:rPr>
          <w:rFonts w:ascii="Times New Roman" w:hAnsi="Times New Roman" w:cs="Times New Roman"/>
          <w:sz w:val="24"/>
          <w:szCs w:val="24"/>
        </w:rPr>
        <w:t xml:space="preserve">public acceptance </w:t>
      </w:r>
      <w:r w:rsidR="00DA3AB7">
        <w:rPr>
          <w:rFonts w:ascii="Times New Roman" w:hAnsi="Times New Roman" w:cs="Times New Roman"/>
          <w:sz w:val="24"/>
          <w:szCs w:val="24"/>
        </w:rPr>
        <w:t>of genetically modified crops</w:t>
      </w:r>
      <w:r w:rsidR="00467765">
        <w:rPr>
          <w:rFonts w:ascii="Times New Roman" w:hAnsi="Times New Roman" w:cs="Times New Roman"/>
          <w:sz w:val="24"/>
          <w:szCs w:val="24"/>
        </w:rPr>
        <w:t xml:space="preserve"> </w:t>
      </w:r>
      <w:r w:rsidR="003249D9">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{"citationItems":[{"id":"ITEM-1","itemData":{"DOI":"10.1016/j.copbio.2018.08.012","ISSN":"18790429","PMID":"30248640","abstract":"Novel biotechnological approaches such as Metabolic Engineering (ME) and New Plant Breeding Techniques (NPBTs) are currently being developed to produce biological compounds for food and non-food products. NPBTs span a range of methods for in vivo production in crops, some of which are classified as GMOs while others aren't. Deploying such techniques will not only provide new opportunities for industry, but also challenges with respect to the regulatory environment. Similarly, the process of communicating these new techniques and their products to stakeholders and consumers will not be without its own challenges. We argue that scientists should engage more with non-scientists, either directly or through collaborators. These engagements should not only be about the science, we suggest, but also explicitly deal with real world ramifications, such as economic, environmental and social issues.","author":[{"dropping-particle":"","family":"Pei","given":"Lei","non-dropping-particle":"","parse-names":false,"suffix":""},{"dropping-particle":"","family":"Schmidt","given":"Markus","non-dropping-particle":"","parse-names":false,"suffix":""}],"container-title":"Current Opinion in Biotechnology","id":"ITEM-1","issued":{"date-parts":[["2019","4","1"]]},"page":"43-47","publisher":"Elsevier Ltd","title":"Novel biotechnological approaches to produce biological compounds: challenges and opportunities for science communication","type":"article","volume":"56"},"uris":["http://www.mendeley.com/documents/?uuid=fc9de558-b947-3185-95f5-50fb6184639f"]}],"mendeley":{"formattedCitation":"(Pei and Schmidt, 2019)","plainTextFormattedCitation":"(Pei and Schmidt, 2019)","previouslyFormattedCitation":"(Pei and Schmidt, 2019)"},"properties":{"noteIndex":0},"schema":"https://github.com/citation-style-language/schema/raw/master/csl-citation.json"}</w:instrText>
      </w:r>
      <w:r w:rsidR="003249D9">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(Pei and Schmidt, 2019)</w:t>
      </w:r>
      <w:r w:rsidR="003249D9">
        <w:rPr>
          <w:rFonts w:ascii="Times New Roman" w:hAnsi="Times New Roman" w:cs="Times New Roman"/>
          <w:sz w:val="24"/>
          <w:szCs w:val="24"/>
        </w:rPr>
        <w:fldChar w:fldCharType="end"/>
      </w:r>
      <w:r w:rsidR="00DA3AB7">
        <w:rPr>
          <w:rFonts w:ascii="Times New Roman" w:hAnsi="Times New Roman" w:cs="Times New Roman"/>
          <w:sz w:val="24"/>
          <w:szCs w:val="24"/>
        </w:rPr>
        <w:t xml:space="preserve">. Plant molecular </w:t>
      </w:r>
      <w:r w:rsidR="00B5098A">
        <w:rPr>
          <w:rFonts w:ascii="Times New Roman" w:hAnsi="Times New Roman" w:cs="Times New Roman"/>
          <w:sz w:val="24"/>
          <w:szCs w:val="24"/>
        </w:rPr>
        <w:t>f</w:t>
      </w:r>
      <w:r w:rsidR="00DA3AB7">
        <w:rPr>
          <w:rFonts w:ascii="Times New Roman" w:hAnsi="Times New Roman" w:cs="Times New Roman"/>
          <w:sz w:val="24"/>
          <w:szCs w:val="24"/>
        </w:rPr>
        <w:t>arming has responded to these factors by focusing</w:t>
      </w:r>
      <w:r w:rsidR="00F66C78">
        <w:rPr>
          <w:rFonts w:ascii="Times New Roman" w:hAnsi="Times New Roman" w:cs="Times New Roman"/>
          <w:sz w:val="24"/>
          <w:szCs w:val="24"/>
        </w:rPr>
        <w:t xml:space="preserve"> on</w:t>
      </w:r>
      <w:r w:rsidR="00DA3AB7">
        <w:rPr>
          <w:rFonts w:ascii="Times New Roman" w:hAnsi="Times New Roman" w:cs="Times New Roman"/>
          <w:sz w:val="24"/>
          <w:szCs w:val="24"/>
        </w:rPr>
        <w:t xml:space="preserve"> </w:t>
      </w:r>
      <w:r w:rsidR="00F66C78">
        <w:rPr>
          <w:rFonts w:ascii="Times New Roman" w:hAnsi="Times New Roman" w:cs="Times New Roman"/>
          <w:sz w:val="24"/>
          <w:szCs w:val="24"/>
        </w:rPr>
        <w:t xml:space="preserve">reducing public concerns, seeking niche-innovation, and establishing </w:t>
      </w:r>
      <w:r w:rsidR="00BF67D1">
        <w:rPr>
          <w:rFonts w:ascii="Times New Roman" w:hAnsi="Times New Roman" w:cs="Times New Roman"/>
          <w:sz w:val="24"/>
          <w:szCs w:val="24"/>
        </w:rPr>
        <w:t xml:space="preserve">legitimacy </w:t>
      </w:r>
      <w:r w:rsidR="00F66C78">
        <w:rPr>
          <w:rFonts w:ascii="Times New Roman" w:hAnsi="Times New Roman" w:cs="Times New Roman"/>
          <w:sz w:val="24"/>
          <w:szCs w:val="24"/>
        </w:rPr>
        <w:t>through positive discourse. The industry is working to reduce</w:t>
      </w:r>
      <w:r w:rsidR="00DA3AB7">
        <w:rPr>
          <w:rFonts w:ascii="Times New Roman" w:hAnsi="Times New Roman" w:cs="Times New Roman"/>
          <w:sz w:val="24"/>
          <w:szCs w:val="24"/>
        </w:rPr>
        <w:t xml:space="preserve"> public concern of contamination </w:t>
      </w:r>
      <w:r>
        <w:rPr>
          <w:rFonts w:ascii="Times New Roman" w:hAnsi="Times New Roman" w:cs="Times New Roman"/>
          <w:sz w:val="24"/>
          <w:szCs w:val="24"/>
        </w:rPr>
        <w:t>using</w:t>
      </w:r>
      <w:r w:rsidR="00DA3AB7">
        <w:rPr>
          <w:rFonts w:ascii="Times New Roman" w:hAnsi="Times New Roman" w:cs="Times New Roman"/>
          <w:sz w:val="24"/>
          <w:szCs w:val="24"/>
        </w:rPr>
        <w:t xml:space="preserve"> non-food status crops (e.g.</w:t>
      </w:r>
      <w:r w:rsidR="006C4EFF">
        <w:rPr>
          <w:rFonts w:ascii="Times New Roman" w:hAnsi="Times New Roman" w:cs="Times New Roman"/>
          <w:sz w:val="24"/>
          <w:szCs w:val="24"/>
        </w:rPr>
        <w:t>,</w:t>
      </w:r>
      <w:r w:rsidR="00DA3AB7">
        <w:rPr>
          <w:rFonts w:ascii="Times New Roman" w:hAnsi="Times New Roman" w:cs="Times New Roman"/>
          <w:sz w:val="24"/>
          <w:szCs w:val="24"/>
        </w:rPr>
        <w:t xml:space="preserve"> </w:t>
      </w:r>
      <w:r w:rsidR="00DA3AB7" w:rsidRPr="00DA3AB7">
        <w:rPr>
          <w:rFonts w:ascii="Times New Roman" w:hAnsi="Times New Roman" w:cs="Times New Roman"/>
          <w:i/>
          <w:iCs/>
          <w:sz w:val="24"/>
          <w:szCs w:val="24"/>
        </w:rPr>
        <w:t xml:space="preserve">Nicotiana </w:t>
      </w:r>
      <w:proofErr w:type="spellStart"/>
      <w:r w:rsidR="00DA3AB7" w:rsidRPr="00DA3AB7">
        <w:rPr>
          <w:rFonts w:ascii="Times New Roman" w:hAnsi="Times New Roman" w:cs="Times New Roman"/>
          <w:i/>
          <w:iCs/>
          <w:sz w:val="24"/>
          <w:szCs w:val="24"/>
        </w:rPr>
        <w:t>benthamiana</w:t>
      </w:r>
      <w:proofErr w:type="spellEnd"/>
      <w:r w:rsidR="00DA3AB7">
        <w:rPr>
          <w:rFonts w:ascii="Times New Roman" w:hAnsi="Times New Roman" w:cs="Times New Roman"/>
          <w:sz w:val="24"/>
          <w:szCs w:val="24"/>
        </w:rPr>
        <w:t>)</w:t>
      </w:r>
      <w:r w:rsidR="00467765">
        <w:rPr>
          <w:rFonts w:ascii="Times New Roman" w:hAnsi="Times New Roman" w:cs="Times New Roman"/>
          <w:sz w:val="24"/>
          <w:szCs w:val="24"/>
        </w:rPr>
        <w:t xml:space="preserve"> </w:t>
      </w:r>
      <w:r w:rsidR="00EC709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{"citationItems":[{"id":"ITEM-1","itemData":{"DOI":"10.1016/j.biotechadv.2009.11.008","ISSN":"07349750","PMID":"19961918","abstract":"Molecular farming of pharmaceuticals in plants has the potential to provide almost unlimited amounts of recombinant proteins for use in disease diagnosis, prevention or treatment. Tobacco has been and will continue to be a major crop for molecular farming and offers several practical advantages over other crops. It produces significant leaf biomass, has high soluble protein content and is a non-food crop, minimizing the risk of food-chain contamination. This, combined with its flexibility and highly-efficient genetic transformation/regeneration, has made tobacco particularly well suited for plant-based production of biopharmaceutical products. The goal of this review is to provide an update on the use of tobacco for molecular farming of biopharmaceuticals as well the technologies developed to enhance protein production/purification/efficacy. We show that tobacco is a robust biological reactor with a multitude of applications and may hold the key to success in plant molecular farming. © 2009 Elsevier Inc. All rights reserved.","author":[{"dropping-particle":"","family":"Tremblay","given":"Reynald","non-dropping-particle":"","parse-names":false,"suffix":""},{"dropping-particle":"","family":"Wang","given":"David","non-dropping-particle":"","parse-names":false,"suffix":""},{"dropping-particle":"","family":"Jevnikar","given":"Anthony M.","non-dropping-particle":"","parse-names":false,"suffix":""},{"dropping-particle":"","family":"Ma","given":"Shengwu","non-dropping-particle":"","parse-names":false,"suffix":""}],"container-title":"Biotechnology Advances","id":"ITEM-1","issue":"2","issued":{"date-parts":[["2010","3","1"]]},"page":"214-221","publisher":"Elsevier","title":"Tobacco, a highly efficient green bioreactor for production of therapeutic proteins","type":"article","volume":"28"},"uris":["http://www.mendeley.com/documents/?uuid=edb5ea8d-1b5f-3966-abc5-5c870d0520fc"]},{"id":"ITEM-2","itemData":{"DOI":"10.1146/annurev-phyto-080417-050141","ISSN":"0066-4286","author":[{"dropping-particle":"","family":"Bally","given":"Julia","non-dropping-particle":"","parse-names":false,"suffix":""},{"dropping-particle":"","family":"Jung","given":"Hyungtaek","non-dropping-particle":"","parse-names":false,"suffix":""},{"dropping-particle":"","family":"Mortimer","given":"Cara","non-dropping-particle":"","parse-names":false,"suffix":""},{"dropping-particle":"","family":"Naim","given":"Fatima","non-dropping-particle":"","parse-names":false,"suffix":""},{"dropping-particle":"","family":"Philips","given":"Joshua G.","non-dropping-particle":"","parse-names":false,"suffix":""},{"dropping-particle":"","family":"Hellens","given":"Roger","non-dropping-particle":"","parse-names":false,"suffix":""},{"dropping-particle":"","family":"Bombarely","given":"Aureliano","non-dropping-particle":"","parse-names":false,"suffix":""},{"dropping-particle":"","family":"Goodin","given":"Michael M.","non-dropping-particle":"","parse-names":false,"suffix":""},{"dropping-particle":"","family":"Waterhouse","given":"Peter M.","non-dropping-particle":"","parse-names":false,"suffix":""}],"container-title":"Annual Review of Phytopathology","id":"ITEM-2","issue":"1","issued":{"date-parts":[["2018","8","25"]]},"page":"405-426","title":"The Rise and Rise of Nicotiana benthamiana : A Plant for All Reasons","type":"article-journal","volume":"56"},"uris":["http://www.mendeley.com/documents/?uuid=4b59ccf4-6e20-3fad-9ccf-fe57406d8005"]}],"mendeley":{"formattedCitation":"(Bally et al., 2018; Tremblay et al., 2010)","plainTextFormattedCitation":"(Bally et al., 2018; Tremblay et al., 2010)","previouslyFormattedCitation":"(Bally et al., 2018; Tremblay et al., 2010)"},"properties":{"noteIndex":0},"schema":"https://github.com/citation-style-language/schema/raw/master/csl-citation.json"}</w:instrText>
      </w:r>
      <w:r w:rsidR="00EC7096">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(Bally et al., 2018; Tremblay et al., 2010)</w:t>
      </w:r>
      <w:r w:rsidR="00EC7096">
        <w:rPr>
          <w:rFonts w:ascii="Times New Roman" w:hAnsi="Times New Roman" w:cs="Times New Roman"/>
          <w:sz w:val="24"/>
          <w:szCs w:val="24"/>
        </w:rPr>
        <w:fldChar w:fldCharType="end"/>
      </w:r>
      <w:r w:rsidR="00DA3AB7">
        <w:rPr>
          <w:rFonts w:ascii="Times New Roman" w:hAnsi="Times New Roman" w:cs="Times New Roman"/>
          <w:sz w:val="24"/>
          <w:szCs w:val="24"/>
        </w:rPr>
        <w:t>, manufacturing in indoor controlled environment facilities</w:t>
      </w:r>
      <w:r>
        <w:rPr>
          <w:rFonts w:ascii="Times New Roman" w:hAnsi="Times New Roman" w:cs="Times New Roman"/>
          <w:sz w:val="24"/>
          <w:szCs w:val="24"/>
        </w:rPr>
        <w:t xml:space="preserve">, and </w:t>
      </w:r>
      <w:r w:rsidR="00990DDC">
        <w:rPr>
          <w:rFonts w:ascii="Times New Roman" w:hAnsi="Times New Roman" w:cs="Times New Roman"/>
          <w:sz w:val="24"/>
          <w:szCs w:val="24"/>
        </w:rPr>
        <w:lastRenderedPageBreak/>
        <w:t>employing</w:t>
      </w:r>
      <w:r>
        <w:rPr>
          <w:rFonts w:ascii="Times New Roman" w:hAnsi="Times New Roman" w:cs="Times New Roman"/>
          <w:sz w:val="24"/>
          <w:szCs w:val="24"/>
        </w:rPr>
        <w:t xml:space="preserve"> non-germline editing transient expression platforms</w:t>
      </w:r>
      <w:r w:rsidR="00467765">
        <w:rPr>
          <w:rFonts w:ascii="Times New Roman" w:hAnsi="Times New Roman" w:cs="Times New Roman"/>
          <w:sz w:val="24"/>
          <w:szCs w:val="24"/>
        </w:rPr>
        <w:t xml:space="preserve"> </w:t>
      </w:r>
      <w:r w:rsidR="003249D9">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{"citationItems":[{"id":"ITEM-1","itemData":{"DOI":"10.1111/pbi.12469","ISSN":"14677644","author":[{"dropping-particle":"","family":"Holtz","given":"Barry R.","non-dropping-particle":"","parse-names":false,"suffix":""},{"dropping-particle":"","family":"Berquist","given":"Brian R.","non-dropping-particle":"","parse-names":false,"suffix":""},{"dropping-particle":"","family":"Bennett","given":"Lindsay D.","non-dropping-particle":"","parse-names":false,"suffix":""},{"dropping-particle":"","family":"Kommineni","given":"Vally J.M.","non-dropping-particle":"","parse-names":false,"suffix":""},{"dropping-particle":"","family":"Munigunti","given":"Ranjith K.","non-dropping-particle":"","parse-names":false,"suffix":""},{"dropping-particle":"","family":"White","given":"Earl L.","non-dropping-particle":"","parse-names":false,"suffix":""},{"dropping-particle":"","family":"Wilkerson","given":"Don C.","non-dropping-particle":"","parse-names":false,"suffix":""},{"dropping-particle":"","family":"Wong","given":"Kah-Yat I.","non-dropping-particle":"","parse-names":false,"suffix":""},{"dropping-particle":"","family":"Ly","given":"Lan H.","non-dropping-particle":"","parse-names":false,"suffix":""},{"dropping-particle":"","family":"Marcel","given":"Sylvain","non-dropping-particle":"","parse-names":false,"suffix":""}],"container-title":"Plant Biotechnology Journal","id":"ITEM-1","issue":"8","issued":{"date-parts":[["2015","10","1"]]},"page":"1180-1190","title":"Commercial-scale biotherapeutics manufacturing facility for plant-made pharmaceuticals","type":"article-journal","volume":"13"},"uris":["http://www.mendeley.com/documents/?uuid=570348ee-950f-35ab-80b2-d73536e74fe3"]},{"id":"ITEM-2","itemData":{"DOI":"10.1111/j.1467-7652.2009.00495.x","ISSN":"14677644","author":[{"dropping-particle":"","family":"Pogue","given":"Gregory P.","non-dropping-particle":"","parse-names":false,"suffix":""},{"dropping-particle":"","family":"Vojdani","given":"Fakhrieh","non-dropping-particle":"","parse-names":false,"suffix":""},{"dropping-particle":"","family":"Palmer","given":"Kenneth E.","non-dropping-particle":"","parse-names":false,"suffix":""},{"dropping-particle":"","family":"Hiatt","given":"Ernie","non-dropping-particle":"","parse-names":false,"suffix":""},{"dropping-particle":"","family":"Hume","given":"Steve","non-dropping-particle":"","parse-names":false,"suffix":""},{"dropping-particle":"","family":"Phelps","given":"Jim","non-dropping-particle":"","parse-names":false,"suffix":""},{"dropping-particle":"","family":"Long","given":"Lori","non-dropping-particle":"","parse-names":false,"suffix":""},{"dropping-particle":"","family":"Bohorova","given":"Natasha","non-dropping-particle":"","parse-names":false,"suffix":""},{"dropping-particle":"","family":"Kim","given":"Do","non-dropping-particle":"","parse-names":false,"suffix":""},{"dropping-particle":"","family":"Pauly","given":"Michael","non-dropping-particle":"","parse-names":false,"suffix":""},{"dropping-particle":"","family":"Velasco","given":"Jesus","non-dropping-particle":"","parse-names":false,"suffix":""},{"dropping-particle":"","family":"Whaley","given":"Kevin","non-dropping-particle":"","parse-names":false,"suffix":""},{"dropping-particle":"","family":"Zeitlin","given":"Larry","non-dropping-particle":"","parse-names":false,"suffix":""},{"dropping-particle":"","family":"Garger","given":"Stephen J.","non-dropping-particle":"","parse-names":false,"suffix":""},{"dropping-particle":"","family":"White","given":"Earl","non-dropping-particle":"","parse-names":false,"suffix":""},{"dropping-particle":"","family":"Bai","given":"Yun","non-dropping-particle":"","parse-names":false,"suffix":""},{"dropping-particle":"","family":"Haydon","given":"Hugh","non-dropping-particle":"","parse-names":false,"suffix":""},{"dropping-particle":"","family":"Bratcher","given":"Barry","non-dropping-particle":"","parse-names":false,"suffix":""}],"container-title":"Plant Biotechnology Journal","id":"ITEM-2","issue":"5","issued":{"date-parts":[["2010","6","1"]]},"page":"638-654","publisher":"Blackwell Publishing Ltd","title":"Production of pharmaceutical-grade recombinant aprotinin and a monoclonal antibody product using plant-based transient expression systems","type":"article-journal","volume":"8"},"uris":["http://www.mendeley.com/documents/?uuid=8629ee91-80ce-35b3-b180-ee851e718c07"]},{"id":"ITEM-3","itemData":{"DOI":"10.1002/9781118801512.ch1","abstract":"This chapter provides an overview of the current state of molecular farming, which is characterized by the development of sizeable production capacities, a greater focus on downstream processing and scale-up, and the targeting of niche products that take advantage of favorable or even unique features of the plant production host. This situation reflects the maturation of plant-based production platforms and a drive toward commercialization with a range of serious product candidates in both the pharmaceutical and non-pharmaceutical field.","author":[{"dropping-particle":"","family":"Spiegel","given":"Holger","non-dropping-particle":"","parse-names":false,"suffix":""},{"dropping-particle":"","family":"Stöger","given":"Eva","non-dropping-particle":"","parse-names":false,"suffix":""},{"dropping-particle":"","family":"Twyman","given":"Richard M.","non-dropping-particle":"","parse-names":false,"suffix":""},{"dropping-particle":"","family":"Buyel","given":"Johannes F.","non-dropping-particle":"","parse-names":false,"suffix":""}],"container-title":"Molecular Pharming","id":"ITEM-3","issued":{"date-parts":[["2018","3","9"]]},"page":"1-23","publisher":"John Wiley &amp; Sons, Inc.","publisher-place":"Hoboken, NJ, USA","title":"Current Status and Perspectives of the Molecular Farming Landscape","type":"chapter"},"uris":["http://www.mendeley.com/documents/?uuid=c167285d-ed0e-3593-8f94-684322a76282"]}],"mendeley":{"formattedCitation":"(Holtz et al., 2015; Pogue et al., 2010; Spiegel et al., 2018)","plainTextFormattedCitation":"(Holtz et al., 2015; Pogue et al., 2010; Spiegel et al., 2018)","previouslyFormattedCitation":"(Holtz et al., 2015; Pogue et al., 2010; Spiegel et al., 2018)"},"properties":{"noteIndex":0},"schema":"https://github.com/citation-style-language/schema/raw/master/csl-citation.json"}</w:instrText>
      </w:r>
      <w:r w:rsidR="003249D9">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(Holtz et al., 2015; Pogue et al., 2010; Spiegel et al., 2018)</w:t>
      </w:r>
      <w:r w:rsidR="003249D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66C78">
        <w:rPr>
          <w:rFonts w:ascii="Times New Roman" w:hAnsi="Times New Roman" w:cs="Times New Roman"/>
          <w:sz w:val="24"/>
          <w:szCs w:val="24"/>
        </w:rPr>
        <w:t xml:space="preserve">Niche-innovations </w:t>
      </w:r>
      <w:r w:rsidR="00572BF6">
        <w:rPr>
          <w:rFonts w:ascii="Times New Roman" w:hAnsi="Times New Roman" w:cs="Times New Roman"/>
          <w:sz w:val="24"/>
          <w:szCs w:val="24"/>
        </w:rPr>
        <w:t xml:space="preserve">with plant molecular </w:t>
      </w:r>
      <w:r w:rsidR="00B5098A">
        <w:rPr>
          <w:rFonts w:ascii="Times New Roman" w:hAnsi="Times New Roman" w:cs="Times New Roman"/>
          <w:sz w:val="24"/>
          <w:szCs w:val="24"/>
        </w:rPr>
        <w:t>f</w:t>
      </w:r>
      <w:r w:rsidR="00572BF6">
        <w:rPr>
          <w:rFonts w:ascii="Times New Roman" w:hAnsi="Times New Roman" w:cs="Times New Roman"/>
          <w:sz w:val="24"/>
          <w:szCs w:val="24"/>
        </w:rPr>
        <w:t xml:space="preserve">arming </w:t>
      </w:r>
      <w:r w:rsidR="00F66C78">
        <w:rPr>
          <w:rFonts w:ascii="Times New Roman" w:hAnsi="Times New Roman" w:cs="Times New Roman"/>
          <w:sz w:val="24"/>
          <w:szCs w:val="24"/>
        </w:rPr>
        <w:t xml:space="preserve">to </w:t>
      </w:r>
      <w:r>
        <w:rPr>
          <w:rFonts w:ascii="Times New Roman" w:hAnsi="Times New Roman" w:cs="Times New Roman"/>
          <w:sz w:val="24"/>
          <w:szCs w:val="24"/>
        </w:rPr>
        <w:t>aid technological development outside of the normal market pressures</w:t>
      </w:r>
      <w:r w:rsidR="00F66C78">
        <w:rPr>
          <w:rFonts w:ascii="Times New Roman" w:hAnsi="Times New Roman" w:cs="Times New Roman"/>
          <w:sz w:val="24"/>
          <w:szCs w:val="24"/>
        </w:rPr>
        <w:t xml:space="preserve"> </w:t>
      </w:r>
      <w:r w:rsidR="00572BF6">
        <w:rPr>
          <w:rFonts w:ascii="Times New Roman" w:hAnsi="Times New Roman" w:cs="Times New Roman"/>
          <w:sz w:val="24"/>
          <w:szCs w:val="24"/>
        </w:rPr>
        <w:t>focuses on spaces including</w:t>
      </w:r>
      <w:r>
        <w:rPr>
          <w:rFonts w:ascii="Times New Roman" w:hAnsi="Times New Roman" w:cs="Times New Roman"/>
          <w:sz w:val="24"/>
          <w:szCs w:val="24"/>
        </w:rPr>
        <w:t xml:space="preserve"> </w:t>
      </w:r>
      <w:r w:rsidR="00572BF6">
        <w:rPr>
          <w:rFonts w:ascii="Times New Roman" w:hAnsi="Times New Roman" w:cs="Times New Roman"/>
          <w:sz w:val="24"/>
          <w:szCs w:val="24"/>
        </w:rPr>
        <w:t>orphan diseases, emergency treatments, and inexpensive vaccines</w:t>
      </w:r>
      <w:r w:rsidR="00467765">
        <w:rPr>
          <w:rFonts w:ascii="Times New Roman" w:hAnsi="Times New Roman" w:cs="Times New Roman"/>
          <w:sz w:val="24"/>
          <w:szCs w:val="24"/>
        </w:rPr>
        <w:t xml:space="preserve"> </w:t>
      </w:r>
      <w:r w:rsidR="00572BF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{"citationItems":[{"id":"ITEM-1","itemData":{"DOI":"10.1002/9781118801512","ISBN":"9781118801512","abstract":"A single volume collection that surveys the exciting field of plant-made pharmaceuticals and industrial proteins. This comprehensive book communicates the recent advances and exciting potential for the expanding area of plant biotechnology and is divided into six sections. The first three sections look at the current status of the field, and advances in plant platforms and strategies for improving yields, downstream processing, and controlling post-translational modifications of plant-made recombinant proteins. Section four reviews high-value industrial and pharmacological proteins that are successfully being produced in established and emerging plant platforms. The fifth section looks at regulatory challenges facing the expansion of the field. The final section turns its focus toward small molecule therapeutics, drug screening, plant specialized metabolites, and plants as model organisms to study human disease processes. Molecular Pharming: Applications, Challenges and Emerging Areas offers in-depth coverage of molecular biology of plant expression systems and manipulation of glycosylation processes in plants; plant platforms, subcellular targeting, recovery, and downstream processing; plant-derived protein pharmaceuticals and case studies; regulatory issues; and emerging areas. It is a valuable resource for researchers that are in the field of plant molecular pharming, as well as for those conducting basic research in gene expression, protein quality control, and other subjects relevant to molecular and cellular biology. Broad ranging coverage of a key area of plant biotechnology. Describes efforts to produce pharmaceutical and industrial proteins in plants. Provides reviews of recent advances and technology breakthroughs. Assesses realities of regulatory and cost hurdles. Forward looking with coverage of small molecule technologies and the use of plants as models of human disease processes. Providing wide-ranging and unique coverage, Molecular Pharming: Applications, Challenges and Emerging Areas will be of great interest to the plant science, plant biotechnology, protein science, and pharmacological communities.","author":[{"dropping-particle":"","family":"Kermode","given":"Allison R.","non-dropping-particle":"","parse-names":false,"suffix":""},{"dropping-particle":"","family":"Jiang","given":"Liwen","non-dropping-particle":"","parse-names":false,"suffix":""}],"container-title":"Molecular Pharming: Applications, Challenges and Emerging Areas","id":"ITEM-1","issued":{"date-parts":[["2018","9","12"]]},"number-of-pages":"1-479","publisher":"Wiley Blackwell","title":"Molecular pharming: Applications, challenges and emerging areas","type":"book"},"uris":["http://www.mendeley.com/documents/?uuid=dadb6ca7-d9d8-3c53-b14e-2c37fdcc3938"]}],"mendeley":{"formattedCitation":"(Kermode and Jiang, 2018)","plainTextFormattedCitation":"(Kermode and Jiang, 2018)","previouslyFormattedCitation":"(Kermode and Jiang, 2018)"},"properties":{"noteIndex":0},"schema":"https://github.com/citation-style-language/schema/raw/master/csl-citation.json"}</w:instrText>
      </w:r>
      <w:r w:rsidR="00572BF6">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(Kermode and Jiang, 2018)</w:t>
      </w:r>
      <w:r w:rsidR="00572BF6">
        <w:rPr>
          <w:rFonts w:ascii="Times New Roman" w:hAnsi="Times New Roman" w:cs="Times New Roman"/>
          <w:sz w:val="24"/>
          <w:szCs w:val="24"/>
        </w:rPr>
        <w:fldChar w:fldCharType="end"/>
      </w:r>
      <w:r w:rsidR="00572BF6">
        <w:rPr>
          <w:rFonts w:ascii="Times New Roman" w:hAnsi="Times New Roman" w:cs="Times New Roman"/>
          <w:sz w:val="24"/>
          <w:szCs w:val="24"/>
        </w:rPr>
        <w:t xml:space="preserve">. </w:t>
      </w:r>
      <w:r w:rsidR="00F66C78">
        <w:rPr>
          <w:rFonts w:ascii="Times New Roman" w:hAnsi="Times New Roman" w:cs="Times New Roman"/>
          <w:sz w:val="24"/>
          <w:szCs w:val="24"/>
        </w:rPr>
        <w:t xml:space="preserve">And finally, legitimation of plant molecular </w:t>
      </w:r>
      <w:r w:rsidR="00B5098A">
        <w:rPr>
          <w:rFonts w:ascii="Times New Roman" w:hAnsi="Times New Roman" w:cs="Times New Roman"/>
          <w:sz w:val="24"/>
          <w:szCs w:val="24"/>
        </w:rPr>
        <w:t>f</w:t>
      </w:r>
      <w:r w:rsidR="00F66C78">
        <w:rPr>
          <w:rFonts w:ascii="Times New Roman" w:hAnsi="Times New Roman" w:cs="Times New Roman"/>
          <w:sz w:val="24"/>
          <w:szCs w:val="24"/>
        </w:rPr>
        <w:t xml:space="preserve">arming clusters around comparisons to traditional biotechnology manufacturing platforms that emphasize the </w:t>
      </w:r>
      <w:r w:rsidR="000407DC">
        <w:rPr>
          <w:rFonts w:ascii="Times New Roman" w:hAnsi="Times New Roman" w:cs="Times New Roman"/>
          <w:sz w:val="24"/>
          <w:szCs w:val="24"/>
        </w:rPr>
        <w:t xml:space="preserve">safety advantages, </w:t>
      </w:r>
      <w:r w:rsidR="00F66C78">
        <w:rPr>
          <w:rFonts w:ascii="Times New Roman" w:hAnsi="Times New Roman" w:cs="Times New Roman"/>
          <w:sz w:val="24"/>
          <w:szCs w:val="24"/>
        </w:rPr>
        <w:t>low cost</w:t>
      </w:r>
      <w:r w:rsidR="00EF4BDE">
        <w:rPr>
          <w:rFonts w:ascii="Times New Roman" w:hAnsi="Times New Roman" w:cs="Times New Roman"/>
          <w:sz w:val="24"/>
          <w:szCs w:val="24"/>
        </w:rPr>
        <w:t>, sustainability</w:t>
      </w:r>
      <w:r w:rsidR="00F66C78">
        <w:rPr>
          <w:rFonts w:ascii="Times New Roman" w:hAnsi="Times New Roman" w:cs="Times New Roman"/>
          <w:sz w:val="24"/>
          <w:szCs w:val="24"/>
        </w:rPr>
        <w:t xml:space="preserve"> or scalability</w:t>
      </w:r>
      <w:r w:rsidR="00467765">
        <w:rPr>
          <w:rFonts w:ascii="Times New Roman" w:hAnsi="Times New Roman" w:cs="Times New Roman"/>
          <w:sz w:val="24"/>
          <w:szCs w:val="24"/>
        </w:rPr>
        <w:t xml:space="preserve"> </w:t>
      </w:r>
      <w:r w:rsidR="000407DC">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{"citationItems":[{"id":"ITEM-1","itemData":{"DOI":"10.3109/07388551.2015.1049934","ISSN":"15497801","abstract":"Recombinant proteins expressed in plants have been emerged as a novel branch of the biopharmaceutical industry, offering practical and safety advantages over traditional approaches. Cultivable in various platforms (i.e. open field, greenhouses or bioreactors), plants hold great potential to produce different types of therapeutic proteins with reduced risks of contamination with human and animal pathogens. To maximize the yield and quality of plant-made pharmaceuticals, crucial factors should be taken into account, including host plants, expression cassettes, subcellular localization, post-translational modifications, and protein extraction and purification methods. DNA technology and genetic transformation methods have also contributed to great parts with substantial improvements. To play their proper function and stability, proteins require multiple post-translational modifications such as glycosylation. Intensive glycoengineering research has been performed to reduce the immunogenicity of recombinant proteins produced in plants. Important strategies have also been developed to minimize the proteolysis effects and enhance protein accumulation. With growing human population and new epidemic threats, the need for new medications will be paramount so that the traditional pharmaceutical industry will not be alone to answer medication demands for upcoming generations. Here, we review several aspects of plant molecular pharming and outline some important challenges that hamper these ambitious biotechnological developments.","author":[{"dropping-particle":"","family":"Moustafa","given":"Khaled","non-dropping-particle":"","parse-names":false,"suffix":""},{"dropping-particle":"","family":"Makhzoum","given":"Abdullah","non-dropping-particle":"","parse-names":false,"suffix":""},{"dropping-particle":"","family":"Trémouillaux-Guiller","given":"Jocelyne","non-dropping-particle":"","parse-names":false,"suffix":""}],"container-title":"Critical Reviews in Biotechnology","id":"ITEM-1","issue":"5","issued":{"date-parts":[["2016","9","2"]]},"page":"840-850","publisher":"Taylor and Francis Ltd","title":"Molecular farming on rescue of pharma industry for next generations","type":"article","volume":"36"},"uris":["http://www.mendeley.com/documents/?uuid=7e2a7db6-be6f-3904-afbd-48020a89409b"]},{"id":"ITEM-2","itemData":{"DOI":"10.3390/ijms161226122","ISBN":"10.3390/ijms161226122","ISSN":"14220067","PMID":"26633378","abstract":"Plant molecular farming (PMF), defined as the practice of using plants to produce human therapeutic proteins, has received worldwide interest. PMF has grown and advanced considerably over the past two decades. A number of therapeutic proteins have been produced in plants, some of which have been through pre-clinical or clinical trials and are close to commercialization. Plants have the potential to mass-produce pharmaceutical products with less cost than traditional methods. Tobacco-derived antibodies have been tested and used to combat the Ebola outbreak in Africa. Genetically engineered immunoadhesin (DPP4-Fc) produced in green plants has been shown to be able to bind to MERS-CoV (Middle East Respiratory Syndrome), preventing the virus from infecting lung cells. Biosafety concerns (such as pollen contamination and immunogenicity of plant-specific glycans) and costly downstream extraction and purification requirements, however, have hampered PMF production from moving from the laboratory to industrial application. In this review, the challenges and opportunities of PMF are discussed. Topics addressed include; transformation and expression systems, plant bioreactors, safety concerns, and various opportunities to produce topical applications and health supplements.","author":[{"dropping-particle":"","family":"Yao","given":"Jian","non-dropping-particle":"","parse-names":false,"suffix":""},{"dropping-particle":"","family":"Weng","given":"Yunqi","non-dropping-particle":"","parse-names":false,"suffix":""},{"dropping-particle":"","family":"Dickey","given":"Alexia","non-dropping-particle":"","parse-names":false,"suffix":""},{"dropping-particle":"","family":"Wang","given":"Kevin Yueju","non-dropping-particle":"","parse-names":false,"suffix":""}],"container-title":"International Journal of Molecular Sciences","id":"ITEM-2","issue":"12","issued":{"date-parts":[["2015"]]},"title":"Plants as factories for human pharmaceuticals: Applications and challenges","type":"article","volume":"16"},"uris":["http://www.mendeley.com/documents/?uuid=10ec23f7-3a26-3d2f-be40-ee3a5f023136"]},{"id":"ITEM-3","itemData":{"DOI":"10.3389/fpls.2018.01893","ISSN":"1664-462X","PMID":"30713542","abstract":"Plants have unique advantages over other systems such as mammalian cells for the production of valuable small molecules and proteins. The benefits cited most often include safety due to the absence of replicating human pathogens, simplicity because sterility is not required during production, scalability due to the potential for open-field cultivation with transgenic plants, and the speed of transient expression potentially providing gram quantities of product in less than 4 weeks. Initially there were also significant drawbacks, such as the need to clarify feed streams with a high particle burden and the large quantities of host cell proteins, but efficient clarification is now readily achieved. Several additional advantages have also emerged reflecting the fact that plants are essentially biodegradable, single-use bioreactors. This article will focus on the exploitation of this concept for the production of biopharmaceutical proteins, thus improving overall process economics. Specifically, we will discuss the single-use properties of plants, the sustainability of the production platform, and the commercial potential of different biomass side streams. We find that incorporating these side streams through rational process integration has the potential to more than double the revenue that can currently be achieved using plant-based production systems.","author":[{"dropping-particle":"","family":"Buyel","given":"Johannes F","non-dropping-particle":"","parse-names":false,"suffix":""}],"container-title":"Frontiers in plant science","id":"ITEM-3","issued":{"date-parts":[["2018"]]},"page":"1893","publisher":"Frontiers Media SA","title":"Plant Molecular Farming - Integration and Exploitation of Side Streams to Achieve Sustainable Biomanufacturing.","type":"article-journal","volume":"9"},"uris":["http://www.mendeley.com/documents/?uuid=e74cf845-27db-3e6f-8c3a-571da5b9afa7"]}],"mendeley":{"formattedCitation":"(Buyel, 2018; Moustafa et al., 2016; Yao et al., 2015)","plainTextFormattedCitation":"(Buyel, 2018; Moustafa et al., 2016; Yao et al., 2015)","previouslyFormattedCitation":"(Buyel, 2018; Moustafa et al., 2016; Yao et al., 2015)"},"properties":{"noteIndex":0},"schema":"https://github.com/citation-style-language/schema/raw/master/csl-citation.json"}</w:instrText>
      </w:r>
      <w:r w:rsidR="000407DC">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(Buyel, 2018; Moustafa et al., 2016; Yao et al., 2015)</w:t>
      </w:r>
      <w:r w:rsidR="000407DC">
        <w:rPr>
          <w:rFonts w:ascii="Times New Roman" w:hAnsi="Times New Roman" w:cs="Times New Roman"/>
          <w:sz w:val="24"/>
          <w:szCs w:val="24"/>
        </w:rPr>
        <w:fldChar w:fldCharType="end"/>
      </w:r>
      <w:r w:rsidR="00F66C78">
        <w:rPr>
          <w:rFonts w:ascii="Times New Roman" w:hAnsi="Times New Roman" w:cs="Times New Roman"/>
          <w:sz w:val="24"/>
          <w:szCs w:val="24"/>
        </w:rPr>
        <w:t xml:space="preserve"> and the opportunities </w:t>
      </w:r>
      <w:r w:rsidR="00C7791B">
        <w:rPr>
          <w:rFonts w:ascii="Times New Roman" w:hAnsi="Times New Roman" w:cs="Times New Roman"/>
          <w:sz w:val="24"/>
          <w:szCs w:val="24"/>
        </w:rPr>
        <w:t>for low- and middle-income countries with minimal existing pharmaceutical production capacity and expertise</w:t>
      </w:r>
      <w:r w:rsidR="00467765">
        <w:rPr>
          <w:rFonts w:ascii="Times New Roman" w:hAnsi="Times New Roman" w:cs="Times New Roman"/>
          <w:sz w:val="24"/>
          <w:szCs w:val="24"/>
        </w:rPr>
        <w:t xml:space="preserve"> </w:t>
      </w:r>
      <w:r w:rsidR="00402518">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{"citationItems":[{"id":"ITEM-1","itemData":{"DOI":"10.1016/j.copbio.2019.10.005","ISSN":"18790429","abstract":"Interest in applications and benefits that Molecular Pharming might offer to Low and Middle Income Countries has always been a potent driver for the research discipline, and a major reason why many scientists entered the field. Although enthusiasm remains high, the reality is that such a game-changing innovation would always take longer than traditional uptake of new technology in developed countries, and be complicated by external factors beyond technical feasibility. Excitingly, signs of increasing interest by LMICS in Molecular Pharming are now emerging. Here, three case studies from Thailand, South Africa and Brazil are used to identify some of the key issues when a new investment into Molecular Pharming manufacturing capacity is under consideration. At present, academic research is not necessarily addressing these issues. Only by understanding the concerns, can members of the academic community contribute to helping the development of Molecular Pharming for LMICs by focusing their research efforts appropriately.","author":[{"dropping-particle":"","family":"Murad","given":"Sheeba","non-dropping-particle":"","parse-names":false,"suffix":""},{"dropping-particle":"","family":"Fuller","given":"Sebastian","non-dropping-particle":"","parse-names":false,"suffix":""},{"dropping-particle":"","family":"Menary","given":"Jonathan","non-dropping-particle":"","parse-names":false,"suffix":""},{"dropping-particle":"","family":"Moore","given":"Cathy","non-dropping-particle":"","parse-names":false,"suffix":""},{"dropping-particle":"","family":"Pinneh","given":"Elizabeth","non-dropping-particle":"","parse-names":false,"suffix":""},{"dropping-particle":"","family":"Szeto","given":"Tim","non-dropping-particle":"","parse-names":false,"suffix":""},{"dropping-particle":"","family":"Hitzeroth","given":"Inga","non-dropping-particle":"","parse-names":false,"suffix":""},{"dropping-particle":"","family":"Freire","given":"Marcos","non-dropping-particle":"","parse-names":false,"suffix":""},{"dropping-particle":"","family":"Taychakhoonavudh","given":"Suthira","non-dropping-particle":"","parse-names":false,"suffix":""},{"dropping-particle":"","family":"Phoolcharoen","given":"Waranyoo","non-dropping-particle":"","parse-names":false,"suffix":""},{"dropping-particle":"","family":"Ma","given":"Julian K.C.","non-dropping-particle":"","parse-names":false,"suffix":""}],"container-title":"Current Opinion in Biotechnology","id":"ITEM-1","issued":{"date-parts":[["2020","2","1"]]},"page":"53-59","publisher":"Elsevier Ltd","title":"Molecular Pharming for low and middle income countries","type":"article","volume":"61"},"uris":["http://www.mendeley.com/documents/?uuid=603ddfe7-c1f2-3666-810a-54af77dad56a"]},{"id":"ITEM-2","itemData":{"DOI":"10.1016/j.copbio.2019.11.005","ISSN":"18790429","abstract":"Local manufacturing of protein-based vaccines and therapies in Africa is limited and contributes to a trade deficit, security of supply concerns and poor access to biopharmaceuticals by the poor. Plant molecular farming is a potential technology solution that has received growing adoption by African scientists attracted by the potential for the competitive cost of goods, safety and efficacy. Plant-made pharmaceutical technologies for veterinary and human vaccination and treatment of non-communicable and infectious diseases are available at different stages of development in Africa. There is also growth in the translation of these technologies to commercial operations. Africa is poised to benefit from the real-world impact of molecular farming in the next few years.","author":[{"dropping-particle":"","family":"Tsekoa","given":"Tsepo L.","non-dropping-particle":"","parse-names":false,"suffix":""},{"dropping-particle":"","family":"Singh","given":"Advaita Acarya","non-dropping-particle":"","parse-names":false,"suffix":""},{"dropping-particle":"","family":"Buthelezi","given":"Sindisiwe G.","non-dropping-particle":"","parse-names":false,"suffix":""}],"container-title":"Current Opinion in Biotechnology","id":"ITEM-2","issued":{"date-parts":[["2020","2","1"]]},"page":"89-95","publisher":"Elsevier Ltd","title":"Molecular farming for therapies and vaccines in Africa","type":"article","volume":"61"},"uris":["http://www.mendeley.com/documents/?uuid=ed9bbadc-fcfd-3752-982b-25d3fb3fc77c"]}],"mendeley":{"formattedCitation":"(Murad et al., 2020; Tsekoa et al., 2020)","plainTextFormattedCitation":"(Murad et al., 2020; Tsekoa et al., 2020)","previouslyFormattedCitation":"(Murad et al., 2020; Tsekoa et al., 2020)"},"properties":{"noteIndex":0},"schema":"https://github.com/citation-style-language/schema/raw/master/csl-citation.json"}</w:instrText>
      </w:r>
      <w:r w:rsidR="00402518">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(Murad et al., 2020; Tsekoa et al., 2020)</w:t>
      </w:r>
      <w:r w:rsidR="00402518">
        <w:rPr>
          <w:rFonts w:ascii="Times New Roman" w:hAnsi="Times New Roman" w:cs="Times New Roman"/>
          <w:sz w:val="24"/>
          <w:szCs w:val="24"/>
        </w:rPr>
        <w:fldChar w:fldCharType="end"/>
      </w:r>
      <w:r w:rsidR="00C7791B">
        <w:rPr>
          <w:rFonts w:ascii="Times New Roman" w:hAnsi="Times New Roman" w:cs="Times New Roman"/>
          <w:sz w:val="24"/>
          <w:szCs w:val="24"/>
        </w:rPr>
        <w:t xml:space="preserve">. </w:t>
      </w:r>
    </w:p>
    <w:p w14:paraId="5BE55678" w14:textId="274B9D4B" w:rsidR="00C7791B" w:rsidRDefault="00C7791B"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strategies have served well to </w:t>
      </w:r>
      <w:r w:rsidR="00AA5249">
        <w:rPr>
          <w:rFonts w:ascii="Times New Roman" w:hAnsi="Times New Roman" w:cs="Times New Roman"/>
          <w:sz w:val="24"/>
          <w:szCs w:val="24"/>
        </w:rPr>
        <w:t xml:space="preserve">move </w:t>
      </w:r>
      <w:r>
        <w:rPr>
          <w:rFonts w:ascii="Times New Roman" w:hAnsi="Times New Roman" w:cs="Times New Roman"/>
          <w:sz w:val="24"/>
          <w:szCs w:val="24"/>
        </w:rPr>
        <w:t xml:space="preserve">plant molecular </w:t>
      </w:r>
      <w:r w:rsidR="00B5098A">
        <w:rPr>
          <w:rFonts w:ascii="Times New Roman" w:hAnsi="Times New Roman" w:cs="Times New Roman"/>
          <w:sz w:val="24"/>
          <w:szCs w:val="24"/>
        </w:rPr>
        <w:t>f</w:t>
      </w:r>
      <w:r>
        <w:rPr>
          <w:rFonts w:ascii="Times New Roman" w:hAnsi="Times New Roman" w:cs="Times New Roman"/>
          <w:sz w:val="24"/>
          <w:szCs w:val="24"/>
        </w:rPr>
        <w:t>arming towards technological maturation</w:t>
      </w:r>
      <w:r w:rsidR="00467765">
        <w:rPr>
          <w:rFonts w:ascii="Times New Roman" w:hAnsi="Times New Roman" w:cs="Times New Roman"/>
          <w:sz w:val="24"/>
          <w:szCs w:val="24"/>
        </w:rPr>
        <w:t xml:space="preserve"> </w:t>
      </w:r>
      <w:r w:rsidR="001F3990">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{"citationItems":[{"id":"ITEM-1","itemData":{"DOI":"10.1016/j.biotechadv.2020.107519","ISSN":"07349750","abstract":"Molecular farming can be defined as the use of plants to produce recombinant protein products. The technology is now &gt;30 years old. The early promise of molecular farming was based on three perceived advantages: the low costs of growing plants, the immense scalability of agricultural production, and the inherent safety of plants as hosts for the production of pharmaceuticals. This resulted in a glut of research publications in which diverse proteins were expressed in equally diverse plant-based systems, and numerous companies were founded hoping to commercialize the new technology. There was a moderate degree of success for companies producing non-pharmaceutical proteins, but in the pharmaceutical sector the anticipation raised by promising early research was soon met by the cold hard reality of industrial pragmatism. Plants did not have a track record of success in pharmaceutical protein manufacturing, lacked a regulatory framework, and did not perform as well as established industry platforms. Negative attitudes towards genetically modified plants added to the mix. By the early 2000s, major industry players started to lose interest and pharmaceutical molecular farming fell from a peak of expectation into a trough of disillusionment, just as predicted by the Gartner hype cycle. But many of the pioneers of molecular farming have refocused their activities and have worked to address the limitations that hampered the first generation of technologies. The field has now consolidated around a smaller number of better-characterized platforms and has started to develop standardized methods and best practices, mirroring the evolution of more mature industry sectors. Likewise, attention has turned from proof-of-principle studies to realistic techno-economic modeling to capture significant niche markets, replicating the success of the industrial molecular farming sector. Here we argue that these recent developments signify that pharmaceutical molecular farming is now climbing the slope of enlightenment and will soon emerge as a mature technology.","author":[{"dropping-particle":"","family":"Fischer","given":"Rainer","non-dropping-particle":"","parse-names":false,"suffix":""},{"dropping-particle":"","family":"Buyel","given":"Johannes F.","non-dropping-particle":"","parse-names":false,"suffix":""}],"container-title":"Biotechnology Advances","id":"ITEM-1","issued":{"date-parts":[["2020","5","1"]]},"page":"107519","publisher":"Elsevier Inc.","title":"Molecular farming – The slope of enlightenment","type":"article-journal","volume":"40"},"uris":["http://www.mendeley.com/documents/?uuid=fc1f5c93-1f7e-3f81-b7e8-0c2192f9ae7e"]}],"mendeley":{"formattedCitation":"(Fischer and Buyel, 2020)","plainTextFormattedCitation":"(Fischer and Buyel, 2020)","previouslyFormattedCitation":"(Fischer and Buyel, 2020)"},"properties":{"noteIndex":0},"schema":"https://github.com/citation-style-language/schema/raw/master/csl-citation.json"}</w:instrText>
      </w:r>
      <w:r w:rsidR="001F3990">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(Fischer and Buyel, 2020)</w:t>
      </w:r>
      <w:r w:rsidR="001F3990">
        <w:rPr>
          <w:rFonts w:ascii="Times New Roman" w:hAnsi="Times New Roman" w:cs="Times New Roman"/>
          <w:sz w:val="24"/>
          <w:szCs w:val="24"/>
        </w:rPr>
        <w:fldChar w:fldCharType="end"/>
      </w:r>
      <w:r>
        <w:rPr>
          <w:rFonts w:ascii="Times New Roman" w:hAnsi="Times New Roman" w:cs="Times New Roman"/>
          <w:sz w:val="24"/>
          <w:szCs w:val="24"/>
        </w:rPr>
        <w:t xml:space="preserve">. However, the direction of plant molecular </w:t>
      </w:r>
      <w:r w:rsidR="00B5098A">
        <w:rPr>
          <w:rFonts w:ascii="Times New Roman" w:hAnsi="Times New Roman" w:cs="Times New Roman"/>
          <w:sz w:val="24"/>
          <w:szCs w:val="24"/>
        </w:rPr>
        <w:t>f</w:t>
      </w:r>
      <w:r>
        <w:rPr>
          <w:rFonts w:ascii="Times New Roman" w:hAnsi="Times New Roman" w:cs="Times New Roman"/>
          <w:sz w:val="24"/>
          <w:szCs w:val="24"/>
        </w:rPr>
        <w:t xml:space="preserve">arming technological development borne of </w:t>
      </w:r>
      <w:r w:rsidR="00DA459C">
        <w:rPr>
          <w:rFonts w:ascii="Times New Roman" w:hAnsi="Times New Roman" w:cs="Times New Roman"/>
          <w:sz w:val="24"/>
          <w:szCs w:val="24"/>
        </w:rPr>
        <w:t xml:space="preserve">these </w:t>
      </w:r>
      <w:r>
        <w:rPr>
          <w:rFonts w:ascii="Times New Roman" w:hAnsi="Times New Roman" w:cs="Times New Roman"/>
          <w:sz w:val="24"/>
          <w:szCs w:val="24"/>
        </w:rPr>
        <w:t xml:space="preserve">strategies can appear to be at cross-purpose with itself. For example, </w:t>
      </w:r>
      <w:r w:rsidR="00D87E09">
        <w:rPr>
          <w:rFonts w:ascii="Times New Roman" w:hAnsi="Times New Roman" w:cs="Times New Roman"/>
          <w:sz w:val="24"/>
          <w:szCs w:val="24"/>
        </w:rPr>
        <w:t xml:space="preserve">the response to public concerns emphasizes indoor cultivation and transient expression platforms, while legitimation-facing strategies emphasize low cost, simple scalability, and accessibility, all of which may be better suited to outdoor field cultivation and transgenic expression platforms. Additionally, consider that while niche-innovation in plant molecular </w:t>
      </w:r>
      <w:r w:rsidR="00B5098A">
        <w:rPr>
          <w:rFonts w:ascii="Times New Roman" w:hAnsi="Times New Roman" w:cs="Times New Roman"/>
          <w:sz w:val="24"/>
          <w:szCs w:val="24"/>
        </w:rPr>
        <w:t>f</w:t>
      </w:r>
      <w:r w:rsidR="00D87E09">
        <w:rPr>
          <w:rFonts w:ascii="Times New Roman" w:hAnsi="Times New Roman" w:cs="Times New Roman"/>
          <w:sz w:val="24"/>
          <w:szCs w:val="24"/>
        </w:rPr>
        <w:t>arming has usually targeted small to moderate market size products</w:t>
      </w:r>
      <w:r w:rsidR="00DA459C">
        <w:rPr>
          <w:rFonts w:ascii="Times New Roman" w:hAnsi="Times New Roman" w:cs="Times New Roman"/>
          <w:sz w:val="24"/>
          <w:szCs w:val="24"/>
        </w:rPr>
        <w:t xml:space="preserve"> to break into the commercial space</w:t>
      </w:r>
      <w:r w:rsidR="00D87E09">
        <w:rPr>
          <w:rFonts w:ascii="Times New Roman" w:hAnsi="Times New Roman" w:cs="Times New Roman"/>
          <w:sz w:val="24"/>
          <w:szCs w:val="24"/>
        </w:rPr>
        <w:t xml:space="preserve">, there are new and promising food and industrial markets well-suited to plant molecular </w:t>
      </w:r>
      <w:r w:rsidR="00B5098A">
        <w:rPr>
          <w:rFonts w:ascii="Times New Roman" w:hAnsi="Times New Roman" w:cs="Times New Roman"/>
          <w:sz w:val="24"/>
          <w:szCs w:val="24"/>
        </w:rPr>
        <w:t>farming</w:t>
      </w:r>
      <w:r w:rsidR="00D87E09">
        <w:rPr>
          <w:rFonts w:ascii="Times New Roman" w:hAnsi="Times New Roman" w:cs="Times New Roman"/>
          <w:sz w:val="24"/>
          <w:szCs w:val="24"/>
        </w:rPr>
        <w:t xml:space="preserve"> with considerably larger market sizes and considerably smaller gross margins that would be greatly benefited by outdoor field cultivation</w:t>
      </w:r>
      <w:r w:rsidR="003249D9">
        <w:rPr>
          <w:rFonts w:ascii="Times New Roman" w:hAnsi="Times New Roman" w:cs="Times New Roman"/>
          <w:sz w:val="24"/>
          <w:szCs w:val="24"/>
        </w:rPr>
        <w:t xml:space="preserve">; in fact, </w:t>
      </w:r>
      <w:r w:rsidR="006263D7">
        <w:rPr>
          <w:rFonts w:ascii="Times New Roman" w:hAnsi="Times New Roman" w:cs="Times New Roman"/>
          <w:sz w:val="24"/>
          <w:szCs w:val="24"/>
        </w:rPr>
        <w:t xml:space="preserve">perhaps the most alluring feature of plant molecular </w:t>
      </w:r>
      <w:r w:rsidR="00B5098A">
        <w:rPr>
          <w:rFonts w:ascii="Times New Roman" w:hAnsi="Times New Roman" w:cs="Times New Roman"/>
          <w:sz w:val="24"/>
          <w:szCs w:val="24"/>
        </w:rPr>
        <w:t>farming</w:t>
      </w:r>
      <w:r w:rsidR="006263D7">
        <w:rPr>
          <w:rFonts w:ascii="Times New Roman" w:hAnsi="Times New Roman" w:cs="Times New Roman"/>
          <w:sz w:val="24"/>
          <w:szCs w:val="24"/>
        </w:rPr>
        <w:t xml:space="preserve"> is its potential to manufacture high-value protein products at a larger scale than is feasible with traditional culture-based systems</w:t>
      </w:r>
      <w:r w:rsidR="00467765">
        <w:rPr>
          <w:rFonts w:ascii="Times New Roman" w:hAnsi="Times New Roman" w:cs="Times New Roman"/>
          <w:sz w:val="24"/>
          <w:szCs w:val="24"/>
        </w:rPr>
        <w:t xml:space="preserve"> </w:t>
      </w:r>
      <w:r w:rsidR="006263D7">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{"citationItems":[{"id":"ITEM-1","itemData":{"DOI":"10.1016/j.biotechadv.2017.03.011","ISSN":"07349750","abstract":"Gene technology has facilitated the biologization of manufacturing, i.e. the use and production of complex biological molecules and systems at an industrial scale. Monoclonal antibodies (mAbs) are currently the major class of biopharmaceutical products, but they are typically used to treat specific diseases which individually have comparably low incidences. The therapeutic potential of mAbs could also be used for more prevalent diseases, but this would require a massive increase in production capacity that could not be met by traditional fermenter systems. Here we outline the potential of plants to be used for the very-large-scale (VLS) production of biopharmaceutical proteins such as mAbs. We discuss the potential market sizes and their corresponding production capacities. We then consider available process technologies and scale-down models and how these can be used to develop VLS processes. Finally, we discuss which adaptations will likely be required for VLS production, lessons learned from existing cell culture-based processes and the food industry, and practical requirements for the implementation of a VLS process.","author":[{"dropping-particle":"","family":"Buyel","given":"J. F.","non-dropping-particle":"","parse-names":false,"suffix":""},{"dropping-particle":"","family":"Twyman","given":"R. M.","non-dropping-particle":"","parse-names":false,"suffix":""},{"dropping-particle":"","family":"Fischer","given":"R.","non-dropping-particle":"","parse-names":false,"suffix":""}],"container-title":"Biotechnology Advances","id":"ITEM-1","issue":"4","issued":{"date-parts":[["2017","7","1"]]},"page":"458-465","publisher":"Elsevier Inc.","title":"Very-large-scale production of antibodies in plants: The biologization of manufacturing","type":"article","volume":"35"},"uris":["http://www.mendeley.com/documents/?uuid=82065a38-b1f7-3ae3-afe2-1f180dd608bc"]}],"mendeley":{"formattedCitation":"(Buyel et al., 2017)","plainTextFormattedCitation":"(Buyel et al., 2017)","previouslyFormattedCitation":"(Buyel et al., 2017)"},"properties":{"noteIndex":0},"schema":"https://github.com/citation-style-language/schema/raw/master/csl-citation.json"}</w:instrText>
      </w:r>
      <w:r w:rsidR="006263D7">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(Buyel et al., 2017)</w:t>
      </w:r>
      <w:r w:rsidR="006263D7">
        <w:rPr>
          <w:rFonts w:ascii="Times New Roman" w:hAnsi="Times New Roman" w:cs="Times New Roman"/>
          <w:sz w:val="24"/>
          <w:szCs w:val="24"/>
        </w:rPr>
        <w:fldChar w:fldCharType="end"/>
      </w:r>
      <w:r w:rsidR="006263D7">
        <w:rPr>
          <w:rFonts w:ascii="Times New Roman" w:hAnsi="Times New Roman" w:cs="Times New Roman"/>
          <w:sz w:val="24"/>
          <w:szCs w:val="24"/>
        </w:rPr>
        <w:t xml:space="preserve">. </w:t>
      </w:r>
    </w:p>
    <w:p w14:paraId="705914ED" w14:textId="446A2616" w:rsidR="00D87E09" w:rsidRDefault="0073549A"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recent years, the plant molecular </w:t>
      </w:r>
      <w:r w:rsidR="00B5098A">
        <w:rPr>
          <w:rFonts w:ascii="Times New Roman" w:hAnsi="Times New Roman" w:cs="Times New Roman"/>
          <w:sz w:val="24"/>
          <w:szCs w:val="24"/>
        </w:rPr>
        <w:t>farming</w:t>
      </w:r>
      <w:r>
        <w:rPr>
          <w:rFonts w:ascii="Times New Roman" w:hAnsi="Times New Roman" w:cs="Times New Roman"/>
          <w:sz w:val="24"/>
          <w:szCs w:val="24"/>
        </w:rPr>
        <w:t xml:space="preserve"> community has renewed </w:t>
      </w:r>
      <w:r w:rsidR="00DA459C">
        <w:rPr>
          <w:rFonts w:ascii="Times New Roman" w:hAnsi="Times New Roman" w:cs="Times New Roman"/>
          <w:sz w:val="24"/>
          <w:szCs w:val="24"/>
        </w:rPr>
        <w:t xml:space="preserve">investigation of </w:t>
      </w:r>
      <w:r>
        <w:rPr>
          <w:rFonts w:ascii="Times New Roman" w:hAnsi="Times New Roman" w:cs="Times New Roman"/>
          <w:sz w:val="24"/>
          <w:szCs w:val="24"/>
        </w:rPr>
        <w:t>glass greenhouse cultivation as an in-between manufacturing platform that provides adequate containment and control with minimal cost and infrastructure complexity</w:t>
      </w:r>
      <w:r w:rsidR="00467765">
        <w:rPr>
          <w:rFonts w:ascii="Times New Roman" w:hAnsi="Times New Roman" w:cs="Times New Roman"/>
          <w:sz w:val="24"/>
          <w:szCs w:val="24"/>
        </w:rPr>
        <w:t xml:space="preserve"> </w:t>
      </w:r>
      <w:r w:rsidR="001F3990">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{"citationItems":[{"id":"ITEM-1","itemData":{"DOI":"10.3389/fpls.2019.01245","ISSN":"1664-462X","abstract":"Transgenic plants have the potential to produce recombinant proteins on an agricultural scale, with yields of several tons per year. The cost-effectiveness of transgenic plants increases if simple cultivation facilities such as greenhouses can be used for production. In such a setting, we expressed a novel affinity ligand based on the fluorescent protein DsRed, which we used as a carrier for the linear epitope ELDKWA from the HIV-neutralizing antibody 2F5. The DsRed-2F5-epitope (DFE) fusion protein was produced in 12 consecutive batches of transgenic tobacco (Nicotiana tabacum) plants over the course of 2 years and was purified using a combination of blanching and immobilized metal-ion affinity chromatography (IMAC). The average purity after IMAC was 57 ± 26% (n = 24) in terms of total soluble protein, but the average yield of pure DFE (12 mg kg−1) showed substantial variation (± 97 mg kg−1, n = 24) which correlated with seasonal changes. Specifically, we found that temperature peaks (&gt;28°C) and intense illuminance (&gt;45 klx h−1) were associated with lower DFE yields after purification, reflecting the loss of the epitope-containing C-terminus in up to 90% of the product. Whereas the weather factors were of limited use to predict product yields of individual harvests conducted for each batch (spaced by 1 week), the average batch yields were well approximated by simple linear regression models using two independent variables for prediction (illuminance and plant age). Interestingly, accumulation levels determined by fluorescence analysis were not affected by weather conditions but positively correlated with plant age, suggesting that the product was still expressed at high levels, but the extreme conditions affected its stability, albeit still preserving the fluorophore function. The efficient production of intact recombinant proteins in plants may therefore require adequate climate control and shading in greenhouses or even cultivation in fully controlled indoor farms.","author":[{"dropping-particle":"","family":"Knödler","given":"Matthias","non-dropping-particle":"","parse-names":false,"suffix":""},{"dropping-particle":"","family":"Rühl","given":"Clemens","non-dropping-particle":"","parse-names":false,"suffix":""},{"dropping-particle":"","family":"Emonts","given":"Jessica","non-dropping-particle":"","parse-names":false,"suffix":""},{"dropping-particle":"","family":"Buyel","given":"Johannes Felix","non-dropping-particle":"","parse-names":false,"suffix":""}],"container-title":"Frontiers in Plant Science","id":"ITEM-1","issued":{"date-parts":[["2019","10","8"]]},"page":"1245","publisher":"Frontiers Media S.A.","title":"Seasonal Weather Changes Affect the Yield and Quality of Recombinant Proteins Produced in Transgenic Tobacco Plants in a Greenhouse Setting","type":"article-journal","volume":"10"},"uris":["http://www.mendeley.com/documents/?uuid=9959d07e-cfcc-3fe8-a4d5-cefb35e75324"]},{"id":"ITEM-2","itemData":{"DOI":"10.1111/pbi.12416","ISSN":"14677652","PMID":"26147010","abstract":"Although plant biotechnology has been widely investigated for the production of clinical-grade monoclonal antibodies, no antibody products derived from transgenic plants have yet been approved by pharmaceutical regulators for clinical testing. In the Pharma-Planta project, the HIV-neutralizing human monoclonal antibody 2G12 was expressed in transgenic tobacco (Nicotiana tabacum). The scientific, technical and regulatory demands of good manufacturing practice (GMP) were addressed by comprehensive molecular characterization of the transgene locus, confirmation of genetic and phenotypic stability over several generations of transgenic plants, and by establishing standard operating procedures for the creation of a master seed bank, plant cultivation, harvest, initial processing, downstream processing and purification. The project developed specifications for the plant-derived antibody (P2G12) as an active pharmaceutical ingredient (API) based on (i) the guidelines for the manufacture of monoclonal antibodies in cell culture systems; (ii) the draft European Medicines Agency Points to Consider document on quality requirements for APIs produced in transgenic plants; and (iii) de novo guidelines developed with European national regulators. From the resulting process, a GMP manufacturing authorization was issued by the competent authority in Germany for transgenic plant-derived monoclonal antibodies for use in a phase I clinical evaluation. Following preclinical evaluation and ethical approval, a clinical trial application was accepted by the UK national pharmaceutical regulator. A first-in-human, double-blind, placebo-controlled, randomized, dose-escalation phase I safety study of a single vaginal administration of P2G12 was carried out in healthy female subjects. The successful completion of the clinical trial marks a significant milestone in the commercial development of plant-derived pharmaceutical proteins.","author":[{"dropping-particle":"","family":"Ma","given":"Julian K.C.","non-dropping-particle":"","parse-names":false,"suffix":""},{"dropping-particle":"","family":"Drossard","given":"Jürgen","non-dropping-particle":"","parse-names":false,"suffix":""},{"dropping-particle":"","family":"Lewis","given":"David","non-dropping-particle":"","parse-names":false,"suffix":""},{"dropping-particle":"","family":"Altmann","given":"Friedrich","non-dropping-particle":"","parse-names":false,"suffix":""},{"dropping-particle":"","family":"Boyle","given":"Julia","non-dropping-particle":"","parse-names":false,"suffix":""},{"dropping-particle":"","family":"Christou","given":"Paul","non-dropping-particle":"","parse-names":false,"suffix":""},{"dropping-particle":"","family":"Cole","given":"Tom","non-dropping-particle":"","parse-names":false,"suffix":""},{"dropping-particle":"","family":"Dale","given":"Philip","non-dropping-particle":"","parse-names":false,"suffix":""},{"dropping-particle":"","family":"Dolleweerd","given":"Craig J.","non-dropping-particle":"van","parse-names":false,"suffix":""},{"dropping-particle":"","family":"Isitt","given":"Valerie","non-dropping-particle":"","parse-names":false,"suffix":""},{"dropping-particle":"","family":"Katinger","given":"Dietmar","non-dropping-particle":"","parse-names":false,"suffix":""},{"dropping-particle":"","family":"Lobedan","given":"Martin","non-dropping-particle":"","parse-names":false,"suffix":""},{"dropping-particle":"","family":"Mertens","given":"Hubert","non-dropping-particle":"","parse-names":false,"suffix":""},{"dropping-particle":"","family":"Paul","given":"Mathew J.","non-dropping-particle":"","parse-names":false,"suffix":""},{"dropping-particle":"","family":"Rademacher","given":"Thomas","non-dropping-particle":"","parse-names":false,"suffix":""},{"dropping-particle":"","family":"Sack","given":"Markus","non-dropping-particle":"","parse-names":false,"suffix":""},{"dropping-particle":"","family":"Hundleby","given":"Penelope A.C.","non-dropping-particle":"","parse-names":false,"suffix":""},{"dropping-particle":"","family":"Stiegler","given":"Gabriela","non-dropping-particle":"","parse-names":false,"suffix":""},{"dropping-particle":"","family":"Stoger","given":"Eva","non-dropping-particle":"","parse-names":false,"suffix":""},{"dropping-particle":"","family":"Twyman","given":"Richard M.","non-dropping-particle":"","parse-names":false,"suffix":""},{"dropping-particle":"","family":"Vcelar","given":"Brigitta","non-dropping-particle":"","parse-names":false,"suffix":""},{"dropping-particle":"","family":"Fischer","given":"Rainer","non-dropping-particle":"","parse-names":false,"suffix":""}],"container-title":"Plant Biotechnology Journal","id":"ITEM-2","issue":"8","issued":{"date-parts":[["2015"]]},"page":"1106-1120","publisher":"Blackwell Publishing Ltd","title":"Regulatory approval and a first-in-human phase I clinical trial of a monoclonal antibody produced in transgenic tobacco plants","type":"article-journal","volume":"13"},"uris":["http://www.mendeley.com/documents/?uuid=013d2674-cc59-392f-a89d-ca2234b03405"]}],"mendeley":{"formattedCitation":"(Knödler et al., 2019; Ma et al., 2015)","plainTextFormattedCitation":"(Knödler et al., 2019; Ma et al., 2015)","previouslyFormattedCitation":"(Knödler et al., 2019; Ma et al., 2015)"},"properties":{"noteIndex":0},"schema":"https://github.com/citation-style-language/schema/raw/master/csl-citation.json"}</w:instrText>
      </w:r>
      <w:r w:rsidR="001F3990">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(Knödler et al., 2019; Ma et al., 2015)</w:t>
      </w:r>
      <w:r w:rsidR="001F3990">
        <w:rPr>
          <w:rFonts w:ascii="Times New Roman" w:hAnsi="Times New Roman" w:cs="Times New Roman"/>
          <w:sz w:val="24"/>
          <w:szCs w:val="24"/>
        </w:rPr>
        <w:fldChar w:fldCharType="end"/>
      </w:r>
      <w:r>
        <w:rPr>
          <w:rFonts w:ascii="Times New Roman" w:hAnsi="Times New Roman" w:cs="Times New Roman"/>
          <w:sz w:val="24"/>
          <w:szCs w:val="24"/>
        </w:rPr>
        <w:t xml:space="preserve">. However, </w:t>
      </w:r>
      <w:r w:rsidR="00DA459C">
        <w:rPr>
          <w:rFonts w:ascii="Times New Roman" w:hAnsi="Times New Roman" w:cs="Times New Roman"/>
          <w:sz w:val="24"/>
          <w:szCs w:val="24"/>
        </w:rPr>
        <w:t>the complexity of greenhouse cultivation may still prohibit the pursuit of ultra-large-scale manufacturing for commodity goods that demand lean manufacturing costs. I</w:t>
      </w:r>
      <w:r>
        <w:rPr>
          <w:rFonts w:ascii="Times New Roman" w:hAnsi="Times New Roman" w:cs="Times New Roman"/>
          <w:sz w:val="24"/>
          <w:szCs w:val="24"/>
        </w:rPr>
        <w:t>n our perspective</w:t>
      </w:r>
      <w:r w:rsidR="00DA459C">
        <w:rPr>
          <w:rFonts w:ascii="Times New Roman" w:hAnsi="Times New Roman" w:cs="Times New Roman"/>
          <w:sz w:val="24"/>
          <w:szCs w:val="24"/>
        </w:rPr>
        <w:t>,</w:t>
      </w:r>
      <w:r w:rsidR="00B93D26">
        <w:rPr>
          <w:rFonts w:ascii="Times New Roman" w:hAnsi="Times New Roman" w:cs="Times New Roman"/>
          <w:sz w:val="24"/>
          <w:szCs w:val="24"/>
        </w:rPr>
        <w:t xml:space="preserve"> it is critical to re-visit </w:t>
      </w:r>
      <w:r>
        <w:rPr>
          <w:rFonts w:ascii="Times New Roman" w:hAnsi="Times New Roman" w:cs="Times New Roman"/>
          <w:sz w:val="24"/>
          <w:szCs w:val="24"/>
        </w:rPr>
        <w:t xml:space="preserve">outdoor field cultivation as a platform to enable plant molecular </w:t>
      </w:r>
      <w:r w:rsidR="00B5098A">
        <w:rPr>
          <w:rFonts w:ascii="Times New Roman" w:hAnsi="Times New Roman" w:cs="Times New Roman"/>
          <w:sz w:val="24"/>
          <w:szCs w:val="24"/>
        </w:rPr>
        <w:t>farming</w:t>
      </w:r>
      <w:r>
        <w:rPr>
          <w:rFonts w:ascii="Times New Roman" w:hAnsi="Times New Roman" w:cs="Times New Roman"/>
          <w:sz w:val="24"/>
          <w:szCs w:val="24"/>
        </w:rPr>
        <w:t xml:space="preserve"> to re-position </w:t>
      </w:r>
      <w:r w:rsidR="00B93D26">
        <w:rPr>
          <w:rFonts w:ascii="Times New Roman" w:hAnsi="Times New Roman" w:cs="Times New Roman"/>
          <w:sz w:val="24"/>
          <w:szCs w:val="24"/>
        </w:rPr>
        <w:t xml:space="preserve">for larger </w:t>
      </w:r>
      <w:r>
        <w:rPr>
          <w:rFonts w:ascii="Times New Roman" w:hAnsi="Times New Roman" w:cs="Times New Roman"/>
          <w:sz w:val="24"/>
          <w:szCs w:val="24"/>
        </w:rPr>
        <w:t>food</w:t>
      </w:r>
      <w:r w:rsidR="00B93D26">
        <w:rPr>
          <w:rFonts w:ascii="Times New Roman" w:hAnsi="Times New Roman" w:cs="Times New Roman"/>
          <w:sz w:val="24"/>
          <w:szCs w:val="24"/>
        </w:rPr>
        <w:t xml:space="preserve">, </w:t>
      </w:r>
      <w:r>
        <w:rPr>
          <w:rFonts w:ascii="Times New Roman" w:hAnsi="Times New Roman" w:cs="Times New Roman"/>
          <w:sz w:val="24"/>
          <w:szCs w:val="24"/>
        </w:rPr>
        <w:t>industrial</w:t>
      </w:r>
      <w:r w:rsidR="00B93D26">
        <w:rPr>
          <w:rFonts w:ascii="Times New Roman" w:hAnsi="Times New Roman" w:cs="Times New Roman"/>
          <w:sz w:val="24"/>
          <w:szCs w:val="24"/>
        </w:rPr>
        <w:t>, and pharmaceutical</w:t>
      </w:r>
      <w:r>
        <w:rPr>
          <w:rFonts w:ascii="Times New Roman" w:hAnsi="Times New Roman" w:cs="Times New Roman"/>
          <w:sz w:val="24"/>
          <w:szCs w:val="24"/>
        </w:rPr>
        <w:t xml:space="preserve"> markets.  </w:t>
      </w:r>
    </w:p>
    <w:p w14:paraId="25D2A1D1" w14:textId="42BCA9D0" w:rsidR="00ED20E8" w:rsidRDefault="00ED20E8" w:rsidP="00F00898">
      <w:pPr>
        <w:spacing w:line="480" w:lineRule="auto"/>
        <w:jc w:val="both"/>
        <w:rPr>
          <w:rFonts w:ascii="Times New Roman" w:hAnsi="Times New Roman" w:cs="Times New Roman"/>
          <w:sz w:val="24"/>
          <w:szCs w:val="24"/>
        </w:rPr>
      </w:pPr>
    </w:p>
    <w:p w14:paraId="5ACB659B" w14:textId="63E67B90" w:rsidR="00ED20E8" w:rsidRPr="00182A40" w:rsidRDefault="00ED20E8" w:rsidP="00F00898">
      <w:pPr>
        <w:spacing w:line="480" w:lineRule="auto"/>
        <w:jc w:val="both"/>
        <w:rPr>
          <w:rFonts w:ascii="Times New Roman" w:hAnsi="Times New Roman" w:cs="Times New Roman"/>
          <w:i/>
          <w:iCs/>
          <w:sz w:val="24"/>
          <w:szCs w:val="24"/>
        </w:rPr>
      </w:pPr>
      <w:r w:rsidRPr="00182A40">
        <w:rPr>
          <w:rFonts w:ascii="Times New Roman" w:hAnsi="Times New Roman" w:cs="Times New Roman"/>
          <w:i/>
          <w:iCs/>
          <w:sz w:val="24"/>
          <w:szCs w:val="24"/>
        </w:rPr>
        <w:t xml:space="preserve">4.2 </w:t>
      </w:r>
      <w:r w:rsidR="00E07188" w:rsidRPr="00182A40">
        <w:rPr>
          <w:rFonts w:ascii="Times New Roman" w:hAnsi="Times New Roman" w:cs="Times New Roman"/>
          <w:i/>
          <w:iCs/>
          <w:sz w:val="24"/>
          <w:szCs w:val="24"/>
        </w:rPr>
        <w:t>Quantifying</w:t>
      </w:r>
      <w:r w:rsidRPr="00182A40">
        <w:rPr>
          <w:rFonts w:ascii="Times New Roman" w:hAnsi="Times New Roman" w:cs="Times New Roman"/>
          <w:i/>
          <w:iCs/>
          <w:sz w:val="24"/>
          <w:szCs w:val="24"/>
        </w:rPr>
        <w:t xml:space="preserve"> uncertainty in facility performance </w:t>
      </w:r>
    </w:p>
    <w:p w14:paraId="77542576" w14:textId="6F25998D" w:rsidR="00DE794A" w:rsidRDefault="00DE794A"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Here it is important to re-iterate that the probability distributions selected are not based on commercial-scale data and are primarily based on working process knowledge</w:t>
      </w:r>
      <w:r w:rsidR="00405B4B">
        <w:rPr>
          <w:rFonts w:ascii="Times New Roman" w:hAnsi="Times New Roman" w:cs="Times New Roman"/>
          <w:sz w:val="24"/>
          <w:szCs w:val="24"/>
        </w:rPr>
        <w:t xml:space="preserve">, however the uncertainty framework developed, coupled with detailed process modelling, can be generally applied to assess commercial risks of </w:t>
      </w:r>
      <w:r>
        <w:rPr>
          <w:rFonts w:ascii="Times New Roman" w:hAnsi="Times New Roman" w:cs="Times New Roman"/>
          <w:sz w:val="24"/>
          <w:szCs w:val="24"/>
        </w:rPr>
        <w:t xml:space="preserve">plant molecular </w:t>
      </w:r>
      <w:r w:rsidR="00B5098A">
        <w:rPr>
          <w:rFonts w:ascii="Times New Roman" w:hAnsi="Times New Roman" w:cs="Times New Roman"/>
          <w:sz w:val="24"/>
          <w:szCs w:val="24"/>
        </w:rPr>
        <w:t>farming</w:t>
      </w:r>
      <w:r>
        <w:rPr>
          <w:rFonts w:ascii="Times New Roman" w:hAnsi="Times New Roman" w:cs="Times New Roman"/>
          <w:sz w:val="24"/>
          <w:szCs w:val="24"/>
        </w:rPr>
        <w:t xml:space="preserve">. Thus, the results are not necessarily representative of an existing or prospective outdoor field-based facility, but may instead be leveraged in development, improvement, or monitoring of such projects. </w:t>
      </w:r>
    </w:p>
    <w:p w14:paraId="6909B955" w14:textId="28DC09D0" w:rsidR="00526F23" w:rsidRDefault="003A756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Our investigation of uncertainty in </w:t>
      </w:r>
      <w:r w:rsidR="007E2A48">
        <w:rPr>
          <w:rFonts w:ascii="Times New Roman" w:hAnsi="Times New Roman" w:cs="Times New Roman"/>
          <w:sz w:val="24"/>
          <w:szCs w:val="24"/>
        </w:rPr>
        <w:t>IRR</w:t>
      </w:r>
      <w:r>
        <w:rPr>
          <w:rFonts w:ascii="Times New Roman" w:hAnsi="Times New Roman" w:cs="Times New Roman"/>
          <w:sz w:val="24"/>
          <w:szCs w:val="24"/>
        </w:rPr>
        <w:t xml:space="preserve"> shows that,</w:t>
      </w:r>
      <w:r w:rsidR="001D335C">
        <w:rPr>
          <w:rFonts w:ascii="Times New Roman" w:hAnsi="Times New Roman" w:cs="Times New Roman"/>
          <w:sz w:val="24"/>
          <w:szCs w:val="24"/>
        </w:rPr>
        <w:t xml:space="preserve"> given the</w:t>
      </w:r>
      <w:r>
        <w:rPr>
          <w:rFonts w:ascii="Times New Roman" w:hAnsi="Times New Roman" w:cs="Times New Roman"/>
          <w:sz w:val="24"/>
          <w:szCs w:val="24"/>
        </w:rPr>
        <w:t xml:space="preserve"> </w:t>
      </w:r>
      <w:r w:rsidR="00912E4B">
        <w:rPr>
          <w:rFonts w:ascii="Times New Roman" w:hAnsi="Times New Roman" w:cs="Times New Roman"/>
          <w:sz w:val="24"/>
          <w:szCs w:val="24"/>
        </w:rPr>
        <w:t xml:space="preserve">selected </w:t>
      </w:r>
      <w:r>
        <w:rPr>
          <w:rFonts w:ascii="Times New Roman" w:hAnsi="Times New Roman" w:cs="Times New Roman"/>
          <w:sz w:val="24"/>
          <w:szCs w:val="24"/>
        </w:rPr>
        <w:t xml:space="preserve">probability distribution assumptions, this facility </w:t>
      </w:r>
      <w:r w:rsidR="00912E4B">
        <w:rPr>
          <w:rFonts w:ascii="Times New Roman" w:hAnsi="Times New Roman" w:cs="Times New Roman"/>
          <w:sz w:val="24"/>
          <w:szCs w:val="24"/>
        </w:rPr>
        <w:t xml:space="preserve">(in the 0% oversize scenario) </w:t>
      </w:r>
      <w:r w:rsidR="00A52C98">
        <w:rPr>
          <w:rFonts w:ascii="Times New Roman" w:hAnsi="Times New Roman" w:cs="Times New Roman"/>
          <w:sz w:val="24"/>
          <w:szCs w:val="24"/>
        </w:rPr>
        <w:t>is calculated</w:t>
      </w:r>
      <w:r>
        <w:rPr>
          <w:rFonts w:ascii="Times New Roman" w:hAnsi="Times New Roman" w:cs="Times New Roman"/>
          <w:sz w:val="24"/>
          <w:szCs w:val="24"/>
        </w:rPr>
        <w:t xml:space="preserve"> to </w:t>
      </w:r>
      <w:r w:rsidR="00EC0A56">
        <w:rPr>
          <w:rFonts w:ascii="Times New Roman" w:hAnsi="Times New Roman" w:cs="Times New Roman"/>
          <w:sz w:val="24"/>
          <w:szCs w:val="24"/>
        </w:rPr>
        <w:t>produce a mean</w:t>
      </w:r>
      <w:r w:rsidR="00526F23">
        <w:rPr>
          <w:rFonts w:ascii="Times New Roman" w:hAnsi="Times New Roman" w:cs="Times New Roman"/>
          <w:sz w:val="24"/>
          <w:szCs w:val="24"/>
        </w:rPr>
        <w:t xml:space="preserve"> IRR </w:t>
      </w:r>
      <w:r w:rsidR="004B1A09">
        <w:rPr>
          <w:rFonts w:ascii="Times New Roman" w:hAnsi="Times New Roman" w:cs="Times New Roman"/>
          <w:sz w:val="24"/>
          <w:szCs w:val="24"/>
        </w:rPr>
        <w:t xml:space="preserve">(selling price: $2,275/kg) </w:t>
      </w:r>
      <w:r w:rsidR="00526F23">
        <w:rPr>
          <w:rFonts w:ascii="Times New Roman" w:hAnsi="Times New Roman" w:cs="Times New Roman"/>
          <w:sz w:val="24"/>
          <w:szCs w:val="24"/>
        </w:rPr>
        <w:t xml:space="preserve">of </w:t>
      </w:r>
      <w:r w:rsidR="00D84513">
        <w:rPr>
          <w:rFonts w:ascii="Times New Roman" w:hAnsi="Times New Roman" w:cs="Times New Roman"/>
          <w:sz w:val="24"/>
          <w:szCs w:val="24"/>
        </w:rPr>
        <w:t>33.8%</w:t>
      </w:r>
      <w:r w:rsidR="00526F23">
        <w:rPr>
          <w:rFonts w:ascii="Times New Roman" w:hAnsi="Times New Roman" w:cs="Times New Roman"/>
          <w:sz w:val="24"/>
          <w:szCs w:val="24"/>
        </w:rPr>
        <w:t xml:space="preserve">, a </w:t>
      </w:r>
      <w:r w:rsidR="00D84513">
        <w:rPr>
          <w:rFonts w:ascii="Times New Roman" w:hAnsi="Times New Roman" w:cs="Times New Roman"/>
          <w:sz w:val="24"/>
          <w:szCs w:val="24"/>
        </w:rPr>
        <w:t>6.63</w:t>
      </w:r>
      <w:r w:rsidR="00526F23">
        <w:rPr>
          <w:rFonts w:ascii="Times New Roman" w:hAnsi="Times New Roman" w:cs="Times New Roman"/>
          <w:sz w:val="24"/>
          <w:szCs w:val="24"/>
        </w:rPr>
        <w:t>% decrease from the static average base case of</w:t>
      </w:r>
      <w:r w:rsidR="00D84513">
        <w:rPr>
          <w:rFonts w:ascii="Times New Roman" w:hAnsi="Times New Roman" w:cs="Times New Roman"/>
          <w:sz w:val="24"/>
          <w:szCs w:val="24"/>
        </w:rPr>
        <w:t xml:space="preserve"> 36.2%</w:t>
      </w:r>
      <w:r w:rsidR="00526F23">
        <w:rPr>
          <w:rFonts w:ascii="Times New Roman" w:hAnsi="Times New Roman" w:cs="Times New Roman"/>
          <w:sz w:val="24"/>
          <w:szCs w:val="24"/>
        </w:rPr>
        <w:t xml:space="preserve">. </w:t>
      </w:r>
      <w:r w:rsidR="00543676">
        <w:rPr>
          <w:rFonts w:ascii="Times New Roman" w:hAnsi="Times New Roman" w:cs="Times New Roman"/>
          <w:sz w:val="24"/>
          <w:szCs w:val="24"/>
        </w:rPr>
        <w:t>Expression level was found to be the major contributor (75.6%) to IRR variance. The 100% oversize scenario decreased the mean IRR by 24.9% to 27.2%</w:t>
      </w:r>
      <w:r w:rsidR="003F7044">
        <w:rPr>
          <w:rFonts w:ascii="Times New Roman" w:hAnsi="Times New Roman" w:cs="Times New Roman"/>
          <w:sz w:val="24"/>
          <w:szCs w:val="24"/>
        </w:rPr>
        <w:t xml:space="preserve"> due to the imbalance of the more greatly increased capital investment costs and lesser increase in revenue at the selling prices, and thus profit margins, established in this analysis</w:t>
      </w:r>
      <w:r w:rsidR="00543676">
        <w:rPr>
          <w:rFonts w:ascii="Times New Roman" w:hAnsi="Times New Roman" w:cs="Times New Roman"/>
          <w:sz w:val="24"/>
          <w:szCs w:val="24"/>
        </w:rPr>
        <w:t xml:space="preserve">. </w:t>
      </w:r>
      <w:r w:rsidR="00DA5606">
        <w:rPr>
          <w:rFonts w:ascii="Times New Roman" w:hAnsi="Times New Roman" w:cs="Times New Roman"/>
          <w:sz w:val="24"/>
          <w:szCs w:val="24"/>
        </w:rPr>
        <w:t>Additionally, t</w:t>
      </w:r>
      <w:r w:rsidR="00543676">
        <w:rPr>
          <w:rFonts w:ascii="Times New Roman" w:hAnsi="Times New Roman" w:cs="Times New Roman"/>
          <w:sz w:val="24"/>
          <w:szCs w:val="24"/>
        </w:rPr>
        <w:t xml:space="preserve">he </w:t>
      </w:r>
      <w:r w:rsidR="00DA5606">
        <w:rPr>
          <w:rFonts w:ascii="Times New Roman" w:hAnsi="Times New Roman" w:cs="Times New Roman"/>
          <w:sz w:val="24"/>
          <w:szCs w:val="24"/>
        </w:rPr>
        <w:t xml:space="preserve">distribution is increasingly </w:t>
      </w:r>
      <w:r w:rsidR="00DA5606">
        <w:rPr>
          <w:rFonts w:ascii="Times New Roman" w:hAnsi="Times New Roman" w:cs="Times New Roman"/>
          <w:sz w:val="24"/>
          <w:szCs w:val="24"/>
        </w:rPr>
        <w:lastRenderedPageBreak/>
        <w:t>platykurtic</w:t>
      </w:r>
      <w:r w:rsidR="00BA7F42">
        <w:rPr>
          <w:rFonts w:ascii="Times New Roman" w:hAnsi="Times New Roman" w:cs="Times New Roman"/>
          <w:sz w:val="24"/>
          <w:szCs w:val="24"/>
        </w:rPr>
        <w:t xml:space="preserve"> (i.e.</w:t>
      </w:r>
      <w:r w:rsidR="00E04A76">
        <w:rPr>
          <w:rFonts w:ascii="Times New Roman" w:hAnsi="Times New Roman" w:cs="Times New Roman"/>
          <w:sz w:val="24"/>
          <w:szCs w:val="24"/>
        </w:rPr>
        <w:t>,</w:t>
      </w:r>
      <w:r w:rsidR="00BA7F42">
        <w:rPr>
          <w:rFonts w:ascii="Times New Roman" w:hAnsi="Times New Roman" w:cs="Times New Roman"/>
          <w:sz w:val="24"/>
          <w:szCs w:val="24"/>
        </w:rPr>
        <w:t xml:space="preserve"> flat-shaped, or thinner tailed)</w:t>
      </w:r>
      <w:r w:rsidR="00DA5606">
        <w:rPr>
          <w:rFonts w:ascii="Times New Roman" w:hAnsi="Times New Roman" w:cs="Times New Roman"/>
          <w:sz w:val="24"/>
          <w:szCs w:val="24"/>
        </w:rPr>
        <w:t xml:space="preserve"> with extent of oversizing</w:t>
      </w:r>
      <w:r w:rsidR="003F7044">
        <w:rPr>
          <w:rFonts w:ascii="Times New Roman" w:hAnsi="Times New Roman" w:cs="Times New Roman"/>
          <w:sz w:val="24"/>
          <w:szCs w:val="24"/>
        </w:rPr>
        <w:t xml:space="preserve"> and inversely </w:t>
      </w:r>
      <w:r w:rsidR="00F459CA">
        <w:rPr>
          <w:rFonts w:ascii="Times New Roman" w:hAnsi="Times New Roman" w:cs="Times New Roman"/>
          <w:sz w:val="24"/>
          <w:szCs w:val="24"/>
        </w:rPr>
        <w:t xml:space="preserve">so </w:t>
      </w:r>
      <w:r w:rsidR="003F7044">
        <w:rPr>
          <w:rFonts w:ascii="Times New Roman" w:hAnsi="Times New Roman" w:cs="Times New Roman"/>
          <w:sz w:val="24"/>
          <w:szCs w:val="24"/>
        </w:rPr>
        <w:t>with the selling price</w:t>
      </w:r>
      <w:r w:rsidR="00DA5606">
        <w:rPr>
          <w:rFonts w:ascii="Times New Roman" w:hAnsi="Times New Roman" w:cs="Times New Roman"/>
          <w:sz w:val="24"/>
          <w:szCs w:val="24"/>
        </w:rPr>
        <w:t xml:space="preserve">. </w:t>
      </w:r>
    </w:p>
    <w:p w14:paraId="47BC62EA" w14:textId="6DD6A0FA" w:rsidR="00B93D26" w:rsidRDefault="00526F23"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The simulation resulted in a mean</w:t>
      </w:r>
      <w:r w:rsidR="00EC0A56">
        <w:rPr>
          <w:rFonts w:ascii="Times New Roman" w:hAnsi="Times New Roman" w:cs="Times New Roman"/>
          <w:sz w:val="24"/>
          <w:szCs w:val="24"/>
        </w:rPr>
        <w:t xml:space="preserve"> throughput of 48,046 kg</w:t>
      </w:r>
      <w:r w:rsidR="0022745C">
        <w:rPr>
          <w:rFonts w:ascii="Times New Roman" w:hAnsi="Times New Roman" w:cs="Times New Roman"/>
          <w:sz w:val="24"/>
          <w:szCs w:val="24"/>
        </w:rPr>
        <w:t xml:space="preserve"> product</w:t>
      </w:r>
      <w:r w:rsidR="00EC0A56">
        <w:rPr>
          <w:rFonts w:ascii="Times New Roman" w:hAnsi="Times New Roman" w:cs="Times New Roman"/>
          <w:sz w:val="24"/>
          <w:szCs w:val="24"/>
        </w:rPr>
        <w:t>/year, a 3.88% decrease from the static average base case of 49,983 kg</w:t>
      </w:r>
      <w:r w:rsidR="0022745C">
        <w:rPr>
          <w:rFonts w:ascii="Times New Roman" w:hAnsi="Times New Roman" w:cs="Times New Roman"/>
          <w:sz w:val="24"/>
          <w:szCs w:val="24"/>
        </w:rPr>
        <w:t xml:space="preserve"> product</w:t>
      </w:r>
      <w:r w:rsidR="00EC0A56">
        <w:rPr>
          <w:rFonts w:ascii="Times New Roman" w:hAnsi="Times New Roman" w:cs="Times New Roman"/>
          <w:sz w:val="24"/>
          <w:szCs w:val="24"/>
        </w:rPr>
        <w:t>/year.</w:t>
      </w:r>
      <w:r w:rsidR="003A756F">
        <w:rPr>
          <w:rFonts w:ascii="Times New Roman" w:hAnsi="Times New Roman" w:cs="Times New Roman"/>
          <w:sz w:val="24"/>
          <w:szCs w:val="24"/>
        </w:rPr>
        <w:t xml:space="preserve"> </w:t>
      </w:r>
      <w:r w:rsidR="00CE0B4A">
        <w:rPr>
          <w:rFonts w:ascii="Times New Roman" w:hAnsi="Times New Roman" w:cs="Times New Roman"/>
          <w:sz w:val="24"/>
          <w:szCs w:val="24"/>
        </w:rPr>
        <w:t>Annual throughput</w:t>
      </w:r>
      <w:r w:rsidR="00EC0A56">
        <w:rPr>
          <w:rFonts w:ascii="Times New Roman" w:hAnsi="Times New Roman" w:cs="Times New Roman"/>
          <w:sz w:val="24"/>
          <w:szCs w:val="24"/>
        </w:rPr>
        <w:t xml:space="preserve"> span</w:t>
      </w:r>
      <w:r w:rsidR="00CE0B4A">
        <w:rPr>
          <w:rFonts w:ascii="Times New Roman" w:hAnsi="Times New Roman" w:cs="Times New Roman"/>
          <w:sz w:val="24"/>
          <w:szCs w:val="24"/>
        </w:rPr>
        <w:t>s</w:t>
      </w:r>
      <w:r w:rsidR="00EC0A56">
        <w:rPr>
          <w:rFonts w:ascii="Times New Roman" w:hAnsi="Times New Roman" w:cs="Times New Roman"/>
          <w:sz w:val="24"/>
          <w:szCs w:val="24"/>
        </w:rPr>
        <w:t xml:space="preserve"> from</w:t>
      </w:r>
      <w:r w:rsidR="003A756F">
        <w:rPr>
          <w:rFonts w:ascii="Times New Roman" w:hAnsi="Times New Roman" w:cs="Times New Roman"/>
          <w:sz w:val="24"/>
          <w:szCs w:val="24"/>
        </w:rPr>
        <w:t xml:space="preserve"> </w:t>
      </w:r>
      <w:r w:rsidR="00E15B8B">
        <w:rPr>
          <w:rFonts w:ascii="Times New Roman" w:hAnsi="Times New Roman" w:cs="Times New Roman"/>
          <w:sz w:val="24"/>
          <w:szCs w:val="24"/>
        </w:rPr>
        <w:t>58.8</w:t>
      </w:r>
      <w:r w:rsidR="003A756F">
        <w:rPr>
          <w:rFonts w:ascii="Times New Roman" w:hAnsi="Times New Roman" w:cs="Times New Roman"/>
          <w:sz w:val="24"/>
          <w:szCs w:val="24"/>
        </w:rPr>
        <w:t>% capacity</w:t>
      </w:r>
      <w:r w:rsidR="001D335C">
        <w:rPr>
          <w:rFonts w:ascii="Times New Roman" w:hAnsi="Times New Roman" w:cs="Times New Roman"/>
          <w:sz w:val="24"/>
          <w:szCs w:val="24"/>
        </w:rPr>
        <w:t xml:space="preserve"> (28,248 kg</w:t>
      </w:r>
      <w:r w:rsidR="0022745C">
        <w:rPr>
          <w:rFonts w:ascii="Times New Roman" w:hAnsi="Times New Roman" w:cs="Times New Roman"/>
          <w:sz w:val="24"/>
          <w:szCs w:val="24"/>
        </w:rPr>
        <w:t xml:space="preserve"> product</w:t>
      </w:r>
      <w:r w:rsidR="001D335C">
        <w:rPr>
          <w:rFonts w:ascii="Times New Roman" w:hAnsi="Times New Roman" w:cs="Times New Roman"/>
          <w:sz w:val="24"/>
          <w:szCs w:val="24"/>
        </w:rPr>
        <w:t>/year)</w:t>
      </w:r>
      <w:r w:rsidR="003A756F">
        <w:rPr>
          <w:rFonts w:ascii="Times New Roman" w:hAnsi="Times New Roman" w:cs="Times New Roman"/>
          <w:sz w:val="24"/>
          <w:szCs w:val="24"/>
        </w:rPr>
        <w:t xml:space="preserve"> </w:t>
      </w:r>
      <w:r w:rsidR="00EC0A56">
        <w:rPr>
          <w:rFonts w:ascii="Times New Roman" w:hAnsi="Times New Roman" w:cs="Times New Roman"/>
          <w:sz w:val="24"/>
          <w:szCs w:val="24"/>
        </w:rPr>
        <w:t xml:space="preserve">up to </w:t>
      </w:r>
      <w:r w:rsidR="00CE0B4A">
        <w:rPr>
          <w:rFonts w:ascii="Times New Roman" w:hAnsi="Times New Roman" w:cs="Times New Roman"/>
          <w:sz w:val="24"/>
          <w:szCs w:val="24"/>
        </w:rPr>
        <w:t>124</w:t>
      </w:r>
      <w:r w:rsidR="003A756F">
        <w:rPr>
          <w:rFonts w:ascii="Times New Roman" w:hAnsi="Times New Roman" w:cs="Times New Roman"/>
          <w:sz w:val="24"/>
          <w:szCs w:val="24"/>
        </w:rPr>
        <w:t>% capacity</w:t>
      </w:r>
      <w:r w:rsidR="001D335C">
        <w:rPr>
          <w:rFonts w:ascii="Times New Roman" w:hAnsi="Times New Roman" w:cs="Times New Roman"/>
          <w:sz w:val="24"/>
          <w:szCs w:val="24"/>
        </w:rPr>
        <w:t xml:space="preserve"> (</w:t>
      </w:r>
      <w:r w:rsidR="003C5343">
        <w:rPr>
          <w:rFonts w:ascii="Times New Roman" w:hAnsi="Times New Roman" w:cs="Times New Roman"/>
          <w:sz w:val="24"/>
          <w:szCs w:val="24"/>
        </w:rPr>
        <w:t>59,467 kg</w:t>
      </w:r>
      <w:r w:rsidR="0022745C">
        <w:rPr>
          <w:rFonts w:ascii="Times New Roman" w:hAnsi="Times New Roman" w:cs="Times New Roman"/>
          <w:sz w:val="24"/>
          <w:szCs w:val="24"/>
        </w:rPr>
        <w:t xml:space="preserve"> product</w:t>
      </w:r>
      <w:r w:rsidR="003C5343">
        <w:rPr>
          <w:rFonts w:ascii="Times New Roman" w:hAnsi="Times New Roman" w:cs="Times New Roman"/>
          <w:sz w:val="24"/>
          <w:szCs w:val="24"/>
        </w:rPr>
        <w:t>/year)</w:t>
      </w:r>
      <w:r w:rsidR="003A756F">
        <w:rPr>
          <w:rFonts w:ascii="Times New Roman" w:hAnsi="Times New Roman" w:cs="Times New Roman"/>
          <w:sz w:val="24"/>
          <w:szCs w:val="24"/>
        </w:rPr>
        <w:t xml:space="preserve"> </w:t>
      </w:r>
      <w:r w:rsidR="001D335C">
        <w:rPr>
          <w:rFonts w:ascii="Times New Roman" w:hAnsi="Times New Roman" w:cs="Times New Roman"/>
          <w:sz w:val="24"/>
          <w:szCs w:val="24"/>
        </w:rPr>
        <w:t>of</w:t>
      </w:r>
      <w:r w:rsidR="003A756F">
        <w:rPr>
          <w:rFonts w:ascii="Times New Roman" w:hAnsi="Times New Roman" w:cs="Times New Roman"/>
          <w:sz w:val="24"/>
          <w:szCs w:val="24"/>
        </w:rPr>
        <w:t xml:space="preserve"> the</w:t>
      </w:r>
      <w:r w:rsidR="00EC0A56">
        <w:rPr>
          <w:rFonts w:ascii="Times New Roman" w:hAnsi="Times New Roman" w:cs="Times New Roman"/>
          <w:sz w:val="24"/>
          <w:szCs w:val="24"/>
        </w:rPr>
        <w:t xml:space="preserve"> mean</w:t>
      </w:r>
      <w:r w:rsidR="003A756F">
        <w:rPr>
          <w:rFonts w:ascii="Times New Roman" w:hAnsi="Times New Roman" w:cs="Times New Roman"/>
          <w:sz w:val="24"/>
          <w:szCs w:val="24"/>
        </w:rPr>
        <w:t xml:space="preserve">. </w:t>
      </w:r>
      <w:r w:rsidR="00FB6F54">
        <w:rPr>
          <w:rFonts w:ascii="Times New Roman" w:hAnsi="Times New Roman" w:cs="Times New Roman"/>
          <w:sz w:val="24"/>
          <w:szCs w:val="24"/>
        </w:rPr>
        <w:t xml:space="preserve">Expression level was found to be the major contributor (75.6%) to annual throughput variance. </w:t>
      </w:r>
      <w:r w:rsidR="00321A0C">
        <w:rPr>
          <w:rFonts w:ascii="Times New Roman" w:hAnsi="Times New Roman" w:cs="Times New Roman"/>
          <w:sz w:val="24"/>
          <w:szCs w:val="24"/>
        </w:rPr>
        <w:t xml:space="preserve">The 100% oversize scenario increased the mean throughput by </w:t>
      </w:r>
      <w:r w:rsidR="006112AE">
        <w:rPr>
          <w:rFonts w:ascii="Times New Roman" w:hAnsi="Times New Roman" w:cs="Times New Roman"/>
          <w:sz w:val="24"/>
          <w:szCs w:val="24"/>
        </w:rPr>
        <w:t>3.85</w:t>
      </w:r>
      <w:r w:rsidR="00321A0C">
        <w:rPr>
          <w:rFonts w:ascii="Times New Roman" w:hAnsi="Times New Roman" w:cs="Times New Roman"/>
          <w:sz w:val="24"/>
          <w:szCs w:val="24"/>
        </w:rPr>
        <w:t>%</w:t>
      </w:r>
      <w:r w:rsidR="00E15B8B">
        <w:rPr>
          <w:rFonts w:ascii="Times New Roman" w:hAnsi="Times New Roman" w:cs="Times New Roman"/>
          <w:sz w:val="24"/>
          <w:szCs w:val="24"/>
        </w:rPr>
        <w:t xml:space="preserve"> (49,893 kg</w:t>
      </w:r>
      <w:r w:rsidR="0022745C">
        <w:rPr>
          <w:rFonts w:ascii="Times New Roman" w:hAnsi="Times New Roman" w:cs="Times New Roman"/>
          <w:sz w:val="24"/>
          <w:szCs w:val="24"/>
        </w:rPr>
        <w:t xml:space="preserve"> product</w:t>
      </w:r>
      <w:r w:rsidR="00E15B8B">
        <w:rPr>
          <w:rFonts w:ascii="Times New Roman" w:hAnsi="Times New Roman" w:cs="Times New Roman"/>
          <w:sz w:val="24"/>
          <w:szCs w:val="24"/>
        </w:rPr>
        <w:t>/year) to match the base case static average</w:t>
      </w:r>
      <w:r w:rsidR="00321A0C">
        <w:rPr>
          <w:rFonts w:ascii="Times New Roman" w:hAnsi="Times New Roman" w:cs="Times New Roman"/>
          <w:sz w:val="24"/>
          <w:szCs w:val="24"/>
        </w:rPr>
        <w:t xml:space="preserve">. </w:t>
      </w:r>
      <w:r w:rsidR="00E15B8B">
        <w:rPr>
          <w:rFonts w:ascii="Times New Roman" w:hAnsi="Times New Roman" w:cs="Times New Roman"/>
          <w:sz w:val="24"/>
          <w:szCs w:val="24"/>
        </w:rPr>
        <w:t xml:space="preserve">This intuitive shift is a result of the 0% oversizing scenario resulting in over-capacity stream volumes that are accounted for in the 100% oversizing scenario, thus restoring the effective mean value to that of the governing distribution mean. </w:t>
      </w:r>
    </w:p>
    <w:p w14:paraId="43162F4C" w14:textId="258CB66D" w:rsidR="009E202F" w:rsidRDefault="00487338"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52C98">
        <w:rPr>
          <w:rFonts w:ascii="Times New Roman" w:hAnsi="Times New Roman" w:cs="Times New Roman"/>
          <w:sz w:val="24"/>
          <w:szCs w:val="24"/>
        </w:rPr>
        <w:t>simulated</w:t>
      </w:r>
      <w:r>
        <w:rPr>
          <w:rFonts w:ascii="Times New Roman" w:hAnsi="Times New Roman" w:cs="Times New Roman"/>
          <w:sz w:val="24"/>
          <w:szCs w:val="24"/>
        </w:rPr>
        <w:t xml:space="preserve"> facility </w:t>
      </w:r>
      <w:r w:rsidR="00A52C98">
        <w:rPr>
          <w:rFonts w:ascii="Times New Roman" w:hAnsi="Times New Roman" w:cs="Times New Roman"/>
          <w:sz w:val="24"/>
          <w:szCs w:val="24"/>
        </w:rPr>
        <w:t>is projected</w:t>
      </w:r>
      <w:r>
        <w:rPr>
          <w:rFonts w:ascii="Times New Roman" w:hAnsi="Times New Roman" w:cs="Times New Roman"/>
          <w:sz w:val="24"/>
          <w:szCs w:val="24"/>
        </w:rPr>
        <w:t xml:space="preserve"> to produce the main product </w:t>
      </w:r>
      <w:r w:rsidR="00DE794A">
        <w:rPr>
          <w:rFonts w:ascii="Times New Roman" w:hAnsi="Times New Roman" w:cs="Times New Roman"/>
          <w:sz w:val="24"/>
          <w:szCs w:val="24"/>
        </w:rPr>
        <w:t xml:space="preserve">(including depreciation) </w:t>
      </w:r>
      <w:r w:rsidR="00EC0A56">
        <w:rPr>
          <w:rFonts w:ascii="Times New Roman" w:hAnsi="Times New Roman" w:cs="Times New Roman"/>
          <w:sz w:val="24"/>
          <w:szCs w:val="24"/>
        </w:rPr>
        <w:t>at a mean COGS of $762/</w:t>
      </w:r>
      <w:r w:rsidR="00956892">
        <w:rPr>
          <w:rFonts w:ascii="Times New Roman" w:hAnsi="Times New Roman" w:cs="Times New Roman"/>
          <w:sz w:val="24"/>
          <w:szCs w:val="24"/>
        </w:rPr>
        <w:t>k</w:t>
      </w:r>
      <w:r w:rsidR="00EC0A56">
        <w:rPr>
          <w:rFonts w:ascii="Times New Roman" w:hAnsi="Times New Roman" w:cs="Times New Roman"/>
          <w:sz w:val="24"/>
          <w:szCs w:val="24"/>
        </w:rPr>
        <w:t>g, an 8.7% increase from the static average base case of $701/</w:t>
      </w:r>
      <w:r w:rsidR="00956892">
        <w:rPr>
          <w:rFonts w:ascii="Times New Roman" w:hAnsi="Times New Roman" w:cs="Times New Roman"/>
          <w:sz w:val="24"/>
          <w:szCs w:val="24"/>
        </w:rPr>
        <w:t>k</w:t>
      </w:r>
      <w:r w:rsidR="00EC0A56">
        <w:rPr>
          <w:rFonts w:ascii="Times New Roman" w:hAnsi="Times New Roman" w:cs="Times New Roman"/>
          <w:sz w:val="24"/>
          <w:szCs w:val="24"/>
        </w:rPr>
        <w:t>g. COGS spans as</w:t>
      </w:r>
      <w:r>
        <w:rPr>
          <w:rFonts w:ascii="Times New Roman" w:hAnsi="Times New Roman" w:cs="Times New Roman"/>
          <w:sz w:val="24"/>
          <w:szCs w:val="24"/>
        </w:rPr>
        <w:t xml:space="preserve"> </w:t>
      </w:r>
      <w:r w:rsidR="00EC0A56">
        <w:rPr>
          <w:rFonts w:ascii="Times New Roman" w:hAnsi="Times New Roman" w:cs="Times New Roman"/>
          <w:sz w:val="24"/>
          <w:szCs w:val="24"/>
        </w:rPr>
        <w:t>low</w:t>
      </w:r>
      <w:r>
        <w:rPr>
          <w:rFonts w:ascii="Times New Roman" w:hAnsi="Times New Roman" w:cs="Times New Roman"/>
          <w:sz w:val="24"/>
          <w:szCs w:val="24"/>
        </w:rPr>
        <w:t xml:space="preserve"> as </w:t>
      </w:r>
      <w:r w:rsidR="00E15B8B">
        <w:rPr>
          <w:rFonts w:ascii="Times New Roman" w:hAnsi="Times New Roman" w:cs="Times New Roman"/>
          <w:sz w:val="24"/>
          <w:szCs w:val="24"/>
        </w:rPr>
        <w:t>79.8</w:t>
      </w:r>
      <w:r>
        <w:rPr>
          <w:rFonts w:ascii="Times New Roman" w:hAnsi="Times New Roman" w:cs="Times New Roman"/>
          <w:sz w:val="24"/>
          <w:szCs w:val="24"/>
        </w:rPr>
        <w:t>% (</w:t>
      </w:r>
      <w:r w:rsidR="001E14E4">
        <w:rPr>
          <w:rFonts w:ascii="Times New Roman" w:hAnsi="Times New Roman" w:cs="Times New Roman"/>
          <w:sz w:val="24"/>
          <w:szCs w:val="24"/>
        </w:rPr>
        <w:t>$608/</w:t>
      </w:r>
      <w:r w:rsidR="00956892">
        <w:rPr>
          <w:rFonts w:ascii="Times New Roman" w:hAnsi="Times New Roman" w:cs="Times New Roman"/>
          <w:sz w:val="24"/>
          <w:szCs w:val="24"/>
        </w:rPr>
        <w:t>k</w:t>
      </w:r>
      <w:r w:rsidR="001E14E4">
        <w:rPr>
          <w:rFonts w:ascii="Times New Roman" w:hAnsi="Times New Roman" w:cs="Times New Roman"/>
          <w:sz w:val="24"/>
          <w:szCs w:val="24"/>
        </w:rPr>
        <w:t>g</w:t>
      </w:r>
      <w:r>
        <w:rPr>
          <w:rFonts w:ascii="Times New Roman" w:hAnsi="Times New Roman" w:cs="Times New Roman"/>
          <w:sz w:val="24"/>
          <w:szCs w:val="24"/>
        </w:rPr>
        <w:t xml:space="preserve">) </w:t>
      </w:r>
      <w:r w:rsidR="00EC0A56">
        <w:rPr>
          <w:rFonts w:ascii="Times New Roman" w:hAnsi="Times New Roman" w:cs="Times New Roman"/>
          <w:sz w:val="24"/>
          <w:szCs w:val="24"/>
        </w:rPr>
        <w:t xml:space="preserve">and </w:t>
      </w:r>
      <w:r w:rsidR="00CE0B4A">
        <w:rPr>
          <w:rFonts w:ascii="Times New Roman" w:hAnsi="Times New Roman" w:cs="Times New Roman"/>
          <w:sz w:val="24"/>
          <w:szCs w:val="24"/>
        </w:rPr>
        <w:t>as high as 1</w:t>
      </w:r>
      <w:r w:rsidR="00E15B8B">
        <w:rPr>
          <w:rFonts w:ascii="Times New Roman" w:hAnsi="Times New Roman" w:cs="Times New Roman"/>
          <w:sz w:val="24"/>
          <w:szCs w:val="24"/>
        </w:rPr>
        <w:t>69</w:t>
      </w:r>
      <w:r>
        <w:rPr>
          <w:rFonts w:ascii="Times New Roman" w:hAnsi="Times New Roman" w:cs="Times New Roman"/>
          <w:sz w:val="24"/>
          <w:szCs w:val="24"/>
        </w:rPr>
        <w:t>% (</w:t>
      </w:r>
      <w:r w:rsidR="001E14E4">
        <w:rPr>
          <w:rFonts w:ascii="Times New Roman" w:hAnsi="Times New Roman" w:cs="Times New Roman"/>
          <w:sz w:val="24"/>
          <w:szCs w:val="24"/>
        </w:rPr>
        <w:t>$1,284/</w:t>
      </w:r>
      <w:r w:rsidR="00956892">
        <w:rPr>
          <w:rFonts w:ascii="Times New Roman" w:hAnsi="Times New Roman" w:cs="Times New Roman"/>
          <w:sz w:val="24"/>
          <w:szCs w:val="24"/>
        </w:rPr>
        <w:t>k</w:t>
      </w:r>
      <w:r w:rsidR="001E14E4">
        <w:rPr>
          <w:rFonts w:ascii="Times New Roman" w:hAnsi="Times New Roman" w:cs="Times New Roman"/>
          <w:sz w:val="24"/>
          <w:szCs w:val="24"/>
        </w:rPr>
        <w:t>g</w:t>
      </w:r>
      <w:r>
        <w:rPr>
          <w:rFonts w:ascii="Times New Roman" w:hAnsi="Times New Roman" w:cs="Times New Roman"/>
          <w:sz w:val="24"/>
          <w:szCs w:val="24"/>
        </w:rPr>
        <w:t>)</w:t>
      </w:r>
      <w:r w:rsidR="00EC0A56">
        <w:rPr>
          <w:rFonts w:ascii="Times New Roman" w:hAnsi="Times New Roman" w:cs="Times New Roman"/>
          <w:sz w:val="24"/>
          <w:szCs w:val="24"/>
        </w:rPr>
        <w:t xml:space="preserve"> </w:t>
      </w:r>
      <w:r w:rsidR="00CE0B4A">
        <w:rPr>
          <w:rFonts w:ascii="Times New Roman" w:hAnsi="Times New Roman" w:cs="Times New Roman"/>
          <w:sz w:val="24"/>
          <w:szCs w:val="24"/>
        </w:rPr>
        <w:t xml:space="preserve">of </w:t>
      </w:r>
      <w:r w:rsidR="00EC0A56">
        <w:rPr>
          <w:rFonts w:ascii="Times New Roman" w:hAnsi="Times New Roman" w:cs="Times New Roman"/>
          <w:sz w:val="24"/>
          <w:szCs w:val="24"/>
        </w:rPr>
        <w:t>the mean value</w:t>
      </w:r>
      <w:r>
        <w:rPr>
          <w:rFonts w:ascii="Times New Roman" w:hAnsi="Times New Roman" w:cs="Times New Roman"/>
          <w:sz w:val="24"/>
          <w:szCs w:val="24"/>
        </w:rPr>
        <w:t xml:space="preserve">. </w:t>
      </w:r>
      <w:r w:rsidR="00FB6F54">
        <w:rPr>
          <w:rFonts w:ascii="Times New Roman" w:hAnsi="Times New Roman" w:cs="Times New Roman"/>
          <w:sz w:val="24"/>
          <w:szCs w:val="24"/>
        </w:rPr>
        <w:t xml:space="preserve">Expression level was also the major contributor (77.1%) to variance in this case. </w:t>
      </w:r>
      <w:r>
        <w:rPr>
          <w:rFonts w:ascii="Times New Roman" w:hAnsi="Times New Roman" w:cs="Times New Roman"/>
          <w:sz w:val="24"/>
          <w:szCs w:val="24"/>
        </w:rPr>
        <w:t xml:space="preserve">The 100% oversize scenario </w:t>
      </w:r>
      <w:r w:rsidR="001E14E4">
        <w:rPr>
          <w:rFonts w:ascii="Times New Roman" w:hAnsi="Times New Roman" w:cs="Times New Roman"/>
          <w:sz w:val="24"/>
          <w:szCs w:val="24"/>
        </w:rPr>
        <w:t xml:space="preserve">results in an </w:t>
      </w:r>
      <w:r>
        <w:rPr>
          <w:rFonts w:ascii="Times New Roman" w:hAnsi="Times New Roman" w:cs="Times New Roman"/>
          <w:sz w:val="24"/>
          <w:szCs w:val="24"/>
        </w:rPr>
        <w:t>increased mean COGS by 21.4%</w:t>
      </w:r>
      <w:r w:rsidR="00862F20">
        <w:rPr>
          <w:rFonts w:ascii="Times New Roman" w:hAnsi="Times New Roman" w:cs="Times New Roman"/>
          <w:sz w:val="24"/>
          <w:szCs w:val="24"/>
        </w:rPr>
        <w:t xml:space="preserve"> ($925/</w:t>
      </w:r>
      <w:r w:rsidR="00956892">
        <w:rPr>
          <w:rFonts w:ascii="Times New Roman" w:hAnsi="Times New Roman" w:cs="Times New Roman"/>
          <w:sz w:val="24"/>
          <w:szCs w:val="24"/>
        </w:rPr>
        <w:t>k</w:t>
      </w:r>
      <w:r w:rsidR="00862F20">
        <w:rPr>
          <w:rFonts w:ascii="Times New Roman" w:hAnsi="Times New Roman" w:cs="Times New Roman"/>
          <w:sz w:val="24"/>
          <w:szCs w:val="24"/>
        </w:rPr>
        <w:t>g)</w:t>
      </w:r>
      <w:r>
        <w:rPr>
          <w:rFonts w:ascii="Times New Roman" w:hAnsi="Times New Roman" w:cs="Times New Roman"/>
          <w:sz w:val="24"/>
          <w:szCs w:val="24"/>
        </w:rPr>
        <w:t xml:space="preserve">. </w:t>
      </w:r>
      <w:r w:rsidR="00912E4B">
        <w:rPr>
          <w:rFonts w:ascii="Times New Roman" w:hAnsi="Times New Roman" w:cs="Times New Roman"/>
          <w:sz w:val="24"/>
          <w:szCs w:val="24"/>
        </w:rPr>
        <w:t>The q</w:t>
      </w:r>
      <w:r w:rsidR="002373D7">
        <w:rPr>
          <w:rFonts w:ascii="Times New Roman" w:hAnsi="Times New Roman" w:cs="Times New Roman"/>
          <w:sz w:val="24"/>
          <w:szCs w:val="24"/>
        </w:rPr>
        <w:t xml:space="preserve">uantification of uncertainty in COGS </w:t>
      </w:r>
      <w:r w:rsidR="00912E4B">
        <w:rPr>
          <w:rFonts w:ascii="Times New Roman" w:hAnsi="Times New Roman" w:cs="Times New Roman"/>
          <w:sz w:val="24"/>
          <w:szCs w:val="24"/>
        </w:rPr>
        <w:t xml:space="preserve">is critical for understanding which product markets are economically accessible for a given facility. Conversely, </w:t>
      </w:r>
      <w:r w:rsidR="002373D7">
        <w:rPr>
          <w:rFonts w:ascii="Times New Roman" w:hAnsi="Times New Roman" w:cs="Times New Roman"/>
          <w:sz w:val="24"/>
          <w:szCs w:val="24"/>
        </w:rPr>
        <w:t xml:space="preserve">this provides information that can be used to </w:t>
      </w:r>
      <w:r w:rsidR="00912E4B">
        <w:rPr>
          <w:rFonts w:ascii="Times New Roman" w:hAnsi="Times New Roman" w:cs="Times New Roman"/>
          <w:sz w:val="24"/>
          <w:szCs w:val="24"/>
        </w:rPr>
        <w:t>inform the target product selling</w:t>
      </w:r>
      <w:r w:rsidR="002373D7">
        <w:rPr>
          <w:rFonts w:ascii="Times New Roman" w:hAnsi="Times New Roman" w:cs="Times New Roman"/>
          <w:sz w:val="24"/>
          <w:szCs w:val="24"/>
        </w:rPr>
        <w:t xml:space="preserve"> price. </w:t>
      </w:r>
    </w:p>
    <w:p w14:paraId="28BD3D00" w14:textId="7F7A29DD" w:rsidR="00912E4B" w:rsidRDefault="00487338"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52C98">
        <w:rPr>
          <w:rFonts w:ascii="Times New Roman" w:hAnsi="Times New Roman" w:cs="Times New Roman"/>
          <w:sz w:val="24"/>
          <w:szCs w:val="24"/>
        </w:rPr>
        <w:t xml:space="preserve">simulated </w:t>
      </w:r>
      <w:r>
        <w:rPr>
          <w:rFonts w:ascii="Times New Roman" w:hAnsi="Times New Roman" w:cs="Times New Roman"/>
          <w:sz w:val="24"/>
          <w:szCs w:val="24"/>
        </w:rPr>
        <w:t>facility product purity</w:t>
      </w:r>
      <w:r w:rsidR="00735794">
        <w:rPr>
          <w:rFonts w:ascii="Times New Roman" w:hAnsi="Times New Roman" w:cs="Times New Roman"/>
          <w:sz w:val="24"/>
          <w:szCs w:val="24"/>
        </w:rPr>
        <w:t xml:space="preserve"> mean value is equal to the base case static average of 98.0%.</w:t>
      </w:r>
      <w:r>
        <w:rPr>
          <w:rFonts w:ascii="Times New Roman" w:hAnsi="Times New Roman" w:cs="Times New Roman"/>
          <w:sz w:val="24"/>
          <w:szCs w:val="24"/>
        </w:rPr>
        <w:t xml:space="preserve"> </w:t>
      </w:r>
      <w:r w:rsidR="00735794">
        <w:rPr>
          <w:rFonts w:ascii="Times New Roman" w:hAnsi="Times New Roman" w:cs="Times New Roman"/>
          <w:sz w:val="24"/>
          <w:szCs w:val="24"/>
        </w:rPr>
        <w:t xml:space="preserve">The product purity </w:t>
      </w:r>
      <w:r>
        <w:rPr>
          <w:rFonts w:ascii="Times New Roman" w:hAnsi="Times New Roman" w:cs="Times New Roman"/>
          <w:sz w:val="24"/>
          <w:szCs w:val="24"/>
        </w:rPr>
        <w:t xml:space="preserve">ranges from </w:t>
      </w:r>
      <w:r w:rsidR="00735794">
        <w:rPr>
          <w:rFonts w:ascii="Times New Roman" w:hAnsi="Times New Roman" w:cs="Times New Roman"/>
          <w:sz w:val="24"/>
          <w:szCs w:val="24"/>
        </w:rPr>
        <w:t>97.9</w:t>
      </w:r>
      <w:r>
        <w:rPr>
          <w:rFonts w:ascii="Times New Roman" w:hAnsi="Times New Roman" w:cs="Times New Roman"/>
          <w:sz w:val="24"/>
          <w:szCs w:val="24"/>
        </w:rPr>
        <w:t>% lower (</w:t>
      </w:r>
      <w:r w:rsidR="001E14E4">
        <w:rPr>
          <w:rFonts w:ascii="Times New Roman" w:hAnsi="Times New Roman" w:cs="Times New Roman"/>
          <w:sz w:val="24"/>
          <w:szCs w:val="24"/>
        </w:rPr>
        <w:t>95.9</w:t>
      </w:r>
      <w:r>
        <w:rPr>
          <w:rFonts w:ascii="Times New Roman" w:hAnsi="Times New Roman" w:cs="Times New Roman"/>
          <w:sz w:val="24"/>
          <w:szCs w:val="24"/>
        </w:rPr>
        <w:t xml:space="preserve">%) to </w:t>
      </w:r>
      <w:r w:rsidR="00735794">
        <w:rPr>
          <w:rFonts w:ascii="Times New Roman" w:hAnsi="Times New Roman" w:cs="Times New Roman"/>
          <w:sz w:val="24"/>
          <w:szCs w:val="24"/>
        </w:rPr>
        <w:t>102</w:t>
      </w:r>
      <w:r>
        <w:rPr>
          <w:rFonts w:ascii="Times New Roman" w:hAnsi="Times New Roman" w:cs="Times New Roman"/>
          <w:sz w:val="24"/>
          <w:szCs w:val="24"/>
        </w:rPr>
        <w:t>% higher (</w:t>
      </w:r>
      <w:r w:rsidR="001E14E4">
        <w:rPr>
          <w:rFonts w:ascii="Times New Roman" w:hAnsi="Times New Roman" w:cs="Times New Roman"/>
          <w:sz w:val="24"/>
          <w:szCs w:val="24"/>
        </w:rPr>
        <w:t>99.0</w:t>
      </w:r>
      <w:r w:rsidR="00272481">
        <w:rPr>
          <w:rFonts w:ascii="Times New Roman" w:hAnsi="Times New Roman" w:cs="Times New Roman"/>
          <w:sz w:val="24"/>
          <w:szCs w:val="24"/>
        </w:rPr>
        <w:t>%</w:t>
      </w:r>
      <w:r>
        <w:rPr>
          <w:rFonts w:ascii="Times New Roman" w:hAnsi="Times New Roman" w:cs="Times New Roman"/>
          <w:sz w:val="24"/>
          <w:szCs w:val="24"/>
        </w:rPr>
        <w:t xml:space="preserve">) purity than the </w:t>
      </w:r>
      <w:r w:rsidR="00735794">
        <w:rPr>
          <w:rFonts w:ascii="Times New Roman" w:hAnsi="Times New Roman" w:cs="Times New Roman"/>
          <w:sz w:val="24"/>
          <w:szCs w:val="24"/>
        </w:rPr>
        <w:t xml:space="preserve">mean value. </w:t>
      </w:r>
      <w:r w:rsidR="00F14DE0">
        <w:rPr>
          <w:rFonts w:ascii="Times New Roman" w:hAnsi="Times New Roman" w:cs="Times New Roman"/>
          <w:sz w:val="24"/>
          <w:szCs w:val="24"/>
        </w:rPr>
        <w:t xml:space="preserve">The plate and frame filtration product loss </w:t>
      </w:r>
      <w:proofErr w:type="gramStart"/>
      <w:r w:rsidR="00F14DE0">
        <w:rPr>
          <w:rFonts w:ascii="Times New Roman" w:hAnsi="Times New Roman" w:cs="Times New Roman"/>
          <w:sz w:val="24"/>
          <w:szCs w:val="24"/>
        </w:rPr>
        <w:t>was</w:t>
      </w:r>
      <w:proofErr w:type="gramEnd"/>
      <w:r w:rsidR="00F14DE0">
        <w:rPr>
          <w:rFonts w:ascii="Times New Roman" w:hAnsi="Times New Roman" w:cs="Times New Roman"/>
          <w:sz w:val="24"/>
          <w:szCs w:val="24"/>
        </w:rPr>
        <w:t xml:space="preserve"> the most significant contributor (</w:t>
      </w:r>
      <w:r w:rsidR="00C63AB5">
        <w:rPr>
          <w:rFonts w:ascii="Times New Roman" w:hAnsi="Times New Roman" w:cs="Times New Roman"/>
          <w:sz w:val="24"/>
          <w:szCs w:val="24"/>
        </w:rPr>
        <w:t xml:space="preserve">at </w:t>
      </w:r>
      <w:r w:rsidR="00F14DE0">
        <w:rPr>
          <w:rFonts w:ascii="Times New Roman" w:hAnsi="Times New Roman" w:cs="Times New Roman"/>
          <w:sz w:val="24"/>
          <w:szCs w:val="24"/>
        </w:rPr>
        <w:t xml:space="preserve">56.5%) to product purity variance. </w:t>
      </w:r>
      <w:r>
        <w:rPr>
          <w:rFonts w:ascii="Times New Roman" w:hAnsi="Times New Roman" w:cs="Times New Roman"/>
          <w:sz w:val="24"/>
          <w:szCs w:val="24"/>
        </w:rPr>
        <w:t>The 100% oversiz</w:t>
      </w:r>
      <w:r w:rsidR="00A034F4">
        <w:rPr>
          <w:rFonts w:ascii="Times New Roman" w:hAnsi="Times New Roman" w:cs="Times New Roman"/>
          <w:sz w:val="24"/>
          <w:szCs w:val="24"/>
        </w:rPr>
        <w:t>ing</w:t>
      </w:r>
      <w:r>
        <w:rPr>
          <w:rFonts w:ascii="Times New Roman" w:hAnsi="Times New Roman" w:cs="Times New Roman"/>
          <w:sz w:val="24"/>
          <w:szCs w:val="24"/>
        </w:rPr>
        <w:t xml:space="preserve"> scenario</w:t>
      </w:r>
      <w:r w:rsidR="001E14E4">
        <w:rPr>
          <w:rFonts w:ascii="Times New Roman" w:hAnsi="Times New Roman" w:cs="Times New Roman"/>
          <w:sz w:val="24"/>
          <w:szCs w:val="24"/>
        </w:rPr>
        <w:t xml:space="preserve"> </w:t>
      </w:r>
      <w:r w:rsidR="00A034F4">
        <w:rPr>
          <w:rFonts w:ascii="Times New Roman" w:hAnsi="Times New Roman" w:cs="Times New Roman"/>
          <w:sz w:val="24"/>
          <w:szCs w:val="24"/>
        </w:rPr>
        <w:t>resulted in a mean value equal to the 0% oversizing scenario mean.</w:t>
      </w:r>
      <w:r>
        <w:rPr>
          <w:rFonts w:ascii="Times New Roman" w:hAnsi="Times New Roman" w:cs="Times New Roman"/>
          <w:sz w:val="24"/>
          <w:szCs w:val="24"/>
        </w:rPr>
        <w:t xml:space="preserve"> </w:t>
      </w:r>
      <w:r w:rsidR="00912E4B">
        <w:rPr>
          <w:rFonts w:ascii="Times New Roman" w:hAnsi="Times New Roman" w:cs="Times New Roman"/>
          <w:sz w:val="24"/>
          <w:szCs w:val="24"/>
        </w:rPr>
        <w:t xml:space="preserve">The quantification of uncertainty in product purity obtained in this study </w:t>
      </w:r>
      <w:r w:rsidR="00FD06FE">
        <w:rPr>
          <w:rFonts w:ascii="Times New Roman" w:hAnsi="Times New Roman" w:cs="Times New Roman"/>
          <w:sz w:val="24"/>
          <w:szCs w:val="24"/>
        </w:rPr>
        <w:t xml:space="preserve">shows that there is considerable variation in extent of purity, which may or may not be problematic </w:t>
      </w:r>
      <w:r w:rsidR="00FD06FE">
        <w:rPr>
          <w:rFonts w:ascii="Times New Roman" w:hAnsi="Times New Roman" w:cs="Times New Roman"/>
          <w:sz w:val="24"/>
          <w:szCs w:val="24"/>
        </w:rPr>
        <w:lastRenderedPageBreak/>
        <w:t>for a specific product, which is also largely dependent on the impurities profile (e.g.</w:t>
      </w:r>
      <w:r w:rsidR="006C4EFF">
        <w:rPr>
          <w:rFonts w:ascii="Times New Roman" w:hAnsi="Times New Roman" w:cs="Times New Roman"/>
          <w:sz w:val="24"/>
          <w:szCs w:val="24"/>
        </w:rPr>
        <w:t>,</w:t>
      </w:r>
      <w:r w:rsidR="00FD06FE">
        <w:rPr>
          <w:rFonts w:ascii="Times New Roman" w:hAnsi="Times New Roman" w:cs="Times New Roman"/>
          <w:sz w:val="24"/>
          <w:szCs w:val="24"/>
        </w:rPr>
        <w:t xml:space="preserve"> variation in </w:t>
      </w:r>
      <w:r w:rsidR="00C63AB5">
        <w:rPr>
          <w:rFonts w:ascii="Times New Roman" w:hAnsi="Times New Roman" w:cs="Times New Roman"/>
          <w:sz w:val="24"/>
          <w:szCs w:val="24"/>
        </w:rPr>
        <w:t xml:space="preserve">native allergen or microbial toxin </w:t>
      </w:r>
      <w:r w:rsidR="00FD06FE">
        <w:rPr>
          <w:rFonts w:ascii="Times New Roman" w:hAnsi="Times New Roman" w:cs="Times New Roman"/>
          <w:sz w:val="24"/>
          <w:szCs w:val="24"/>
        </w:rPr>
        <w:t>levels would present a larger obstacle)</w:t>
      </w:r>
      <w:r w:rsidR="00912E4B">
        <w:rPr>
          <w:rFonts w:ascii="Times New Roman" w:hAnsi="Times New Roman" w:cs="Times New Roman"/>
          <w:sz w:val="24"/>
          <w:szCs w:val="24"/>
        </w:rPr>
        <w:t xml:space="preserve">. </w:t>
      </w:r>
      <w:r w:rsidR="00FD06FE">
        <w:rPr>
          <w:rFonts w:ascii="Times New Roman" w:hAnsi="Times New Roman" w:cs="Times New Roman"/>
          <w:sz w:val="24"/>
          <w:szCs w:val="24"/>
        </w:rPr>
        <w:t xml:space="preserve">Realistically, annual product purity variation is not </w:t>
      </w:r>
      <w:r w:rsidR="00C63AB5">
        <w:rPr>
          <w:rFonts w:ascii="Times New Roman" w:hAnsi="Times New Roman" w:cs="Times New Roman"/>
          <w:sz w:val="24"/>
          <w:szCs w:val="24"/>
        </w:rPr>
        <w:t xml:space="preserve">particularly </w:t>
      </w:r>
      <w:r w:rsidR="00FD06FE">
        <w:rPr>
          <w:rFonts w:ascii="Times New Roman" w:hAnsi="Times New Roman" w:cs="Times New Roman"/>
          <w:sz w:val="24"/>
          <w:szCs w:val="24"/>
        </w:rPr>
        <w:t>useful for designing a facility. This process performance metric</w:t>
      </w:r>
      <w:r w:rsidR="00673E2E">
        <w:rPr>
          <w:rFonts w:ascii="Times New Roman" w:hAnsi="Times New Roman" w:cs="Times New Roman"/>
          <w:sz w:val="24"/>
          <w:szCs w:val="24"/>
        </w:rPr>
        <w:t>, which in preparation for an actual facility construction would be split into its meaningful constituents,</w:t>
      </w:r>
      <w:r w:rsidR="00FD06FE">
        <w:rPr>
          <w:rFonts w:ascii="Times New Roman" w:hAnsi="Times New Roman" w:cs="Times New Roman"/>
          <w:sz w:val="24"/>
          <w:szCs w:val="24"/>
        </w:rPr>
        <w:t xml:space="preserve"> would be better suited to analysis at a level </w:t>
      </w:r>
      <w:r w:rsidR="00C63AB5">
        <w:rPr>
          <w:rFonts w:ascii="Times New Roman" w:hAnsi="Times New Roman" w:cs="Times New Roman"/>
          <w:sz w:val="24"/>
          <w:szCs w:val="24"/>
        </w:rPr>
        <w:t xml:space="preserve">of </w:t>
      </w:r>
      <w:r w:rsidR="00FD06FE">
        <w:rPr>
          <w:rFonts w:ascii="Times New Roman" w:hAnsi="Times New Roman" w:cs="Times New Roman"/>
          <w:sz w:val="24"/>
          <w:szCs w:val="24"/>
        </w:rPr>
        <w:t xml:space="preserve">batch-to-batch variation. </w:t>
      </w:r>
    </w:p>
    <w:p w14:paraId="1E9D3A60" w14:textId="77777777" w:rsidR="00445C73" w:rsidRDefault="00445C73" w:rsidP="00F00898">
      <w:pPr>
        <w:spacing w:line="480" w:lineRule="auto"/>
        <w:jc w:val="both"/>
        <w:rPr>
          <w:rFonts w:ascii="Times New Roman" w:hAnsi="Times New Roman" w:cs="Times New Roman"/>
          <w:sz w:val="24"/>
          <w:szCs w:val="24"/>
        </w:rPr>
      </w:pPr>
    </w:p>
    <w:p w14:paraId="38E6E521" w14:textId="4AC62108" w:rsidR="00ED20E8" w:rsidRPr="00182A40" w:rsidRDefault="00ED20E8" w:rsidP="00F00898">
      <w:pPr>
        <w:spacing w:line="480" w:lineRule="auto"/>
        <w:jc w:val="both"/>
        <w:rPr>
          <w:rFonts w:ascii="Times New Roman" w:hAnsi="Times New Roman" w:cs="Times New Roman"/>
          <w:i/>
          <w:iCs/>
          <w:sz w:val="24"/>
          <w:szCs w:val="24"/>
        </w:rPr>
      </w:pPr>
      <w:r w:rsidRPr="00182A40">
        <w:rPr>
          <w:rFonts w:ascii="Times New Roman" w:hAnsi="Times New Roman" w:cs="Times New Roman"/>
          <w:i/>
          <w:iCs/>
          <w:sz w:val="24"/>
          <w:szCs w:val="24"/>
        </w:rPr>
        <w:t>4.3 Batch-to-batch uncertainty in facility performance</w:t>
      </w:r>
    </w:p>
    <w:p w14:paraId="34D8D98F" w14:textId="77A2C7FA" w:rsidR="00445C73" w:rsidRDefault="00085F54"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The analysis thus far has focused on uncertainty in the annual average values for input assumptions. This is representative of a project planning or preliminary engineering estimate, classified as level 2 or level 3 in some systems</w:t>
      </w:r>
      <w:r w:rsidR="00467765">
        <w:rPr>
          <w:rFonts w:ascii="Times New Roman" w:hAnsi="Times New Roman" w:cs="Times New Roman"/>
          <w:sz w:val="24"/>
          <w:szCs w:val="24"/>
        </w:rPr>
        <w:t xml:space="preserve"> </w:t>
      </w:r>
      <w:r w:rsidR="00E07188">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{"citationItems":[{"id":"ITEM-1","itemData":{"DOI":"10.1007/978-3-030-16230-6_9","abstract":"This chapter teaches students and practicing engineers the fundamentals of bioprocess simulation, with an emphasis on economic evaluation of integrated biotech processes. Given a product and a desired annual production rate (process throughput), bioprocess simulation endeavors to answer the following and other related questions: What are the required amounts of raw materials and utilities needed for a single batch? What are the required sizes of process equipment and supporting utilities? What is the total capital investment? What is the manufacturing cost? What is the minimum time between consecutive batches? Which process steps or resources are the likely production bottlenecks? What changes can increase throughput and/or reduce costs? What is the environmental impact of the process? Which design is the “best” (fastest or least expensive) among several plausible alternatives?","author":[{"dropping-particle":"","family":"Petrides","given":"Demetri","non-dropping-particle":"","parse-names":false,"suffix":""},{"dropping-particle":"","family":"Carmichael","given":"Doug","non-dropping-particle":"","parse-names":false,"suffix":""},{"dropping-particle":"","family":"Siletti","given":"Charles","non-dropping-particle":"","parse-names":false,"suffix":""},{"dropping-particle":"","family":"Koulouris","given":"Alexandros","non-dropping-particle":"","parse-names":false,"suffix":""}],"container-title":"Essentials in Fermentation Technology","id":"ITEM-1","issued":{"date-parts":[["2019"]]},"page":"273-305","publisher":"Springer, Cham","title":"Bioprocess Simulation and Economics","type":"chapter"},"uris":["http://www.mendeley.com/documents/?uuid=459ed6a0-257b-3b32-b973-fe704d736017"]}],"mendeley":{"formattedCitation":"(Petrides et al., 2019)","plainTextFormattedCitation":"(Petrides et al., 2019)","previouslyFormattedCitation":"(Petrides et al., 2019)"},"properties":{"noteIndex":0},"schema":"https://github.com/citation-style-language/schema/raw/master/csl-citation.json"}</w:instrText>
      </w:r>
      <w:r w:rsidR="00E07188">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(Petrides et al., 2019)</w:t>
      </w:r>
      <w:r w:rsidR="00E07188">
        <w:rPr>
          <w:rFonts w:ascii="Times New Roman" w:hAnsi="Times New Roman" w:cs="Times New Roman"/>
          <w:sz w:val="24"/>
          <w:szCs w:val="24"/>
        </w:rPr>
        <w:fldChar w:fldCharType="end"/>
      </w:r>
      <w:r>
        <w:rPr>
          <w:rFonts w:ascii="Times New Roman" w:hAnsi="Times New Roman" w:cs="Times New Roman"/>
          <w:sz w:val="24"/>
          <w:szCs w:val="24"/>
        </w:rPr>
        <w:t xml:space="preserve">, where design errors are expected to be in the range of </w:t>
      </w:r>
      <w:r w:rsidR="00674E3D">
        <w:rPr>
          <w:rFonts w:ascii="Times New Roman" w:hAnsi="Times New Roman" w:cs="Times New Roman"/>
          <w:sz w:val="24"/>
          <w:szCs w:val="24"/>
        </w:rPr>
        <w:t>±</w:t>
      </w:r>
      <w:r w:rsidR="00162451">
        <w:rPr>
          <w:rFonts w:ascii="Times New Roman" w:hAnsi="Times New Roman" w:cs="Times New Roman"/>
          <w:sz w:val="24"/>
          <w:szCs w:val="24"/>
        </w:rPr>
        <w:t>2</w:t>
      </w:r>
      <w:r w:rsidR="00674E3D">
        <w:rPr>
          <w:rFonts w:ascii="Times New Roman" w:hAnsi="Times New Roman" w:cs="Times New Roman"/>
          <w:sz w:val="24"/>
          <w:szCs w:val="24"/>
        </w:rPr>
        <w:t>0</w:t>
      </w:r>
      <w:r w:rsidR="00162451">
        <w:rPr>
          <w:rFonts w:ascii="Times New Roman" w:hAnsi="Times New Roman" w:cs="Times New Roman"/>
          <w:sz w:val="24"/>
          <w:szCs w:val="24"/>
        </w:rPr>
        <w:t xml:space="preserve">-30%. </w:t>
      </w:r>
      <w:r w:rsidR="008656FB">
        <w:rPr>
          <w:rFonts w:ascii="Times New Roman" w:hAnsi="Times New Roman" w:cs="Times New Roman"/>
          <w:sz w:val="24"/>
          <w:szCs w:val="24"/>
        </w:rPr>
        <w:t>When</w:t>
      </w:r>
      <w:r w:rsidR="00162451">
        <w:rPr>
          <w:rFonts w:ascii="Times New Roman" w:hAnsi="Times New Roman" w:cs="Times New Roman"/>
          <w:sz w:val="24"/>
          <w:szCs w:val="24"/>
        </w:rPr>
        <w:t xml:space="preserve"> the product development and commercialization life cycle is sufficiently advanced, there is greater value in detailed engineering estimates (classified as a level 4 design estimate). At that juncture, </w:t>
      </w:r>
      <w:r w:rsidR="008656FB">
        <w:rPr>
          <w:rFonts w:ascii="Times New Roman" w:hAnsi="Times New Roman" w:cs="Times New Roman"/>
          <w:sz w:val="24"/>
          <w:szCs w:val="24"/>
        </w:rPr>
        <w:t xml:space="preserve">it is probable that </w:t>
      </w:r>
      <w:r w:rsidR="00281C7A">
        <w:rPr>
          <w:rFonts w:ascii="Times New Roman" w:hAnsi="Times New Roman" w:cs="Times New Roman"/>
          <w:sz w:val="24"/>
          <w:szCs w:val="24"/>
        </w:rPr>
        <w:t xml:space="preserve">the </w:t>
      </w:r>
      <w:r w:rsidR="00162451">
        <w:rPr>
          <w:rFonts w:ascii="Times New Roman" w:hAnsi="Times New Roman" w:cs="Times New Roman"/>
          <w:sz w:val="24"/>
          <w:szCs w:val="24"/>
        </w:rPr>
        <w:t xml:space="preserve">expected </w:t>
      </w:r>
      <w:r w:rsidR="00281C7A">
        <w:rPr>
          <w:rFonts w:ascii="Times New Roman" w:hAnsi="Times New Roman" w:cs="Times New Roman"/>
          <w:sz w:val="24"/>
          <w:szCs w:val="24"/>
        </w:rPr>
        <w:t xml:space="preserve">facility performance is better </w:t>
      </w:r>
      <w:r w:rsidR="00162451">
        <w:rPr>
          <w:rFonts w:ascii="Times New Roman" w:hAnsi="Times New Roman" w:cs="Times New Roman"/>
          <w:sz w:val="24"/>
          <w:szCs w:val="24"/>
        </w:rPr>
        <w:t>characterized</w:t>
      </w:r>
      <w:r w:rsidR="008656FB">
        <w:rPr>
          <w:rFonts w:ascii="Times New Roman" w:hAnsi="Times New Roman" w:cs="Times New Roman"/>
          <w:sz w:val="24"/>
          <w:szCs w:val="24"/>
        </w:rPr>
        <w:t>,</w:t>
      </w:r>
      <w:r w:rsidR="00281C7A">
        <w:rPr>
          <w:rFonts w:ascii="Times New Roman" w:hAnsi="Times New Roman" w:cs="Times New Roman"/>
          <w:sz w:val="24"/>
          <w:szCs w:val="24"/>
        </w:rPr>
        <w:t xml:space="preserve"> </w:t>
      </w:r>
      <w:r w:rsidR="00162451">
        <w:rPr>
          <w:rFonts w:ascii="Times New Roman" w:hAnsi="Times New Roman" w:cs="Times New Roman"/>
          <w:sz w:val="24"/>
          <w:szCs w:val="24"/>
        </w:rPr>
        <w:t xml:space="preserve">with more preliminary data available, </w:t>
      </w:r>
      <w:r w:rsidR="00281C7A">
        <w:rPr>
          <w:rFonts w:ascii="Times New Roman" w:hAnsi="Times New Roman" w:cs="Times New Roman"/>
          <w:sz w:val="24"/>
          <w:szCs w:val="24"/>
        </w:rPr>
        <w:t>and</w:t>
      </w:r>
      <w:r w:rsidR="00162451">
        <w:rPr>
          <w:rFonts w:ascii="Times New Roman" w:hAnsi="Times New Roman" w:cs="Times New Roman"/>
          <w:sz w:val="24"/>
          <w:szCs w:val="24"/>
        </w:rPr>
        <w:t xml:space="preserve"> that </w:t>
      </w:r>
      <w:r w:rsidR="00281C7A">
        <w:rPr>
          <w:rFonts w:ascii="Times New Roman" w:hAnsi="Times New Roman" w:cs="Times New Roman"/>
          <w:sz w:val="24"/>
          <w:szCs w:val="24"/>
        </w:rPr>
        <w:t>batch-to-batch variance</w:t>
      </w:r>
      <w:r w:rsidR="00162451">
        <w:rPr>
          <w:rFonts w:ascii="Times New Roman" w:hAnsi="Times New Roman" w:cs="Times New Roman"/>
          <w:sz w:val="24"/>
          <w:szCs w:val="24"/>
        </w:rPr>
        <w:t xml:space="preserve"> may </w:t>
      </w:r>
      <w:r w:rsidR="00674E3D">
        <w:rPr>
          <w:rFonts w:ascii="Times New Roman" w:hAnsi="Times New Roman" w:cs="Times New Roman"/>
          <w:sz w:val="24"/>
          <w:szCs w:val="24"/>
        </w:rPr>
        <w:t>more appropriately</w:t>
      </w:r>
      <w:r w:rsidR="00162451">
        <w:rPr>
          <w:rFonts w:ascii="Times New Roman" w:hAnsi="Times New Roman" w:cs="Times New Roman"/>
          <w:sz w:val="24"/>
          <w:szCs w:val="24"/>
        </w:rPr>
        <w:t xml:space="preserve"> describe the questions around uncertainty</w:t>
      </w:r>
      <w:r w:rsidR="008656FB">
        <w:rPr>
          <w:rFonts w:ascii="Times New Roman" w:hAnsi="Times New Roman" w:cs="Times New Roman"/>
          <w:sz w:val="24"/>
          <w:szCs w:val="24"/>
        </w:rPr>
        <w:t>.</w:t>
      </w:r>
      <w:r w:rsidR="00281C7A">
        <w:rPr>
          <w:rFonts w:ascii="Times New Roman" w:hAnsi="Times New Roman" w:cs="Times New Roman"/>
          <w:sz w:val="24"/>
          <w:szCs w:val="24"/>
        </w:rPr>
        <w:t xml:space="preserve"> </w:t>
      </w:r>
      <w:r w:rsidR="008656FB">
        <w:rPr>
          <w:rFonts w:ascii="Times New Roman" w:hAnsi="Times New Roman" w:cs="Times New Roman"/>
          <w:sz w:val="24"/>
          <w:szCs w:val="24"/>
        </w:rPr>
        <w:t xml:space="preserve">In these situations, </w:t>
      </w:r>
      <w:r w:rsidR="00281C7A">
        <w:rPr>
          <w:rFonts w:ascii="Times New Roman" w:hAnsi="Times New Roman" w:cs="Times New Roman"/>
          <w:sz w:val="24"/>
          <w:szCs w:val="24"/>
        </w:rPr>
        <w:t>we</w:t>
      </w:r>
      <w:r w:rsidR="009E202F">
        <w:rPr>
          <w:rFonts w:ascii="Times New Roman" w:hAnsi="Times New Roman" w:cs="Times New Roman"/>
          <w:sz w:val="24"/>
          <w:szCs w:val="24"/>
        </w:rPr>
        <w:t xml:space="preserve"> </w:t>
      </w:r>
      <w:r w:rsidR="00281C7A">
        <w:rPr>
          <w:rFonts w:ascii="Times New Roman" w:hAnsi="Times New Roman" w:cs="Times New Roman"/>
          <w:sz w:val="24"/>
          <w:szCs w:val="24"/>
        </w:rPr>
        <w:t xml:space="preserve">can </w:t>
      </w:r>
      <w:r w:rsidR="009E202F">
        <w:rPr>
          <w:rFonts w:ascii="Times New Roman" w:hAnsi="Times New Roman" w:cs="Times New Roman"/>
          <w:sz w:val="24"/>
          <w:szCs w:val="24"/>
        </w:rPr>
        <w:t xml:space="preserve">treat each </w:t>
      </w:r>
      <w:r w:rsidR="00674E3D">
        <w:rPr>
          <w:rFonts w:ascii="Times New Roman" w:hAnsi="Times New Roman" w:cs="Times New Roman"/>
          <w:sz w:val="24"/>
          <w:szCs w:val="24"/>
        </w:rPr>
        <w:t xml:space="preserve">process performance </w:t>
      </w:r>
      <w:r w:rsidR="00281C7A">
        <w:rPr>
          <w:rFonts w:ascii="Times New Roman" w:hAnsi="Times New Roman" w:cs="Times New Roman"/>
          <w:sz w:val="24"/>
          <w:szCs w:val="24"/>
        </w:rPr>
        <w:t xml:space="preserve">simulation </w:t>
      </w:r>
      <w:r w:rsidR="009E202F">
        <w:rPr>
          <w:rFonts w:ascii="Times New Roman" w:hAnsi="Times New Roman" w:cs="Times New Roman"/>
          <w:sz w:val="24"/>
          <w:szCs w:val="24"/>
        </w:rPr>
        <w:t xml:space="preserve">trial </w:t>
      </w:r>
      <w:r w:rsidR="00C359FD">
        <w:rPr>
          <w:rFonts w:ascii="Times New Roman" w:hAnsi="Times New Roman" w:cs="Times New Roman"/>
          <w:sz w:val="24"/>
          <w:szCs w:val="24"/>
        </w:rPr>
        <w:t xml:space="preserve">result </w:t>
      </w:r>
      <w:r w:rsidR="009E202F">
        <w:rPr>
          <w:rFonts w:ascii="Times New Roman" w:hAnsi="Times New Roman" w:cs="Times New Roman"/>
          <w:sz w:val="24"/>
          <w:szCs w:val="24"/>
        </w:rPr>
        <w:t>as a single batch output</w:t>
      </w:r>
      <w:r w:rsidR="00162451">
        <w:rPr>
          <w:rFonts w:ascii="Times New Roman" w:hAnsi="Times New Roman" w:cs="Times New Roman"/>
          <w:sz w:val="24"/>
          <w:szCs w:val="24"/>
        </w:rPr>
        <w:t>, rather than an annual average value</w:t>
      </w:r>
      <w:r w:rsidR="00281C7A">
        <w:rPr>
          <w:rFonts w:ascii="Times New Roman" w:hAnsi="Times New Roman" w:cs="Times New Roman"/>
          <w:sz w:val="24"/>
          <w:szCs w:val="24"/>
        </w:rPr>
        <w:t xml:space="preserve">. </w:t>
      </w:r>
      <w:r w:rsidR="00674E3D">
        <w:rPr>
          <w:rFonts w:ascii="Times New Roman" w:hAnsi="Times New Roman" w:cs="Times New Roman"/>
          <w:sz w:val="24"/>
          <w:szCs w:val="24"/>
        </w:rPr>
        <w:t>It is important to note that the probability distributions for batch-level and annual average-level descriptions will most likely be designed using different sets of assumptions.</w:t>
      </w:r>
    </w:p>
    <w:p w14:paraId="056158F2" w14:textId="14874C48" w:rsidR="009E202F" w:rsidRDefault="00C359FD"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F</w:t>
      </w:r>
      <w:r w:rsidR="00162451">
        <w:rPr>
          <w:rFonts w:ascii="Times New Roman" w:hAnsi="Times New Roman" w:cs="Times New Roman"/>
          <w:sz w:val="24"/>
          <w:szCs w:val="24"/>
        </w:rPr>
        <w:t>or the sake of illustration in comparing annual- to batch-level uncertainty in this analysis</w:t>
      </w:r>
      <w:r w:rsidR="00674E3D">
        <w:rPr>
          <w:rFonts w:ascii="Times New Roman" w:hAnsi="Times New Roman" w:cs="Times New Roman"/>
          <w:sz w:val="24"/>
          <w:szCs w:val="24"/>
        </w:rPr>
        <w:t>, we perform a</w:t>
      </w:r>
      <w:r w:rsidR="00162451">
        <w:rPr>
          <w:rFonts w:ascii="Times New Roman" w:hAnsi="Times New Roman" w:cs="Times New Roman"/>
          <w:sz w:val="24"/>
          <w:szCs w:val="24"/>
        </w:rPr>
        <w:t xml:space="preserve"> brief exercise </w:t>
      </w:r>
      <w:r w:rsidR="00674E3D">
        <w:rPr>
          <w:rFonts w:ascii="Times New Roman" w:hAnsi="Times New Roman" w:cs="Times New Roman"/>
          <w:sz w:val="24"/>
          <w:szCs w:val="24"/>
        </w:rPr>
        <w:t xml:space="preserve">in describing batch-level uncertainty, </w:t>
      </w:r>
      <w:proofErr w:type="gramStart"/>
      <w:r w:rsidR="00674E3D">
        <w:rPr>
          <w:rFonts w:ascii="Times New Roman" w:hAnsi="Times New Roman" w:cs="Times New Roman"/>
          <w:sz w:val="24"/>
          <w:szCs w:val="24"/>
        </w:rPr>
        <w:t xml:space="preserve">assuming </w:t>
      </w:r>
      <w:r w:rsidR="00162451">
        <w:rPr>
          <w:rFonts w:ascii="Times New Roman" w:hAnsi="Times New Roman" w:cs="Times New Roman"/>
          <w:sz w:val="24"/>
          <w:szCs w:val="24"/>
        </w:rPr>
        <w:t>that</w:t>
      </w:r>
      <w:proofErr w:type="gramEnd"/>
      <w:r w:rsidR="00162451">
        <w:rPr>
          <w:rFonts w:ascii="Times New Roman" w:hAnsi="Times New Roman" w:cs="Times New Roman"/>
          <w:sz w:val="24"/>
          <w:szCs w:val="24"/>
        </w:rPr>
        <w:t xml:space="preserve"> the input assumptions</w:t>
      </w:r>
      <w:r w:rsidR="00C34C0E">
        <w:rPr>
          <w:rFonts w:ascii="Times New Roman" w:hAnsi="Times New Roman" w:cs="Times New Roman"/>
          <w:sz w:val="24"/>
          <w:szCs w:val="24"/>
        </w:rPr>
        <w:t xml:space="preserve"> previously defined for annual-level uncertainty are instead describing batch-level uncertainty. </w:t>
      </w:r>
      <w:r w:rsidR="00281C7A">
        <w:rPr>
          <w:rFonts w:ascii="Times New Roman" w:hAnsi="Times New Roman" w:cs="Times New Roman"/>
          <w:sz w:val="24"/>
          <w:szCs w:val="24"/>
        </w:rPr>
        <w:t>To understand the annual facility behavior given batch-level uncertainty, we</w:t>
      </w:r>
      <w:r w:rsidR="009E202F">
        <w:rPr>
          <w:rFonts w:ascii="Times New Roman" w:hAnsi="Times New Roman" w:cs="Times New Roman"/>
          <w:sz w:val="24"/>
          <w:szCs w:val="24"/>
        </w:rPr>
        <w:t xml:space="preserve"> </w:t>
      </w:r>
      <w:r w:rsidR="00281C7A">
        <w:rPr>
          <w:rFonts w:ascii="Times New Roman" w:hAnsi="Times New Roman" w:cs="Times New Roman"/>
          <w:sz w:val="24"/>
          <w:szCs w:val="24"/>
        </w:rPr>
        <w:t xml:space="preserve">randomly group trial </w:t>
      </w:r>
      <w:r w:rsidR="00281C7A">
        <w:rPr>
          <w:rFonts w:ascii="Times New Roman" w:hAnsi="Times New Roman" w:cs="Times New Roman"/>
          <w:sz w:val="24"/>
          <w:szCs w:val="24"/>
        </w:rPr>
        <w:lastRenderedPageBreak/>
        <w:t xml:space="preserve">outputs into sets whose size corresponds to </w:t>
      </w:r>
      <w:r w:rsidR="009E202F">
        <w:rPr>
          <w:rFonts w:ascii="Times New Roman" w:hAnsi="Times New Roman" w:cs="Times New Roman"/>
          <w:sz w:val="24"/>
          <w:szCs w:val="24"/>
        </w:rPr>
        <w:t xml:space="preserve">the </w:t>
      </w:r>
      <w:r w:rsidR="00C34C0E">
        <w:rPr>
          <w:rFonts w:ascii="Times New Roman" w:hAnsi="Times New Roman" w:cs="Times New Roman"/>
          <w:sz w:val="24"/>
          <w:szCs w:val="24"/>
        </w:rPr>
        <w:t xml:space="preserve">affordable </w:t>
      </w:r>
      <w:r w:rsidR="009E202F">
        <w:rPr>
          <w:rFonts w:ascii="Times New Roman" w:hAnsi="Times New Roman" w:cs="Times New Roman"/>
          <w:sz w:val="24"/>
          <w:szCs w:val="24"/>
        </w:rPr>
        <w:t>number of batches</w:t>
      </w:r>
      <w:r w:rsidR="00674E3D">
        <w:rPr>
          <w:rFonts w:ascii="Times New Roman" w:hAnsi="Times New Roman" w:cs="Times New Roman"/>
          <w:sz w:val="24"/>
          <w:szCs w:val="24"/>
        </w:rPr>
        <w:t xml:space="preserve"> per year</w:t>
      </w:r>
      <w:r w:rsidR="00162451">
        <w:rPr>
          <w:rFonts w:ascii="Times New Roman" w:hAnsi="Times New Roman" w:cs="Times New Roman"/>
          <w:sz w:val="24"/>
          <w:szCs w:val="24"/>
        </w:rPr>
        <w:t>, which is</w:t>
      </w:r>
      <w:r w:rsidR="009E202F">
        <w:rPr>
          <w:rFonts w:ascii="Times New Roman" w:hAnsi="Times New Roman" w:cs="Times New Roman"/>
          <w:sz w:val="24"/>
          <w:szCs w:val="24"/>
        </w:rPr>
        <w:t xml:space="preserve"> calculated based on scheduling. </w:t>
      </w:r>
      <w:r w:rsidR="00162451">
        <w:rPr>
          <w:rFonts w:ascii="Times New Roman" w:hAnsi="Times New Roman" w:cs="Times New Roman"/>
          <w:sz w:val="24"/>
          <w:szCs w:val="24"/>
        </w:rPr>
        <w:t>Performing such</w:t>
      </w:r>
      <w:r w:rsidR="00C34C0E">
        <w:rPr>
          <w:rFonts w:ascii="Times New Roman" w:hAnsi="Times New Roman" w:cs="Times New Roman"/>
          <w:sz w:val="24"/>
          <w:szCs w:val="24"/>
        </w:rPr>
        <w:t xml:space="preserve"> a calculation,</w:t>
      </w:r>
      <w:r w:rsidR="009E202F">
        <w:rPr>
          <w:rFonts w:ascii="Times New Roman" w:hAnsi="Times New Roman" w:cs="Times New Roman"/>
          <w:sz w:val="24"/>
          <w:szCs w:val="24"/>
        </w:rPr>
        <w:t xml:space="preserve"> the range of uncertainty in </w:t>
      </w:r>
      <w:r w:rsidR="008656FB">
        <w:rPr>
          <w:rFonts w:ascii="Times New Roman" w:hAnsi="Times New Roman" w:cs="Times New Roman"/>
          <w:sz w:val="24"/>
          <w:szCs w:val="24"/>
        </w:rPr>
        <w:t xml:space="preserve">process performance metric outputs is much more controlled, as </w:t>
      </w:r>
      <w:r w:rsidR="00C34C0E">
        <w:rPr>
          <w:rFonts w:ascii="Times New Roman" w:hAnsi="Times New Roman" w:cs="Times New Roman"/>
          <w:sz w:val="24"/>
          <w:szCs w:val="24"/>
        </w:rPr>
        <w:t xml:space="preserve">would be </w:t>
      </w:r>
      <w:r w:rsidR="008656FB">
        <w:rPr>
          <w:rFonts w:ascii="Times New Roman" w:hAnsi="Times New Roman" w:cs="Times New Roman"/>
          <w:sz w:val="24"/>
          <w:szCs w:val="24"/>
        </w:rPr>
        <w:t xml:space="preserve">expected; </w:t>
      </w:r>
      <w:r w:rsidR="009A0CF1">
        <w:rPr>
          <w:rFonts w:ascii="Times New Roman" w:hAnsi="Times New Roman" w:cs="Times New Roman"/>
          <w:sz w:val="24"/>
          <w:szCs w:val="24"/>
        </w:rPr>
        <w:t xml:space="preserve">for the 0% oversizing scenario the </w:t>
      </w:r>
      <w:r w:rsidR="009E202F">
        <w:rPr>
          <w:rFonts w:ascii="Times New Roman" w:hAnsi="Times New Roman" w:cs="Times New Roman"/>
          <w:sz w:val="24"/>
          <w:szCs w:val="24"/>
        </w:rPr>
        <w:t xml:space="preserve">annual throughput </w:t>
      </w:r>
      <w:r w:rsidR="00C34C0E">
        <w:rPr>
          <w:rFonts w:ascii="Times New Roman" w:hAnsi="Times New Roman" w:cs="Times New Roman"/>
          <w:sz w:val="24"/>
          <w:szCs w:val="24"/>
        </w:rPr>
        <w:t>uncertainty spans</w:t>
      </w:r>
      <w:r w:rsidR="009E202F">
        <w:rPr>
          <w:rFonts w:ascii="Times New Roman" w:hAnsi="Times New Roman" w:cs="Times New Roman"/>
          <w:sz w:val="24"/>
          <w:szCs w:val="24"/>
        </w:rPr>
        <w:t xml:space="preserve"> 93.8 – 98.3% </w:t>
      </w:r>
      <w:r w:rsidR="00337BCA">
        <w:rPr>
          <w:rFonts w:ascii="Times New Roman" w:hAnsi="Times New Roman" w:cs="Times New Roman"/>
          <w:sz w:val="24"/>
          <w:szCs w:val="24"/>
        </w:rPr>
        <w:t xml:space="preserve">of the </w:t>
      </w:r>
      <w:r w:rsidR="008656FB">
        <w:rPr>
          <w:rFonts w:ascii="Times New Roman" w:hAnsi="Times New Roman" w:cs="Times New Roman"/>
          <w:sz w:val="24"/>
          <w:szCs w:val="24"/>
        </w:rPr>
        <w:t>base case</w:t>
      </w:r>
      <w:r w:rsidR="009A0CF1">
        <w:rPr>
          <w:rFonts w:ascii="Times New Roman" w:hAnsi="Times New Roman" w:cs="Times New Roman"/>
          <w:sz w:val="24"/>
          <w:szCs w:val="24"/>
        </w:rPr>
        <w:t xml:space="preserve"> static average</w:t>
      </w:r>
      <w:r w:rsidR="008656FB">
        <w:rPr>
          <w:rFonts w:ascii="Times New Roman" w:hAnsi="Times New Roman" w:cs="Times New Roman"/>
          <w:sz w:val="24"/>
          <w:szCs w:val="24"/>
        </w:rPr>
        <w:t xml:space="preserve"> capacity</w:t>
      </w:r>
      <w:r w:rsidR="00C34C0E">
        <w:rPr>
          <w:rFonts w:ascii="Times New Roman" w:hAnsi="Times New Roman" w:cs="Times New Roman"/>
          <w:sz w:val="24"/>
          <w:szCs w:val="24"/>
        </w:rPr>
        <w:t>,</w:t>
      </w:r>
      <w:r w:rsidR="008656FB">
        <w:rPr>
          <w:rFonts w:ascii="Times New Roman" w:hAnsi="Times New Roman" w:cs="Times New Roman"/>
          <w:sz w:val="24"/>
          <w:szCs w:val="24"/>
        </w:rPr>
        <w:t xml:space="preserve"> COGS </w:t>
      </w:r>
      <w:r w:rsidR="00C34C0E">
        <w:rPr>
          <w:rFonts w:ascii="Times New Roman" w:hAnsi="Times New Roman" w:cs="Times New Roman"/>
          <w:sz w:val="24"/>
          <w:szCs w:val="24"/>
        </w:rPr>
        <w:t>uncertainty spans</w:t>
      </w:r>
      <w:r w:rsidR="008656FB">
        <w:rPr>
          <w:rFonts w:ascii="Times New Roman" w:hAnsi="Times New Roman" w:cs="Times New Roman"/>
          <w:sz w:val="24"/>
          <w:szCs w:val="24"/>
        </w:rPr>
        <w:t xml:space="preserve"> </w:t>
      </w:r>
      <w:r w:rsidR="00A13C72">
        <w:rPr>
          <w:rFonts w:ascii="Times New Roman" w:hAnsi="Times New Roman" w:cs="Times New Roman"/>
          <w:sz w:val="24"/>
          <w:szCs w:val="24"/>
        </w:rPr>
        <w:t xml:space="preserve">106.0 – 111.3% of the </w:t>
      </w:r>
      <w:r w:rsidR="008656FB">
        <w:rPr>
          <w:rFonts w:ascii="Times New Roman" w:hAnsi="Times New Roman" w:cs="Times New Roman"/>
          <w:sz w:val="24"/>
          <w:szCs w:val="24"/>
        </w:rPr>
        <w:t>base case</w:t>
      </w:r>
      <w:r w:rsidR="00A13C72">
        <w:rPr>
          <w:rFonts w:ascii="Times New Roman" w:hAnsi="Times New Roman" w:cs="Times New Roman"/>
          <w:sz w:val="24"/>
          <w:szCs w:val="24"/>
        </w:rPr>
        <w:t xml:space="preserve"> </w:t>
      </w:r>
      <w:r w:rsidR="009A0CF1">
        <w:rPr>
          <w:rFonts w:ascii="Times New Roman" w:hAnsi="Times New Roman" w:cs="Times New Roman"/>
          <w:sz w:val="24"/>
          <w:szCs w:val="24"/>
        </w:rPr>
        <w:t xml:space="preserve">static average </w:t>
      </w:r>
      <w:r w:rsidR="00A13C72">
        <w:rPr>
          <w:rFonts w:ascii="Times New Roman" w:hAnsi="Times New Roman" w:cs="Times New Roman"/>
          <w:sz w:val="24"/>
          <w:szCs w:val="24"/>
        </w:rPr>
        <w:t>cost</w:t>
      </w:r>
      <w:r w:rsidR="00C34C0E">
        <w:rPr>
          <w:rFonts w:ascii="Times New Roman" w:hAnsi="Times New Roman" w:cs="Times New Roman"/>
          <w:sz w:val="24"/>
          <w:szCs w:val="24"/>
        </w:rPr>
        <w:t>,</w:t>
      </w:r>
      <w:r w:rsidR="008656FB">
        <w:rPr>
          <w:rFonts w:ascii="Times New Roman" w:hAnsi="Times New Roman" w:cs="Times New Roman"/>
          <w:sz w:val="24"/>
          <w:szCs w:val="24"/>
        </w:rPr>
        <w:t xml:space="preserve"> </w:t>
      </w:r>
      <w:r w:rsidR="00337BCA">
        <w:rPr>
          <w:rFonts w:ascii="Times New Roman" w:hAnsi="Times New Roman" w:cs="Times New Roman"/>
          <w:sz w:val="24"/>
          <w:szCs w:val="24"/>
        </w:rPr>
        <w:t xml:space="preserve">and </w:t>
      </w:r>
      <w:r w:rsidR="008656FB">
        <w:rPr>
          <w:rFonts w:ascii="Times New Roman" w:hAnsi="Times New Roman" w:cs="Times New Roman"/>
          <w:sz w:val="24"/>
          <w:szCs w:val="24"/>
        </w:rPr>
        <w:t xml:space="preserve">product purity </w:t>
      </w:r>
      <w:r w:rsidR="00C34C0E">
        <w:rPr>
          <w:rFonts w:ascii="Times New Roman" w:hAnsi="Times New Roman" w:cs="Times New Roman"/>
          <w:sz w:val="24"/>
          <w:szCs w:val="24"/>
        </w:rPr>
        <w:t>uncertainty spans</w:t>
      </w:r>
      <w:r w:rsidR="008656FB">
        <w:rPr>
          <w:rFonts w:ascii="Times New Roman" w:hAnsi="Times New Roman" w:cs="Times New Roman"/>
          <w:sz w:val="24"/>
          <w:szCs w:val="24"/>
        </w:rPr>
        <w:t xml:space="preserve"> </w:t>
      </w:r>
      <w:r w:rsidR="00A13C72">
        <w:rPr>
          <w:rFonts w:ascii="Times New Roman" w:hAnsi="Times New Roman" w:cs="Times New Roman"/>
          <w:sz w:val="24"/>
          <w:szCs w:val="24"/>
        </w:rPr>
        <w:t>99.9 – 100.1</w:t>
      </w:r>
      <w:r w:rsidR="008656FB">
        <w:rPr>
          <w:rFonts w:ascii="Times New Roman" w:hAnsi="Times New Roman" w:cs="Times New Roman"/>
          <w:sz w:val="24"/>
          <w:szCs w:val="24"/>
        </w:rPr>
        <w:t xml:space="preserve">% </w:t>
      </w:r>
      <w:r w:rsidR="00337BCA">
        <w:rPr>
          <w:rFonts w:ascii="Times New Roman" w:hAnsi="Times New Roman" w:cs="Times New Roman"/>
          <w:sz w:val="24"/>
          <w:szCs w:val="24"/>
        </w:rPr>
        <w:t xml:space="preserve">of the </w:t>
      </w:r>
      <w:r w:rsidR="008656FB">
        <w:rPr>
          <w:rFonts w:ascii="Times New Roman" w:hAnsi="Times New Roman" w:cs="Times New Roman"/>
          <w:sz w:val="24"/>
          <w:szCs w:val="24"/>
        </w:rPr>
        <w:t xml:space="preserve">base case </w:t>
      </w:r>
      <w:r w:rsidR="009A0CF1">
        <w:rPr>
          <w:rFonts w:ascii="Times New Roman" w:hAnsi="Times New Roman" w:cs="Times New Roman"/>
          <w:sz w:val="24"/>
          <w:szCs w:val="24"/>
        </w:rPr>
        <w:t>static average level</w:t>
      </w:r>
      <w:r w:rsidR="008656FB">
        <w:rPr>
          <w:rFonts w:ascii="Times New Roman" w:hAnsi="Times New Roman" w:cs="Times New Roman"/>
          <w:sz w:val="24"/>
          <w:szCs w:val="24"/>
        </w:rPr>
        <w:t>.</w:t>
      </w:r>
    </w:p>
    <w:p w14:paraId="1A14E590" w14:textId="4CDE9137" w:rsidR="005C0807" w:rsidRDefault="005C0807"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Future analysis of batch-to-batch variance and uncertainty has the potential to play an instrumental role in</w:t>
      </w:r>
      <w:r w:rsidR="00A07B67">
        <w:rPr>
          <w:rFonts w:ascii="Times New Roman" w:hAnsi="Times New Roman" w:cs="Times New Roman"/>
          <w:sz w:val="24"/>
          <w:szCs w:val="24"/>
        </w:rPr>
        <w:t xml:space="preserve"> aiding</w:t>
      </w:r>
      <w:r>
        <w:rPr>
          <w:rFonts w:ascii="Times New Roman" w:hAnsi="Times New Roman" w:cs="Times New Roman"/>
          <w:sz w:val="24"/>
          <w:szCs w:val="24"/>
        </w:rPr>
        <w:t xml:space="preserve"> develop</w:t>
      </w:r>
      <w:r w:rsidR="00A07B67">
        <w:rPr>
          <w:rFonts w:ascii="Times New Roman" w:hAnsi="Times New Roman" w:cs="Times New Roman"/>
          <w:sz w:val="24"/>
          <w:szCs w:val="24"/>
        </w:rPr>
        <w:t>ment of</w:t>
      </w:r>
      <w:r>
        <w:rPr>
          <w:rFonts w:ascii="Times New Roman" w:hAnsi="Times New Roman" w:cs="Times New Roman"/>
          <w:sz w:val="24"/>
          <w:szCs w:val="24"/>
        </w:rPr>
        <w:t xml:space="preserve"> processing strategies to </w:t>
      </w:r>
      <w:r w:rsidR="00A07B67">
        <w:rPr>
          <w:rFonts w:ascii="Times New Roman" w:hAnsi="Times New Roman" w:cs="Times New Roman"/>
          <w:sz w:val="24"/>
          <w:szCs w:val="24"/>
        </w:rPr>
        <w:t xml:space="preserve">that </w:t>
      </w:r>
      <w:r w:rsidR="00E07188">
        <w:rPr>
          <w:rFonts w:ascii="Times New Roman" w:hAnsi="Times New Roman" w:cs="Times New Roman"/>
          <w:sz w:val="24"/>
          <w:szCs w:val="24"/>
        </w:rPr>
        <w:t xml:space="preserve">take in </w:t>
      </w:r>
      <w:r w:rsidR="00337BCA">
        <w:rPr>
          <w:rFonts w:ascii="Times New Roman" w:hAnsi="Times New Roman" w:cs="Times New Roman"/>
          <w:sz w:val="24"/>
          <w:szCs w:val="24"/>
        </w:rPr>
        <w:t xml:space="preserve">to account </w:t>
      </w:r>
      <w:r w:rsidR="00E07188">
        <w:rPr>
          <w:rFonts w:ascii="Times New Roman" w:hAnsi="Times New Roman" w:cs="Times New Roman"/>
          <w:sz w:val="24"/>
          <w:szCs w:val="24"/>
        </w:rPr>
        <w:t xml:space="preserve">noisy quality attributes of the </w:t>
      </w:r>
      <w:r w:rsidR="00BA7F42">
        <w:rPr>
          <w:rFonts w:ascii="Times New Roman" w:hAnsi="Times New Roman" w:cs="Times New Roman"/>
          <w:sz w:val="24"/>
          <w:szCs w:val="24"/>
        </w:rPr>
        <w:t xml:space="preserve">processing </w:t>
      </w:r>
      <w:r w:rsidR="00E07188">
        <w:rPr>
          <w:rFonts w:ascii="Times New Roman" w:hAnsi="Times New Roman" w:cs="Times New Roman"/>
          <w:sz w:val="24"/>
          <w:szCs w:val="24"/>
        </w:rPr>
        <w:t>input material</w:t>
      </w:r>
      <w:r w:rsidR="00BA7F42">
        <w:rPr>
          <w:rFonts w:ascii="Times New Roman" w:hAnsi="Times New Roman" w:cs="Times New Roman"/>
          <w:sz w:val="24"/>
          <w:szCs w:val="24"/>
        </w:rPr>
        <w:t xml:space="preserve"> (i.e., field-grown crop)</w:t>
      </w:r>
      <w:r w:rsidR="00E07188">
        <w:rPr>
          <w:rFonts w:ascii="Times New Roman" w:hAnsi="Times New Roman" w:cs="Times New Roman"/>
          <w:sz w:val="24"/>
          <w:szCs w:val="24"/>
        </w:rPr>
        <w:t xml:space="preserve"> and translate that into a product meeting well-defined </w:t>
      </w:r>
      <w:r>
        <w:rPr>
          <w:rFonts w:ascii="Times New Roman" w:hAnsi="Times New Roman" w:cs="Times New Roman"/>
          <w:sz w:val="24"/>
          <w:szCs w:val="24"/>
        </w:rPr>
        <w:t xml:space="preserve">quality </w:t>
      </w:r>
      <w:proofErr w:type="gramStart"/>
      <w:r w:rsidR="00E07188">
        <w:rPr>
          <w:rFonts w:ascii="Times New Roman" w:hAnsi="Times New Roman" w:cs="Times New Roman"/>
          <w:sz w:val="24"/>
          <w:szCs w:val="24"/>
        </w:rPr>
        <w:t>attributes</w:t>
      </w:r>
      <w:proofErr w:type="gramEnd"/>
      <w:r w:rsidR="00925EE7">
        <w:rPr>
          <w:rFonts w:ascii="Times New Roman" w:hAnsi="Times New Roman" w:cs="Times New Roman"/>
          <w:sz w:val="24"/>
          <w:szCs w:val="24"/>
        </w:rPr>
        <w:t xml:space="preserve">. </w:t>
      </w:r>
      <w:r w:rsidR="00E07188">
        <w:rPr>
          <w:rFonts w:ascii="Times New Roman" w:hAnsi="Times New Roman" w:cs="Times New Roman"/>
          <w:sz w:val="24"/>
          <w:szCs w:val="24"/>
        </w:rPr>
        <w:t xml:space="preserve">This is of particular importance for outdoor molecular </w:t>
      </w:r>
      <w:r w:rsidR="00B5098A">
        <w:rPr>
          <w:rFonts w:ascii="Times New Roman" w:hAnsi="Times New Roman" w:cs="Times New Roman"/>
          <w:sz w:val="24"/>
          <w:szCs w:val="24"/>
        </w:rPr>
        <w:t>farming</w:t>
      </w:r>
      <w:r w:rsidR="00E07188">
        <w:rPr>
          <w:rFonts w:ascii="Times New Roman" w:hAnsi="Times New Roman" w:cs="Times New Roman"/>
          <w:sz w:val="24"/>
          <w:szCs w:val="24"/>
        </w:rPr>
        <w:t>, for which the input material</w:t>
      </w:r>
      <w:r w:rsidR="00BA7F42">
        <w:rPr>
          <w:rFonts w:ascii="Times New Roman" w:hAnsi="Times New Roman" w:cs="Times New Roman"/>
          <w:sz w:val="24"/>
          <w:szCs w:val="24"/>
        </w:rPr>
        <w:t xml:space="preserve"> </w:t>
      </w:r>
      <w:r w:rsidR="00E07188">
        <w:rPr>
          <w:rFonts w:ascii="Times New Roman" w:hAnsi="Times New Roman" w:cs="Times New Roman"/>
          <w:sz w:val="24"/>
          <w:szCs w:val="24"/>
        </w:rPr>
        <w:t xml:space="preserve">noise may be expected to be </w:t>
      </w:r>
      <w:r w:rsidR="00BA7F42">
        <w:rPr>
          <w:rFonts w:ascii="Times New Roman" w:hAnsi="Times New Roman" w:cs="Times New Roman"/>
          <w:sz w:val="24"/>
          <w:szCs w:val="24"/>
        </w:rPr>
        <w:t>more variable</w:t>
      </w:r>
      <w:r w:rsidR="00E07188">
        <w:rPr>
          <w:rFonts w:ascii="Times New Roman" w:hAnsi="Times New Roman" w:cs="Times New Roman"/>
          <w:sz w:val="24"/>
          <w:szCs w:val="24"/>
        </w:rPr>
        <w:t xml:space="preserve"> than other production platforms. </w:t>
      </w:r>
      <w:r w:rsidR="009A0CF1">
        <w:rPr>
          <w:rFonts w:ascii="Times New Roman" w:hAnsi="Times New Roman" w:cs="Times New Roman"/>
          <w:sz w:val="24"/>
          <w:szCs w:val="24"/>
        </w:rPr>
        <w:t xml:space="preserve">One particularly valuable aspect of batch-to-batch variance research would be to include scenario analyses of lot pooling considerations of the facility. </w:t>
      </w:r>
    </w:p>
    <w:p w14:paraId="121FB3D5" w14:textId="77777777" w:rsidR="00ED20E8" w:rsidRDefault="00ED20E8" w:rsidP="00F00898">
      <w:pPr>
        <w:spacing w:line="480" w:lineRule="auto"/>
        <w:jc w:val="both"/>
        <w:rPr>
          <w:rFonts w:ascii="Times New Roman" w:hAnsi="Times New Roman" w:cs="Times New Roman"/>
          <w:sz w:val="24"/>
          <w:szCs w:val="24"/>
        </w:rPr>
      </w:pPr>
    </w:p>
    <w:p w14:paraId="6020FA9E" w14:textId="0C051374" w:rsidR="00ED20E8" w:rsidRPr="00182A40" w:rsidRDefault="00ED20E8" w:rsidP="00F00898">
      <w:pPr>
        <w:spacing w:line="480" w:lineRule="auto"/>
        <w:jc w:val="both"/>
        <w:rPr>
          <w:rFonts w:ascii="Times New Roman" w:hAnsi="Times New Roman" w:cs="Times New Roman"/>
          <w:i/>
          <w:iCs/>
          <w:sz w:val="24"/>
          <w:szCs w:val="24"/>
        </w:rPr>
      </w:pPr>
      <w:r w:rsidRPr="00182A40">
        <w:rPr>
          <w:rFonts w:ascii="Times New Roman" w:hAnsi="Times New Roman" w:cs="Times New Roman"/>
          <w:i/>
          <w:iCs/>
          <w:sz w:val="24"/>
          <w:szCs w:val="24"/>
        </w:rPr>
        <w:t>4.4 Managing uncertainty in facility performance</w:t>
      </w:r>
    </w:p>
    <w:p w14:paraId="3E5C9E62" w14:textId="112032C9" w:rsidR="001C2ACC" w:rsidRDefault="00182A40"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work we considered management of uncertainty by investigating the impact of equipment oversizing on select process performance metrics. </w:t>
      </w:r>
      <w:proofErr w:type="gramStart"/>
      <w:r>
        <w:rPr>
          <w:rFonts w:ascii="Times New Roman" w:hAnsi="Times New Roman" w:cs="Times New Roman"/>
          <w:sz w:val="24"/>
          <w:szCs w:val="24"/>
        </w:rPr>
        <w:t>It is clear that the</w:t>
      </w:r>
      <w:proofErr w:type="gramEnd"/>
      <w:r>
        <w:rPr>
          <w:rFonts w:ascii="Times New Roman" w:hAnsi="Times New Roman" w:cs="Times New Roman"/>
          <w:sz w:val="24"/>
          <w:szCs w:val="24"/>
        </w:rPr>
        <w:t xml:space="preserve"> 0% oversizing scenario is the most profitable, based on the IRR results. In large part, this can be attributed to the shape of the field growth yield probability distribution used. </w:t>
      </w:r>
      <w:r w:rsidR="001C2ACC">
        <w:rPr>
          <w:rFonts w:ascii="Times New Roman" w:hAnsi="Times New Roman" w:cs="Times New Roman"/>
          <w:sz w:val="24"/>
          <w:szCs w:val="24"/>
        </w:rPr>
        <w:t>The positive skewness dictates that the oversizing captured a smaller fraction of the field growth yield integral for a given increment above 0% oversizing</w:t>
      </w:r>
      <w:r w:rsidR="009A65B7">
        <w:rPr>
          <w:rFonts w:ascii="Times New Roman" w:hAnsi="Times New Roman" w:cs="Times New Roman"/>
          <w:sz w:val="24"/>
          <w:szCs w:val="24"/>
        </w:rPr>
        <w:t xml:space="preserve"> (</w:t>
      </w:r>
      <w:proofErr w:type="gramStart"/>
      <w:r w:rsidR="009A65B7">
        <w:rPr>
          <w:rFonts w:ascii="Times New Roman" w:hAnsi="Times New Roman" w:cs="Times New Roman"/>
          <w:sz w:val="24"/>
          <w:szCs w:val="24"/>
        </w:rPr>
        <w:t>i.e.</w:t>
      </w:r>
      <w:proofErr w:type="gramEnd"/>
      <w:r w:rsidR="009A65B7">
        <w:rPr>
          <w:rFonts w:ascii="Times New Roman" w:hAnsi="Times New Roman" w:cs="Times New Roman"/>
          <w:sz w:val="24"/>
          <w:szCs w:val="24"/>
        </w:rPr>
        <w:t xml:space="preserve"> smaller throughput return for a given capital investment)</w:t>
      </w:r>
      <w:r w:rsidR="001C2ACC">
        <w:rPr>
          <w:rFonts w:ascii="Times New Roman" w:hAnsi="Times New Roman" w:cs="Times New Roman"/>
          <w:sz w:val="24"/>
          <w:szCs w:val="24"/>
        </w:rPr>
        <w:t xml:space="preserve">. </w:t>
      </w:r>
      <w:r w:rsidR="00941D59">
        <w:rPr>
          <w:rFonts w:ascii="Times New Roman" w:hAnsi="Times New Roman" w:cs="Times New Roman"/>
          <w:sz w:val="24"/>
          <w:szCs w:val="24"/>
        </w:rPr>
        <w:t xml:space="preserve">For this </w:t>
      </w:r>
      <w:proofErr w:type="gramStart"/>
      <w:r w:rsidR="00941D59">
        <w:rPr>
          <w:rFonts w:ascii="Times New Roman" w:hAnsi="Times New Roman" w:cs="Times New Roman"/>
          <w:sz w:val="24"/>
          <w:szCs w:val="24"/>
        </w:rPr>
        <w:t>particular model</w:t>
      </w:r>
      <w:proofErr w:type="gramEnd"/>
      <w:r w:rsidR="00941D59">
        <w:rPr>
          <w:rFonts w:ascii="Times New Roman" w:hAnsi="Times New Roman" w:cs="Times New Roman"/>
          <w:sz w:val="24"/>
          <w:szCs w:val="24"/>
        </w:rPr>
        <w:t xml:space="preserve">, there was no statistically significant increase in throughput past 50% oversizing; the additional </w:t>
      </w:r>
      <w:r w:rsidR="00941D59">
        <w:rPr>
          <w:rFonts w:ascii="Times New Roman" w:hAnsi="Times New Roman" w:cs="Times New Roman"/>
          <w:sz w:val="24"/>
          <w:szCs w:val="24"/>
        </w:rPr>
        <w:lastRenderedPageBreak/>
        <w:t xml:space="preserve">75% and 100% oversizing scenarios contributed additional costs without a significant return on throughput. </w:t>
      </w:r>
      <w:r w:rsidR="001C2ACC">
        <w:rPr>
          <w:rFonts w:ascii="Times New Roman" w:hAnsi="Times New Roman" w:cs="Times New Roman"/>
          <w:sz w:val="24"/>
          <w:szCs w:val="24"/>
        </w:rPr>
        <w:t xml:space="preserve">However, it is important to </w:t>
      </w:r>
      <w:r w:rsidR="00C3760B">
        <w:rPr>
          <w:rFonts w:ascii="Times New Roman" w:hAnsi="Times New Roman" w:cs="Times New Roman"/>
          <w:sz w:val="24"/>
          <w:szCs w:val="24"/>
        </w:rPr>
        <w:t xml:space="preserve">point out </w:t>
      </w:r>
      <w:r w:rsidR="001C2ACC">
        <w:rPr>
          <w:rFonts w:ascii="Times New Roman" w:hAnsi="Times New Roman" w:cs="Times New Roman"/>
          <w:sz w:val="24"/>
          <w:szCs w:val="24"/>
        </w:rPr>
        <w:t xml:space="preserve">that facility design is a complex process. </w:t>
      </w:r>
      <w:proofErr w:type="gramStart"/>
      <w:r w:rsidR="003A786B">
        <w:rPr>
          <w:rFonts w:ascii="Times New Roman" w:hAnsi="Times New Roman" w:cs="Times New Roman"/>
          <w:sz w:val="24"/>
          <w:szCs w:val="24"/>
        </w:rPr>
        <w:t>In reality, the</w:t>
      </w:r>
      <w:proofErr w:type="gramEnd"/>
      <w:r w:rsidR="001C2ACC">
        <w:rPr>
          <w:rFonts w:ascii="Times New Roman" w:hAnsi="Times New Roman" w:cs="Times New Roman"/>
          <w:sz w:val="24"/>
          <w:szCs w:val="24"/>
        </w:rPr>
        <w:t xml:space="preserve"> target industry and business </w:t>
      </w:r>
      <w:r w:rsidR="003A786B">
        <w:rPr>
          <w:rFonts w:ascii="Times New Roman" w:hAnsi="Times New Roman" w:cs="Times New Roman"/>
          <w:sz w:val="24"/>
          <w:szCs w:val="24"/>
        </w:rPr>
        <w:t>strategy of the company</w:t>
      </w:r>
      <w:r w:rsidR="001C2ACC">
        <w:rPr>
          <w:rFonts w:ascii="Times New Roman" w:hAnsi="Times New Roman" w:cs="Times New Roman"/>
          <w:sz w:val="24"/>
          <w:szCs w:val="24"/>
        </w:rPr>
        <w:t xml:space="preserve"> may </w:t>
      </w:r>
      <w:r w:rsidR="003A786B">
        <w:rPr>
          <w:rFonts w:ascii="Times New Roman" w:hAnsi="Times New Roman" w:cs="Times New Roman"/>
          <w:sz w:val="24"/>
          <w:szCs w:val="24"/>
        </w:rPr>
        <w:t xml:space="preserve">dictate a design </w:t>
      </w:r>
      <w:r w:rsidR="00C3760B">
        <w:rPr>
          <w:rFonts w:ascii="Times New Roman" w:hAnsi="Times New Roman" w:cs="Times New Roman"/>
          <w:sz w:val="24"/>
          <w:szCs w:val="24"/>
        </w:rPr>
        <w:t>based on</w:t>
      </w:r>
      <w:r w:rsidR="003A786B">
        <w:rPr>
          <w:rFonts w:ascii="Times New Roman" w:hAnsi="Times New Roman" w:cs="Times New Roman"/>
          <w:sz w:val="24"/>
          <w:szCs w:val="24"/>
        </w:rPr>
        <w:t xml:space="preserve"> transient market penetration strategies, anticipated scaling, and/or other opportunities, to name a few considerations.</w:t>
      </w:r>
    </w:p>
    <w:p w14:paraId="460FD122" w14:textId="3135780A" w:rsidR="001C2ACC" w:rsidRDefault="009A65B7"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other aspect of this work aimed to manage uncertainty in facility performance is the optimization of CEX chromatography column sizing in a facility retrofitting exercise. </w:t>
      </w:r>
      <w:r w:rsidR="00614781">
        <w:rPr>
          <w:rFonts w:ascii="Times New Roman" w:hAnsi="Times New Roman" w:cs="Times New Roman"/>
          <w:sz w:val="24"/>
          <w:szCs w:val="24"/>
        </w:rPr>
        <w:t xml:space="preserve">What we found in this example is that equipment utilization, which was by default maximized in the base case column size, was the economic driver in this </w:t>
      </w:r>
      <w:r w:rsidR="0043728A">
        <w:rPr>
          <w:rFonts w:ascii="Times New Roman" w:hAnsi="Times New Roman" w:cs="Times New Roman"/>
          <w:sz w:val="24"/>
          <w:szCs w:val="24"/>
        </w:rPr>
        <w:t>scenario</w:t>
      </w:r>
      <w:r w:rsidR="00614781">
        <w:rPr>
          <w:rFonts w:ascii="Times New Roman" w:hAnsi="Times New Roman" w:cs="Times New Roman"/>
          <w:sz w:val="24"/>
          <w:szCs w:val="24"/>
        </w:rPr>
        <w:t>. Maximization of equipment utilization is a well-established heuristic in a facility design for manufacturing with relatively small perturbations in demand. In other facility simulations and input assumptions (including the balance between product selling price and capital investments), the optimal column sizing may have instead reflected those different balances in facility dynamics with a larger size, in the case of valuable products and positively skewed throughput distributions, or smaller size, in the inverse situations.</w:t>
      </w:r>
    </w:p>
    <w:p w14:paraId="0CA01B1E" w14:textId="684579D7" w:rsidR="00673E2E" w:rsidRDefault="00673E2E"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Valuable future works to investigate the impact, and mitigation, of uncertainty in </w:t>
      </w:r>
      <w:r w:rsidR="00B47C66">
        <w:rPr>
          <w:rFonts w:ascii="Times New Roman" w:hAnsi="Times New Roman" w:cs="Times New Roman"/>
          <w:sz w:val="24"/>
          <w:szCs w:val="24"/>
        </w:rPr>
        <w:t>forecast variables includ</w:t>
      </w:r>
      <w:r>
        <w:rPr>
          <w:rFonts w:ascii="Times New Roman" w:hAnsi="Times New Roman" w:cs="Times New Roman"/>
          <w:sz w:val="24"/>
          <w:szCs w:val="24"/>
        </w:rPr>
        <w:t xml:space="preserve">e exploring </w:t>
      </w:r>
      <w:r w:rsidR="00B47C66">
        <w:rPr>
          <w:rFonts w:ascii="Times New Roman" w:hAnsi="Times New Roman" w:cs="Times New Roman"/>
          <w:sz w:val="24"/>
          <w:szCs w:val="24"/>
        </w:rPr>
        <w:t xml:space="preserve">commonly employed manufacturing strategies that tend to absorb localized fluctuations. In outdoor field cultivation this includes consideration of </w:t>
      </w:r>
      <w:r>
        <w:rPr>
          <w:rFonts w:ascii="Times New Roman" w:hAnsi="Times New Roman" w:cs="Times New Roman"/>
          <w:sz w:val="24"/>
          <w:szCs w:val="24"/>
        </w:rPr>
        <w:t>multi-plot or multi-site productio</w:t>
      </w:r>
      <w:r w:rsidR="00B47C66">
        <w:rPr>
          <w:rFonts w:ascii="Times New Roman" w:hAnsi="Times New Roman" w:cs="Times New Roman"/>
          <w:sz w:val="24"/>
          <w:szCs w:val="24"/>
        </w:rPr>
        <w:t>n</w:t>
      </w:r>
      <w:r w:rsidR="00380306">
        <w:rPr>
          <w:rFonts w:ascii="Times New Roman" w:hAnsi="Times New Roman" w:cs="Times New Roman"/>
          <w:sz w:val="24"/>
          <w:szCs w:val="24"/>
        </w:rPr>
        <w:t xml:space="preserve"> and</w:t>
      </w:r>
      <w:r w:rsidR="00B47C66">
        <w:rPr>
          <w:rFonts w:ascii="Times New Roman" w:hAnsi="Times New Roman" w:cs="Times New Roman"/>
          <w:sz w:val="24"/>
          <w:szCs w:val="24"/>
        </w:rPr>
        <w:t xml:space="preserve"> plant tissue </w:t>
      </w:r>
      <w:proofErr w:type="spellStart"/>
      <w:r w:rsidR="00B47C66">
        <w:rPr>
          <w:rFonts w:ascii="Times New Roman" w:hAnsi="Times New Roman" w:cs="Times New Roman"/>
          <w:sz w:val="24"/>
          <w:szCs w:val="24"/>
        </w:rPr>
        <w:t>silaging</w:t>
      </w:r>
      <w:proofErr w:type="spellEnd"/>
      <w:r w:rsidR="00467765">
        <w:rPr>
          <w:rFonts w:ascii="Times New Roman" w:hAnsi="Times New Roman" w:cs="Times New Roman"/>
          <w:sz w:val="24"/>
          <w:szCs w:val="24"/>
        </w:rPr>
        <w:t xml:space="preserve"> </w:t>
      </w:r>
      <w:r w:rsidR="00636A5C">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{"citationItems":[{"id":"ITEM-1","itemData":{"DOI":"10.1271/bbb.60039","ISSN":"09168451","PMID":"16794341","abstract":"When fresh rice leaves producing yeast Schwanniomyces occidentalis phytase were grounded and mixed with the whole extract of seed-based feed for pigs, the release of orthophosphate increased significantly. More specifically, phytate, a major source of phosphorus in the seeds, was hydrolyzed by heterologous phytase. Moreover, when transgenic rice plants were ensiled for up to 12 weeks, no decrease in the phytase activity of the heterologous enzyme was observed. This result strongly suggests that transgenic rice plants producing yeast phytase can be stored as silage without any loss of enzyme activity until usage as a feed additive.","author":[{"dropping-particle":"","family":"Hamada","given":"Akira","non-dropping-particle":"","parse-names":false,"suffix":""},{"dropping-particle":"","family":"Yamaguchi","given":"Ken Ichi","non-dropping-particle":"","parse-names":false,"suffix":""},{"dropping-particle":"","family":"Harada","given":"Michiko","non-dropping-particle":"","parse-names":false,"suffix":""},{"dropping-particle":"","family":"Horiguchi","given":"Ken Ichi","non-dropping-particle":"","parse-names":false,"suffix":""},{"dropping-particle":"","family":"Takahashi","given":"Toshiyoshi","non-dropping-particle":"","parse-names":false,"suffix":""},{"dropping-particle":"","family":"Honda","given":"Hideo","non-dropping-particle":"","parse-names":false,"suffix":""}],"container-title":"Bioscience, Biotechnology and Biochemistry","id":"ITEM-1","issue":"6","issued":{"date-parts":[["2006"]]},"page":"1524-1527","publisher":"Japan Society for Bioscience, Biotechnology, and Agrochemistry","title":"Recombinant, rice-produced yeast phytase shows the ability to hydrolyze phytate derived from seed-based feed, and extreme stability during ensilage treatment","type":"article-journal","volume":"70"},"uris":["http://www.mendeley.com/documents/?uuid=6f04ae7e-7320-3ea8-9f8b-6f65c649acf1"]}],"mendeley":{"formattedCitation":"(Hamada et al., 2006)","plainTextFormattedCitation":"(Hamada et al., 2006)","previouslyFormattedCitation":"(Hamada et al., 2006)"},"properties":{"noteIndex":0},"schema":"https://github.com/citation-style-language/schema/raw/master/csl-citation.json"}</w:instrText>
      </w:r>
      <w:r w:rsidR="00636A5C">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(Hamada et al., 2006)</w:t>
      </w:r>
      <w:r w:rsidR="00636A5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47C66">
        <w:rPr>
          <w:rFonts w:ascii="Times New Roman" w:hAnsi="Times New Roman" w:cs="Times New Roman"/>
          <w:sz w:val="24"/>
          <w:szCs w:val="24"/>
        </w:rPr>
        <w:t xml:space="preserve">Multi-site </w:t>
      </w:r>
      <w:r w:rsidR="00636A5C">
        <w:rPr>
          <w:rFonts w:ascii="Times New Roman" w:hAnsi="Times New Roman" w:cs="Times New Roman"/>
          <w:sz w:val="24"/>
          <w:szCs w:val="24"/>
        </w:rPr>
        <w:t xml:space="preserve">manufacturing considerations </w:t>
      </w:r>
      <w:r>
        <w:rPr>
          <w:rFonts w:ascii="Times New Roman" w:hAnsi="Times New Roman" w:cs="Times New Roman"/>
          <w:sz w:val="24"/>
          <w:szCs w:val="24"/>
        </w:rPr>
        <w:t xml:space="preserve">would involve an optimization of the balance of production scales between multiple facilities based on transient performance probability distributions. It will also be valuable to augment </w:t>
      </w:r>
      <w:r w:rsidR="00636A5C">
        <w:rPr>
          <w:rFonts w:ascii="Times New Roman" w:hAnsi="Times New Roman" w:cs="Times New Roman"/>
          <w:sz w:val="24"/>
          <w:szCs w:val="24"/>
        </w:rPr>
        <w:t xml:space="preserve">uncertainty quantification of plant molecular </w:t>
      </w:r>
      <w:r w:rsidR="00B5098A">
        <w:rPr>
          <w:rFonts w:ascii="Times New Roman" w:hAnsi="Times New Roman" w:cs="Times New Roman"/>
          <w:sz w:val="24"/>
          <w:szCs w:val="24"/>
        </w:rPr>
        <w:t>farming</w:t>
      </w:r>
      <w:r w:rsidR="00636A5C">
        <w:rPr>
          <w:rFonts w:ascii="Times New Roman" w:hAnsi="Times New Roman" w:cs="Times New Roman"/>
          <w:sz w:val="24"/>
          <w:szCs w:val="24"/>
        </w:rPr>
        <w:t xml:space="preserve"> manufacturing</w:t>
      </w:r>
      <w:r>
        <w:rPr>
          <w:rFonts w:ascii="Times New Roman" w:hAnsi="Times New Roman" w:cs="Times New Roman"/>
          <w:sz w:val="24"/>
          <w:szCs w:val="24"/>
        </w:rPr>
        <w:t xml:space="preserve"> with more granulized and transient scheduling information to understand the impact to supply chain logistics </w:t>
      </w:r>
      <w:r>
        <w:rPr>
          <w:rFonts w:ascii="Times New Roman" w:hAnsi="Times New Roman" w:cs="Times New Roman"/>
          <w:sz w:val="24"/>
          <w:szCs w:val="24"/>
        </w:rPr>
        <w:lastRenderedPageBreak/>
        <w:t xml:space="preserve">and solutions to overcome </w:t>
      </w:r>
      <w:r w:rsidR="00DA7215">
        <w:rPr>
          <w:rFonts w:ascii="Times New Roman" w:hAnsi="Times New Roman" w:cs="Times New Roman"/>
          <w:sz w:val="24"/>
          <w:szCs w:val="24"/>
        </w:rPr>
        <w:t xml:space="preserve">them </w:t>
      </w:r>
      <w:r>
        <w:rPr>
          <w:rFonts w:ascii="Times New Roman" w:hAnsi="Times New Roman" w:cs="Times New Roman"/>
          <w:sz w:val="24"/>
          <w:szCs w:val="24"/>
        </w:rPr>
        <w:t>(e.g.</w:t>
      </w:r>
      <w:r w:rsidR="006C4EFF">
        <w:rPr>
          <w:rFonts w:ascii="Times New Roman" w:hAnsi="Times New Roman" w:cs="Times New Roman"/>
          <w:sz w:val="24"/>
          <w:szCs w:val="24"/>
        </w:rPr>
        <w:t>,</w:t>
      </w:r>
      <w:r>
        <w:rPr>
          <w:rFonts w:ascii="Times New Roman" w:hAnsi="Times New Roman" w:cs="Times New Roman"/>
          <w:sz w:val="24"/>
          <w:szCs w:val="24"/>
        </w:rPr>
        <w:t xml:space="preserve"> propagating the impact of manufacturing shutdown periods and lot failure)</w:t>
      </w:r>
      <w:r w:rsidR="000F2FBF">
        <w:rPr>
          <w:rFonts w:ascii="Times New Roman" w:hAnsi="Times New Roman" w:cs="Times New Roman"/>
          <w:sz w:val="24"/>
          <w:szCs w:val="24"/>
        </w:rPr>
        <w:t>.</w:t>
      </w:r>
      <w:r w:rsidR="00380306">
        <w:rPr>
          <w:rFonts w:ascii="Times New Roman" w:hAnsi="Times New Roman" w:cs="Times New Roman"/>
          <w:sz w:val="24"/>
          <w:szCs w:val="24"/>
        </w:rPr>
        <w:t xml:space="preserve"> </w:t>
      </w:r>
    </w:p>
    <w:p w14:paraId="605911DE" w14:textId="68BC354C" w:rsidR="000F2FBF" w:rsidRDefault="00B47C66"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Perhaps most relevant to the advancement of </w:t>
      </w:r>
      <w:r w:rsidR="00636A5C">
        <w:rPr>
          <w:rFonts w:ascii="Times New Roman" w:hAnsi="Times New Roman" w:cs="Times New Roman"/>
          <w:sz w:val="24"/>
          <w:szCs w:val="24"/>
        </w:rPr>
        <w:t xml:space="preserve">outdoor field cultivation </w:t>
      </w:r>
      <w:r w:rsidR="000F2FBF">
        <w:rPr>
          <w:rFonts w:ascii="Times New Roman" w:hAnsi="Times New Roman" w:cs="Times New Roman"/>
          <w:sz w:val="24"/>
          <w:szCs w:val="24"/>
        </w:rPr>
        <w:t xml:space="preserve">for plant molecular </w:t>
      </w:r>
      <w:r w:rsidR="00B5098A">
        <w:rPr>
          <w:rFonts w:ascii="Times New Roman" w:hAnsi="Times New Roman" w:cs="Times New Roman"/>
          <w:sz w:val="24"/>
          <w:szCs w:val="24"/>
        </w:rPr>
        <w:t>farming</w:t>
      </w:r>
      <w:r w:rsidR="000F2FBF">
        <w:rPr>
          <w:rFonts w:ascii="Times New Roman" w:hAnsi="Times New Roman" w:cs="Times New Roman"/>
          <w:sz w:val="24"/>
          <w:szCs w:val="24"/>
        </w:rPr>
        <w:t xml:space="preserve"> </w:t>
      </w:r>
      <w:r w:rsidR="00636A5C">
        <w:rPr>
          <w:rFonts w:ascii="Times New Roman" w:hAnsi="Times New Roman" w:cs="Times New Roman"/>
          <w:sz w:val="24"/>
          <w:szCs w:val="24"/>
        </w:rPr>
        <w:t xml:space="preserve">would be to consider upcoming and future manufacturing strategies to reduce variation. Technological advances in </w:t>
      </w:r>
      <w:r w:rsidR="000F2FBF">
        <w:rPr>
          <w:rFonts w:ascii="Times New Roman" w:hAnsi="Times New Roman" w:cs="Times New Roman"/>
          <w:sz w:val="24"/>
          <w:szCs w:val="24"/>
        </w:rPr>
        <w:t xml:space="preserve">areas such as </w:t>
      </w:r>
      <w:r w:rsidR="00636A5C">
        <w:rPr>
          <w:rFonts w:ascii="Times New Roman" w:hAnsi="Times New Roman" w:cs="Times New Roman"/>
          <w:sz w:val="24"/>
          <w:szCs w:val="24"/>
        </w:rPr>
        <w:t>seed coating</w:t>
      </w:r>
      <w:r w:rsidR="00467765">
        <w:rPr>
          <w:rFonts w:ascii="Times New Roman" w:hAnsi="Times New Roman" w:cs="Times New Roman"/>
          <w:sz w:val="24"/>
          <w:szCs w:val="24"/>
        </w:rPr>
        <w:t xml:space="preserve"> </w:t>
      </w:r>
      <w:r w:rsidR="002F096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{"citationItems":[{"id":"ITEM-1","itemData":{"DOI":"10.3389/fpls.2019.01357","ISSN":"1664462X","abstract":"Plant beneficial microbes (PBMs), such as plant growth-promoting bacteria, rhizobia, arbuscular mycorrhizal fungi, and Trichoderma, can reduce the use of agrochemicals and increase plant yield, nutrition, and tolerance to biotic–abiotic stresses. Yet, large-scale applications of PBM have been hampered by the high amounts of inoculum per plant or per cultivation area needed for successful colonization and consequently the economic feasibility. Seed coating, a process that consists in covering seeds with low amounts of exogenous materials, is gaining attention as an efficient delivery system for PBM. Microbial seed coating comprises the use of a binder, in some cases a filler, mixed with inocula, and can be done using simple mixing equipment (e.g., cement mixer) or more specialized/sophisticated apparatus (e.g., fluidized bed). Binders/fillers can be used to extend microbial survival. The most reported types of seed coating are seed dressing, film coating, and pelleting. Tested in more than 50 plant species with seeds of different dimensions, forms, textures, and germination types (e.g., cereals, vegetables, fruits, pulses, and other legumes), seed coating has been studied using various species of plant growth-promoting bacteria, rhizobia, Trichoderma, and to a lesser extent mycorrhizal fungi. Most of the studies regarding PBM applied via seed coating are aimed at promoting crop growth, yield, and crop protection against pathogens. Studies have shown that coating seeds with PBM can assist crops in improving seedling establishment and germination or achieving high yields and food quality, under reduced chemical fertilization. The right combination of biological control agents applied via seed coating can be a powerful tool against a wide number of diseases and pathogens. Less frequently, studies report seed coating being used for adaptation and protection of crops under abiotic stresses. Notwithstanding the promising results, there are still challenges mainly related with the scaling up from the laboratory to the field and proper formulation, including efficient microbial combinations and coating materials that can result in extended shelf-life of both seeds and coated PBM. These limitations need to be addressed and overcome in order to allow a wider use of seed coating as a cost-effective delivery method for PBM in sustainable agricultural systems.","author":[{"dropping-particle":"","family":"Rocha","given":"Inês","non-dropping-particle":"","parse-names":false,"suffix":""},{"dropping-particle":"","family":"Ma","given":"Ying","non-dropping-particle":"","parse-names":false,"suffix":""},{"dropping-particle":"","family":"Souza-Alonso","given":"Pablo","non-dropping-particle":"","parse-names":false,"suffix":""},{"dropping-particle":"","family":"Vosátka","given":"Miroslav","non-dropping-particle":"","parse-names":false,"suffix":""},{"dropping-particle":"","family":"Freitas","given":"Helena","non-dropping-particle":"","parse-names":false,"suffix":""},{"dropping-particle":"","family":"Oliveira","given":"Rui S.","non-dropping-particle":"","parse-names":false,"suffix":""}],"container-title":"Frontiers in Plant Science","id":"ITEM-1","issued":{"date-parts":[["2019","11","6"]]},"page":"1357","publisher":"Frontiers Media S.A.","title":"Seed Coating: A Tool for Delivering Beneficial Microbes to Agricultural Crops","type":"article","volume":"10"},"uris":["http://www.mendeley.com/documents/?uuid=ae7f5976-bc80-38e0-b3c2-427da6b78d06"]}],"mendeley":{"formattedCitation":"(Rocha et al., 2019)","plainTextFormattedCitation":"(Rocha et al., 2019)","previouslyFormattedCitation":"(Rocha et al., 2019)"},"properties":{"noteIndex":0},"schema":"https://github.com/citation-style-language/schema/raw/master/csl-citation.json"}</w:instrText>
      </w:r>
      <w:r w:rsidR="002F0966">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(Rocha et al., 2019)</w:t>
      </w:r>
      <w:r w:rsidR="002F0966">
        <w:rPr>
          <w:rFonts w:ascii="Times New Roman" w:hAnsi="Times New Roman" w:cs="Times New Roman"/>
          <w:sz w:val="24"/>
          <w:szCs w:val="24"/>
        </w:rPr>
        <w:fldChar w:fldCharType="end"/>
      </w:r>
      <w:r w:rsidR="002F0966">
        <w:rPr>
          <w:rFonts w:ascii="Times New Roman" w:hAnsi="Times New Roman" w:cs="Times New Roman"/>
          <w:sz w:val="24"/>
          <w:szCs w:val="24"/>
        </w:rPr>
        <w:t xml:space="preserve">, </w:t>
      </w:r>
      <w:r w:rsidR="00636A5C">
        <w:rPr>
          <w:rFonts w:ascii="Times New Roman" w:hAnsi="Times New Roman" w:cs="Times New Roman"/>
          <w:sz w:val="24"/>
          <w:szCs w:val="24"/>
        </w:rPr>
        <w:t>precision agriculture</w:t>
      </w:r>
      <w:r w:rsidR="00467765">
        <w:rPr>
          <w:rFonts w:ascii="Times New Roman" w:hAnsi="Times New Roman" w:cs="Times New Roman"/>
          <w:sz w:val="24"/>
          <w:szCs w:val="24"/>
        </w:rPr>
        <w:t xml:space="preserve"> </w:t>
      </w:r>
      <w:r w:rsidR="002F0966">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{"citationItems":[{"id":"ITEM-1","itemData":{"DOI":"10.1146/annurev-resource-100518-093929","ISSN":"1941-1340","abstract":"&lt;p&gt;Precision farming enables agricultural management decisions to be tailored spatially and temporally. Site-specific sensing, sampling, and managing allow farmers to treat a field as a heterogeneous entity. Through targeted use of inputs, precision farming reduces waste, thereby cutting both private variable costs and the environmental costs such as those of agrichemical residuals. At present, large farms in developed countries are the main adopters of precision farming. But its potential environmental benefits can justify greater public and private sector incentives to encourage adoption, including in small-scale farming systems in developing countries. Technological developments and big data advances continue to make precision farming tools more connected, accurate, efficient, and widely applicable. Improvements in the technical infrastructure and the legal framework can expand access to precision farming and thereby its overall societal benefits.&lt;/p&gt;","author":[{"dropping-particle":"","family":"Finger","given":"Robert","non-dropping-particle":"","parse-names":false,"suffix":""},{"dropping-particle":"","family":"Swinton","given":"Scott M.","non-dropping-particle":"","parse-names":false,"suffix":""},{"dropping-particle":"","family":"Benni","given":"Nadja","non-dropping-particle":"El","parse-names":false,"suffix":""},{"dropping-particle":"","family":"Walter","given":"Achim","non-dropping-particle":"","parse-names":false,"suffix":""}],"container-title":"Annual Review of Resource Economics","id":"ITEM-1","issue":"1","issued":{"date-parts":[["2019","10","5"]]},"page":"313-335","publisher":"Annual Reviews Inc.","title":"Precision Farming at the Nexus of Agricultural Production and the Environment","type":"article-journal","volume":"11"},"uris":["http://www.mendeley.com/documents/?uuid=5657c8a0-94ec-3af6-ad9e-236c77b692ce"]}],"mendeley":{"formattedCitation":"(Finger et al., 2019)","plainTextFormattedCitation":"(Finger et al., 2019)","previouslyFormattedCitation":"(Finger et al., 2019)"},"properties":{"noteIndex":0},"schema":"https://github.com/citation-style-language/schema/raw/master/csl-citation.json"}</w:instrText>
      </w:r>
      <w:r w:rsidR="002F0966">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(Finger et al., 2019)</w:t>
      </w:r>
      <w:r w:rsidR="002F0966">
        <w:rPr>
          <w:rFonts w:ascii="Times New Roman" w:hAnsi="Times New Roman" w:cs="Times New Roman"/>
          <w:sz w:val="24"/>
          <w:szCs w:val="24"/>
        </w:rPr>
        <w:fldChar w:fldCharType="end"/>
      </w:r>
      <w:r w:rsidR="002F0966">
        <w:rPr>
          <w:rFonts w:ascii="Times New Roman" w:hAnsi="Times New Roman" w:cs="Times New Roman"/>
          <w:sz w:val="24"/>
          <w:szCs w:val="24"/>
        </w:rPr>
        <w:t>, and robotic agricultural systems</w:t>
      </w:r>
      <w:r w:rsidR="00467765">
        <w:rPr>
          <w:rFonts w:ascii="Times New Roman" w:hAnsi="Times New Roman" w:cs="Times New Roman"/>
          <w:sz w:val="24"/>
          <w:szCs w:val="24"/>
        </w:rPr>
        <w:t xml:space="preserve"> </w:t>
      </w:r>
      <w:r w:rsidR="00DA7215">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author":[{"dropping-particle":"","family":"King","given":"Anthony","non-dropping-particle":"","parse-names":false,"suffix":""}],"container-title":"Nature","id":"ITEM-1","issued":{"date-parts":[["2017"]]},"page":"S21-S23","title":"Technology: The future of agriculture","type":"article-journal","volume":"544"},"uris":["http://www.mendeley.com/documents/?uuid=fd3f8d53-16bd-4e14-ae08-7d54c07778a7"]}],"mendeley":{"formattedCitation":"(King, 2017)","plainTextFormattedCitation":"(King, 2017)","previouslyFormattedCitation":"(King, 2017)"},"properties":{"noteIndex":0},"schema":"https://github.com/citation-style-language/schema/raw/master/csl-citation.json"}</w:instrText>
      </w:r>
      <w:r w:rsidR="00DA7215">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(King, 2017)</w:t>
      </w:r>
      <w:r w:rsidR="00DA7215">
        <w:rPr>
          <w:rFonts w:ascii="Times New Roman" w:hAnsi="Times New Roman" w:cs="Times New Roman"/>
          <w:sz w:val="24"/>
          <w:szCs w:val="24"/>
        </w:rPr>
        <w:fldChar w:fldCharType="end"/>
      </w:r>
      <w:r w:rsidR="00636A5C">
        <w:rPr>
          <w:rFonts w:ascii="Times New Roman" w:hAnsi="Times New Roman" w:cs="Times New Roman"/>
          <w:sz w:val="24"/>
          <w:szCs w:val="24"/>
        </w:rPr>
        <w:t xml:space="preserve"> are all positioned on the horizon to drastically reduce variation and improve yield of outdoor field cultivation. It will be critical for the plant molecular </w:t>
      </w:r>
      <w:r w:rsidR="00B5098A">
        <w:rPr>
          <w:rFonts w:ascii="Times New Roman" w:hAnsi="Times New Roman" w:cs="Times New Roman"/>
          <w:sz w:val="24"/>
          <w:szCs w:val="24"/>
        </w:rPr>
        <w:t>farming</w:t>
      </w:r>
      <w:r w:rsidR="00636A5C">
        <w:rPr>
          <w:rFonts w:ascii="Times New Roman" w:hAnsi="Times New Roman" w:cs="Times New Roman"/>
          <w:sz w:val="24"/>
          <w:szCs w:val="24"/>
        </w:rPr>
        <w:t xml:space="preserve"> community to leverage these innovations. </w:t>
      </w:r>
    </w:p>
    <w:p w14:paraId="0D972C8D" w14:textId="614196FF" w:rsidR="00673E2E" w:rsidRDefault="000F2FBF"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perspective of downstream processing, consideration of lot pooling – the combination/pooling of multiple batches into a larger lot size, often implemented to reduce quality control costs or improve supply chain logistics</w:t>
      </w:r>
      <w:r w:rsidR="0046776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248C3">
        <w:rPr>
          <w:rFonts w:ascii="Times New Roman" w:hAnsi="Times New Roman" w:cs="Times New Roman"/>
          <w:sz w:val="24"/>
          <w:szCs w:val="24"/>
        </w:rPr>
        <w:instrText>ADDIN CSL_CITATION {"citationItems":[{"id":"ITEM-1","itemData":{"ISBN":"978-1574910162","editor":[{"dropping-particle":"","family":"Avis","given":"Kenneth E.","non-dropping-particle":"","parse-names":false,"suffix":""},{"dropping-particle":"","family":"Wu","given":"Vincent L.","non-dropping-particle":"","parse-names":false,"suffix":""}],"id":"ITEM-1","issued":{"date-parts":[["1996"]]},"number-of-pages":"404","publisher":"CRC Press","title":"Biotechnology and Biopharmaceutical Manufacturing, Processing, and Preservation","type":"book"},"uris":["http://www.mendeley.com/documents/?uuid=a16cd1e0-cd23-486d-bcca-7e1cf06fb1a5"]}],"mendeley":{"formattedCitation":"(Avis and Wu, 1996)","plainTextFormattedCitation":"(Avis and Wu, 1996)","previouslyFormattedCitation":"(Avis and Wu, 1996)"},"properties":{"noteIndex":0},"schema":"https://github.com/citation-style-language/schema/raw/master/csl-citation.json"}</w:instrText>
      </w:r>
      <w:r>
        <w:rPr>
          <w:rFonts w:ascii="Times New Roman" w:hAnsi="Times New Roman" w:cs="Times New Roman"/>
          <w:sz w:val="24"/>
          <w:szCs w:val="24"/>
        </w:rPr>
        <w:fldChar w:fldCharType="separate"/>
      </w:r>
      <w:r w:rsidR="00467765" w:rsidRPr="00467765">
        <w:rPr>
          <w:rFonts w:ascii="Times New Roman" w:hAnsi="Times New Roman" w:cs="Times New Roman"/>
          <w:noProof/>
          <w:sz w:val="24"/>
          <w:szCs w:val="24"/>
        </w:rPr>
        <w:t>(Avis and Wu, 1996)</w:t>
      </w:r>
      <w:r>
        <w:rPr>
          <w:rFonts w:ascii="Times New Roman" w:hAnsi="Times New Roman" w:cs="Times New Roman"/>
          <w:sz w:val="24"/>
          <w:szCs w:val="24"/>
        </w:rPr>
        <w:fldChar w:fldCharType="end"/>
      </w:r>
      <w:r>
        <w:rPr>
          <w:rFonts w:ascii="Times New Roman" w:hAnsi="Times New Roman" w:cs="Times New Roman"/>
          <w:sz w:val="24"/>
          <w:szCs w:val="24"/>
        </w:rPr>
        <w:t xml:space="preserve"> – and the impact on output variation is an important area of investigation.</w:t>
      </w:r>
      <w:r w:rsidR="002F0966">
        <w:rPr>
          <w:rFonts w:ascii="Times New Roman" w:hAnsi="Times New Roman" w:cs="Times New Roman"/>
          <w:sz w:val="24"/>
          <w:szCs w:val="24"/>
        </w:rPr>
        <w:t xml:space="preserve"> </w:t>
      </w:r>
    </w:p>
    <w:p w14:paraId="60DE6D37" w14:textId="63FC77DF" w:rsidR="00EA743A" w:rsidRDefault="00614781" w:rsidP="00F0089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summary, </w:t>
      </w:r>
      <w:r w:rsidR="00725E82">
        <w:rPr>
          <w:rFonts w:ascii="Times New Roman" w:hAnsi="Times New Roman" w:cs="Times New Roman"/>
          <w:sz w:val="24"/>
          <w:szCs w:val="24"/>
        </w:rPr>
        <w:t>this work has</w:t>
      </w:r>
      <w:r w:rsidR="00EA743A">
        <w:rPr>
          <w:rFonts w:ascii="Times New Roman" w:hAnsi="Times New Roman" w:cs="Times New Roman"/>
          <w:sz w:val="24"/>
          <w:szCs w:val="24"/>
        </w:rPr>
        <w:t xml:space="preserve"> </w:t>
      </w:r>
      <w:r w:rsidR="00725E82">
        <w:rPr>
          <w:rFonts w:ascii="Times New Roman" w:hAnsi="Times New Roman" w:cs="Times New Roman"/>
          <w:sz w:val="24"/>
          <w:szCs w:val="24"/>
        </w:rPr>
        <w:t xml:space="preserve">aimed to provide the </w:t>
      </w:r>
      <w:r w:rsidR="000A4FCA">
        <w:rPr>
          <w:rFonts w:ascii="Times New Roman" w:hAnsi="Times New Roman" w:cs="Times New Roman"/>
          <w:sz w:val="24"/>
          <w:szCs w:val="24"/>
        </w:rPr>
        <w:t xml:space="preserve">plant </w:t>
      </w:r>
      <w:r w:rsidR="00725E82">
        <w:rPr>
          <w:rFonts w:ascii="Times New Roman" w:hAnsi="Times New Roman" w:cs="Times New Roman"/>
          <w:sz w:val="24"/>
          <w:szCs w:val="24"/>
        </w:rPr>
        <w:t xml:space="preserve">molecular </w:t>
      </w:r>
      <w:r w:rsidR="00B5098A">
        <w:rPr>
          <w:rFonts w:ascii="Times New Roman" w:hAnsi="Times New Roman" w:cs="Times New Roman"/>
          <w:sz w:val="24"/>
          <w:szCs w:val="24"/>
        </w:rPr>
        <w:t>farming</w:t>
      </w:r>
      <w:r w:rsidR="00725E82">
        <w:rPr>
          <w:rFonts w:ascii="Times New Roman" w:hAnsi="Times New Roman" w:cs="Times New Roman"/>
          <w:sz w:val="24"/>
          <w:szCs w:val="24"/>
        </w:rPr>
        <w:t xml:space="preserve"> community with </w:t>
      </w:r>
      <w:r w:rsidR="000A4FCA">
        <w:rPr>
          <w:rFonts w:ascii="Times New Roman" w:hAnsi="Times New Roman" w:cs="Times New Roman"/>
          <w:sz w:val="24"/>
          <w:szCs w:val="24"/>
        </w:rPr>
        <w:t>contextual motivation</w:t>
      </w:r>
      <w:r w:rsidR="00725E82">
        <w:rPr>
          <w:rFonts w:ascii="Times New Roman" w:hAnsi="Times New Roman" w:cs="Times New Roman"/>
          <w:sz w:val="24"/>
          <w:szCs w:val="24"/>
        </w:rPr>
        <w:t xml:space="preserve"> and</w:t>
      </w:r>
      <w:r w:rsidR="00EA743A">
        <w:rPr>
          <w:rFonts w:ascii="Times New Roman" w:hAnsi="Times New Roman" w:cs="Times New Roman"/>
          <w:sz w:val="24"/>
          <w:szCs w:val="24"/>
        </w:rPr>
        <w:t xml:space="preserve"> a</w:t>
      </w:r>
      <w:r w:rsidR="00725E82">
        <w:rPr>
          <w:rFonts w:ascii="Times New Roman" w:hAnsi="Times New Roman" w:cs="Times New Roman"/>
          <w:sz w:val="24"/>
          <w:szCs w:val="24"/>
        </w:rPr>
        <w:t xml:space="preserve"> </w:t>
      </w:r>
      <w:r w:rsidR="00510DE3">
        <w:rPr>
          <w:rFonts w:ascii="Times New Roman" w:hAnsi="Times New Roman" w:cs="Times New Roman"/>
          <w:sz w:val="24"/>
          <w:szCs w:val="24"/>
        </w:rPr>
        <w:t xml:space="preserve">framework and </w:t>
      </w:r>
      <w:r w:rsidR="00725E82">
        <w:rPr>
          <w:rFonts w:ascii="Times New Roman" w:hAnsi="Times New Roman" w:cs="Times New Roman"/>
          <w:sz w:val="24"/>
          <w:szCs w:val="24"/>
        </w:rPr>
        <w:t xml:space="preserve">toolkit to further explore outdoor field cultivation through the lens of uncertainty quantification </w:t>
      </w:r>
      <w:r w:rsidR="00EA743A">
        <w:rPr>
          <w:rFonts w:ascii="Times New Roman" w:hAnsi="Times New Roman" w:cs="Times New Roman"/>
          <w:sz w:val="24"/>
          <w:szCs w:val="24"/>
        </w:rPr>
        <w:t xml:space="preserve">and management in </w:t>
      </w:r>
      <w:r w:rsidR="00725E82">
        <w:rPr>
          <w:rFonts w:ascii="Times New Roman" w:hAnsi="Times New Roman" w:cs="Times New Roman"/>
          <w:sz w:val="24"/>
          <w:szCs w:val="24"/>
        </w:rPr>
        <w:t>manufacturing process simulation</w:t>
      </w:r>
      <w:r w:rsidR="00EA743A">
        <w:rPr>
          <w:rFonts w:ascii="Times New Roman" w:hAnsi="Times New Roman" w:cs="Times New Roman"/>
          <w:sz w:val="24"/>
          <w:szCs w:val="24"/>
        </w:rPr>
        <w:t xml:space="preserve"> to drive future experimentation and </w:t>
      </w:r>
      <w:r w:rsidR="00510DE3">
        <w:rPr>
          <w:rFonts w:ascii="Times New Roman" w:hAnsi="Times New Roman" w:cs="Times New Roman"/>
          <w:sz w:val="24"/>
          <w:szCs w:val="24"/>
        </w:rPr>
        <w:t xml:space="preserve">inform </w:t>
      </w:r>
      <w:r w:rsidR="00EA743A">
        <w:rPr>
          <w:rFonts w:ascii="Times New Roman" w:hAnsi="Times New Roman" w:cs="Times New Roman"/>
          <w:sz w:val="24"/>
          <w:szCs w:val="24"/>
        </w:rPr>
        <w:t>business decisions</w:t>
      </w:r>
      <w:r w:rsidR="00725E82">
        <w:rPr>
          <w:rFonts w:ascii="Times New Roman" w:hAnsi="Times New Roman" w:cs="Times New Roman"/>
          <w:sz w:val="24"/>
          <w:szCs w:val="24"/>
        </w:rPr>
        <w:t>.</w:t>
      </w:r>
      <w:r w:rsidR="00EA743A">
        <w:rPr>
          <w:rFonts w:ascii="Times New Roman" w:hAnsi="Times New Roman" w:cs="Times New Roman"/>
          <w:sz w:val="24"/>
          <w:szCs w:val="24"/>
        </w:rPr>
        <w:t xml:space="preserve"> This was presented in the form of a deterministic </w:t>
      </w:r>
      <w:proofErr w:type="spellStart"/>
      <w:r w:rsidR="00EA743A">
        <w:rPr>
          <w:rFonts w:ascii="Times New Roman" w:hAnsi="Times New Roman" w:cs="Times New Roman"/>
          <w:sz w:val="24"/>
          <w:szCs w:val="24"/>
        </w:rPr>
        <w:t>SuperPro</w:t>
      </w:r>
      <w:proofErr w:type="spellEnd"/>
      <w:r w:rsidR="00EA743A">
        <w:rPr>
          <w:rFonts w:ascii="Times New Roman" w:hAnsi="Times New Roman" w:cs="Times New Roman"/>
          <w:sz w:val="24"/>
          <w:szCs w:val="24"/>
        </w:rPr>
        <w:t xml:space="preserve"> Designer-based techno-economic facility model integrated with a stochastic Monte Carlo-based simulation to propagate the impact of noisy manufacturing inputs </w:t>
      </w:r>
      <w:r w:rsidR="000A4FCA">
        <w:rPr>
          <w:rFonts w:ascii="Times New Roman" w:hAnsi="Times New Roman" w:cs="Times New Roman"/>
          <w:sz w:val="24"/>
          <w:szCs w:val="24"/>
        </w:rPr>
        <w:t xml:space="preserve">through </w:t>
      </w:r>
      <w:r w:rsidR="00EA743A">
        <w:rPr>
          <w:rFonts w:ascii="Times New Roman" w:hAnsi="Times New Roman" w:cs="Times New Roman"/>
          <w:sz w:val="24"/>
          <w:szCs w:val="24"/>
        </w:rPr>
        <w:t>to</w:t>
      </w:r>
      <w:r w:rsidR="000A4FCA">
        <w:rPr>
          <w:rFonts w:ascii="Times New Roman" w:hAnsi="Times New Roman" w:cs="Times New Roman"/>
          <w:sz w:val="24"/>
          <w:szCs w:val="24"/>
        </w:rPr>
        <w:t xml:space="preserve"> forecast variable</w:t>
      </w:r>
      <w:r w:rsidR="00EA743A">
        <w:rPr>
          <w:rFonts w:ascii="Times New Roman" w:hAnsi="Times New Roman" w:cs="Times New Roman"/>
          <w:sz w:val="24"/>
          <w:szCs w:val="24"/>
        </w:rPr>
        <w:t xml:space="preserve"> outputs. Scenario analysis and optimization aspects provide direct examples of how this toolkit can be used in decision making.</w:t>
      </w:r>
    </w:p>
    <w:p w14:paraId="061F8E53" w14:textId="77777777" w:rsidR="00EA743A" w:rsidRDefault="00EA743A" w:rsidP="00F00898">
      <w:pPr>
        <w:spacing w:line="480" w:lineRule="auto"/>
        <w:rPr>
          <w:rFonts w:ascii="Times New Roman" w:hAnsi="Times New Roman" w:cs="Times New Roman"/>
          <w:sz w:val="24"/>
          <w:szCs w:val="24"/>
        </w:rPr>
      </w:pPr>
    </w:p>
    <w:p w14:paraId="40A1583A" w14:textId="045F1478" w:rsidR="00F3644D" w:rsidRPr="00AE453C" w:rsidRDefault="00AE453C" w:rsidP="00F00898">
      <w:pPr>
        <w:spacing w:line="480" w:lineRule="auto"/>
        <w:rPr>
          <w:rFonts w:ascii="Times New Roman" w:hAnsi="Times New Roman" w:cs="Times New Roman"/>
          <w:b/>
          <w:bCs/>
          <w:sz w:val="28"/>
          <w:szCs w:val="28"/>
        </w:rPr>
      </w:pPr>
      <w:r w:rsidRPr="00AE453C">
        <w:rPr>
          <w:rFonts w:ascii="Times New Roman" w:hAnsi="Times New Roman" w:cs="Times New Roman"/>
          <w:b/>
          <w:bCs/>
          <w:sz w:val="28"/>
          <w:szCs w:val="28"/>
        </w:rPr>
        <w:t>Acknowledgements</w:t>
      </w:r>
    </w:p>
    <w:p w14:paraId="4EA0F65E" w14:textId="7B1365CD" w:rsidR="00AE453C" w:rsidRDefault="00CD04FD" w:rsidP="0007199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authors have no competing interests to report. </w:t>
      </w:r>
      <w:r w:rsidR="00AE453C">
        <w:rPr>
          <w:rFonts w:ascii="Times New Roman" w:hAnsi="Times New Roman" w:cs="Times New Roman"/>
          <w:sz w:val="24"/>
          <w:szCs w:val="24"/>
        </w:rPr>
        <w:t xml:space="preserve">This work was supported by a NASA Space Technology Research Fellowship </w:t>
      </w:r>
      <w:r w:rsidR="00007E54">
        <w:rPr>
          <w:rFonts w:ascii="Times New Roman" w:hAnsi="Times New Roman" w:cs="Times New Roman"/>
          <w:sz w:val="24"/>
          <w:szCs w:val="24"/>
        </w:rPr>
        <w:t>[g</w:t>
      </w:r>
      <w:r w:rsidR="00AE453C">
        <w:rPr>
          <w:rFonts w:ascii="Times New Roman" w:hAnsi="Times New Roman" w:cs="Times New Roman"/>
          <w:sz w:val="24"/>
          <w:szCs w:val="24"/>
        </w:rPr>
        <w:t>rant</w:t>
      </w:r>
      <w:r w:rsidR="00007E54">
        <w:rPr>
          <w:rFonts w:ascii="Times New Roman" w:hAnsi="Times New Roman" w:cs="Times New Roman"/>
          <w:sz w:val="24"/>
          <w:szCs w:val="24"/>
        </w:rPr>
        <w:t xml:space="preserve"> number</w:t>
      </w:r>
      <w:r w:rsidR="00AE453C">
        <w:rPr>
          <w:rFonts w:ascii="Times New Roman" w:hAnsi="Times New Roman" w:cs="Times New Roman"/>
          <w:sz w:val="24"/>
          <w:szCs w:val="24"/>
        </w:rPr>
        <w:t xml:space="preserve"> 80NSSC18K1157</w:t>
      </w:r>
      <w:r w:rsidR="00007E54">
        <w:rPr>
          <w:rFonts w:ascii="Times New Roman" w:hAnsi="Times New Roman" w:cs="Times New Roman"/>
          <w:sz w:val="24"/>
          <w:szCs w:val="24"/>
        </w:rPr>
        <w:t>];</w:t>
      </w:r>
      <w:r>
        <w:rPr>
          <w:rFonts w:ascii="Times New Roman" w:hAnsi="Times New Roman" w:cs="Times New Roman"/>
          <w:sz w:val="24"/>
          <w:szCs w:val="24"/>
        </w:rPr>
        <w:t xml:space="preserve"> and </w:t>
      </w:r>
      <w:r w:rsidR="00071997" w:rsidRPr="00071997">
        <w:rPr>
          <w:rFonts w:ascii="Times New Roman" w:hAnsi="Times New Roman" w:cs="Times New Roman"/>
          <w:sz w:val="24"/>
          <w:szCs w:val="24"/>
        </w:rPr>
        <w:t>NSF-PEGS 21</w:t>
      </w:r>
      <w:r w:rsidR="00071997">
        <w:rPr>
          <w:rFonts w:ascii="Times New Roman" w:hAnsi="Times New Roman" w:cs="Times New Roman"/>
          <w:sz w:val="24"/>
          <w:szCs w:val="24"/>
        </w:rPr>
        <w:t xml:space="preserve"> </w:t>
      </w:r>
      <w:r w:rsidR="00007E54">
        <w:rPr>
          <w:rFonts w:ascii="Times New Roman" w:hAnsi="Times New Roman" w:cs="Times New Roman"/>
          <w:sz w:val="24"/>
          <w:szCs w:val="24"/>
        </w:rPr>
        <w:t>[a</w:t>
      </w:r>
      <w:r w:rsidR="00071997" w:rsidRPr="00071997">
        <w:rPr>
          <w:rFonts w:ascii="Times New Roman" w:hAnsi="Times New Roman" w:cs="Times New Roman"/>
          <w:sz w:val="24"/>
          <w:szCs w:val="24"/>
        </w:rPr>
        <w:t xml:space="preserve">ward </w:t>
      </w:r>
      <w:r w:rsidR="00007E54">
        <w:rPr>
          <w:rFonts w:ascii="Times New Roman" w:hAnsi="Times New Roman" w:cs="Times New Roman"/>
          <w:sz w:val="24"/>
          <w:szCs w:val="24"/>
        </w:rPr>
        <w:t>number</w:t>
      </w:r>
      <w:r w:rsidR="00071997" w:rsidRPr="00071997">
        <w:rPr>
          <w:rFonts w:ascii="Times New Roman" w:hAnsi="Times New Roman" w:cs="Times New Roman"/>
          <w:sz w:val="24"/>
          <w:szCs w:val="24"/>
        </w:rPr>
        <w:t xml:space="preserve"> 1565033</w:t>
      </w:r>
      <w:r w:rsidR="00007E54">
        <w:rPr>
          <w:rFonts w:ascii="Times New Roman" w:hAnsi="Times New Roman" w:cs="Times New Roman"/>
          <w:sz w:val="24"/>
          <w:szCs w:val="24"/>
        </w:rPr>
        <w:t>]</w:t>
      </w:r>
      <w:r w:rsidR="00071997" w:rsidRPr="00071997">
        <w:rPr>
          <w:rFonts w:ascii="Times New Roman" w:hAnsi="Times New Roman" w:cs="Times New Roman"/>
          <w:sz w:val="24"/>
          <w:szCs w:val="24"/>
        </w:rPr>
        <w:t>.</w:t>
      </w:r>
    </w:p>
    <w:p w14:paraId="3E4DC509" w14:textId="7D43A411" w:rsidR="00F00898" w:rsidRDefault="00F00898">
      <w:pPr>
        <w:rPr>
          <w:rFonts w:ascii="Times New Roman" w:hAnsi="Times New Roman" w:cs="Times New Roman"/>
          <w:sz w:val="24"/>
          <w:szCs w:val="24"/>
        </w:rPr>
      </w:pPr>
    </w:p>
    <w:p w14:paraId="272B0D14" w14:textId="3A1CE82D" w:rsidR="00F3644D" w:rsidRDefault="00F3644D" w:rsidP="00F00898">
      <w:pPr>
        <w:spacing w:line="480" w:lineRule="auto"/>
        <w:rPr>
          <w:rFonts w:ascii="Times New Roman" w:hAnsi="Times New Roman" w:cs="Times New Roman"/>
          <w:b/>
          <w:bCs/>
          <w:sz w:val="28"/>
          <w:szCs w:val="28"/>
        </w:rPr>
      </w:pPr>
      <w:r w:rsidRPr="00F3644D">
        <w:rPr>
          <w:rFonts w:ascii="Times New Roman" w:hAnsi="Times New Roman" w:cs="Times New Roman"/>
          <w:b/>
          <w:bCs/>
          <w:sz w:val="28"/>
          <w:szCs w:val="28"/>
        </w:rPr>
        <w:t>References</w:t>
      </w:r>
    </w:p>
    <w:p w14:paraId="7F3EDB6E" w14:textId="6E689B04" w:rsidR="000248C3" w:rsidRPr="000248C3" w:rsidRDefault="00D446F4"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0248C3" w:rsidRPr="000248C3">
        <w:rPr>
          <w:rFonts w:ascii="Times New Roman" w:hAnsi="Times New Roman" w:cs="Times New Roman"/>
          <w:noProof/>
          <w:sz w:val="24"/>
          <w:szCs w:val="24"/>
        </w:rPr>
        <w:t>Alam, A., Jiang, L., Kittleson, G.A., Steadman, K.D., Nandi, S., Fuqua, J.L., Palmer, K.E., Tusé, D., McDonald, K.A., 2018. Technoeconomic Modeling of Plant-Based Griffithsin Manufacturing. Front. Bioeng. Biotechnol. 6, 102. https://doi.org/10.3389/fbioe.2018.00102</w:t>
      </w:r>
    </w:p>
    <w:p w14:paraId="2975168E"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Avis, K.E., Wu, V.L. (Eds.), 1996. Biotechnology and Biopharmaceutical Manufacturing, Processing, and Preservation. CRC Press.</w:t>
      </w:r>
    </w:p>
    <w:p w14:paraId="0BEF085A"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Bally, J., Jung, H., Mortimer, C., Naim, F., Philips, J.G., Hellens, R., Bombarely, A., Goodin, M.M., Waterhouse, P.M., 2018. The Rise and Rise of Nicotiana benthamiana : A Plant for All Reasons. Annu. Rev. Phytopathol. 56, 405–426. https://doi.org/10.1146/annurev-phyto-080417-050141</w:t>
      </w:r>
    </w:p>
    <w:p w14:paraId="6C201219"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Basu, P., Joglekar, G., Rai, S., Suresh, P., Vernon, J., 2008. Analysis of Manufacturing Costs in Pharmaceutical Companies. J. Pharm. Innov. https://doi.org/10.1007/s12247-008-9024-4</w:t>
      </w:r>
    </w:p>
    <w:p w14:paraId="25634C22"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Batan, L.Y., Graff, G.D., Bradley, T.H., 2016. Techno-economic and Monte Carlo probabilistic analysis of microalgae biofuel production system. Bioresour. Technol. 219, 45–52. https://doi.org/10.1016/j.biortech.2016.07.085</w:t>
      </w:r>
    </w:p>
    <w:p w14:paraId="6D6C8259"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 xml:space="preserve">Biwer, A., Griffith, S., Cooney, C., 2005. Uncertainty analysis of penicillin V production using Monte Carlo simulation. Biotechnol. Bioeng. 90, 167–179. </w:t>
      </w:r>
      <w:r w:rsidRPr="000248C3">
        <w:rPr>
          <w:rFonts w:ascii="Times New Roman" w:hAnsi="Times New Roman" w:cs="Times New Roman"/>
          <w:noProof/>
          <w:sz w:val="24"/>
          <w:szCs w:val="24"/>
        </w:rPr>
        <w:lastRenderedPageBreak/>
        <w:t>https://doi.org/10.1002/bit.20359</w:t>
      </w:r>
    </w:p>
    <w:p w14:paraId="76D193E7"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Buyel, J.F., 2018. Plant Molecular Farming - Integration and Exploitation of Side Streams to Achieve Sustainable Biomanufacturing. Front. Plant Sci. 9, 1893. https://doi.org/10.3389/fpls.2018.01893</w:t>
      </w:r>
    </w:p>
    <w:p w14:paraId="6124039F"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Buyel, J.F., Twyman, R.M., Fischer, R., 2017. Very-large-scale production of antibodies in plants: The biologization of manufacturing. Biotechnol. Adv. https://doi.org/10.1016/j.biotechadv.2017.03.011</w:t>
      </w:r>
    </w:p>
    <w:p w14:paraId="3DABCA98"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Chen, Y.-S., Zaro, J., Zhang, D., Huang, N., Simon, A., Shen, W.-C., 2018. Characterization and Oral Delivery of Proinsulin-Transferrin Fusion Protein Expressed Using ExpressTec. Int. J. Mol. Sci. 19, 378. https://doi.org/10.3390/ijms19020378</w:t>
      </w:r>
    </w:p>
    <w:p w14:paraId="02880F4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Faye, L., Gomord, V., 2010. Success stories in molecular farming-a brief overview. Plant Biotechnol. J. 8, 525–528. https://doi.org/10.1111/j.1467-7652.2010.00521.x</w:t>
      </w:r>
    </w:p>
    <w:p w14:paraId="38BEB30B"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Finger, R., Swinton, S.M., El Benni, N., Walter, A., 2019. Precision Farming at the Nexus of Agricultural Production and the Environment. Annu. Rev. Resour. Econ. 11, 313–335. https://doi.org/10.1146/annurev-resource-100518-093929</w:t>
      </w:r>
    </w:p>
    <w:p w14:paraId="06E772D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Fischer, R., Buyel, J.F., 2020. Molecular farming – The slope of enlightenment. Biotechnol. Adv. 40, 107519. https://doi.org/10.1016/j.biotechadv.2020.107519</w:t>
      </w:r>
    </w:p>
    <w:p w14:paraId="782D2AF2"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Hamada, A., Yamaguchi, K.I., Harada, M., Horiguchi, K.I., Takahashi, T., Honda, H., 2006. Recombinant, rice-produced yeast phytase shows the ability to hydrolyze phytate derived from seed-based feed, and extreme stability during ensilage treatment. Biosci. Biotechnol. Biochem. 70, 1524–1527. https://doi.org/10.1271/bbb.60039</w:t>
      </w:r>
    </w:p>
    <w:p w14:paraId="77D57062"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lastRenderedPageBreak/>
        <w:t>Holtz, B.R., Berquist, B.R., Bennett, L.D., Kommineni, V.J.M., Munigunti, R.K., White, E.L., Wilkerson, D.C., Wong, K.-Y.I., Ly, L.H., Marcel, S., 2015. Commercial-scale biotherapeutics manufacturing facility for plant-made pharmaceuticals. Plant Biotechnol. J. 13, 1180–1190. https://doi.org/10.1111/pbi.12469</w:t>
      </w:r>
    </w:p>
    <w:p w14:paraId="5245642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Iizumi, T., Ramankutty, N., 2016. Changes in yield variability of major crops for 1981-2010 explained by climate change. Environ. Res. Lett. 11, 034003. https://doi.org/10.1088/1748-9326/11/3/034003</w:t>
      </w:r>
    </w:p>
    <w:p w14:paraId="4B1FEC15"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Ismail, B.P., Senaratne-Lenagala, L., Stube, A., Brackenridge, A., 2020. Protein demand: review of plant and animal proteins used in alternative protein product development and production. Anim. Front. 10, 53–63. https://doi.org/10.1093/af/vfaa040</w:t>
      </w:r>
    </w:p>
    <w:p w14:paraId="22B0B92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J. Zhuang, M. A. Marchant, S. E. Nokes, H. J. Strobel, 2007. Economic Analysis of Cellulase Production Methods for Bio-Ethanol. Appl. Eng. Agric. 23, 679–687. https://doi.org/10.13031/2013.23659</w:t>
      </w:r>
    </w:p>
    <w:p w14:paraId="70BBA04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Kelada, K.D., Tusé, D., Gleba, Y., Mcdonald, K.A., Nandi, S., 2020. Process Simulation and Techno-Economic Analysis of Large-Scale Bioproduction of Sweet Protein Thaumatin II. https://doi.org/10.20944/preprints202012.0280.v1</w:t>
      </w:r>
    </w:p>
    <w:p w14:paraId="6900837B"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Kermode, A.R., Jiang, L., 2018. Molecular pharming: Applications, challenges and emerging areas, Molecular Pharming: Applications, Challenges and Emerging Areas. Wiley Blackwell. https://doi.org/10.1002/9781118801512</w:t>
      </w:r>
    </w:p>
    <w:p w14:paraId="53C0EECF"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Kesik-Brodacka, M., 2018. Progress in biopharmaceutical development. Biotechnol. Appl. Biochem. https://doi.org/10.1002/bab.1617</w:t>
      </w:r>
    </w:p>
    <w:p w14:paraId="2B964EF8"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lastRenderedPageBreak/>
        <w:t>King, A., 2017. Technology: The future of agriculture. Nature 544, S21–S23.</w:t>
      </w:r>
    </w:p>
    <w:p w14:paraId="40605CC8"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Knödler, M., Rühl, C., Emonts, J., Buyel, J.F., 2019. Seasonal Weather Changes Affect the Yield and Quality of Recombinant Proteins Produced in Transgenic Tobacco Plants in a Greenhouse Setting. Front. Plant Sci. 10, 1245. https://doi.org/10.3389/fpls.2019.01245</w:t>
      </w:r>
    </w:p>
    <w:p w14:paraId="4BD43295"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Kojima, Y., Parcell, J., Cain, J., 2016. A Global Demand Analysis of Vegetable Oils for Food and Industrial Use: A Cross-Country Panel Data Analysis with Spatial Econometrics, in: Agricultural &amp; Applied Economics Association Annual Meeting. Boston.</w:t>
      </w:r>
    </w:p>
    <w:p w14:paraId="26A55460"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Laffan, A.M., McKenzie, R., Forti, J., Conklin, D., Marcinko, R., Shrestha, R., Bellantoni, M., Greenough, W.B., 2011. Lactoferrin for the prevention of post-antibiotic diarrhoea. J. Heal. Popul. Nutr. 29, 547–551. https://doi.org/10.3329/jhpn.v29i6.9889</w:t>
      </w:r>
    </w:p>
    <w:p w14:paraId="2FA29CF9"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Ma, J.K.-C., Barros, E., Bock, R., Christou, P., Dale, P.J., Dix, P.J., Fischer, R., Irwin, J., Mahoney, R., Pezzotti, M., Schillberg, S., Sparrow, P., Stoger, E., Twyman, R.M., European Union Framework 6 Pharma-Planta Consortium, 2005. Molecular farming for new drugs and vaccines. Current perspectives on the production of pharmaceuticals in transgenic plants. EMBO Rep. 6, 593–9. https://doi.org/10.1038/sj.embor.7400470</w:t>
      </w:r>
    </w:p>
    <w:p w14:paraId="0C6CDBD8"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Ma, J.K.-C., Christou, P., Chikwamba, R., Haydon, H., Paul, M., Ferrer, M.P., Ramalingam, S., Rech, E., Rybicki, E., Wigdorowitz, A., Yang, D.-C., Thangaraj, H., 2013. Realising the value of plant molecular pharming to benefit the poor in developing countries and emerging economies. Plant Biotechnol. Journal2 11, 1029–1033. https://doi.org/10.1111/pbi.12127</w:t>
      </w:r>
    </w:p>
    <w:p w14:paraId="473AA9B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Ma, J.K.C., Drake, P.M.W., Christou, P., 2003. The production of recombinant pharmaceutical proteins in plants. Nat. Rev. Genet. https://doi.org/10.1038/nrg1177</w:t>
      </w:r>
    </w:p>
    <w:p w14:paraId="308D8675"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lastRenderedPageBreak/>
        <w:t>Ma, J.K.C., Drossard, J., Lewis, D., Altmann, F., Boyle, J., Christou, P., Cole, T., Dale, P., van Dolleweerd, C.J., Isitt, V., Katinger, D., Lobedan, M., Mertens, H., Paul, M.J., Rademacher, T., Sack, M., Hundleby, P.A.C., Stiegler, G., Stoger, E., Twyman, R.M., Vcelar, B., Fischer, R., 2015. Regulatory approval and a first-in-human phase I clinical trial of a monoclonal antibody produced in transgenic tobacco plants. Plant Biotechnol. J. 13, 1106–1120. https://doi.org/10.1111/pbi.12416</w:t>
      </w:r>
    </w:p>
    <w:p w14:paraId="406BFA17"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Martagan, T., Krishnamurthy, A., Leland, P.A., Maravelias, C.T., 2018. Performance guarantees and optimal purification decisions for engineered proteins. Oper. Res. 66, 18–41. https://doi.org/10.1287/opre.2017.1661</w:t>
      </w:r>
    </w:p>
    <w:p w14:paraId="0966180E"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McDonald, K.A., Holtz, R.B., 2020. From Farm to Finger Prick—A Perspective on How Plants Can Help in the Fight Against COVID-19. Front. Bioeng. Biotechnol. 8, 782. https://doi.org/10.3389/fbioe.2020.00782</w:t>
      </w:r>
    </w:p>
    <w:p w14:paraId="2CB58071"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McNulty, M.J., Gleba, Y., Tusé, D., Hahn‐Löbmann, S., Giritch, A., Nandi, S., McDonald, K.A., 2020. Techno‐economic analysis of a plant‐based platform for manufacturing antimicrobial proteins for food safety. Biotechnol. Prog. 36. https://doi.org/10.1002/btpr.2896</w:t>
      </w:r>
    </w:p>
    <w:p w14:paraId="4A0D4119"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Menary, J., Hobbs, M., Mesquita de Albuquerque, S., Pacho, A., Drake, P.M.W., Prendiville, A., Ma, J.K.-C., Fuller, S.S., 2020. Shotguns vs Lasers: Identifying barriers and facilitators to scaling-up plant molecular farming for high-value health products. PLoS One 15, e0229952. https://doi.org/10.1371/journal.pone.0229952</w:t>
      </w:r>
    </w:p>
    <w:p w14:paraId="798731F2"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Moudi, M., Go, R., Yien, C.Y.S., Nazre, M., 2013. Vinca alkaloids. Int. J. Prev. Med. https://doi.org/10.2165/00128415-200711380-00080</w:t>
      </w:r>
    </w:p>
    <w:p w14:paraId="52941742"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 xml:space="preserve">Moustafa, K., Makhzoum, A., Trémouillaux-Guiller, J., 2016. Molecular farming on rescue of </w:t>
      </w:r>
      <w:r w:rsidRPr="000248C3">
        <w:rPr>
          <w:rFonts w:ascii="Times New Roman" w:hAnsi="Times New Roman" w:cs="Times New Roman"/>
          <w:noProof/>
          <w:sz w:val="24"/>
          <w:szCs w:val="24"/>
        </w:rPr>
        <w:lastRenderedPageBreak/>
        <w:t>pharma industry for next generations. Crit. Rev. Biotechnol. https://doi.org/10.3109/07388551.2015.1049934</w:t>
      </w:r>
    </w:p>
    <w:p w14:paraId="164D330B"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Murad, S., Fuller, S., Menary, J., Moore, C., Pinneh, E., Szeto, T., Hitzeroth, I., Freire, M., Taychakhoonavudh, S., Phoolcharoen, W., Ma, J.K.C., 2020. Molecular Pharming for low and middle income countries. Curr. Opin. Biotechnol. https://doi.org/10.1016/j.copbio.2019.10.005</w:t>
      </w:r>
    </w:p>
    <w:p w14:paraId="2AABEE56"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Nandi, S., Kwong, A.T., Holtz, B.R., Erwin, R.L., Marcel, S., McDonald, K.A., 2016. Techno-economic analysis of a transient plant-based platform for monoclonal antibody production. MAbs 8, 1456–1466. https://doi.org/10.1080/19420862.2016.1227901</w:t>
      </w:r>
    </w:p>
    <w:p w14:paraId="20E31BB5"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Nandi, S., Yalda, D., Lu, S., Nikolov, Z., Misaki, R., Fujiyama, K., Huang, N., 2005. Process development and economic evaluation of recombinant human lactoferrin expressed in rice grain. Transgenic Res. 14, 237–249. https://doi.org/10.1007/s11248-004-8120-6</w:t>
      </w:r>
    </w:p>
    <w:p w14:paraId="43AAA6A7"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Papavasileiou, V., Koulouris, A., Siletti, C., Petrides, D., 2007. Optimize manufacturing of pharmaceutical products with process simulation and production scheduling tools. Chem. Eng. Res. Des. 85, 1086–1097. https://doi.org/10.1205/cherd06240</w:t>
      </w:r>
    </w:p>
    <w:p w14:paraId="04C81B7B"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Pei, L., Schmidt, M., 2019. Novel biotechnological approaches to produce biological compounds: challenges and opportunities for science communication. Curr. Opin. Biotechnol. https://doi.org/10.1016/j.copbio.2018.08.012</w:t>
      </w:r>
    </w:p>
    <w:p w14:paraId="0BD2E3C0"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Petrides, D., Carmichael, D., Siletti, C., Koulouris, A., 2019. Bioprocess Simulation and Economics, in: Essentials in Fermentation Technology. Springer, Cham, pp. 273–305. https://doi.org/10.1007/978-3-030-16230-6_9</w:t>
      </w:r>
    </w:p>
    <w:p w14:paraId="3477FAB7"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lastRenderedPageBreak/>
        <w:t>Pogue, G.P., Lindbo, J.A., Garger, S.J., Fitzmaurice, W.P., 2002. Making an Ally from an Enemy: Plant Virology and the New Agriculture. Annu. Rev. Phytopathol. 40, 45–74. https://doi.org/10.1146/annurev.phyto.40.021102.150133</w:t>
      </w:r>
    </w:p>
    <w:p w14:paraId="79DA20A2"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Pogue, G.P., Vojdani, F., Palmer, K.E., Hiatt, E., Hume, S., Phelps, J., Long, L., Bohorova, N., Kim, D., Pauly, M., Velasco, J., Whaley, K., Zeitlin, L., Garger, S.J., White, E., Bai, Y., Haydon, H., Bratcher, B., 2010. Production of pharmaceutical-grade recombinant aprotinin and a monoclonal antibody product using plant-based transient expression systems. Plant Biotechnol. J. 8, 638–654. https://doi.org/10.1111/j.1467-7652.2009.00495.x</w:t>
      </w:r>
    </w:p>
    <w:p w14:paraId="4022E51B"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Rocha, I., Ma, Y., Souza-Alonso, P., Vosátka, M., Freitas, H., Oliveira, R.S., 2019. Seed Coating: A Tool for Delivering Beneficial Microbes to Agricultural Crops. Front. Plant Sci. https://doi.org/10.3389/fpls.2019.01357</w:t>
      </w:r>
    </w:p>
    <w:p w14:paraId="15BC1933"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Singh, D.P., Kumari, M., Prakash, H.G., Rao, G.P., Solomon, S., 2019. Phytochemical and Pharmacological Importance of Stevia: A Calorie-Free Natural Sweetener. Sugar Tech. https://doi.org/10.1007/s12355-019-00704-1</w:t>
      </w:r>
    </w:p>
    <w:p w14:paraId="6C1F6B94"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Sparrow, P., Broer, I., Hood, E., Eversole, K., Hartung, F., Schiemann, J., 2013. Risk Assessment and Regulation of Molecular Farming - A Comparison between Europe and US. Curr. Pharm. Des. 19, 5513–5530. https://doi.org/10.2174/1381612811319310007</w:t>
      </w:r>
    </w:p>
    <w:p w14:paraId="0C6EF37F"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Sparrow, P.A.C., Irwin, J.A., Dale, P.J., Twyman, R.M., Ma, J.K.C., 2007. Pharma-Planta: Road testing the developing regulatory guidelines for plant-made pharmaceuticals. Transgenic Res. https://doi.org/10.1007/s11248-007-9074-2</w:t>
      </w:r>
    </w:p>
    <w:p w14:paraId="178003D0"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 xml:space="preserve">Spiegel, H., Stöger, E., Twyman, R.M., Buyel, J.F., 2018. Current Status and Perspectives of the Molecular Farming Landscape, in: Molecular Pharming. John Wiley &amp; Sons, Inc., </w:t>
      </w:r>
      <w:r w:rsidRPr="000248C3">
        <w:rPr>
          <w:rFonts w:ascii="Times New Roman" w:hAnsi="Times New Roman" w:cs="Times New Roman"/>
          <w:noProof/>
          <w:sz w:val="24"/>
          <w:szCs w:val="24"/>
        </w:rPr>
        <w:lastRenderedPageBreak/>
        <w:t>Hoboken, NJ, USA, pp. 1–23. https://doi.org/10.1002/9781118801512.ch1</w:t>
      </w:r>
    </w:p>
    <w:p w14:paraId="251F10A4"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Su, X.Z., Miller, L.H., 2015. The discovery of artemisinin and the Nobel Prize in Physiology or Medicine. Sci. China. Life Sci. 58, 1175–1179. https://doi.org/10.1007/s11427-015-4948-7</w:t>
      </w:r>
    </w:p>
    <w:p w14:paraId="33CE2165"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Sylvetsky, A.C., Rother, K.I., 2016. Trends in the consumption of low-calorie sweeteners. Physiol. Behav. https://doi.org/10.1016/j.physbeh.2016.03.030</w:t>
      </w:r>
    </w:p>
    <w:p w14:paraId="05E3F3EA"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Tremblay, R., Wang, D., Jevnikar, A.M., Ma, S., 2010. Tobacco, a highly efficient green bioreactor for production of therapeutic proteins. Biotechnol. Adv. https://doi.org/10.1016/j.biotechadv.2009.11.008</w:t>
      </w:r>
    </w:p>
    <w:p w14:paraId="151111C8"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Tsekoa, T.L., Singh, A.A., Buthelezi, S.G., 2020. Molecular farming for therapies and vaccines in Africa. Curr. Opin. Biotechnol. https://doi.org/10.1016/j.copbio.2019.11.005</w:t>
      </w:r>
    </w:p>
    <w:p w14:paraId="4AE3DADB"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Tusé, D., Tu, T., McDonald, K.A., 2014. Manufacturing economics of plant-made biologics: Case studies in therapeutic and industrial enzymes. Biomed Res. Int. 2014. https://doi.org/10.1155/2014/256135</w:t>
      </w:r>
    </w:p>
    <w:p w14:paraId="224FDC0D"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szCs w:val="24"/>
        </w:rPr>
      </w:pPr>
      <w:r w:rsidRPr="000248C3">
        <w:rPr>
          <w:rFonts w:ascii="Times New Roman" w:hAnsi="Times New Roman" w:cs="Times New Roman"/>
          <w:noProof/>
          <w:sz w:val="24"/>
          <w:szCs w:val="24"/>
        </w:rPr>
        <w:t>Van Beilen, J.B., Poirier, Y., 2008. Production of renewable polymers from crop plants. Plant J. https://doi.org/10.1111/j.1365-313X.2008.03431.x</w:t>
      </w:r>
    </w:p>
    <w:p w14:paraId="6CB9A60D" w14:textId="77777777" w:rsidR="000248C3" w:rsidRPr="000248C3" w:rsidRDefault="000248C3" w:rsidP="000248C3">
      <w:pPr>
        <w:widowControl w:val="0"/>
        <w:autoSpaceDE w:val="0"/>
        <w:autoSpaceDN w:val="0"/>
        <w:adjustRightInd w:val="0"/>
        <w:spacing w:line="480" w:lineRule="auto"/>
        <w:ind w:left="480" w:hanging="480"/>
        <w:rPr>
          <w:rFonts w:ascii="Times New Roman" w:hAnsi="Times New Roman" w:cs="Times New Roman"/>
          <w:noProof/>
          <w:sz w:val="24"/>
        </w:rPr>
      </w:pPr>
      <w:r w:rsidRPr="000248C3">
        <w:rPr>
          <w:rFonts w:ascii="Times New Roman" w:hAnsi="Times New Roman" w:cs="Times New Roman"/>
          <w:noProof/>
          <w:sz w:val="24"/>
          <w:szCs w:val="24"/>
        </w:rPr>
        <w:t>Yao, J., Weng, Y., Dickey, A., Wang, K.Y., 2015. Plants as factories for human pharmaceuticals: Applications and challenges. Int. J. Mol. Sci. https://doi.org/10.3390/ijms161226122</w:t>
      </w:r>
    </w:p>
    <w:p w14:paraId="0203E37D" w14:textId="4EC8EE7D" w:rsidR="00D446F4" w:rsidRPr="00D446F4" w:rsidRDefault="00D446F4" w:rsidP="00F00898">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D446F4" w:rsidRPr="00D446F4" w:rsidSect="008C4DB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8D01E" w14:textId="77777777" w:rsidR="00132CAB" w:rsidRDefault="00132CAB" w:rsidP="00487338">
      <w:pPr>
        <w:spacing w:after="0" w:line="240" w:lineRule="auto"/>
      </w:pPr>
      <w:r>
        <w:separator/>
      </w:r>
    </w:p>
  </w:endnote>
  <w:endnote w:type="continuationSeparator" w:id="0">
    <w:p w14:paraId="4047E2B1" w14:textId="77777777" w:rsidR="00132CAB" w:rsidRDefault="00132CAB" w:rsidP="0048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Grotesqu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7324702"/>
      <w:docPartObj>
        <w:docPartGallery w:val="Page Numbers (Bottom of Page)"/>
        <w:docPartUnique/>
      </w:docPartObj>
    </w:sdtPr>
    <w:sdtEndPr>
      <w:rPr>
        <w:noProof/>
      </w:rPr>
    </w:sdtEndPr>
    <w:sdtContent>
      <w:p w14:paraId="28C8FFBA" w14:textId="2A9FE84D" w:rsidR="00775D32" w:rsidRDefault="00775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30B2AB" w14:textId="77777777" w:rsidR="00775D32" w:rsidRDefault="00775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7E9C8" w14:textId="77777777" w:rsidR="00132CAB" w:rsidRDefault="00132CAB" w:rsidP="00487338">
      <w:pPr>
        <w:spacing w:after="0" w:line="240" w:lineRule="auto"/>
      </w:pPr>
      <w:r>
        <w:separator/>
      </w:r>
    </w:p>
  </w:footnote>
  <w:footnote w:type="continuationSeparator" w:id="0">
    <w:p w14:paraId="30CC9027" w14:textId="77777777" w:rsidR="00132CAB" w:rsidRDefault="00132CAB" w:rsidP="00487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7373"/>
    <w:multiLevelType w:val="multilevel"/>
    <w:tmpl w:val="A0F0A2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7153D7"/>
    <w:multiLevelType w:val="hybridMultilevel"/>
    <w:tmpl w:val="567E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42C85"/>
    <w:multiLevelType w:val="hybridMultilevel"/>
    <w:tmpl w:val="2D160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FC46E7"/>
    <w:multiLevelType w:val="hybridMultilevel"/>
    <w:tmpl w:val="2676C0DE"/>
    <w:lvl w:ilvl="0" w:tplc="7638E23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DE294A"/>
    <w:multiLevelType w:val="hybridMultilevel"/>
    <w:tmpl w:val="9F8A110E"/>
    <w:lvl w:ilvl="0" w:tplc="15D29F4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DC"/>
    <w:rsid w:val="00002919"/>
    <w:rsid w:val="00005FDF"/>
    <w:rsid w:val="00006864"/>
    <w:rsid w:val="00007E54"/>
    <w:rsid w:val="000214AC"/>
    <w:rsid w:val="00023085"/>
    <w:rsid w:val="000248C3"/>
    <w:rsid w:val="00036A20"/>
    <w:rsid w:val="000407DC"/>
    <w:rsid w:val="000426AE"/>
    <w:rsid w:val="00047430"/>
    <w:rsid w:val="000529BE"/>
    <w:rsid w:val="00054849"/>
    <w:rsid w:val="000576E7"/>
    <w:rsid w:val="000657F7"/>
    <w:rsid w:val="000658DF"/>
    <w:rsid w:val="00071997"/>
    <w:rsid w:val="00081C75"/>
    <w:rsid w:val="00085F54"/>
    <w:rsid w:val="00094B61"/>
    <w:rsid w:val="000A0E17"/>
    <w:rsid w:val="000A1C23"/>
    <w:rsid w:val="000A4FCA"/>
    <w:rsid w:val="000A5C42"/>
    <w:rsid w:val="000B3AB9"/>
    <w:rsid w:val="000B711F"/>
    <w:rsid w:val="000C400E"/>
    <w:rsid w:val="000C491B"/>
    <w:rsid w:val="000D7FC7"/>
    <w:rsid w:val="000E06BA"/>
    <w:rsid w:val="000E1F2E"/>
    <w:rsid w:val="000E2624"/>
    <w:rsid w:val="000E655F"/>
    <w:rsid w:val="000E72BF"/>
    <w:rsid w:val="000F011F"/>
    <w:rsid w:val="000F2FBF"/>
    <w:rsid w:val="000F66FA"/>
    <w:rsid w:val="00101918"/>
    <w:rsid w:val="001103AC"/>
    <w:rsid w:val="00113584"/>
    <w:rsid w:val="00117B43"/>
    <w:rsid w:val="00117BBF"/>
    <w:rsid w:val="00123368"/>
    <w:rsid w:val="00130CF7"/>
    <w:rsid w:val="0013161B"/>
    <w:rsid w:val="00132CAB"/>
    <w:rsid w:val="001421B3"/>
    <w:rsid w:val="0014770C"/>
    <w:rsid w:val="00153868"/>
    <w:rsid w:val="00153AE5"/>
    <w:rsid w:val="001600BD"/>
    <w:rsid w:val="00162451"/>
    <w:rsid w:val="0016679A"/>
    <w:rsid w:val="00170A37"/>
    <w:rsid w:val="00170A50"/>
    <w:rsid w:val="0017444A"/>
    <w:rsid w:val="00181A24"/>
    <w:rsid w:val="001827DA"/>
    <w:rsid w:val="00182A40"/>
    <w:rsid w:val="0018606E"/>
    <w:rsid w:val="00192A9D"/>
    <w:rsid w:val="001B2635"/>
    <w:rsid w:val="001B58D7"/>
    <w:rsid w:val="001C2ACC"/>
    <w:rsid w:val="001C4876"/>
    <w:rsid w:val="001D017C"/>
    <w:rsid w:val="001D2942"/>
    <w:rsid w:val="001D335C"/>
    <w:rsid w:val="001D3E1B"/>
    <w:rsid w:val="001D3F2B"/>
    <w:rsid w:val="001D5C3D"/>
    <w:rsid w:val="001E14E4"/>
    <w:rsid w:val="001E307E"/>
    <w:rsid w:val="001E780A"/>
    <w:rsid w:val="001F3990"/>
    <w:rsid w:val="00203F47"/>
    <w:rsid w:val="002121B6"/>
    <w:rsid w:val="00215297"/>
    <w:rsid w:val="0021555F"/>
    <w:rsid w:val="0022247A"/>
    <w:rsid w:val="00222F89"/>
    <w:rsid w:val="0022745C"/>
    <w:rsid w:val="002373D7"/>
    <w:rsid w:val="00244B2F"/>
    <w:rsid w:val="00245EE3"/>
    <w:rsid w:val="002460B9"/>
    <w:rsid w:val="0025026F"/>
    <w:rsid w:val="00250DA9"/>
    <w:rsid w:val="00260D1B"/>
    <w:rsid w:val="002611D6"/>
    <w:rsid w:val="00262388"/>
    <w:rsid w:val="00262E10"/>
    <w:rsid w:val="00262F53"/>
    <w:rsid w:val="002659FA"/>
    <w:rsid w:val="00272481"/>
    <w:rsid w:val="00274BD9"/>
    <w:rsid w:val="00281C7A"/>
    <w:rsid w:val="00282381"/>
    <w:rsid w:val="00287F17"/>
    <w:rsid w:val="0029073C"/>
    <w:rsid w:val="002911B1"/>
    <w:rsid w:val="00292E17"/>
    <w:rsid w:val="002966E1"/>
    <w:rsid w:val="00297326"/>
    <w:rsid w:val="002B267E"/>
    <w:rsid w:val="002B7282"/>
    <w:rsid w:val="002C47AF"/>
    <w:rsid w:val="002C6F44"/>
    <w:rsid w:val="002D184E"/>
    <w:rsid w:val="002D2D3B"/>
    <w:rsid w:val="002D3066"/>
    <w:rsid w:val="002D311D"/>
    <w:rsid w:val="002E0891"/>
    <w:rsid w:val="002F0966"/>
    <w:rsid w:val="002F160F"/>
    <w:rsid w:val="002F2DD8"/>
    <w:rsid w:val="002F5095"/>
    <w:rsid w:val="002F6E38"/>
    <w:rsid w:val="00301132"/>
    <w:rsid w:val="003013FB"/>
    <w:rsid w:val="003054A4"/>
    <w:rsid w:val="003102C3"/>
    <w:rsid w:val="00315B76"/>
    <w:rsid w:val="00321636"/>
    <w:rsid w:val="00321A0C"/>
    <w:rsid w:val="0032451B"/>
    <w:rsid w:val="003249D9"/>
    <w:rsid w:val="0032776F"/>
    <w:rsid w:val="00331583"/>
    <w:rsid w:val="00335191"/>
    <w:rsid w:val="00335DB4"/>
    <w:rsid w:val="00337BCA"/>
    <w:rsid w:val="00341DC4"/>
    <w:rsid w:val="00342E9C"/>
    <w:rsid w:val="00343A94"/>
    <w:rsid w:val="00347666"/>
    <w:rsid w:val="003659F6"/>
    <w:rsid w:val="003720EF"/>
    <w:rsid w:val="00380306"/>
    <w:rsid w:val="00380697"/>
    <w:rsid w:val="00381AF6"/>
    <w:rsid w:val="0039085E"/>
    <w:rsid w:val="003962A0"/>
    <w:rsid w:val="003A259A"/>
    <w:rsid w:val="003A48B9"/>
    <w:rsid w:val="003A6673"/>
    <w:rsid w:val="003A756F"/>
    <w:rsid w:val="003A786B"/>
    <w:rsid w:val="003A7DF8"/>
    <w:rsid w:val="003B44D2"/>
    <w:rsid w:val="003B5943"/>
    <w:rsid w:val="003B6885"/>
    <w:rsid w:val="003C272A"/>
    <w:rsid w:val="003C5343"/>
    <w:rsid w:val="003D50F2"/>
    <w:rsid w:val="003E2782"/>
    <w:rsid w:val="003E31C7"/>
    <w:rsid w:val="003F3CFB"/>
    <w:rsid w:val="003F5705"/>
    <w:rsid w:val="003F5F36"/>
    <w:rsid w:val="003F6130"/>
    <w:rsid w:val="003F7044"/>
    <w:rsid w:val="00402518"/>
    <w:rsid w:val="00403BCD"/>
    <w:rsid w:val="00405B4B"/>
    <w:rsid w:val="0041344A"/>
    <w:rsid w:val="00423A74"/>
    <w:rsid w:val="00424DBA"/>
    <w:rsid w:val="00426D3E"/>
    <w:rsid w:val="00430A3A"/>
    <w:rsid w:val="00432472"/>
    <w:rsid w:val="00432A2B"/>
    <w:rsid w:val="00432C38"/>
    <w:rsid w:val="00434A88"/>
    <w:rsid w:val="00436999"/>
    <w:rsid w:val="0043728A"/>
    <w:rsid w:val="0044426B"/>
    <w:rsid w:val="0044429D"/>
    <w:rsid w:val="00445C73"/>
    <w:rsid w:val="00447610"/>
    <w:rsid w:val="004635D4"/>
    <w:rsid w:val="00467765"/>
    <w:rsid w:val="00470D3A"/>
    <w:rsid w:val="00477701"/>
    <w:rsid w:val="004836D1"/>
    <w:rsid w:val="00487338"/>
    <w:rsid w:val="004949D8"/>
    <w:rsid w:val="004952DE"/>
    <w:rsid w:val="00497C4A"/>
    <w:rsid w:val="004A2B9A"/>
    <w:rsid w:val="004A65E0"/>
    <w:rsid w:val="004B1A09"/>
    <w:rsid w:val="004C1FA1"/>
    <w:rsid w:val="004C42C2"/>
    <w:rsid w:val="004C7916"/>
    <w:rsid w:val="004D71AD"/>
    <w:rsid w:val="004F47E4"/>
    <w:rsid w:val="0050024E"/>
    <w:rsid w:val="00505A2C"/>
    <w:rsid w:val="005078E1"/>
    <w:rsid w:val="00510DE3"/>
    <w:rsid w:val="00526F23"/>
    <w:rsid w:val="005310DA"/>
    <w:rsid w:val="00533E3D"/>
    <w:rsid w:val="00543676"/>
    <w:rsid w:val="00546148"/>
    <w:rsid w:val="00550708"/>
    <w:rsid w:val="005563DC"/>
    <w:rsid w:val="00563507"/>
    <w:rsid w:val="0056376B"/>
    <w:rsid w:val="005723BA"/>
    <w:rsid w:val="00572BF6"/>
    <w:rsid w:val="005734F1"/>
    <w:rsid w:val="005752DC"/>
    <w:rsid w:val="005775B8"/>
    <w:rsid w:val="00580B24"/>
    <w:rsid w:val="00581405"/>
    <w:rsid w:val="005857ED"/>
    <w:rsid w:val="00594943"/>
    <w:rsid w:val="005972E7"/>
    <w:rsid w:val="005A0B7D"/>
    <w:rsid w:val="005B0399"/>
    <w:rsid w:val="005B1749"/>
    <w:rsid w:val="005B5C6B"/>
    <w:rsid w:val="005C027C"/>
    <w:rsid w:val="005C0807"/>
    <w:rsid w:val="005D74E3"/>
    <w:rsid w:val="005E1C47"/>
    <w:rsid w:val="005E456E"/>
    <w:rsid w:val="005E5474"/>
    <w:rsid w:val="005E5F5C"/>
    <w:rsid w:val="005E638E"/>
    <w:rsid w:val="005F0CA5"/>
    <w:rsid w:val="005F617A"/>
    <w:rsid w:val="00600CFC"/>
    <w:rsid w:val="006112AE"/>
    <w:rsid w:val="00614781"/>
    <w:rsid w:val="0062108B"/>
    <w:rsid w:val="00624CFC"/>
    <w:rsid w:val="006263D7"/>
    <w:rsid w:val="006331F9"/>
    <w:rsid w:val="00636A5C"/>
    <w:rsid w:val="00637199"/>
    <w:rsid w:val="00641E28"/>
    <w:rsid w:val="006553FC"/>
    <w:rsid w:val="00671D15"/>
    <w:rsid w:val="00673E2E"/>
    <w:rsid w:val="00674E3D"/>
    <w:rsid w:val="0068126C"/>
    <w:rsid w:val="00683259"/>
    <w:rsid w:val="00684C79"/>
    <w:rsid w:val="00691F7F"/>
    <w:rsid w:val="00697612"/>
    <w:rsid w:val="006A45CF"/>
    <w:rsid w:val="006A5F22"/>
    <w:rsid w:val="006B0232"/>
    <w:rsid w:val="006B6BEB"/>
    <w:rsid w:val="006C1BDF"/>
    <w:rsid w:val="006C2E87"/>
    <w:rsid w:val="006C4EFF"/>
    <w:rsid w:val="006D355E"/>
    <w:rsid w:val="006D5351"/>
    <w:rsid w:val="006D7A4E"/>
    <w:rsid w:val="006E5B3D"/>
    <w:rsid w:val="006F0FC7"/>
    <w:rsid w:val="00704838"/>
    <w:rsid w:val="00706E85"/>
    <w:rsid w:val="007161F1"/>
    <w:rsid w:val="00720C92"/>
    <w:rsid w:val="007224D6"/>
    <w:rsid w:val="00722626"/>
    <w:rsid w:val="007236EE"/>
    <w:rsid w:val="00725A97"/>
    <w:rsid w:val="00725E82"/>
    <w:rsid w:val="0073549A"/>
    <w:rsid w:val="00735794"/>
    <w:rsid w:val="00741D6C"/>
    <w:rsid w:val="00742379"/>
    <w:rsid w:val="00743E62"/>
    <w:rsid w:val="00746757"/>
    <w:rsid w:val="007576AB"/>
    <w:rsid w:val="007648EB"/>
    <w:rsid w:val="00764ED8"/>
    <w:rsid w:val="0076740B"/>
    <w:rsid w:val="00767FB1"/>
    <w:rsid w:val="00775D32"/>
    <w:rsid w:val="0078565E"/>
    <w:rsid w:val="007A0579"/>
    <w:rsid w:val="007B0F3B"/>
    <w:rsid w:val="007B2EFA"/>
    <w:rsid w:val="007B3389"/>
    <w:rsid w:val="007B3863"/>
    <w:rsid w:val="007C43A3"/>
    <w:rsid w:val="007D15AF"/>
    <w:rsid w:val="007D3E99"/>
    <w:rsid w:val="007E1C60"/>
    <w:rsid w:val="007E1D41"/>
    <w:rsid w:val="007E2A48"/>
    <w:rsid w:val="007E2C93"/>
    <w:rsid w:val="007E5E4F"/>
    <w:rsid w:val="007F662D"/>
    <w:rsid w:val="00800333"/>
    <w:rsid w:val="00800A82"/>
    <w:rsid w:val="008039F8"/>
    <w:rsid w:val="00804B71"/>
    <w:rsid w:val="0080670F"/>
    <w:rsid w:val="00807D05"/>
    <w:rsid w:val="00816FB9"/>
    <w:rsid w:val="00817361"/>
    <w:rsid w:val="0082171A"/>
    <w:rsid w:val="0082199E"/>
    <w:rsid w:val="00823180"/>
    <w:rsid w:val="0082572C"/>
    <w:rsid w:val="00842882"/>
    <w:rsid w:val="00850338"/>
    <w:rsid w:val="00850420"/>
    <w:rsid w:val="00862F20"/>
    <w:rsid w:val="008656FB"/>
    <w:rsid w:val="00877006"/>
    <w:rsid w:val="00882C9F"/>
    <w:rsid w:val="008840F0"/>
    <w:rsid w:val="00890E25"/>
    <w:rsid w:val="00892D62"/>
    <w:rsid w:val="00893146"/>
    <w:rsid w:val="008A3835"/>
    <w:rsid w:val="008A657A"/>
    <w:rsid w:val="008A718D"/>
    <w:rsid w:val="008B2037"/>
    <w:rsid w:val="008C04DB"/>
    <w:rsid w:val="008C1E0D"/>
    <w:rsid w:val="008C4DB5"/>
    <w:rsid w:val="008C6F06"/>
    <w:rsid w:val="008D00C5"/>
    <w:rsid w:val="008D2421"/>
    <w:rsid w:val="008D27D9"/>
    <w:rsid w:val="008D6AC9"/>
    <w:rsid w:val="008E146A"/>
    <w:rsid w:val="008E39BE"/>
    <w:rsid w:val="008F0455"/>
    <w:rsid w:val="008F332C"/>
    <w:rsid w:val="00900788"/>
    <w:rsid w:val="00903B5B"/>
    <w:rsid w:val="00912E4B"/>
    <w:rsid w:val="00917D1D"/>
    <w:rsid w:val="00923244"/>
    <w:rsid w:val="00925EE7"/>
    <w:rsid w:val="00930D2A"/>
    <w:rsid w:val="00931E1D"/>
    <w:rsid w:val="00932A95"/>
    <w:rsid w:val="009371DC"/>
    <w:rsid w:val="00941D59"/>
    <w:rsid w:val="00955094"/>
    <w:rsid w:val="00956892"/>
    <w:rsid w:val="00971651"/>
    <w:rsid w:val="00973A5C"/>
    <w:rsid w:val="00990DDC"/>
    <w:rsid w:val="00990E0C"/>
    <w:rsid w:val="0099644A"/>
    <w:rsid w:val="009A0CF1"/>
    <w:rsid w:val="009A10CB"/>
    <w:rsid w:val="009A65B7"/>
    <w:rsid w:val="009B4209"/>
    <w:rsid w:val="009B5CEA"/>
    <w:rsid w:val="009B7965"/>
    <w:rsid w:val="009B7EF0"/>
    <w:rsid w:val="009C4CE9"/>
    <w:rsid w:val="009D52C0"/>
    <w:rsid w:val="009E202F"/>
    <w:rsid w:val="009E5155"/>
    <w:rsid w:val="009F3152"/>
    <w:rsid w:val="009F34F9"/>
    <w:rsid w:val="009F37DA"/>
    <w:rsid w:val="009F5D5C"/>
    <w:rsid w:val="009F714E"/>
    <w:rsid w:val="00A00139"/>
    <w:rsid w:val="00A01808"/>
    <w:rsid w:val="00A02AAE"/>
    <w:rsid w:val="00A034F4"/>
    <w:rsid w:val="00A037B2"/>
    <w:rsid w:val="00A03CB8"/>
    <w:rsid w:val="00A05D9E"/>
    <w:rsid w:val="00A07B67"/>
    <w:rsid w:val="00A13C72"/>
    <w:rsid w:val="00A15561"/>
    <w:rsid w:val="00A27FDE"/>
    <w:rsid w:val="00A3437A"/>
    <w:rsid w:val="00A447B4"/>
    <w:rsid w:val="00A46187"/>
    <w:rsid w:val="00A46E6E"/>
    <w:rsid w:val="00A50886"/>
    <w:rsid w:val="00A51F9C"/>
    <w:rsid w:val="00A52C98"/>
    <w:rsid w:val="00A53C82"/>
    <w:rsid w:val="00A87A6C"/>
    <w:rsid w:val="00A9225B"/>
    <w:rsid w:val="00A92422"/>
    <w:rsid w:val="00AA3AE5"/>
    <w:rsid w:val="00AA5249"/>
    <w:rsid w:val="00AB1154"/>
    <w:rsid w:val="00AB1C35"/>
    <w:rsid w:val="00AB4782"/>
    <w:rsid w:val="00AB5452"/>
    <w:rsid w:val="00AB5D20"/>
    <w:rsid w:val="00AC6902"/>
    <w:rsid w:val="00AC6A4F"/>
    <w:rsid w:val="00AE1903"/>
    <w:rsid w:val="00AE40B4"/>
    <w:rsid w:val="00AE453C"/>
    <w:rsid w:val="00AE7FFB"/>
    <w:rsid w:val="00AF0121"/>
    <w:rsid w:val="00AF2952"/>
    <w:rsid w:val="00AF5D5C"/>
    <w:rsid w:val="00B00EB5"/>
    <w:rsid w:val="00B01EC1"/>
    <w:rsid w:val="00B05E5D"/>
    <w:rsid w:val="00B16783"/>
    <w:rsid w:val="00B21C14"/>
    <w:rsid w:val="00B23F01"/>
    <w:rsid w:val="00B24B20"/>
    <w:rsid w:val="00B35D78"/>
    <w:rsid w:val="00B47BF2"/>
    <w:rsid w:val="00B47C66"/>
    <w:rsid w:val="00B5098A"/>
    <w:rsid w:val="00B56D4C"/>
    <w:rsid w:val="00B606CC"/>
    <w:rsid w:val="00B63614"/>
    <w:rsid w:val="00B66108"/>
    <w:rsid w:val="00B71E59"/>
    <w:rsid w:val="00B72CA0"/>
    <w:rsid w:val="00B73C33"/>
    <w:rsid w:val="00B756A2"/>
    <w:rsid w:val="00B81A04"/>
    <w:rsid w:val="00B83B8A"/>
    <w:rsid w:val="00B86618"/>
    <w:rsid w:val="00B93D26"/>
    <w:rsid w:val="00B949D0"/>
    <w:rsid w:val="00B97A74"/>
    <w:rsid w:val="00BA1782"/>
    <w:rsid w:val="00BA7F42"/>
    <w:rsid w:val="00BC224E"/>
    <w:rsid w:val="00BC6EB4"/>
    <w:rsid w:val="00BD0F80"/>
    <w:rsid w:val="00BD1207"/>
    <w:rsid w:val="00BD49E7"/>
    <w:rsid w:val="00BF67D1"/>
    <w:rsid w:val="00BF724C"/>
    <w:rsid w:val="00BF7D94"/>
    <w:rsid w:val="00C0399E"/>
    <w:rsid w:val="00C063FA"/>
    <w:rsid w:val="00C11C95"/>
    <w:rsid w:val="00C144D1"/>
    <w:rsid w:val="00C148F2"/>
    <w:rsid w:val="00C236F3"/>
    <w:rsid w:val="00C3045B"/>
    <w:rsid w:val="00C32C5C"/>
    <w:rsid w:val="00C34C0E"/>
    <w:rsid w:val="00C3563A"/>
    <w:rsid w:val="00C359FD"/>
    <w:rsid w:val="00C3760B"/>
    <w:rsid w:val="00C40D77"/>
    <w:rsid w:val="00C46F37"/>
    <w:rsid w:val="00C52CE9"/>
    <w:rsid w:val="00C52D4A"/>
    <w:rsid w:val="00C54416"/>
    <w:rsid w:val="00C55369"/>
    <w:rsid w:val="00C62FBE"/>
    <w:rsid w:val="00C63AB5"/>
    <w:rsid w:val="00C64E5A"/>
    <w:rsid w:val="00C70386"/>
    <w:rsid w:val="00C72995"/>
    <w:rsid w:val="00C748C4"/>
    <w:rsid w:val="00C7791B"/>
    <w:rsid w:val="00C9373D"/>
    <w:rsid w:val="00C964B6"/>
    <w:rsid w:val="00CC57C2"/>
    <w:rsid w:val="00CD04FD"/>
    <w:rsid w:val="00CD2447"/>
    <w:rsid w:val="00CD2BFE"/>
    <w:rsid w:val="00CD2D36"/>
    <w:rsid w:val="00CD5A35"/>
    <w:rsid w:val="00CE0B4A"/>
    <w:rsid w:val="00CF36C2"/>
    <w:rsid w:val="00CF7A1F"/>
    <w:rsid w:val="00D14ADB"/>
    <w:rsid w:val="00D233C3"/>
    <w:rsid w:val="00D2722F"/>
    <w:rsid w:val="00D34426"/>
    <w:rsid w:val="00D3793A"/>
    <w:rsid w:val="00D446F4"/>
    <w:rsid w:val="00D44A55"/>
    <w:rsid w:val="00D6204A"/>
    <w:rsid w:val="00D64135"/>
    <w:rsid w:val="00D6606D"/>
    <w:rsid w:val="00D6664C"/>
    <w:rsid w:val="00D80FBE"/>
    <w:rsid w:val="00D84513"/>
    <w:rsid w:val="00D87E09"/>
    <w:rsid w:val="00D90B5C"/>
    <w:rsid w:val="00D96BFB"/>
    <w:rsid w:val="00D97DCD"/>
    <w:rsid w:val="00DA2CD0"/>
    <w:rsid w:val="00DA2E34"/>
    <w:rsid w:val="00DA3AB7"/>
    <w:rsid w:val="00DA459C"/>
    <w:rsid w:val="00DA5606"/>
    <w:rsid w:val="00DA7215"/>
    <w:rsid w:val="00DD1014"/>
    <w:rsid w:val="00DD2CC7"/>
    <w:rsid w:val="00DD5F3D"/>
    <w:rsid w:val="00DD6409"/>
    <w:rsid w:val="00DE794A"/>
    <w:rsid w:val="00DF7D1F"/>
    <w:rsid w:val="00DF7D54"/>
    <w:rsid w:val="00E0144C"/>
    <w:rsid w:val="00E04A76"/>
    <w:rsid w:val="00E07188"/>
    <w:rsid w:val="00E10C9A"/>
    <w:rsid w:val="00E11FCE"/>
    <w:rsid w:val="00E15B8B"/>
    <w:rsid w:val="00E23DA7"/>
    <w:rsid w:val="00E2489F"/>
    <w:rsid w:val="00E27BD6"/>
    <w:rsid w:val="00E27EE1"/>
    <w:rsid w:val="00E355E4"/>
    <w:rsid w:val="00E35E5A"/>
    <w:rsid w:val="00E4210D"/>
    <w:rsid w:val="00E4327C"/>
    <w:rsid w:val="00E52C4F"/>
    <w:rsid w:val="00E62A76"/>
    <w:rsid w:val="00E64652"/>
    <w:rsid w:val="00E64A0C"/>
    <w:rsid w:val="00E72BD1"/>
    <w:rsid w:val="00E749A6"/>
    <w:rsid w:val="00E9574C"/>
    <w:rsid w:val="00EA0913"/>
    <w:rsid w:val="00EA48BC"/>
    <w:rsid w:val="00EA743A"/>
    <w:rsid w:val="00EB0C7C"/>
    <w:rsid w:val="00EB4D5F"/>
    <w:rsid w:val="00EB579E"/>
    <w:rsid w:val="00EB6C13"/>
    <w:rsid w:val="00EC0177"/>
    <w:rsid w:val="00EC0706"/>
    <w:rsid w:val="00EC0A56"/>
    <w:rsid w:val="00EC2698"/>
    <w:rsid w:val="00EC33A9"/>
    <w:rsid w:val="00EC4EC7"/>
    <w:rsid w:val="00EC7096"/>
    <w:rsid w:val="00ED0899"/>
    <w:rsid w:val="00ED207A"/>
    <w:rsid w:val="00ED20E8"/>
    <w:rsid w:val="00ED404F"/>
    <w:rsid w:val="00ED5BF2"/>
    <w:rsid w:val="00ED64E3"/>
    <w:rsid w:val="00EE0918"/>
    <w:rsid w:val="00EE4599"/>
    <w:rsid w:val="00EE48EE"/>
    <w:rsid w:val="00EF0760"/>
    <w:rsid w:val="00EF4BDE"/>
    <w:rsid w:val="00EF5DD7"/>
    <w:rsid w:val="00F0002E"/>
    <w:rsid w:val="00F00898"/>
    <w:rsid w:val="00F026E9"/>
    <w:rsid w:val="00F0300B"/>
    <w:rsid w:val="00F03687"/>
    <w:rsid w:val="00F1216B"/>
    <w:rsid w:val="00F128A4"/>
    <w:rsid w:val="00F14DE0"/>
    <w:rsid w:val="00F1577D"/>
    <w:rsid w:val="00F157AB"/>
    <w:rsid w:val="00F24450"/>
    <w:rsid w:val="00F2629D"/>
    <w:rsid w:val="00F3269B"/>
    <w:rsid w:val="00F329FF"/>
    <w:rsid w:val="00F3644D"/>
    <w:rsid w:val="00F4328E"/>
    <w:rsid w:val="00F459CA"/>
    <w:rsid w:val="00F53C44"/>
    <w:rsid w:val="00F56249"/>
    <w:rsid w:val="00F60C99"/>
    <w:rsid w:val="00F615AE"/>
    <w:rsid w:val="00F66A7C"/>
    <w:rsid w:val="00F66C78"/>
    <w:rsid w:val="00F71E8A"/>
    <w:rsid w:val="00F9206A"/>
    <w:rsid w:val="00F926C8"/>
    <w:rsid w:val="00F93483"/>
    <w:rsid w:val="00F97EDC"/>
    <w:rsid w:val="00FA0180"/>
    <w:rsid w:val="00FA3579"/>
    <w:rsid w:val="00FA52AB"/>
    <w:rsid w:val="00FA6C85"/>
    <w:rsid w:val="00FB6F54"/>
    <w:rsid w:val="00FB700E"/>
    <w:rsid w:val="00FC500A"/>
    <w:rsid w:val="00FC71A5"/>
    <w:rsid w:val="00FD06FE"/>
    <w:rsid w:val="00FD31C2"/>
    <w:rsid w:val="00FD5799"/>
    <w:rsid w:val="00FD5B91"/>
    <w:rsid w:val="00FD7094"/>
    <w:rsid w:val="00FE2D36"/>
    <w:rsid w:val="00FE60C1"/>
    <w:rsid w:val="00FE7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B3089"/>
  <w15:chartTrackingRefBased/>
  <w15:docId w15:val="{CA8C4750-4F06-4EB0-A884-5E9978B38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2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952"/>
    <w:rPr>
      <w:rFonts w:ascii="Segoe UI" w:hAnsi="Segoe UI" w:cs="Segoe UI"/>
      <w:sz w:val="18"/>
      <w:szCs w:val="18"/>
    </w:rPr>
  </w:style>
  <w:style w:type="paragraph" w:styleId="ListParagraph">
    <w:name w:val="List Paragraph"/>
    <w:basedOn w:val="Normal"/>
    <w:uiPriority w:val="34"/>
    <w:qFormat/>
    <w:rsid w:val="00380697"/>
    <w:pPr>
      <w:ind w:left="720"/>
      <w:contextualSpacing/>
    </w:pPr>
  </w:style>
  <w:style w:type="character" w:styleId="Hyperlink">
    <w:name w:val="Hyperlink"/>
    <w:basedOn w:val="DefaultParagraphFont"/>
    <w:uiPriority w:val="99"/>
    <w:unhideWhenUsed/>
    <w:rsid w:val="00CC57C2"/>
    <w:rPr>
      <w:color w:val="0000FF"/>
      <w:u w:val="single"/>
    </w:rPr>
  </w:style>
  <w:style w:type="character" w:styleId="CommentReference">
    <w:name w:val="annotation reference"/>
    <w:basedOn w:val="DefaultParagraphFont"/>
    <w:uiPriority w:val="99"/>
    <w:semiHidden/>
    <w:unhideWhenUsed/>
    <w:rsid w:val="00990E0C"/>
    <w:rPr>
      <w:sz w:val="16"/>
      <w:szCs w:val="16"/>
    </w:rPr>
  </w:style>
  <w:style w:type="paragraph" w:styleId="CommentText">
    <w:name w:val="annotation text"/>
    <w:basedOn w:val="Normal"/>
    <w:link w:val="CommentTextChar"/>
    <w:uiPriority w:val="99"/>
    <w:semiHidden/>
    <w:unhideWhenUsed/>
    <w:rsid w:val="00990E0C"/>
    <w:pPr>
      <w:spacing w:line="240" w:lineRule="auto"/>
    </w:pPr>
    <w:rPr>
      <w:sz w:val="20"/>
      <w:szCs w:val="20"/>
    </w:rPr>
  </w:style>
  <w:style w:type="character" w:customStyle="1" w:styleId="CommentTextChar">
    <w:name w:val="Comment Text Char"/>
    <w:basedOn w:val="DefaultParagraphFont"/>
    <w:link w:val="CommentText"/>
    <w:uiPriority w:val="99"/>
    <w:semiHidden/>
    <w:rsid w:val="00990E0C"/>
    <w:rPr>
      <w:sz w:val="20"/>
      <w:szCs w:val="20"/>
    </w:rPr>
  </w:style>
  <w:style w:type="paragraph" w:styleId="CommentSubject">
    <w:name w:val="annotation subject"/>
    <w:basedOn w:val="CommentText"/>
    <w:next w:val="CommentText"/>
    <w:link w:val="CommentSubjectChar"/>
    <w:uiPriority w:val="99"/>
    <w:semiHidden/>
    <w:unhideWhenUsed/>
    <w:rsid w:val="00990E0C"/>
    <w:rPr>
      <w:b/>
      <w:bCs/>
    </w:rPr>
  </w:style>
  <w:style w:type="character" w:customStyle="1" w:styleId="CommentSubjectChar">
    <w:name w:val="Comment Subject Char"/>
    <w:basedOn w:val="CommentTextChar"/>
    <w:link w:val="CommentSubject"/>
    <w:uiPriority w:val="99"/>
    <w:semiHidden/>
    <w:rsid w:val="00990E0C"/>
    <w:rPr>
      <w:b/>
      <w:bCs/>
      <w:sz w:val="20"/>
      <w:szCs w:val="20"/>
    </w:rPr>
  </w:style>
  <w:style w:type="character" w:styleId="FollowedHyperlink">
    <w:name w:val="FollowedHyperlink"/>
    <w:basedOn w:val="DefaultParagraphFont"/>
    <w:uiPriority w:val="99"/>
    <w:semiHidden/>
    <w:unhideWhenUsed/>
    <w:rsid w:val="006D7A4E"/>
    <w:rPr>
      <w:color w:val="954F72" w:themeColor="followedHyperlink"/>
      <w:u w:val="single"/>
    </w:rPr>
  </w:style>
  <w:style w:type="character" w:styleId="UnresolvedMention">
    <w:name w:val="Unresolved Mention"/>
    <w:basedOn w:val="DefaultParagraphFont"/>
    <w:uiPriority w:val="99"/>
    <w:semiHidden/>
    <w:unhideWhenUsed/>
    <w:rsid w:val="009F37DA"/>
    <w:rPr>
      <w:color w:val="605E5C"/>
      <w:shd w:val="clear" w:color="auto" w:fill="E1DFDD"/>
    </w:rPr>
  </w:style>
  <w:style w:type="character" w:styleId="LineNumber">
    <w:name w:val="line number"/>
    <w:basedOn w:val="DefaultParagraphFont"/>
    <w:uiPriority w:val="99"/>
    <w:semiHidden/>
    <w:unhideWhenUsed/>
    <w:rsid w:val="00D446F4"/>
  </w:style>
  <w:style w:type="paragraph" w:styleId="Header">
    <w:name w:val="header"/>
    <w:basedOn w:val="Normal"/>
    <w:link w:val="HeaderChar"/>
    <w:uiPriority w:val="99"/>
    <w:unhideWhenUsed/>
    <w:rsid w:val="00487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338"/>
  </w:style>
  <w:style w:type="paragraph" w:styleId="Footer">
    <w:name w:val="footer"/>
    <w:basedOn w:val="Normal"/>
    <w:link w:val="FooterChar"/>
    <w:uiPriority w:val="99"/>
    <w:unhideWhenUsed/>
    <w:rsid w:val="00487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1618">
      <w:bodyDiv w:val="1"/>
      <w:marLeft w:val="0"/>
      <w:marRight w:val="0"/>
      <w:marTop w:val="0"/>
      <w:marBottom w:val="0"/>
      <w:divBdr>
        <w:top w:val="none" w:sz="0" w:space="0" w:color="auto"/>
        <w:left w:val="none" w:sz="0" w:space="0" w:color="auto"/>
        <w:bottom w:val="none" w:sz="0" w:space="0" w:color="auto"/>
        <w:right w:val="none" w:sz="0" w:space="0" w:color="auto"/>
      </w:divBdr>
      <w:divsChild>
        <w:div w:id="103497738">
          <w:marLeft w:val="0"/>
          <w:marRight w:val="0"/>
          <w:marTop w:val="0"/>
          <w:marBottom w:val="0"/>
          <w:divBdr>
            <w:top w:val="none" w:sz="0" w:space="0" w:color="auto"/>
            <w:left w:val="none" w:sz="0" w:space="0" w:color="auto"/>
            <w:bottom w:val="none" w:sz="0" w:space="0" w:color="auto"/>
            <w:right w:val="none" w:sz="0" w:space="0" w:color="auto"/>
          </w:divBdr>
        </w:div>
        <w:div w:id="570578362">
          <w:marLeft w:val="0"/>
          <w:marRight w:val="0"/>
          <w:marTop w:val="0"/>
          <w:marBottom w:val="0"/>
          <w:divBdr>
            <w:top w:val="none" w:sz="0" w:space="0" w:color="auto"/>
            <w:left w:val="none" w:sz="0" w:space="0" w:color="auto"/>
            <w:bottom w:val="none" w:sz="0" w:space="0" w:color="auto"/>
            <w:right w:val="none" w:sz="0" w:space="0" w:color="auto"/>
          </w:divBdr>
        </w:div>
        <w:div w:id="766000015">
          <w:marLeft w:val="0"/>
          <w:marRight w:val="0"/>
          <w:marTop w:val="0"/>
          <w:marBottom w:val="0"/>
          <w:divBdr>
            <w:top w:val="none" w:sz="0" w:space="0" w:color="auto"/>
            <w:left w:val="none" w:sz="0" w:space="0" w:color="auto"/>
            <w:bottom w:val="none" w:sz="0" w:space="0" w:color="auto"/>
            <w:right w:val="none" w:sz="0" w:space="0" w:color="auto"/>
          </w:divBdr>
        </w:div>
        <w:div w:id="1488981483">
          <w:marLeft w:val="0"/>
          <w:marRight w:val="0"/>
          <w:marTop w:val="0"/>
          <w:marBottom w:val="0"/>
          <w:divBdr>
            <w:top w:val="none" w:sz="0" w:space="0" w:color="auto"/>
            <w:left w:val="none" w:sz="0" w:space="0" w:color="auto"/>
            <w:bottom w:val="none" w:sz="0" w:space="0" w:color="auto"/>
            <w:right w:val="none" w:sz="0" w:space="0" w:color="auto"/>
          </w:divBdr>
        </w:div>
        <w:div w:id="1736975987">
          <w:marLeft w:val="0"/>
          <w:marRight w:val="0"/>
          <w:marTop w:val="0"/>
          <w:marBottom w:val="0"/>
          <w:divBdr>
            <w:top w:val="none" w:sz="0" w:space="0" w:color="auto"/>
            <w:left w:val="none" w:sz="0" w:space="0" w:color="auto"/>
            <w:bottom w:val="none" w:sz="0" w:space="0" w:color="auto"/>
            <w:right w:val="none" w:sz="0" w:space="0" w:color="auto"/>
          </w:divBdr>
        </w:div>
        <w:div w:id="1802335817">
          <w:marLeft w:val="0"/>
          <w:marRight w:val="0"/>
          <w:marTop w:val="0"/>
          <w:marBottom w:val="0"/>
          <w:divBdr>
            <w:top w:val="none" w:sz="0" w:space="0" w:color="auto"/>
            <w:left w:val="none" w:sz="0" w:space="0" w:color="auto"/>
            <w:bottom w:val="none" w:sz="0" w:space="0" w:color="auto"/>
            <w:right w:val="none" w:sz="0" w:space="0" w:color="auto"/>
          </w:divBdr>
        </w:div>
        <w:div w:id="1898127308">
          <w:marLeft w:val="0"/>
          <w:marRight w:val="0"/>
          <w:marTop w:val="0"/>
          <w:marBottom w:val="0"/>
          <w:divBdr>
            <w:top w:val="none" w:sz="0" w:space="0" w:color="auto"/>
            <w:left w:val="none" w:sz="0" w:space="0" w:color="auto"/>
            <w:bottom w:val="none" w:sz="0" w:space="0" w:color="auto"/>
            <w:right w:val="none" w:sz="0" w:space="0" w:color="auto"/>
          </w:divBdr>
        </w:div>
      </w:divsChild>
    </w:div>
    <w:div w:id="1420522047">
      <w:bodyDiv w:val="1"/>
      <w:marLeft w:val="0"/>
      <w:marRight w:val="0"/>
      <w:marTop w:val="0"/>
      <w:marBottom w:val="0"/>
      <w:divBdr>
        <w:top w:val="none" w:sz="0" w:space="0" w:color="auto"/>
        <w:left w:val="none" w:sz="0" w:space="0" w:color="auto"/>
        <w:bottom w:val="none" w:sz="0" w:space="0" w:color="auto"/>
        <w:right w:val="none" w:sz="0" w:space="0" w:color="auto"/>
      </w:divBdr>
      <w:divsChild>
        <w:div w:id="372734956">
          <w:marLeft w:val="0"/>
          <w:marRight w:val="0"/>
          <w:marTop w:val="0"/>
          <w:marBottom w:val="0"/>
          <w:divBdr>
            <w:top w:val="none" w:sz="0" w:space="0" w:color="auto"/>
            <w:left w:val="none" w:sz="0" w:space="0" w:color="auto"/>
            <w:bottom w:val="none" w:sz="0" w:space="0" w:color="auto"/>
            <w:right w:val="none" w:sz="0" w:space="0" w:color="auto"/>
          </w:divBdr>
        </w:div>
        <w:div w:id="457842296">
          <w:marLeft w:val="0"/>
          <w:marRight w:val="0"/>
          <w:marTop w:val="0"/>
          <w:marBottom w:val="0"/>
          <w:divBdr>
            <w:top w:val="none" w:sz="0" w:space="0" w:color="auto"/>
            <w:left w:val="none" w:sz="0" w:space="0" w:color="auto"/>
            <w:bottom w:val="none" w:sz="0" w:space="0" w:color="auto"/>
            <w:right w:val="none" w:sz="0" w:space="0" w:color="auto"/>
          </w:divBdr>
        </w:div>
        <w:div w:id="1247298896">
          <w:marLeft w:val="0"/>
          <w:marRight w:val="0"/>
          <w:marTop w:val="0"/>
          <w:marBottom w:val="0"/>
          <w:divBdr>
            <w:top w:val="none" w:sz="0" w:space="0" w:color="auto"/>
            <w:left w:val="none" w:sz="0" w:space="0" w:color="auto"/>
            <w:bottom w:val="none" w:sz="0" w:space="0" w:color="auto"/>
            <w:right w:val="none" w:sz="0" w:space="0" w:color="auto"/>
          </w:divBdr>
        </w:div>
        <w:div w:id="1294482285">
          <w:marLeft w:val="0"/>
          <w:marRight w:val="0"/>
          <w:marTop w:val="0"/>
          <w:marBottom w:val="0"/>
          <w:divBdr>
            <w:top w:val="none" w:sz="0" w:space="0" w:color="auto"/>
            <w:left w:val="none" w:sz="0" w:space="0" w:color="auto"/>
            <w:bottom w:val="none" w:sz="0" w:space="0" w:color="auto"/>
            <w:right w:val="none" w:sz="0" w:space="0" w:color="auto"/>
          </w:divBdr>
        </w:div>
        <w:div w:id="1780296029">
          <w:marLeft w:val="0"/>
          <w:marRight w:val="0"/>
          <w:marTop w:val="0"/>
          <w:marBottom w:val="0"/>
          <w:divBdr>
            <w:top w:val="none" w:sz="0" w:space="0" w:color="auto"/>
            <w:left w:val="none" w:sz="0" w:space="0" w:color="auto"/>
            <w:bottom w:val="none" w:sz="0" w:space="0" w:color="auto"/>
            <w:right w:val="none" w:sz="0" w:space="0" w:color="auto"/>
          </w:divBdr>
        </w:div>
        <w:div w:id="1902248595">
          <w:marLeft w:val="0"/>
          <w:marRight w:val="0"/>
          <w:marTop w:val="0"/>
          <w:marBottom w:val="0"/>
          <w:divBdr>
            <w:top w:val="none" w:sz="0" w:space="0" w:color="auto"/>
            <w:left w:val="none" w:sz="0" w:space="0" w:color="auto"/>
            <w:bottom w:val="none" w:sz="0" w:space="0" w:color="auto"/>
            <w:right w:val="none" w:sz="0" w:space="0" w:color="auto"/>
          </w:divBdr>
        </w:div>
        <w:div w:id="2015836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465C7-542D-4E24-914A-D0769497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41</Pages>
  <Words>31445</Words>
  <Characters>179241</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McNulty</dc:creator>
  <cp:keywords/>
  <dc:description/>
  <cp:lastModifiedBy>Matthew McNulty</cp:lastModifiedBy>
  <cp:revision>23</cp:revision>
  <dcterms:created xsi:type="dcterms:W3CDTF">2021-01-10T16:12:00Z</dcterms:created>
  <dcterms:modified xsi:type="dcterms:W3CDTF">2021-02-10T01:12:00Z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http://www.zotero.org/styles/biotechnology-and-bioengineering</vt:lpwstr>
  </property>
  <property fmtid="{D5CDD505-2E9C-101B-9397-08002B2CF9AE}" pid="11" name="Mendeley Recent Style Name 4_1">
    <vt:lpwstr>Biotechnology and Bioengineering</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http://www.zotero.org/styles/food-and-bioproducts-processing</vt:lpwstr>
  </property>
  <property fmtid="{D5CDD505-2E9C-101B-9397-08002B2CF9AE}" pid="15" name="Mendeley Recent Style Name 6_1">
    <vt:lpwstr>Food and Bioproducts Processing</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http://www.zotero.org/styles/international-journal-of-production-economics</vt:lpwstr>
  </property>
  <property fmtid="{D5CDD505-2E9C-101B-9397-08002B2CF9AE}" pid="19" name="Mendeley Recent Style Name 8_1">
    <vt:lpwstr>International Journal of Production Economics</vt:lpwstr>
  </property>
  <property fmtid="{D5CDD505-2E9C-101B-9397-08002B2CF9AE}" pid="20" name="Mendeley Recent Style Id 9_1">
    <vt:lpwstr>http://www.zotero.org/styles/taylor-and-francis-national-library-of-medicine</vt:lpwstr>
  </property>
  <property fmtid="{D5CDD505-2E9C-101B-9397-08002B2CF9AE}" pid="21" name="Mendeley Recent Style Name 9_1">
    <vt:lpwstr>Taylor &amp; Francis - National Library of Medicine</vt:lpwstr>
  </property>
  <property fmtid="{D5CDD505-2E9C-101B-9397-08002B2CF9AE}" pid="22" name="Mendeley Document_1">
    <vt:lpwstr>True</vt:lpwstr>
  </property>
  <property fmtid="{D5CDD505-2E9C-101B-9397-08002B2CF9AE}" pid="23" name="Mendeley Unique User Id_1">
    <vt:lpwstr>21ff2cae-d0d1-36f0-895d-fdbeaad4b798</vt:lpwstr>
  </property>
  <property fmtid="{D5CDD505-2E9C-101B-9397-08002B2CF9AE}" pid="24" name="Mendeley Citation Style_1">
    <vt:lpwstr>http://www.zotero.org/styles/food-and-bioproducts-processing</vt:lpwstr>
  </property>
</Properties>
</file>