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DB5FB" w14:textId="77777777" w:rsidR="00BB7D39" w:rsidRDefault="00F345CA" w:rsidP="001734ED">
      <w:pPr>
        <w:spacing w:after="120" w:line="276" w:lineRule="auto"/>
        <w:jc w:val="thaiDistribute"/>
        <w:rPr>
          <w:rFonts w:ascii="Times New Roman" w:hAnsi="Times New Roman" w:cs="Times New Roman"/>
          <w:b/>
          <w:bCs/>
          <w:szCs w:val="20"/>
        </w:rPr>
      </w:pPr>
      <w:r>
        <w:rPr>
          <w:rFonts w:ascii="Times New Roman" w:hAnsi="Times New Roman" w:cs="Times New Roman"/>
          <w:b/>
          <w:bCs/>
          <w:szCs w:val="20"/>
        </w:rPr>
        <w:t>Biofuels, E</w:t>
      </w:r>
      <w:r w:rsidR="00E65A99">
        <w:rPr>
          <w:rFonts w:ascii="Times New Roman" w:hAnsi="Times New Roman" w:cs="Times New Roman"/>
          <w:b/>
          <w:bCs/>
          <w:szCs w:val="20"/>
        </w:rPr>
        <w:t xml:space="preserve">lectrofuels, </w:t>
      </w:r>
      <w:r>
        <w:rPr>
          <w:rFonts w:ascii="Times New Roman" w:hAnsi="Times New Roman" w:cs="Times New Roman"/>
          <w:b/>
          <w:bCs/>
          <w:szCs w:val="20"/>
        </w:rPr>
        <w:t>Electric or C</w:t>
      </w:r>
      <w:r w:rsidR="00BC3481">
        <w:rPr>
          <w:rFonts w:ascii="Times New Roman" w:hAnsi="Times New Roman" w:cs="Times New Roman"/>
          <w:b/>
          <w:bCs/>
          <w:szCs w:val="20"/>
        </w:rPr>
        <w:t>arbon-free?: A</w:t>
      </w:r>
      <w:r w:rsidR="00E65A99">
        <w:rPr>
          <w:rFonts w:ascii="Times New Roman" w:hAnsi="Times New Roman" w:cs="Times New Roman"/>
          <w:b/>
          <w:bCs/>
          <w:szCs w:val="20"/>
        </w:rPr>
        <w:t xml:space="preserve"> review of current and emerging </w:t>
      </w:r>
      <w:r w:rsidR="00EE4DA7">
        <w:rPr>
          <w:rFonts w:ascii="Times New Roman" w:hAnsi="Times New Roman" w:cs="Times New Roman"/>
          <w:b/>
          <w:bCs/>
          <w:szCs w:val="20"/>
        </w:rPr>
        <w:t xml:space="preserve">Sustainable Energy Sourcing </w:t>
      </w:r>
      <w:r w:rsidR="00090DA1">
        <w:rPr>
          <w:rFonts w:ascii="Times New Roman" w:hAnsi="Times New Roman" w:cs="Times New Roman"/>
          <w:b/>
          <w:bCs/>
          <w:szCs w:val="20"/>
        </w:rPr>
        <w:t xml:space="preserve">for </w:t>
      </w:r>
      <w:r w:rsidR="00EE4DA7">
        <w:rPr>
          <w:rFonts w:ascii="Times New Roman" w:hAnsi="Times New Roman" w:cs="Times New Roman"/>
          <w:b/>
          <w:bCs/>
          <w:szCs w:val="20"/>
        </w:rPr>
        <w:t>A</w:t>
      </w:r>
      <w:r w:rsidR="00BC3481">
        <w:rPr>
          <w:rFonts w:ascii="Times New Roman" w:hAnsi="Times New Roman" w:cs="Times New Roman"/>
          <w:b/>
          <w:bCs/>
          <w:szCs w:val="20"/>
        </w:rPr>
        <w:t>viation</w:t>
      </w:r>
      <w:r w:rsidR="00C33056">
        <w:rPr>
          <w:rFonts w:ascii="Times New Roman" w:hAnsi="Times New Roman" w:cs="Times New Roman"/>
          <w:b/>
          <w:bCs/>
          <w:szCs w:val="20"/>
        </w:rPr>
        <w:t xml:space="preserve"> (SESA)</w:t>
      </w:r>
    </w:p>
    <w:p w14:paraId="0B8B2A04" w14:textId="77777777" w:rsidR="000F7EC7" w:rsidRPr="00B01193" w:rsidRDefault="000F7EC7" w:rsidP="001734ED">
      <w:pPr>
        <w:spacing w:after="120" w:line="276" w:lineRule="auto"/>
        <w:jc w:val="thaiDistribute"/>
        <w:rPr>
          <w:rFonts w:ascii="Times New Roman" w:hAnsi="Times New Roman" w:cs="Times New Roman"/>
          <w:bCs/>
          <w:sz w:val="20"/>
          <w:szCs w:val="20"/>
          <w:lang w:val="fr-FR"/>
        </w:rPr>
      </w:pPr>
      <w:r w:rsidRPr="00B01193">
        <w:rPr>
          <w:rFonts w:ascii="Times New Roman" w:hAnsi="Times New Roman" w:cs="Times New Roman"/>
          <w:bCs/>
          <w:sz w:val="20"/>
          <w:szCs w:val="20"/>
          <w:lang w:val="fr-FR"/>
        </w:rPr>
        <w:t>Pimchanok Su-ungkavatin</w:t>
      </w:r>
      <w:r w:rsidRPr="00B01193">
        <w:rPr>
          <w:rFonts w:ascii="Times New Roman" w:hAnsi="Times New Roman" w:cs="Times New Roman"/>
          <w:bCs/>
          <w:sz w:val="20"/>
          <w:szCs w:val="20"/>
          <w:vertAlign w:val="superscript"/>
          <w:lang w:val="fr-FR"/>
        </w:rPr>
        <w:t>1*</w:t>
      </w:r>
      <w:r w:rsidRPr="00B01193">
        <w:rPr>
          <w:rFonts w:ascii="Times New Roman" w:hAnsi="Times New Roman" w:cs="Times New Roman"/>
          <w:bCs/>
          <w:sz w:val="20"/>
          <w:szCs w:val="20"/>
          <w:lang w:val="fr-FR"/>
        </w:rPr>
        <w:t xml:space="preserve">, </w:t>
      </w:r>
      <w:r w:rsidR="00EF610B">
        <w:rPr>
          <w:rFonts w:ascii="Times New Roman" w:hAnsi="Times New Roman" w:cs="Times New Roman"/>
          <w:bCs/>
          <w:sz w:val="20"/>
          <w:szCs w:val="20"/>
          <w:lang w:val="fr-FR"/>
        </w:rPr>
        <w:t>Ligia Barn</w:t>
      </w:r>
      <w:r w:rsidR="00B01193">
        <w:rPr>
          <w:rFonts w:ascii="Times New Roman" w:hAnsi="Times New Roman" w:cs="Times New Roman"/>
          <w:bCs/>
          <w:sz w:val="20"/>
          <w:szCs w:val="20"/>
          <w:lang w:val="fr-FR"/>
        </w:rPr>
        <w:t>a</w:t>
      </w:r>
      <w:r w:rsidR="00B01193" w:rsidRPr="00B01193">
        <w:rPr>
          <w:rFonts w:ascii="Times New Roman" w:hAnsi="Times New Roman" w:cs="Times New Roman"/>
          <w:bCs/>
          <w:sz w:val="20"/>
          <w:szCs w:val="20"/>
          <w:vertAlign w:val="superscript"/>
          <w:lang w:val="fr-FR"/>
        </w:rPr>
        <w:t>1</w:t>
      </w:r>
      <w:r w:rsidR="00B01193">
        <w:rPr>
          <w:rFonts w:ascii="Times New Roman" w:hAnsi="Times New Roman" w:cs="Times New Roman"/>
          <w:bCs/>
          <w:sz w:val="20"/>
          <w:szCs w:val="20"/>
          <w:lang w:val="fr-FR"/>
        </w:rPr>
        <w:t xml:space="preserve">, </w:t>
      </w:r>
      <w:r w:rsidRPr="00B01193">
        <w:rPr>
          <w:rFonts w:ascii="Times New Roman" w:hAnsi="Times New Roman" w:cs="Times New Roman"/>
          <w:bCs/>
          <w:sz w:val="20"/>
          <w:szCs w:val="20"/>
          <w:lang w:val="fr-FR"/>
        </w:rPr>
        <w:t>Lorie Hamelin</w:t>
      </w:r>
      <w:r w:rsidR="00B01193" w:rsidRPr="00B01193">
        <w:rPr>
          <w:rFonts w:ascii="Times New Roman" w:hAnsi="Times New Roman" w:cs="Times New Roman"/>
          <w:bCs/>
          <w:sz w:val="20"/>
          <w:szCs w:val="20"/>
          <w:vertAlign w:val="superscript"/>
          <w:lang w:val="fr-FR"/>
        </w:rPr>
        <w:t>1</w:t>
      </w:r>
    </w:p>
    <w:p w14:paraId="74D78808" w14:textId="77777777" w:rsidR="000F7EC7" w:rsidRPr="00E6364E" w:rsidRDefault="000F7EC7" w:rsidP="001734ED">
      <w:pPr>
        <w:spacing w:after="120" w:line="276" w:lineRule="auto"/>
        <w:jc w:val="thaiDistribute"/>
        <w:rPr>
          <w:rFonts w:ascii="Times New Roman" w:hAnsi="Times New Roman" w:cs="Times New Roman"/>
          <w:bCs/>
          <w:sz w:val="18"/>
          <w:szCs w:val="20"/>
          <w:lang w:val="fr-FR"/>
        </w:rPr>
      </w:pPr>
      <w:r w:rsidRPr="00E6364E">
        <w:rPr>
          <w:rFonts w:ascii="Times New Roman" w:hAnsi="Times New Roman" w:cs="Times New Roman"/>
          <w:bCs/>
          <w:sz w:val="18"/>
          <w:szCs w:val="20"/>
          <w:vertAlign w:val="superscript"/>
          <w:lang w:val="fr-FR"/>
        </w:rPr>
        <w:t>1</w:t>
      </w:r>
      <w:r w:rsidRPr="00E6364E">
        <w:rPr>
          <w:rFonts w:ascii="Times New Roman" w:hAnsi="Times New Roman" w:cs="Times New Roman"/>
          <w:bCs/>
          <w:sz w:val="18"/>
          <w:szCs w:val="20"/>
          <w:lang w:val="fr-FR"/>
        </w:rPr>
        <w:t xml:space="preserve"> Toulouse Biotechnology Institute (TBI), INSA, INRAE UMR792, and CNRS UMR5504, Federal University of Toulouse, 135 Avenue de Rangueil, F-31077, Toulouse, </w:t>
      </w:r>
      <w:r w:rsidR="00E6364E" w:rsidRPr="00E6364E">
        <w:rPr>
          <w:rFonts w:ascii="Times New Roman" w:hAnsi="Times New Roman" w:cs="Times New Roman"/>
          <w:bCs/>
          <w:sz w:val="18"/>
          <w:szCs w:val="20"/>
          <w:lang w:val="fr-FR"/>
        </w:rPr>
        <w:t>France</w:t>
      </w:r>
    </w:p>
    <w:p w14:paraId="5FDD6DF3" w14:textId="162B3937" w:rsidR="002D1621" w:rsidRPr="00623E85" w:rsidRDefault="00E6364E" w:rsidP="001734ED">
      <w:pPr>
        <w:spacing w:after="120" w:line="276" w:lineRule="auto"/>
        <w:jc w:val="thaiDistribute"/>
        <w:rPr>
          <w:rFonts w:ascii="Times New Roman" w:hAnsi="Times New Roman" w:cs="Times New Roman"/>
          <w:bCs/>
          <w:sz w:val="18"/>
          <w:szCs w:val="20"/>
          <w:lang w:val="fr-FR"/>
        </w:rPr>
      </w:pPr>
      <w:r w:rsidRPr="00623E85">
        <w:rPr>
          <w:rFonts w:ascii="Times New Roman" w:hAnsi="Times New Roman" w:cs="Times New Roman"/>
          <w:bCs/>
          <w:sz w:val="18"/>
          <w:szCs w:val="20"/>
          <w:lang w:val="fr-FR"/>
        </w:rPr>
        <w:t xml:space="preserve">* Corresponding author e-mail address: </w:t>
      </w:r>
      <w:hyperlink r:id="rId11" w:history="1">
        <w:r w:rsidRPr="00623E85">
          <w:rPr>
            <w:rStyle w:val="Hyperlink"/>
            <w:rFonts w:ascii="Times New Roman" w:hAnsi="Times New Roman" w:cs="Times New Roman"/>
            <w:bCs/>
            <w:sz w:val="18"/>
            <w:szCs w:val="20"/>
            <w:lang w:val="fr-FR"/>
          </w:rPr>
          <w:t>su-ungka@insa-toulouse.fr</w:t>
        </w:r>
      </w:hyperlink>
    </w:p>
    <w:p w14:paraId="4CCFE356" w14:textId="77777777" w:rsidR="00564E03" w:rsidRPr="007D22F1" w:rsidRDefault="00564E03" w:rsidP="001734ED">
      <w:pPr>
        <w:spacing w:after="120" w:line="276" w:lineRule="auto"/>
        <w:jc w:val="thaiDistribute"/>
        <w:rPr>
          <w:rFonts w:ascii="Times New Roman" w:hAnsi="Times New Roman" w:cs="Times New Roman"/>
          <w:b/>
          <w:bCs/>
          <w:szCs w:val="20"/>
        </w:rPr>
      </w:pPr>
      <w:r w:rsidRPr="007D22F1">
        <w:rPr>
          <w:rFonts w:ascii="Times New Roman" w:hAnsi="Times New Roman" w:cs="Times New Roman"/>
          <w:b/>
          <w:bCs/>
          <w:szCs w:val="20"/>
        </w:rPr>
        <w:t>Abstract</w:t>
      </w:r>
    </w:p>
    <w:p w14:paraId="40D09101" w14:textId="4F543BBF" w:rsidR="00105BAE" w:rsidRDefault="0085441A" w:rsidP="16FF6407">
      <w:pPr>
        <w:spacing w:after="120" w:line="276" w:lineRule="auto"/>
        <w:jc w:val="thaiDistribute"/>
        <w:rPr>
          <w:rFonts w:ascii="Times New Roman" w:hAnsi="Times New Roman" w:cs="Times New Roman"/>
          <w:sz w:val="20"/>
          <w:szCs w:val="20"/>
        </w:rPr>
      </w:pPr>
      <w:r w:rsidRPr="16FF6407">
        <w:rPr>
          <w:rFonts w:ascii="Times New Roman" w:hAnsi="Times New Roman" w:cs="Times New Roman"/>
          <w:sz w:val="20"/>
          <w:szCs w:val="20"/>
        </w:rPr>
        <w:t xml:space="preserve">Climate neutrality is becoming a core long-term competitiveness factor within the aviation industry, as demonstrated by the several innovations and targets set within that sector, prior to and especially after the COVID-19 crisis. </w:t>
      </w:r>
      <w:r w:rsidR="00B95DD7" w:rsidRPr="16FF6407">
        <w:rPr>
          <w:rFonts w:ascii="Times New Roman" w:hAnsi="Times New Roman" w:cs="Times New Roman"/>
          <w:sz w:val="20"/>
          <w:szCs w:val="20"/>
        </w:rPr>
        <w:t>Ambitious timeline</w:t>
      </w:r>
      <w:r w:rsidR="00DB6131">
        <w:rPr>
          <w:rFonts w:ascii="Times New Roman" w:hAnsi="Times New Roman" w:cs="Times New Roman"/>
          <w:sz w:val="20"/>
          <w:szCs w:val="20"/>
        </w:rPr>
        <w:t>s</w:t>
      </w:r>
      <w:r w:rsidR="00B95DD7" w:rsidRPr="16FF6407">
        <w:rPr>
          <w:rFonts w:ascii="Times New Roman" w:hAnsi="Times New Roman" w:cs="Times New Roman"/>
          <w:sz w:val="20"/>
          <w:szCs w:val="20"/>
        </w:rPr>
        <w:t xml:space="preserve"> are set, involving important investment decisions to be taken in a 5-years horizon time. Here, we provide an in-depth review of alternative energy sourcing technologies for aviation revealed to date, which we classified into three main categories, namely liquid fuels (biofuels, electr</w:t>
      </w:r>
      <w:r w:rsidR="003E7411" w:rsidRPr="16FF6407">
        <w:rPr>
          <w:rFonts w:ascii="Times New Roman" w:hAnsi="Times New Roman" w:cs="Times New Roman"/>
          <w:sz w:val="20"/>
          <w:szCs w:val="20"/>
        </w:rPr>
        <w:t xml:space="preserve">ofuels), electric aviation (all </w:t>
      </w:r>
      <w:r w:rsidR="00B95DD7" w:rsidRPr="16FF6407">
        <w:rPr>
          <w:rFonts w:ascii="Times New Roman" w:hAnsi="Times New Roman" w:cs="Times New Roman"/>
          <w:sz w:val="20"/>
          <w:szCs w:val="20"/>
        </w:rPr>
        <w:t>electric and hybrid)</w:t>
      </w:r>
      <w:r w:rsidR="00DB6131">
        <w:rPr>
          <w:rFonts w:ascii="Times New Roman" w:hAnsi="Times New Roman" w:cs="Times New Roman"/>
          <w:sz w:val="20"/>
          <w:szCs w:val="20"/>
        </w:rPr>
        <w:t>,</w:t>
      </w:r>
      <w:r w:rsidR="00B95DD7" w:rsidRPr="16FF6407">
        <w:rPr>
          <w:rFonts w:ascii="Times New Roman" w:hAnsi="Times New Roman" w:cs="Times New Roman"/>
          <w:sz w:val="20"/>
          <w:szCs w:val="20"/>
        </w:rPr>
        <w:t xml:space="preserve"> and carbon-free options (hydrogen-based, solar-powered). </w:t>
      </w:r>
      <w:r w:rsidR="008A43E5" w:rsidRPr="16FF6407">
        <w:rPr>
          <w:rFonts w:ascii="Times New Roman" w:hAnsi="Times New Roman" w:cs="Times New Roman"/>
          <w:sz w:val="20"/>
          <w:szCs w:val="20"/>
        </w:rPr>
        <w:t>For liquid fuels</w:t>
      </w:r>
      <w:r w:rsidR="00767581" w:rsidRPr="16FF6407">
        <w:rPr>
          <w:rFonts w:ascii="Times New Roman" w:hAnsi="Times New Roman" w:cs="Times New Roman"/>
          <w:sz w:val="20"/>
          <w:szCs w:val="20"/>
        </w:rPr>
        <w:t xml:space="preserve">, </w:t>
      </w:r>
      <w:r w:rsidR="008A43E5" w:rsidRPr="16FF6407">
        <w:rPr>
          <w:rFonts w:ascii="Times New Roman" w:hAnsi="Times New Roman" w:cs="Times New Roman"/>
          <w:sz w:val="20"/>
          <w:szCs w:val="20"/>
        </w:rPr>
        <w:t>1</w:t>
      </w:r>
      <w:r w:rsidR="003B1C05" w:rsidRPr="16FF6407">
        <w:rPr>
          <w:rFonts w:ascii="Times New Roman" w:hAnsi="Times New Roman" w:cs="Times New Roman"/>
          <w:sz w:val="20"/>
          <w:szCs w:val="20"/>
        </w:rPr>
        <w:t>0</w:t>
      </w:r>
      <w:r w:rsidR="00767581" w:rsidRPr="16FF6407">
        <w:rPr>
          <w:rFonts w:ascii="Times New Roman" w:hAnsi="Times New Roman" w:cs="Times New Roman"/>
          <w:sz w:val="20"/>
          <w:szCs w:val="20"/>
        </w:rPr>
        <w:t xml:space="preserve"> pathways were reviewed, for which we supply the detailed process flow picturing all input, output, and co-products generated. The market uptake and use of these co-products w</w:t>
      </w:r>
      <w:r w:rsidR="00DB6131">
        <w:rPr>
          <w:rFonts w:ascii="Times New Roman" w:hAnsi="Times New Roman" w:cs="Times New Roman"/>
          <w:sz w:val="20"/>
          <w:szCs w:val="20"/>
        </w:rPr>
        <w:t>ere</w:t>
      </w:r>
      <w:r w:rsidR="00767581" w:rsidRPr="16FF6407">
        <w:rPr>
          <w:rFonts w:ascii="Times New Roman" w:hAnsi="Times New Roman" w:cs="Times New Roman"/>
          <w:sz w:val="20"/>
          <w:szCs w:val="20"/>
        </w:rPr>
        <w:t xml:space="preserve"> also investigated, along with the overall international regulations and targets for future aviation. As most of the inventoried pathways require hydrogen, we further reviewed six existing and emerging carbon-free hydrogen production technologies. </w:t>
      </w:r>
      <w:r w:rsidR="00105BAE">
        <w:rPr>
          <w:rFonts w:ascii="Times New Roman" w:hAnsi="Times New Roman" w:cs="Times New Roman"/>
          <w:sz w:val="20"/>
          <w:szCs w:val="20"/>
        </w:rPr>
        <w:t xml:space="preserve">Our review also details the five key battery technologies available (lithium-ion, advanced lithium-ion, solid-state battery, lithium-sulfur, lithium-air) for aviation, as well as the possible configuration schemes for electric propulsion (parallel electric hybrid, series electric hybrid, all electric, partial turboelectric and full turboelectric) and reflects upon the inclusion of hydrogen-powered fuel cells with these configurations. Our review studied these three categories of energy sourcing pathways as modular technologies, yet these </w:t>
      </w:r>
      <w:r w:rsidR="00AC314F">
        <w:rPr>
          <w:rFonts w:ascii="Times New Roman" w:hAnsi="Times New Roman" w:cs="Times New Roman"/>
          <w:sz w:val="20"/>
          <w:szCs w:val="20"/>
        </w:rPr>
        <w:t>still have to be used in a hybridized fashion</w:t>
      </w:r>
      <w:r w:rsidR="00105BAE">
        <w:rPr>
          <w:rFonts w:ascii="Times New Roman" w:hAnsi="Times New Roman" w:cs="Times New Roman"/>
          <w:sz w:val="20"/>
          <w:szCs w:val="20"/>
        </w:rPr>
        <w:t xml:space="preserve"> with con</w:t>
      </w:r>
      <w:r w:rsidR="00AC314F">
        <w:rPr>
          <w:rFonts w:ascii="Times New Roman" w:hAnsi="Times New Roman" w:cs="Times New Roman"/>
          <w:sz w:val="20"/>
          <w:szCs w:val="20"/>
        </w:rPr>
        <w:t>ventional fossil-based kerosene</w:t>
      </w:r>
      <w:r w:rsidR="00213CE6">
        <w:rPr>
          <w:rFonts w:ascii="Times New Roman" w:hAnsi="Times New Roman" w:cs="Times New Roman"/>
          <w:sz w:val="20"/>
          <w:szCs w:val="20"/>
        </w:rPr>
        <w:t xml:space="preserve">. This is </w:t>
      </w:r>
      <w:r w:rsidR="00AC314F">
        <w:rPr>
          <w:rFonts w:ascii="Times New Roman" w:hAnsi="Times New Roman" w:cs="Times New Roman"/>
          <w:sz w:val="20"/>
          <w:szCs w:val="20"/>
        </w:rPr>
        <w:t>among others</w:t>
      </w:r>
      <w:r w:rsidR="00213CE6">
        <w:rPr>
          <w:rFonts w:ascii="Times New Roman" w:hAnsi="Times New Roman" w:cs="Times New Roman"/>
          <w:sz w:val="20"/>
          <w:szCs w:val="20"/>
        </w:rPr>
        <w:t xml:space="preserve"> due to </w:t>
      </w:r>
      <w:r w:rsidR="00105BAE">
        <w:rPr>
          <w:rFonts w:ascii="Times New Roman" w:hAnsi="Times New Roman" w:cs="Times New Roman"/>
          <w:sz w:val="20"/>
          <w:szCs w:val="20"/>
        </w:rPr>
        <w:t xml:space="preserve">an aromatics content below the standardized requirements for biofuels and electrofuels, to a too low energy storage capacity in the case of batteries, or a sub-optimal gas turbine engine in the case of cryogenic hydrogen. </w:t>
      </w:r>
      <w:r w:rsidR="00AC314F">
        <w:rPr>
          <w:rFonts w:ascii="Times New Roman" w:hAnsi="Times New Roman" w:cs="Times New Roman"/>
          <w:sz w:val="20"/>
          <w:szCs w:val="20"/>
        </w:rPr>
        <w:t>Yet, we found that the latter was the only available option, based on the current and emerging technologies reviewed, for a long-range aviation completely decoupled of fossil carbon. The various challenges and opportunities associated with all these technologies are summarized in this study.</w:t>
      </w:r>
    </w:p>
    <w:p w14:paraId="6B7EA45A" w14:textId="77777777" w:rsidR="009F49E8" w:rsidRPr="00564E03" w:rsidRDefault="009F49E8" w:rsidP="001734ED">
      <w:pPr>
        <w:spacing w:after="120" w:line="276" w:lineRule="auto"/>
        <w:jc w:val="thaiDistribute"/>
        <w:rPr>
          <w:rFonts w:ascii="Times New Roman" w:hAnsi="Times New Roman" w:cs="Times New Roman"/>
          <w:bCs/>
          <w:sz w:val="20"/>
          <w:szCs w:val="20"/>
        </w:rPr>
      </w:pPr>
      <w:r w:rsidRPr="009F49E8">
        <w:rPr>
          <w:rFonts w:ascii="Times New Roman" w:hAnsi="Times New Roman" w:cs="Times New Roman"/>
          <w:bCs/>
          <w:i/>
          <w:sz w:val="20"/>
          <w:szCs w:val="20"/>
        </w:rPr>
        <w:t>Keyword</w:t>
      </w:r>
      <w:r w:rsidR="00A46BEF">
        <w:rPr>
          <w:rFonts w:ascii="Times New Roman" w:hAnsi="Times New Roman" w:cs="Times New Roman"/>
          <w:bCs/>
          <w:i/>
          <w:sz w:val="20"/>
          <w:szCs w:val="20"/>
        </w:rPr>
        <w:t>s</w:t>
      </w:r>
      <w:r>
        <w:rPr>
          <w:rFonts w:ascii="Times New Roman" w:hAnsi="Times New Roman" w:cs="Times New Roman"/>
          <w:bCs/>
          <w:sz w:val="20"/>
          <w:szCs w:val="20"/>
        </w:rPr>
        <w:t xml:space="preserve">: </w:t>
      </w:r>
      <w:r w:rsidR="008738A0">
        <w:rPr>
          <w:rFonts w:ascii="Times New Roman" w:hAnsi="Times New Roman" w:cs="Times New Roman"/>
          <w:bCs/>
          <w:sz w:val="20"/>
          <w:szCs w:val="20"/>
        </w:rPr>
        <w:t>Batteries; Fuel cells; Hydrogen;</w:t>
      </w:r>
      <w:r w:rsidR="0097783C">
        <w:rPr>
          <w:rFonts w:ascii="Times New Roman" w:hAnsi="Times New Roman" w:cs="Times New Roman"/>
          <w:bCs/>
          <w:sz w:val="20"/>
          <w:szCs w:val="20"/>
        </w:rPr>
        <w:t xml:space="preserve"> </w:t>
      </w:r>
      <w:r w:rsidR="008738A0">
        <w:rPr>
          <w:rFonts w:ascii="Times New Roman" w:hAnsi="Times New Roman" w:cs="Times New Roman"/>
          <w:bCs/>
          <w:sz w:val="20"/>
          <w:szCs w:val="20"/>
        </w:rPr>
        <w:t xml:space="preserve">Kerosene; </w:t>
      </w:r>
      <w:r w:rsidR="00CF49A5">
        <w:rPr>
          <w:rFonts w:ascii="Times New Roman" w:hAnsi="Times New Roman" w:cs="Times New Roman"/>
          <w:bCs/>
          <w:sz w:val="20"/>
          <w:szCs w:val="20"/>
        </w:rPr>
        <w:t>Regulatory framework</w:t>
      </w:r>
      <w:r w:rsidR="00E41C54">
        <w:rPr>
          <w:rFonts w:ascii="Times New Roman" w:hAnsi="Times New Roman" w:cs="Times New Roman"/>
          <w:bCs/>
          <w:sz w:val="20"/>
          <w:szCs w:val="20"/>
        </w:rPr>
        <w:t>s</w:t>
      </w:r>
      <w:r w:rsidR="00CF49A5">
        <w:rPr>
          <w:rFonts w:ascii="Times New Roman" w:hAnsi="Times New Roman" w:cs="Times New Roman"/>
          <w:bCs/>
          <w:sz w:val="20"/>
          <w:szCs w:val="20"/>
        </w:rPr>
        <w:t xml:space="preserve">; </w:t>
      </w:r>
      <w:r>
        <w:rPr>
          <w:rFonts w:ascii="Times New Roman" w:hAnsi="Times New Roman" w:cs="Times New Roman"/>
          <w:bCs/>
          <w:sz w:val="20"/>
          <w:szCs w:val="20"/>
        </w:rPr>
        <w:t>S</w:t>
      </w:r>
      <w:r w:rsidR="00256DBA">
        <w:rPr>
          <w:rFonts w:ascii="Times New Roman" w:hAnsi="Times New Roman" w:cs="Times New Roman"/>
          <w:bCs/>
          <w:sz w:val="20"/>
          <w:szCs w:val="20"/>
        </w:rPr>
        <w:t>ustainable Aviation Fuels (SAF)</w:t>
      </w:r>
    </w:p>
    <w:p w14:paraId="7473FE03" w14:textId="77777777" w:rsidR="004A51AC" w:rsidRPr="0082500A" w:rsidRDefault="00D33BDC" w:rsidP="00290530">
      <w:pPr>
        <w:spacing w:after="120" w:line="276" w:lineRule="auto"/>
        <w:jc w:val="thaiDistribute"/>
        <w:rPr>
          <w:rFonts w:ascii="Times New Roman" w:hAnsi="Times New Roman" w:cs="Times New Roman"/>
          <w:b/>
          <w:bCs/>
          <w:sz w:val="20"/>
          <w:szCs w:val="20"/>
        </w:rPr>
      </w:pPr>
      <w:r w:rsidRPr="00E7403B">
        <w:rPr>
          <w:rFonts w:ascii="Times New Roman" w:hAnsi="Times New Roman" w:cs="Times New Roman"/>
          <w:b/>
          <w:bCs/>
          <w:sz w:val="20"/>
          <w:szCs w:val="20"/>
        </w:rPr>
        <w:t xml:space="preserve">1. </w:t>
      </w:r>
      <w:r w:rsidR="004A51AC" w:rsidRPr="00E7403B">
        <w:rPr>
          <w:rFonts w:ascii="Times New Roman" w:hAnsi="Times New Roman" w:cs="Times New Roman"/>
          <w:b/>
          <w:bCs/>
          <w:sz w:val="20"/>
          <w:szCs w:val="20"/>
        </w:rPr>
        <w:t>Introduction</w:t>
      </w:r>
    </w:p>
    <w:p w14:paraId="20E4B9E5" w14:textId="685B7963" w:rsidR="00905DFC" w:rsidRPr="0082500A" w:rsidRDefault="00EF644B" w:rsidP="00290530">
      <w:pPr>
        <w:widowControl w:val="0"/>
        <w:autoSpaceDE w:val="0"/>
        <w:autoSpaceDN w:val="0"/>
        <w:adjustRightInd w:val="0"/>
        <w:spacing w:after="120" w:line="276" w:lineRule="auto"/>
        <w:jc w:val="both"/>
        <w:rPr>
          <w:rFonts w:ascii="Times New Roman" w:hAnsi="Times New Roman" w:cs="Times New Roman"/>
          <w:sz w:val="20"/>
          <w:szCs w:val="20"/>
        </w:rPr>
      </w:pPr>
      <w:r w:rsidRPr="00C845C5">
        <w:rPr>
          <w:rFonts w:ascii="Times New Roman" w:hAnsi="Times New Roman" w:cs="Times New Roman"/>
          <w:sz w:val="20"/>
          <w:szCs w:val="20"/>
        </w:rPr>
        <w:t xml:space="preserve">With ca. 900 Mt </w:t>
      </w:r>
      <w:r w:rsidR="00C66064" w:rsidRPr="00C845C5">
        <w:rPr>
          <w:rFonts w:ascii="Times New Roman" w:hAnsi="Times New Roman" w:cs="Times New Roman"/>
          <w:sz w:val="20"/>
          <w:szCs w:val="20"/>
        </w:rPr>
        <w:t>carbon dioxide (</w:t>
      </w:r>
      <w:r w:rsidRPr="00C845C5">
        <w:rPr>
          <w:rFonts w:ascii="Times New Roman" w:hAnsi="Times New Roman" w:cs="Times New Roman"/>
          <w:sz w:val="20"/>
          <w:szCs w:val="20"/>
        </w:rPr>
        <w:t>CO</w:t>
      </w:r>
      <w:r w:rsidRPr="00C845C5">
        <w:rPr>
          <w:rFonts w:ascii="Times New Roman" w:hAnsi="Times New Roman" w:cs="Times New Roman"/>
          <w:sz w:val="20"/>
          <w:szCs w:val="20"/>
          <w:vertAlign w:val="subscript"/>
        </w:rPr>
        <w:t>2</w:t>
      </w:r>
      <w:r w:rsidR="00C66064" w:rsidRPr="00C845C5">
        <w:rPr>
          <w:rFonts w:ascii="Times New Roman" w:hAnsi="Times New Roman" w:cs="Times New Roman"/>
          <w:sz w:val="20"/>
          <w:szCs w:val="20"/>
        </w:rPr>
        <w:t xml:space="preserve">) </w:t>
      </w:r>
      <w:r w:rsidRPr="00C845C5">
        <w:rPr>
          <w:rFonts w:ascii="Times New Roman" w:hAnsi="Times New Roman" w:cs="Times New Roman"/>
          <w:sz w:val="20"/>
          <w:szCs w:val="20"/>
        </w:rPr>
        <w:t xml:space="preserve">emissions per year, the global aviation industry represents approximately 2% of all-human induced </w:t>
      </w:r>
      <w:r w:rsidR="003717FA" w:rsidRPr="00C845C5">
        <w:rPr>
          <w:rFonts w:ascii="Times New Roman" w:hAnsi="Times New Roman" w:cs="Times New Roman"/>
          <w:sz w:val="20"/>
          <w:szCs w:val="20"/>
        </w:rPr>
        <w:t>CO</w:t>
      </w:r>
      <w:r w:rsidR="003717FA" w:rsidRPr="00C845C5">
        <w:rPr>
          <w:rFonts w:ascii="Times New Roman" w:hAnsi="Times New Roman" w:cs="Times New Roman"/>
          <w:sz w:val="20"/>
          <w:szCs w:val="20"/>
          <w:vertAlign w:val="subscript"/>
        </w:rPr>
        <w:t>2</w:t>
      </w:r>
      <w:r w:rsidR="00D34BD2" w:rsidRPr="00C845C5">
        <w:rPr>
          <w:rFonts w:ascii="Times New Roman" w:hAnsi="Times New Roman" w:cs="Times New Roman"/>
          <w:sz w:val="20"/>
          <w:szCs w:val="20"/>
        </w:rPr>
        <w:t xml:space="preserve"> emission activities</w:t>
      </w:r>
      <w:r w:rsidR="00037EE4" w:rsidRPr="00C845C5">
        <w:rPr>
          <w:rFonts w:ascii="Times New Roman" w:hAnsi="Times New Roman" w:cs="Times New Roman"/>
          <w:sz w:val="20"/>
          <w:szCs w:val="20"/>
        </w:rPr>
        <w:t xml:space="preserve"> </w:t>
      </w:r>
      <w:r w:rsidR="007772AE" w:rsidRPr="00C845C5">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RnbyUwqC","properties":{"formattedCitation":"[1\\uc0\\u8211{}3]","plainCitation":"[1–3]","noteIndex":0},"citationItems":[{"id":"968HXJ10/m3YWOnZF","uris":["http://www.mendeley.com/documents/?uuid=fabbbd79-d888-4761-b3c8-27ad6c71fdf3"],"uri":["http://www.mendeley.com/documents/?uuid=fabbbd79-d888-4761-b3c8-27ad6c71fdf3"],"itemData":{"abstract":"The aviation industry recognizes the need to address the global challenge of climate change and in 2009 adopted a set of ambitious targets to mitigate CO2 emissions from air transport: </w:instrText>
      </w:r>
      <w:r w:rsidR="00752A1E">
        <w:rPr>
          <w:rFonts w:ascii="Times New Roman" w:hAnsi="Times New Roman" w:cs="Times New Roman"/>
          <w:sz w:val="20"/>
          <w:szCs w:val="20"/>
        </w:rPr>
        <w:instrText xml:space="preserve"> An average improvement in fuel efficiency of 1.5% per year from 2009 to 2020 </w:instrText>
      </w:r>
      <w:r w:rsidR="00752A1E">
        <w:rPr>
          <w:rFonts w:ascii="Times New Roman" w:hAnsi="Times New Roman" w:cs="Times New Roman"/>
          <w:sz w:val="20"/>
          <w:szCs w:val="20"/>
        </w:rPr>
        <w:instrText xml:space="preserve"> A cap on net aviation CO2 emissions from 2020 (carbon-neutral growth) </w:instrText>
      </w:r>
      <w:r w:rsidR="00752A1E">
        <w:rPr>
          <w:rFonts w:ascii="Times New Roman" w:hAnsi="Times New Roman" w:cs="Times New Roman"/>
          <w:sz w:val="20"/>
          <w:szCs w:val="20"/>
        </w:rPr>
        <w:instrText xml:space="preserve"> A reduction in net aviation CO2 emissions of 50% by 2050, relative to 2005 levels The industry 4-pillar strategy The industry is pursuing a 4-pillar strategy for addressing aviation's climate impacts and to meet the carbon targets: </w:instrText>
      </w:r>
      <w:r w:rsidR="00752A1E">
        <w:rPr>
          <w:rFonts w:ascii="Times New Roman" w:hAnsi="Times New Roman" w:cs="Times New Roman"/>
          <w:sz w:val="20"/>
          <w:szCs w:val="20"/>
        </w:rPr>
        <w:instrText xml:space="preserve"> New technology, including the deployment of sustainable alternative fuels </w:instrText>
      </w:r>
      <w:r w:rsidR="00752A1E">
        <w:rPr>
          <w:rFonts w:ascii="Times New Roman" w:hAnsi="Times New Roman" w:cs="Times New Roman"/>
          <w:sz w:val="20"/>
          <w:szCs w:val="20"/>
        </w:rPr>
        <w:instrText xml:space="preserve"> More efficient aircraft operations </w:instrText>
      </w:r>
      <w:r w:rsidR="00752A1E">
        <w:rPr>
          <w:rFonts w:ascii="Times New Roman" w:hAnsi="Times New Roman" w:cs="Times New Roman"/>
          <w:sz w:val="20"/>
          <w:szCs w:val="20"/>
        </w:rPr>
        <w:instrText xml:space="preserve"> Infrastructure improvements, including modernized air traffic management systems </w:instrText>
      </w:r>
      <w:r w:rsidR="00752A1E">
        <w:rPr>
          <w:rFonts w:ascii="Times New Roman" w:hAnsi="Times New Roman" w:cs="Times New Roman"/>
          <w:sz w:val="20"/>
          <w:szCs w:val="20"/>
        </w:rPr>
        <w:instrText xml:space="preserve"> A single Global Market-Based Measure (GMBM) to fill the remaining emissions gap The aviation industry is confident that technology, operations and infrastructure measures will provide long-term solutions for aviation's sustainable growth. However, the industry recognizes that a global market-based measure (GMBM) is needed to fill any remaining emissions gap. The industry favors a single, global market-based measure to address CO2 emissions from international aviation. Many airlines fly into dozens of different countries on a daily basis, with some large airlines serving over a hundred different countries each day; they need to have a single point of accountability. If airlines are subject to a patchwork of national or regional CO2 taxes, offsetting mechanisms, emissions trading schemes and other carbon pricing instruments, compliance would be unnecessarily complex and costly. In February 2017, the International Civil Aviation Organization (ICAO) adopted the first ever global CO2 certification standard for new aircraft. The standard sets limits to the CO2 emissions from aircraft in relation to their size and weight. The standard is projected to save significant quantities of CO2 once it comes into effect in 2020. CORSIA-the ICAO global market-based measure In 2016, ICAO adopted CORSIA, a global carbon offsetting scheme to address CO2 emissions from international aviation. The aviation sector is committed to technology, operational and infrastructure advances","author":[{"dropping-particle":"","family":"IATA","given":"","non-dropping-particle":"","parse-names":false,"suffix":""}],"id":"ITEM-1","issue":"May 2018","issued":{"date-parts":[["2018"]]},"page":"1-2","title":"Fact Sheet Climate and CORSIA","type":"article-journal"}},{"id":"968HXJ10/oBSah4mL","uris":["http://www.mendeley.com/documents/?uuid=7c29f4af-a33e-4eea-86d6-34e089e1013d"],"uri":["http://www.mendeley.com/documents/?uuid=7c29f4af-a33e-4eea-86d6-34e089e1013d"],"itemData":{"author":[{"dropping-particle":"","family":"ATAG","given":"","non-dropping-particle":"","parse-names":false,"suffix":""}],"id":"ITEM-2","issue":"March","issued":{"date-parts":[["2019"]]},"number-of-pages":"1-2","title":"Aviation and climate change","type":"report"}},{"id":"968HXJ10/GkJ0Gaff","uris":["http://www.mendeley.com/documents/?uuid=82c90889-96e2-3f8d-8114-701a14cd1443"],"uri":["http://www.mendeley.com/documents/?uuid=82c90889-96e2-3f8d-8114-701a14cd1443"],"itemData":{"URL":"https://www.wri.org/blog/2020/02/greenhouse-gas-emissions-by-country-sector?utm_source=twitter&amp;utm_medium=worldresources&amp;utm_campaign=socialmedia&amp;utm_term=e93c0580-6270-4921-afb6-07c2f0c40960","accessed":{"date-parts":[["2020","8","25"]]},"author":[{"dropping-particle":"","family":"Mengpin","given":"Ge","non-dropping-particle":"","parse-names":false,"suffix":""},{"dropping-particle":"","family":"Johannes","given":"Friedrich","non-dropping-particle":"","parse-names":false,"suffix":""}],"container-title":"World Resources Institute","id":"ITEM-3","issued":{"date-parts":[["2020"]]},"title":"4 Charts Explain Greenhouse Gas Emissions by Countries and Sectors | World Resources Institute","type":"webpage"}}],"schema":"https://github.com/citation-style-language/schema/raw/master/csl-citation.json"} </w:instrText>
      </w:r>
      <w:r w:rsidR="007772AE" w:rsidRPr="00C845C5">
        <w:rPr>
          <w:rFonts w:ascii="Times New Roman" w:hAnsi="Times New Roman" w:cs="Times New Roman"/>
          <w:sz w:val="20"/>
          <w:szCs w:val="20"/>
        </w:rPr>
        <w:fldChar w:fldCharType="separate"/>
      </w:r>
      <w:r w:rsidR="0051129D" w:rsidRPr="0051129D">
        <w:rPr>
          <w:rFonts w:ascii="Times New Roman" w:hAnsi="Times New Roman" w:cs="Times New Roman"/>
          <w:sz w:val="20"/>
          <w:szCs w:val="24"/>
        </w:rPr>
        <w:t>[1–3]</w:t>
      </w:r>
      <w:r w:rsidR="007772AE" w:rsidRPr="00C845C5">
        <w:rPr>
          <w:rFonts w:ascii="Times New Roman" w:hAnsi="Times New Roman" w:cs="Times New Roman"/>
          <w:sz w:val="20"/>
          <w:szCs w:val="20"/>
        </w:rPr>
        <w:fldChar w:fldCharType="end"/>
      </w:r>
      <w:r w:rsidRPr="00C845C5">
        <w:rPr>
          <w:rFonts w:ascii="Times New Roman" w:hAnsi="Times New Roman" w:cs="Times New Roman"/>
          <w:sz w:val="20"/>
          <w:szCs w:val="20"/>
        </w:rPr>
        <w:t xml:space="preserve"> and accounts for ca. 12% of emissions from all transport sources </w:t>
      </w:r>
      <w:r w:rsidR="00644180" w:rsidRPr="00C845C5">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n6kF88ac","properties":{"formattedCitation":"[4]","plainCitation":"[4]","noteIndex":0},"citationItems":[{"id":"968HXJ10/glfhiwqT","uris":["http://www.mendeley.com/documents/?uuid=25e794e6-c2ff-46ab-a587-ca6f79c125dd"],"uri":["http://www.mendeley.com/documents/?uuid=25e794e6-c2ff-46ab-a587-ca6f79c125dd"],"itemData":{"author":[{"dropping-particle":"","family":"ATAG","given":"","non-dropping-particle":"","parse-names":false,"suffix":""}],"id":"ITEM-1","issued":{"date-parts":[["2017"]]},"number-of-pages":"1-24","title":"Beginner's Guide to Sustainable Aviation Fuel","type":"report"}}],"schema":"https://github.com/citation-style-language/schema/raw/master/csl-citation.json"} </w:instrText>
      </w:r>
      <w:r w:rsidR="00644180" w:rsidRPr="00C845C5">
        <w:rPr>
          <w:rFonts w:ascii="Times New Roman" w:hAnsi="Times New Roman" w:cs="Times New Roman"/>
          <w:sz w:val="20"/>
          <w:szCs w:val="20"/>
        </w:rPr>
        <w:fldChar w:fldCharType="separate"/>
      </w:r>
      <w:r w:rsidR="0051129D" w:rsidRPr="0051129D">
        <w:rPr>
          <w:rFonts w:ascii="Times New Roman" w:hAnsi="Times New Roman" w:cs="Times New Roman"/>
          <w:sz w:val="20"/>
        </w:rPr>
        <w:t>[4]</w:t>
      </w:r>
      <w:r w:rsidR="00644180" w:rsidRPr="00C845C5">
        <w:rPr>
          <w:rFonts w:ascii="Times New Roman" w:hAnsi="Times New Roman" w:cs="Times New Roman"/>
          <w:sz w:val="20"/>
          <w:szCs w:val="20"/>
        </w:rPr>
        <w:fldChar w:fldCharType="end"/>
      </w:r>
      <w:r w:rsidR="00C845C5" w:rsidRPr="00C845C5">
        <w:rPr>
          <w:rFonts w:ascii="Times New Roman" w:hAnsi="Times New Roman" w:cs="Times New Roman"/>
          <w:sz w:val="20"/>
          <w:szCs w:val="20"/>
        </w:rPr>
        <w:t>.</w:t>
      </w:r>
      <w:r w:rsidR="00236815" w:rsidRPr="00C845C5">
        <w:rPr>
          <w:rFonts w:ascii="Times New Roman" w:hAnsi="Times New Roman" w:cs="Times New Roman"/>
          <w:sz w:val="20"/>
          <w:szCs w:val="20"/>
        </w:rPr>
        <w:t xml:space="preserve"> </w:t>
      </w:r>
      <w:r w:rsidR="005E13CB" w:rsidRPr="00C845C5">
        <w:rPr>
          <w:rFonts w:ascii="Times New Roman" w:hAnsi="Times New Roman" w:cs="Times New Roman"/>
          <w:sz w:val="20"/>
          <w:szCs w:val="20"/>
        </w:rPr>
        <w:t>T</w:t>
      </w:r>
      <w:r w:rsidR="00555939" w:rsidRPr="00C845C5">
        <w:rPr>
          <w:rFonts w:ascii="Times New Roman" w:hAnsi="Times New Roman" w:cs="Times New Roman"/>
          <w:sz w:val="20"/>
          <w:szCs w:val="20"/>
        </w:rPr>
        <w:t xml:space="preserve">he </w:t>
      </w:r>
      <w:r w:rsidR="00C25F9F" w:rsidRPr="00C845C5">
        <w:rPr>
          <w:rFonts w:ascii="Times New Roman" w:hAnsi="Times New Roman" w:cs="Times New Roman"/>
          <w:sz w:val="20"/>
          <w:szCs w:val="20"/>
        </w:rPr>
        <w:t>Carbon Offsetting and Reduction Scheme for International Aviation (</w:t>
      </w:r>
      <w:r w:rsidR="00780C57" w:rsidRPr="00C845C5">
        <w:rPr>
          <w:rFonts w:ascii="Times New Roman" w:hAnsi="Times New Roman" w:cs="Times New Roman"/>
          <w:sz w:val="20"/>
          <w:szCs w:val="20"/>
        </w:rPr>
        <w:t xml:space="preserve">known as </w:t>
      </w:r>
      <w:r w:rsidR="00C25F9F" w:rsidRPr="00C845C5">
        <w:rPr>
          <w:rFonts w:ascii="Times New Roman" w:hAnsi="Times New Roman" w:cs="Times New Roman"/>
          <w:sz w:val="20"/>
          <w:szCs w:val="20"/>
        </w:rPr>
        <w:t xml:space="preserve">CORSIA) has been launched </w:t>
      </w:r>
      <w:r w:rsidR="00396189" w:rsidRPr="00C845C5">
        <w:rPr>
          <w:rFonts w:ascii="Times New Roman" w:hAnsi="Times New Roman" w:cs="Times New Roman"/>
          <w:sz w:val="20"/>
          <w:szCs w:val="20"/>
        </w:rPr>
        <w:t xml:space="preserve">as one of </w:t>
      </w:r>
      <w:r w:rsidR="00C76D89" w:rsidRPr="00C845C5">
        <w:rPr>
          <w:rFonts w:ascii="Times New Roman" w:hAnsi="Times New Roman" w:cs="Times New Roman"/>
          <w:sz w:val="20"/>
          <w:szCs w:val="20"/>
        </w:rPr>
        <w:t xml:space="preserve">many </w:t>
      </w:r>
      <w:r w:rsidR="00396189" w:rsidRPr="00C845C5">
        <w:rPr>
          <w:rFonts w:ascii="Times New Roman" w:hAnsi="Times New Roman" w:cs="Times New Roman"/>
          <w:sz w:val="20"/>
          <w:szCs w:val="20"/>
        </w:rPr>
        <w:t>measures</w:t>
      </w:r>
      <w:r w:rsidR="005E13CB" w:rsidRPr="00C845C5">
        <w:rPr>
          <w:rFonts w:ascii="Times New Roman" w:hAnsi="Times New Roman" w:cs="Times New Roman"/>
          <w:sz w:val="20"/>
          <w:szCs w:val="20"/>
        </w:rPr>
        <w:t xml:space="preserve"> to achieve</w:t>
      </w:r>
      <w:r w:rsidR="00C76D89" w:rsidRPr="00C845C5">
        <w:rPr>
          <w:rFonts w:ascii="Times New Roman" w:hAnsi="Times New Roman" w:cs="Times New Roman"/>
          <w:sz w:val="20"/>
          <w:szCs w:val="20"/>
        </w:rPr>
        <w:t xml:space="preserve">, for the aviation sector, a </w:t>
      </w:r>
      <w:r w:rsidR="005E13CB" w:rsidRPr="00C845C5">
        <w:rPr>
          <w:rFonts w:ascii="Times New Roman" w:hAnsi="Times New Roman" w:cs="Times New Roman"/>
          <w:sz w:val="20"/>
          <w:szCs w:val="20"/>
        </w:rPr>
        <w:t xml:space="preserve">carbon </w:t>
      </w:r>
      <w:r w:rsidR="00C66064" w:rsidRPr="00C845C5">
        <w:rPr>
          <w:rFonts w:ascii="Times New Roman" w:hAnsi="Times New Roman" w:cs="Times New Roman"/>
          <w:sz w:val="20"/>
          <w:szCs w:val="20"/>
        </w:rPr>
        <w:t xml:space="preserve">(C) </w:t>
      </w:r>
      <w:r w:rsidR="005E13CB" w:rsidRPr="00C845C5">
        <w:rPr>
          <w:rFonts w:ascii="Times New Roman" w:hAnsi="Times New Roman" w:cs="Times New Roman"/>
          <w:sz w:val="20"/>
          <w:szCs w:val="20"/>
        </w:rPr>
        <w:t>neutral growth by the year 2020 (CNG2020)</w:t>
      </w:r>
      <w:r w:rsidR="00C76D89" w:rsidRPr="00C845C5">
        <w:rPr>
          <w:rFonts w:ascii="Times New Roman" w:hAnsi="Times New Roman" w:cs="Times New Roman"/>
          <w:sz w:val="20"/>
          <w:szCs w:val="20"/>
        </w:rPr>
        <w:t xml:space="preserve">. </w:t>
      </w:r>
      <w:r w:rsidR="00663196" w:rsidRPr="00C845C5">
        <w:rPr>
          <w:rFonts w:ascii="Times New Roman" w:hAnsi="Times New Roman" w:cs="Times New Roman"/>
          <w:sz w:val="20"/>
          <w:szCs w:val="20"/>
        </w:rPr>
        <w:t>Despite growing public concerns on the contributio</w:t>
      </w:r>
      <w:r w:rsidR="00C66064" w:rsidRPr="00C845C5">
        <w:rPr>
          <w:rFonts w:ascii="Times New Roman" w:hAnsi="Times New Roman" w:cs="Times New Roman"/>
          <w:sz w:val="20"/>
          <w:szCs w:val="20"/>
        </w:rPr>
        <w:t xml:space="preserve">n of the flying industry to </w:t>
      </w:r>
      <w:r w:rsidR="00663196" w:rsidRPr="00C845C5">
        <w:rPr>
          <w:rFonts w:ascii="Times New Roman" w:hAnsi="Times New Roman" w:cs="Times New Roman"/>
          <w:sz w:val="20"/>
          <w:szCs w:val="20"/>
        </w:rPr>
        <w:t xml:space="preserve">climate </w:t>
      </w:r>
      <w:r w:rsidR="005D6E59" w:rsidRPr="00C845C5">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i3pnz55d","properties":{"formattedCitation":"[5\\uc0\\u8211{}7]","plainCitation":"[5–7]","noteIndex":0},"citationItems":[{"id":"968HXJ10/er6cS7yj","uris":["http://www.mendeley.com/documents/?uuid=fd7dce9a-f0ee-3ce0-8b98-55f14c4d13aa"],"uri":["http://www.mendeley.com/documents/?uuid=fd7dce9a-f0ee-3ce0-8b98-55f14c4d13aa"],"itemData":{"URL":"https://www.airbus.com/innovation/future-technology/electric-flight/e-fan-x.html","accessed":{"date-parts":[["2020","1","9"]]},"author":[{"dropping-particle":"","family":"AirBus","given":"","non-dropping-particle":"","parse-names":false,"suffix":""}],"container-title":"AirBus","id":"ITEM-1","issued":{"date-parts":[["2020"]]},"title":"E-Fan X - Electric flight - Airbus","type":"webpage"}},{"id":"968HXJ10/Qp8Yq0hR","uris":["http://www.mendeley.com/documents/?uuid=edfa48e4-93d6-3a27-863c-40bb8809462f"],"uri":["http://www.mendeley.com/documents/?uuid=edfa48e4-93d6-3a27-863c-40bb8809462f"],"itemData":{"URL":"https://www.biofuelsdigest.com/bdigest/2012/06/05/aviation-biofuels-which-airlines-are-doing-what-with-whom/","accessed":{"date-parts":[["2020","8","25"]]},"author":[{"dropping-particle":"","family":"Lane","given":"Jim","non-dropping-particle":"","parse-names":false,"suffix":""}],"container-title":"Biofuel Digest","id":"ITEM-2","issued":{"date-parts":[["2012"]]},"title":"Aviation biofuels: which airlines are doing what, with whom? : Biofuels Digest","type":"webpage"}},{"id":"968HXJ10/DYMgffVG","uris":["http://www.mendeley.com/documents/?uuid=13fa8cea-c4b1-3654-a46f-d18d8501a861"],"uri":["http://www.mendeley.com/documents/?uuid=13fa8cea-c4b1-3654-a46f-d18d8501a861"],"itemData":{"URL":"https://simpleflying.com/us-airlines-sustainable-aviation-fuel/","accessed":{"date-parts":[["2020","8","25"]]},"author":[{"dropping-particle":"","family":"Loh","given":"Chris","non-dropping-particle":"","parse-names":false,"suffix":""}],"container-title":"Simple Flying","id":"ITEM-3","issued":{"date-parts":[["2020"]]},"title":"Which US Airlines Are Using Sustainable Aviation Fuel? - Simple Flying","type":"webpage"}}],"schema":"https://github.com/citation-style-language/schema/raw/master/csl-citation.json"} </w:instrText>
      </w:r>
      <w:r w:rsidR="005D6E59" w:rsidRPr="00C845C5">
        <w:rPr>
          <w:rFonts w:ascii="Times New Roman" w:hAnsi="Times New Roman" w:cs="Times New Roman"/>
          <w:sz w:val="20"/>
          <w:szCs w:val="20"/>
        </w:rPr>
        <w:fldChar w:fldCharType="separate"/>
      </w:r>
      <w:r w:rsidR="0051129D" w:rsidRPr="0051129D">
        <w:rPr>
          <w:rFonts w:ascii="Times New Roman" w:hAnsi="Times New Roman" w:cs="Times New Roman"/>
          <w:sz w:val="20"/>
          <w:szCs w:val="24"/>
        </w:rPr>
        <w:t>[5–7]</w:t>
      </w:r>
      <w:r w:rsidR="005D6E59" w:rsidRPr="00C845C5">
        <w:rPr>
          <w:rFonts w:ascii="Times New Roman" w:hAnsi="Times New Roman" w:cs="Times New Roman"/>
          <w:sz w:val="20"/>
          <w:szCs w:val="20"/>
        </w:rPr>
        <w:fldChar w:fldCharType="end"/>
      </w:r>
      <w:r w:rsidR="00663196" w:rsidRPr="00C845C5">
        <w:rPr>
          <w:rFonts w:ascii="Times New Roman" w:hAnsi="Times New Roman" w:cs="Times New Roman"/>
          <w:sz w:val="20"/>
          <w:szCs w:val="20"/>
        </w:rPr>
        <w:t>, t</w:t>
      </w:r>
      <w:r w:rsidR="00905DFC" w:rsidRPr="00C845C5">
        <w:rPr>
          <w:rFonts w:ascii="Times New Roman" w:hAnsi="Times New Roman" w:cs="Times New Roman"/>
          <w:sz w:val="20"/>
          <w:szCs w:val="20"/>
        </w:rPr>
        <w:t xml:space="preserve">he </w:t>
      </w:r>
      <w:r w:rsidR="007F4419" w:rsidRPr="00C845C5">
        <w:rPr>
          <w:rFonts w:ascii="Times New Roman" w:hAnsi="Times New Roman" w:cs="Times New Roman"/>
          <w:sz w:val="20"/>
          <w:szCs w:val="20"/>
        </w:rPr>
        <w:t>aviation</w:t>
      </w:r>
      <w:r w:rsidR="0082500A" w:rsidRPr="00C845C5">
        <w:rPr>
          <w:rFonts w:ascii="Times New Roman" w:hAnsi="Times New Roman" w:cs="Times New Roman"/>
          <w:sz w:val="20"/>
          <w:szCs w:val="20"/>
        </w:rPr>
        <w:t xml:space="preserve"> traffic</w:t>
      </w:r>
      <w:r w:rsidR="00905DFC" w:rsidRPr="00C845C5">
        <w:rPr>
          <w:rFonts w:ascii="Times New Roman" w:hAnsi="Times New Roman" w:cs="Times New Roman"/>
          <w:sz w:val="20"/>
          <w:szCs w:val="20"/>
        </w:rPr>
        <w:t xml:space="preserve"> </w:t>
      </w:r>
      <w:r w:rsidR="00C66064" w:rsidRPr="00C845C5">
        <w:rPr>
          <w:rFonts w:ascii="Times New Roman" w:hAnsi="Times New Roman" w:cs="Times New Roman"/>
          <w:sz w:val="20"/>
          <w:szCs w:val="20"/>
        </w:rPr>
        <w:t xml:space="preserve">was, prior to the COVID-19 outbreak, </w:t>
      </w:r>
      <w:r w:rsidR="00CD519C" w:rsidRPr="00C845C5">
        <w:rPr>
          <w:rFonts w:ascii="Times New Roman" w:hAnsi="Times New Roman" w:cs="Times New Roman"/>
          <w:sz w:val="20"/>
          <w:szCs w:val="20"/>
        </w:rPr>
        <w:t>forecasted to</w:t>
      </w:r>
      <w:r w:rsidR="0082500A" w:rsidRPr="00C845C5">
        <w:rPr>
          <w:rFonts w:ascii="Times New Roman" w:hAnsi="Times New Roman" w:cs="Times New Roman"/>
          <w:sz w:val="20"/>
          <w:szCs w:val="20"/>
        </w:rPr>
        <w:t xml:space="preserve"> grow </w:t>
      </w:r>
      <w:r w:rsidR="00905DFC" w:rsidRPr="00C845C5">
        <w:rPr>
          <w:rFonts w:ascii="Times New Roman" w:hAnsi="Times New Roman" w:cs="Times New Roman"/>
          <w:sz w:val="20"/>
          <w:szCs w:val="20"/>
        </w:rPr>
        <w:t xml:space="preserve">4.3% </w:t>
      </w:r>
      <w:r w:rsidR="00236815" w:rsidRPr="00C845C5">
        <w:rPr>
          <w:rFonts w:ascii="Times New Roman" w:hAnsi="Times New Roman" w:cs="Times New Roman"/>
          <w:sz w:val="20"/>
          <w:szCs w:val="20"/>
        </w:rPr>
        <w:t>per annum</w:t>
      </w:r>
      <w:r w:rsidR="00905DFC" w:rsidRPr="00C845C5">
        <w:rPr>
          <w:rFonts w:ascii="Times New Roman" w:hAnsi="Times New Roman" w:cs="Times New Roman"/>
          <w:sz w:val="20"/>
          <w:szCs w:val="20"/>
        </w:rPr>
        <w:t xml:space="preserve"> </w:t>
      </w:r>
      <w:r w:rsidR="008343BA" w:rsidRPr="00C845C5">
        <w:rPr>
          <w:rFonts w:ascii="Times New Roman" w:hAnsi="Times New Roman" w:cs="Times New Roman"/>
          <w:sz w:val="20"/>
          <w:szCs w:val="20"/>
        </w:rPr>
        <w:t>and the number of passenger</w:t>
      </w:r>
      <w:r w:rsidR="00C66064" w:rsidRPr="00C845C5">
        <w:rPr>
          <w:rFonts w:ascii="Times New Roman" w:hAnsi="Times New Roman" w:cs="Times New Roman"/>
          <w:sz w:val="20"/>
          <w:szCs w:val="20"/>
        </w:rPr>
        <w:t>s</w:t>
      </w:r>
      <w:r w:rsidR="008343BA" w:rsidRPr="00C845C5">
        <w:rPr>
          <w:rFonts w:ascii="Times New Roman" w:hAnsi="Times New Roman" w:cs="Times New Roman"/>
          <w:sz w:val="20"/>
          <w:szCs w:val="20"/>
        </w:rPr>
        <w:t xml:space="preserve"> to</w:t>
      </w:r>
      <w:r w:rsidR="00C66064" w:rsidRPr="00C845C5">
        <w:rPr>
          <w:rFonts w:ascii="Times New Roman" w:hAnsi="Times New Roman" w:cs="Times New Roman"/>
          <w:sz w:val="20"/>
          <w:szCs w:val="20"/>
        </w:rPr>
        <w:t xml:space="preserve"> increase </w:t>
      </w:r>
      <w:r w:rsidR="008343BA" w:rsidRPr="00C845C5">
        <w:rPr>
          <w:rFonts w:ascii="Times New Roman" w:hAnsi="Times New Roman" w:cs="Times New Roman"/>
          <w:sz w:val="20"/>
          <w:szCs w:val="20"/>
        </w:rPr>
        <w:t xml:space="preserve">by </w:t>
      </w:r>
      <w:r w:rsidR="0082500A" w:rsidRPr="00C845C5">
        <w:rPr>
          <w:rFonts w:ascii="Times New Roman" w:hAnsi="Times New Roman" w:cs="Times New Roman"/>
          <w:sz w:val="20"/>
          <w:szCs w:val="20"/>
        </w:rPr>
        <w:t>as much</w:t>
      </w:r>
      <w:r w:rsidR="00905DFC" w:rsidRPr="00C845C5">
        <w:rPr>
          <w:rFonts w:ascii="Times New Roman" w:hAnsi="Times New Roman" w:cs="Times New Roman"/>
          <w:sz w:val="20"/>
          <w:szCs w:val="20"/>
        </w:rPr>
        <w:t xml:space="preserve"> as 20 trillion reven</w:t>
      </w:r>
      <w:r w:rsidR="00C66064" w:rsidRPr="00C845C5">
        <w:rPr>
          <w:rFonts w:ascii="Times New Roman" w:hAnsi="Times New Roman" w:cs="Times New Roman"/>
          <w:sz w:val="20"/>
          <w:szCs w:val="20"/>
        </w:rPr>
        <w:t>ue passenger kilometers (RPK) by</w:t>
      </w:r>
      <w:r w:rsidR="00905DFC" w:rsidRPr="00C845C5">
        <w:rPr>
          <w:rFonts w:ascii="Times New Roman" w:hAnsi="Times New Roman" w:cs="Times New Roman"/>
          <w:sz w:val="20"/>
          <w:szCs w:val="20"/>
        </w:rPr>
        <w:t xml:space="preserve"> 2038 </w:t>
      </w:r>
      <w:r w:rsidR="00644180" w:rsidRPr="00C845C5">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XI1VJ3g6","properties":{"formattedCitation":"[8,9]","plainCitation":"[8,9]","noteIndex":0},"citationItems":[{"id":"968HXJ10/TKEEo9eH","uris":["http://www.mendeley.com/documents/?uuid=a5d5bbdc-12c4-4d65-8a57-d7ea7f075dfd"],"uri":["http://www.mendeley.com/documents/?uuid=a5d5bbdc-12c4-4d65-8a57-d7ea7f075dfd"],"itemData":{"author":[{"dropping-particle":"","family":"ATAG","given":"","non-dropping-particle":"","parse-names":false,"suffix":""}],"id":"ITEM-1","issue":"March 2019","issued":{"date-parts":[["2019"]]},"page":"1-3","title":"Aviation 2050 goal and the Paris Agreement","type":"webpage"}},{"id":"968HXJ10/aU3cjB3P","uris":["http://www.mendeley.com/documents/?uuid=73b1ea71-09ce-48e1-b05c-fbebf4803e90"],"uri":["http://www.mendeley.com/documents/?uuid=73b1ea71-09ce-48e1-b05c-fbebf4803e90"],"itemData":{"author":[{"dropping-particle":"","family":"Airbus","given":"","non-dropping-particle":"","parse-names":false,"suffix":""}],"id":"ITEM-2","issued":{"date-parts":[["2019"]]},"number-of-pages":"1-165","title":"Global Market Forecast: Cities, Airports and Aircraft 2019-2038","type":"report"}}],"schema":"https://github.com/citation-style-language/schema/raw/master/csl-citation.json"} </w:instrText>
      </w:r>
      <w:r w:rsidR="00644180" w:rsidRPr="00C845C5">
        <w:rPr>
          <w:rFonts w:ascii="Times New Roman" w:hAnsi="Times New Roman" w:cs="Times New Roman"/>
          <w:sz w:val="20"/>
          <w:szCs w:val="20"/>
        </w:rPr>
        <w:fldChar w:fldCharType="separate"/>
      </w:r>
      <w:r w:rsidR="0051129D" w:rsidRPr="0051129D">
        <w:rPr>
          <w:rFonts w:ascii="Times New Roman" w:hAnsi="Times New Roman" w:cs="Times New Roman"/>
          <w:sz w:val="20"/>
        </w:rPr>
        <w:t>[8,9]</w:t>
      </w:r>
      <w:r w:rsidR="00644180" w:rsidRPr="00C845C5">
        <w:rPr>
          <w:rFonts w:ascii="Times New Roman" w:hAnsi="Times New Roman" w:cs="Times New Roman"/>
          <w:sz w:val="20"/>
          <w:szCs w:val="20"/>
        </w:rPr>
        <w:fldChar w:fldCharType="end"/>
      </w:r>
      <w:r w:rsidR="00905DFC" w:rsidRPr="00C845C5">
        <w:rPr>
          <w:rFonts w:ascii="Times New Roman" w:hAnsi="Times New Roman" w:cs="Times New Roman"/>
          <w:sz w:val="20"/>
          <w:szCs w:val="20"/>
        </w:rPr>
        <w:t>.</w:t>
      </w:r>
      <w:r w:rsidR="00905DFC" w:rsidRPr="0082500A">
        <w:rPr>
          <w:rFonts w:ascii="Times New Roman" w:hAnsi="Times New Roman" w:cs="Times New Roman"/>
          <w:sz w:val="20"/>
          <w:szCs w:val="20"/>
        </w:rPr>
        <w:t xml:space="preserve"> </w:t>
      </w:r>
    </w:p>
    <w:p w14:paraId="01BC42F6" w14:textId="113E765F" w:rsidR="005B22EB" w:rsidRDefault="00F80339" w:rsidP="00290530">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The aviation sector itself acknowledges the need of finding sustainable alternatives to fossil fuels. </w:t>
      </w:r>
      <w:r w:rsidR="005B22EB">
        <w:rPr>
          <w:rFonts w:ascii="Times New Roman" w:hAnsi="Times New Roman" w:cs="Times New Roman"/>
          <w:sz w:val="20"/>
          <w:szCs w:val="20"/>
        </w:rPr>
        <w:t>For instance, the International Civil Aviation Organization (ICAO) launched</w:t>
      </w:r>
      <w:r w:rsidR="008A43E5">
        <w:rPr>
          <w:rFonts w:ascii="Times New Roman" w:hAnsi="Times New Roman" w:cs="Times New Roman"/>
          <w:sz w:val="20"/>
          <w:szCs w:val="20"/>
        </w:rPr>
        <w:t xml:space="preserve"> the</w:t>
      </w:r>
      <w:r w:rsidR="009D2A26">
        <w:rPr>
          <w:rFonts w:ascii="Times New Roman" w:hAnsi="Times New Roman" w:cs="Times New Roman"/>
          <w:sz w:val="20"/>
          <w:szCs w:val="20"/>
        </w:rPr>
        <w:t xml:space="preserve"> </w:t>
      </w:r>
      <w:r w:rsidR="005B22EB">
        <w:rPr>
          <w:rFonts w:ascii="Times New Roman" w:hAnsi="Times New Roman" w:cs="Times New Roman"/>
          <w:sz w:val="20"/>
          <w:szCs w:val="20"/>
        </w:rPr>
        <w:t>CORSIA</w:t>
      </w:r>
      <w:r w:rsidR="009D2A26">
        <w:rPr>
          <w:rFonts w:ascii="Times New Roman" w:hAnsi="Times New Roman" w:cs="Times New Roman"/>
          <w:sz w:val="20"/>
          <w:szCs w:val="20"/>
        </w:rPr>
        <w:t xml:space="preserve"> initiative in 2016</w:t>
      </w:r>
      <w:r w:rsidR="005B22EB">
        <w:rPr>
          <w:rFonts w:ascii="Times New Roman" w:hAnsi="Times New Roman" w:cs="Times New Roman"/>
          <w:sz w:val="20"/>
          <w:szCs w:val="20"/>
        </w:rPr>
        <w:t>,</w:t>
      </w:r>
      <w:r w:rsidR="004069F7">
        <w:rPr>
          <w:rFonts w:ascii="Times New Roman" w:hAnsi="Times New Roman" w:cs="Times New Roman"/>
          <w:sz w:val="20"/>
          <w:szCs w:val="20"/>
        </w:rPr>
        <w:t xml:space="preserve"> with the vision to achieve the CNG2020 target. It </w:t>
      </w:r>
      <w:r w:rsidR="009D2A26">
        <w:rPr>
          <w:rFonts w:ascii="Times New Roman" w:hAnsi="Times New Roman" w:cs="Times New Roman"/>
          <w:sz w:val="20"/>
          <w:szCs w:val="20"/>
        </w:rPr>
        <w:t xml:space="preserve">thereby </w:t>
      </w:r>
      <w:r w:rsidR="005B22EB">
        <w:rPr>
          <w:rFonts w:ascii="Times New Roman" w:hAnsi="Times New Roman" w:cs="Times New Roman"/>
          <w:sz w:val="20"/>
          <w:szCs w:val="20"/>
        </w:rPr>
        <w:t>became the first economic sector to adopt a global, universal</w:t>
      </w:r>
      <w:r w:rsidR="00DB6131">
        <w:rPr>
          <w:rFonts w:ascii="Times New Roman" w:hAnsi="Times New Roman" w:cs="Times New Roman"/>
          <w:sz w:val="20"/>
          <w:szCs w:val="20"/>
        </w:rPr>
        <w:t>,</w:t>
      </w:r>
      <w:r w:rsidR="005B22EB">
        <w:rPr>
          <w:rFonts w:ascii="Times New Roman" w:hAnsi="Times New Roman" w:cs="Times New Roman"/>
          <w:sz w:val="20"/>
          <w:szCs w:val="20"/>
        </w:rPr>
        <w:t xml:space="preserve"> and binding system to control </w:t>
      </w:r>
      <w:r w:rsidR="009D2A26">
        <w:rPr>
          <w:rFonts w:ascii="Times New Roman" w:hAnsi="Times New Roman" w:cs="Times New Roman"/>
          <w:sz w:val="20"/>
          <w:szCs w:val="20"/>
        </w:rPr>
        <w:t>i</w:t>
      </w:r>
      <w:r w:rsidR="004069F7">
        <w:rPr>
          <w:rFonts w:ascii="Times New Roman" w:hAnsi="Times New Roman" w:cs="Times New Roman"/>
          <w:sz w:val="20"/>
          <w:szCs w:val="20"/>
        </w:rPr>
        <w:t>ts GHG emissions</w:t>
      </w:r>
      <w:r w:rsidR="005B22EB">
        <w:rPr>
          <w:rFonts w:ascii="Times New Roman" w:hAnsi="Times New Roman" w:cs="Times New Roman"/>
          <w:sz w:val="20"/>
          <w:szCs w:val="20"/>
        </w:rPr>
        <w:t xml:space="preserve">. </w:t>
      </w:r>
      <w:r w:rsidR="009D2A26">
        <w:rPr>
          <w:rFonts w:ascii="Times New Roman" w:hAnsi="Times New Roman" w:cs="Times New Roman"/>
          <w:sz w:val="20"/>
          <w:szCs w:val="20"/>
        </w:rPr>
        <w:t xml:space="preserve">In addition, </w:t>
      </w:r>
      <w:r w:rsidR="004069F7">
        <w:rPr>
          <w:rFonts w:ascii="Times New Roman" w:hAnsi="Times New Roman" w:cs="Times New Roman"/>
          <w:sz w:val="20"/>
          <w:szCs w:val="20"/>
        </w:rPr>
        <w:t xml:space="preserve">the </w:t>
      </w:r>
      <w:r w:rsidR="009D2A26">
        <w:rPr>
          <w:rFonts w:ascii="Times New Roman" w:hAnsi="Times New Roman" w:cs="Times New Roman"/>
          <w:sz w:val="20"/>
          <w:szCs w:val="20"/>
        </w:rPr>
        <w:t>International Air Transport Association (</w:t>
      </w:r>
      <w:r w:rsidR="005B22EB">
        <w:rPr>
          <w:rFonts w:ascii="Times New Roman" w:hAnsi="Times New Roman" w:cs="Times New Roman"/>
          <w:sz w:val="20"/>
          <w:szCs w:val="20"/>
        </w:rPr>
        <w:t>IATA</w:t>
      </w:r>
      <w:r w:rsidR="009D2A26">
        <w:rPr>
          <w:rFonts w:ascii="Times New Roman" w:hAnsi="Times New Roman" w:cs="Times New Roman"/>
          <w:sz w:val="20"/>
          <w:szCs w:val="20"/>
        </w:rPr>
        <w:t>)</w:t>
      </w:r>
      <w:r w:rsidR="005B22EB">
        <w:rPr>
          <w:rFonts w:ascii="Times New Roman" w:hAnsi="Times New Roman" w:cs="Times New Roman"/>
          <w:sz w:val="20"/>
          <w:szCs w:val="20"/>
        </w:rPr>
        <w:t xml:space="preserve"> and the Air Transport Action Group (ATAG) have set CO</w:t>
      </w:r>
      <w:r w:rsidR="005B22EB" w:rsidRPr="005B22EB">
        <w:rPr>
          <w:rFonts w:ascii="Times New Roman" w:hAnsi="Times New Roman" w:cs="Times New Roman"/>
          <w:sz w:val="20"/>
          <w:szCs w:val="20"/>
          <w:vertAlign w:val="subscript"/>
        </w:rPr>
        <w:t>2</w:t>
      </w:r>
      <w:r w:rsidR="005B22EB">
        <w:rPr>
          <w:rFonts w:ascii="Times New Roman" w:hAnsi="Times New Roman" w:cs="Times New Roman"/>
          <w:sz w:val="20"/>
          <w:szCs w:val="20"/>
        </w:rPr>
        <w:t xml:space="preserve"> emission </w:t>
      </w:r>
      <w:r w:rsidR="009D2A26">
        <w:rPr>
          <w:rFonts w:ascii="Times New Roman" w:hAnsi="Times New Roman" w:cs="Times New Roman"/>
          <w:sz w:val="20"/>
          <w:szCs w:val="20"/>
        </w:rPr>
        <w:t>reduction goals of 50% by</w:t>
      </w:r>
      <w:r w:rsidR="005B22EB">
        <w:rPr>
          <w:rFonts w:ascii="Times New Roman" w:hAnsi="Times New Roman" w:cs="Times New Roman"/>
          <w:sz w:val="20"/>
          <w:szCs w:val="20"/>
        </w:rPr>
        <w:t xml:space="preserve"> 2050 (relative to 2005 levels).</w:t>
      </w:r>
    </w:p>
    <w:p w14:paraId="2E6196C2" w14:textId="24C64383" w:rsidR="00FC1836" w:rsidRPr="00C845C5" w:rsidRDefault="00FC1836" w:rsidP="00290530">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In the literature, several terminologies are used to designate aviation fuels, such as jet fuels or kerosene. In industry, it is referred to as Jet A or Jet A-1 (depending on the freezing point</w:t>
      </w:r>
      <w:r w:rsidRPr="00C845C5">
        <w:rPr>
          <w:rFonts w:ascii="Times New Roman" w:hAnsi="Times New Roman" w:cs="Times New Roman"/>
          <w:sz w:val="20"/>
          <w:szCs w:val="20"/>
        </w:rPr>
        <w:t xml:space="preserve">; </w:t>
      </w:r>
      <w:r w:rsidR="008D7878" w:rsidRPr="00C845C5">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bs2LW93r","properties":{"formattedCitation":"[10]","plainCitation":"[10]","noteIndex":0},"citationItems":[{"id":"968HXJ10/mDPdCw2w","uris":["http://www.mendeley.com/documents/?uuid=51e3ff4e-34d1-4e93-85ce-c0461fa5c798"],"uri":["http://www.mendeley.com/documents/?uuid=51e3ff4e-34d1-4e93-85ce-c0461fa5c798"],"itemData":{"author":[{"dropping-particle":"","family":"American Petroleum Institute","given":"","non-dropping-particle":"","parse-names":false,"suffix":""}],"id":"ITEM-1","issued":{"date-parts":[["2010"]]},"title":"Kerosene / Jet Fuel","type":"report"}}],"schema":"https://github.com/citation-style-language/schema/raw/master/csl-citation.json"} </w:instrText>
      </w:r>
      <w:r w:rsidR="008D7878" w:rsidRPr="00C845C5">
        <w:rPr>
          <w:rFonts w:ascii="Times New Roman" w:hAnsi="Times New Roman" w:cs="Times New Roman"/>
          <w:sz w:val="20"/>
          <w:szCs w:val="20"/>
        </w:rPr>
        <w:fldChar w:fldCharType="separate"/>
      </w:r>
      <w:r w:rsidR="0051129D" w:rsidRPr="0051129D">
        <w:rPr>
          <w:rFonts w:ascii="Times New Roman" w:hAnsi="Times New Roman" w:cs="Times New Roman"/>
          <w:sz w:val="20"/>
        </w:rPr>
        <w:t>[10]</w:t>
      </w:r>
      <w:r w:rsidR="008D7878" w:rsidRPr="00C845C5">
        <w:rPr>
          <w:rFonts w:ascii="Times New Roman" w:hAnsi="Times New Roman" w:cs="Times New Roman"/>
          <w:sz w:val="20"/>
          <w:szCs w:val="20"/>
        </w:rPr>
        <w:fldChar w:fldCharType="end"/>
      </w:r>
      <w:r w:rsidRPr="00C845C5">
        <w:rPr>
          <w:rFonts w:ascii="Times New Roman" w:hAnsi="Times New Roman" w:cs="Times New Roman"/>
          <w:sz w:val="20"/>
          <w:szCs w:val="20"/>
        </w:rPr>
        <w:t>)</w:t>
      </w:r>
      <w:r w:rsidR="0003119B" w:rsidRPr="00C845C5">
        <w:rPr>
          <w:rFonts w:ascii="Times New Roman" w:hAnsi="Times New Roman" w:cs="Times New Roman"/>
          <w:sz w:val="20"/>
          <w:szCs w:val="20"/>
        </w:rPr>
        <w:t>. Through this study, the term kerosene (C</w:t>
      </w:r>
      <w:r w:rsidR="0009654D">
        <w:rPr>
          <w:rFonts w:ascii="Times New Roman" w:hAnsi="Times New Roman" w:cs="Times New Roman"/>
          <w:sz w:val="20"/>
          <w:szCs w:val="20"/>
          <w:vertAlign w:val="subscript"/>
        </w:rPr>
        <w:t>8</w:t>
      </w:r>
      <w:r w:rsidR="0003119B" w:rsidRPr="00C845C5">
        <w:rPr>
          <w:rFonts w:ascii="Times New Roman" w:hAnsi="Times New Roman" w:cs="Times New Roman"/>
          <w:sz w:val="20"/>
          <w:szCs w:val="20"/>
        </w:rPr>
        <w:t>-C</w:t>
      </w:r>
      <w:r w:rsidR="0003119B" w:rsidRPr="00C845C5">
        <w:rPr>
          <w:rFonts w:ascii="Times New Roman" w:hAnsi="Times New Roman" w:cs="Times New Roman"/>
          <w:sz w:val="20"/>
          <w:szCs w:val="20"/>
          <w:vertAlign w:val="subscript"/>
        </w:rPr>
        <w:t>16</w:t>
      </w:r>
      <w:r w:rsidR="0003119B" w:rsidRPr="00C845C5">
        <w:rPr>
          <w:rFonts w:ascii="Times New Roman" w:hAnsi="Times New Roman" w:cs="Times New Roman"/>
          <w:sz w:val="20"/>
          <w:szCs w:val="20"/>
        </w:rPr>
        <w:t xml:space="preserve"> hydrocarbons) is used to refer to </w:t>
      </w:r>
      <w:r w:rsidR="00E02031">
        <w:rPr>
          <w:rFonts w:ascii="Times New Roman" w:hAnsi="Times New Roman" w:cs="Times New Roman"/>
          <w:sz w:val="20"/>
          <w:szCs w:val="20"/>
        </w:rPr>
        <w:t xml:space="preserve">liquid </w:t>
      </w:r>
      <w:r w:rsidR="0003119B" w:rsidRPr="00C845C5">
        <w:rPr>
          <w:rFonts w:ascii="Times New Roman" w:hAnsi="Times New Roman" w:cs="Times New Roman"/>
          <w:sz w:val="20"/>
          <w:szCs w:val="20"/>
        </w:rPr>
        <w:t xml:space="preserve">aviation fuels in general, whether these are fossil-based or not. </w:t>
      </w:r>
    </w:p>
    <w:p w14:paraId="70E15D94" w14:textId="2F948D48" w:rsidR="00B6228F" w:rsidRPr="002268CE" w:rsidRDefault="009D5100" w:rsidP="0000646A">
      <w:pPr>
        <w:spacing w:after="120" w:line="276" w:lineRule="auto"/>
        <w:jc w:val="thaiDistribute"/>
        <w:rPr>
          <w:rFonts w:ascii="Times New Roman" w:hAnsi="Times New Roman"/>
          <w:sz w:val="20"/>
          <w:szCs w:val="20"/>
        </w:rPr>
      </w:pPr>
      <w:r w:rsidRPr="00C845C5">
        <w:rPr>
          <w:rFonts w:ascii="Times New Roman" w:hAnsi="Times New Roman" w:cs="Times New Roman"/>
          <w:sz w:val="20"/>
          <w:szCs w:val="20"/>
        </w:rPr>
        <w:lastRenderedPageBreak/>
        <w:t>Fossil-</w:t>
      </w:r>
      <w:r w:rsidR="006B14F9" w:rsidRPr="00C845C5">
        <w:rPr>
          <w:rFonts w:ascii="Times New Roman" w:hAnsi="Times New Roman" w:cs="Times New Roman"/>
          <w:sz w:val="20"/>
          <w:szCs w:val="20"/>
        </w:rPr>
        <w:t>free</w:t>
      </w:r>
      <w:r w:rsidR="00D17E82" w:rsidRPr="00C845C5">
        <w:rPr>
          <w:rFonts w:ascii="Times New Roman" w:hAnsi="Times New Roman" w:cs="Times New Roman"/>
          <w:sz w:val="20"/>
          <w:szCs w:val="20"/>
        </w:rPr>
        <w:t xml:space="preserve"> </w:t>
      </w:r>
      <w:r w:rsidR="00C44BAF" w:rsidRPr="00C845C5">
        <w:rPr>
          <w:rFonts w:ascii="Times New Roman" w:hAnsi="Times New Roman" w:cs="Times New Roman"/>
          <w:sz w:val="20"/>
          <w:szCs w:val="20"/>
        </w:rPr>
        <w:t>aviation</w:t>
      </w:r>
      <w:r w:rsidR="00AE5E79" w:rsidRPr="00C845C5">
        <w:rPr>
          <w:rFonts w:ascii="Times New Roman" w:hAnsi="Times New Roman" w:cs="Times New Roman"/>
          <w:sz w:val="20"/>
          <w:szCs w:val="20"/>
        </w:rPr>
        <w:t xml:space="preserve"> fuel</w:t>
      </w:r>
      <w:r w:rsidR="00C44BAF" w:rsidRPr="00C845C5">
        <w:rPr>
          <w:rFonts w:ascii="Times New Roman" w:hAnsi="Times New Roman" w:cs="Times New Roman"/>
          <w:sz w:val="20"/>
          <w:szCs w:val="20"/>
        </w:rPr>
        <w:t>s</w:t>
      </w:r>
      <w:r w:rsidR="0074158C" w:rsidRPr="00C845C5">
        <w:rPr>
          <w:rFonts w:ascii="Times New Roman" w:hAnsi="Times New Roman" w:cs="Times New Roman"/>
          <w:sz w:val="20"/>
          <w:szCs w:val="20"/>
        </w:rPr>
        <w:t xml:space="preserve"> </w:t>
      </w:r>
      <w:r w:rsidR="00AE5E79" w:rsidRPr="00C845C5">
        <w:rPr>
          <w:rFonts w:ascii="Times New Roman" w:hAnsi="Times New Roman" w:cs="Times New Roman"/>
          <w:sz w:val="20"/>
          <w:szCs w:val="20"/>
        </w:rPr>
        <w:t>deriving from bio-based feedstock</w:t>
      </w:r>
      <w:r w:rsidR="00AE5E79" w:rsidRPr="00C845C5">
        <w:rPr>
          <w:rFonts w:ascii="Times New Roman" w:hAnsi="Times New Roman" w:hint="cs"/>
          <w:sz w:val="20"/>
          <w:szCs w:val="20"/>
          <w:cs/>
        </w:rPr>
        <w:t xml:space="preserve"> </w:t>
      </w:r>
      <w:r w:rsidR="00D33BDC" w:rsidRPr="00C845C5">
        <w:rPr>
          <w:rFonts w:ascii="Times New Roman" w:hAnsi="Times New Roman"/>
          <w:sz w:val="20"/>
          <w:szCs w:val="20"/>
        </w:rPr>
        <w:t xml:space="preserve">are drawing great interest in </w:t>
      </w:r>
      <w:r w:rsidR="0007398B" w:rsidRPr="00C845C5">
        <w:rPr>
          <w:rFonts w:ascii="Times New Roman" w:hAnsi="Times New Roman"/>
          <w:sz w:val="20"/>
          <w:szCs w:val="20"/>
        </w:rPr>
        <w:t xml:space="preserve">achieving </w:t>
      </w:r>
      <w:r w:rsidR="00AE5E79" w:rsidRPr="00C845C5">
        <w:rPr>
          <w:rFonts w:ascii="Times New Roman" w:hAnsi="Times New Roman"/>
          <w:sz w:val="20"/>
          <w:szCs w:val="20"/>
        </w:rPr>
        <w:t>GHG</w:t>
      </w:r>
      <w:r w:rsidR="003900A9" w:rsidRPr="00C845C5">
        <w:rPr>
          <w:rFonts w:ascii="Times New Roman" w:hAnsi="Times New Roman"/>
          <w:sz w:val="20"/>
          <w:szCs w:val="20"/>
        </w:rPr>
        <w:t xml:space="preserve"> emission </w:t>
      </w:r>
      <w:r w:rsidR="0007398B" w:rsidRPr="00C845C5">
        <w:rPr>
          <w:rFonts w:ascii="Times New Roman" w:hAnsi="Times New Roman"/>
          <w:sz w:val="20"/>
          <w:szCs w:val="20"/>
        </w:rPr>
        <w:t xml:space="preserve">reduction </w:t>
      </w:r>
      <w:r w:rsidRPr="00C845C5">
        <w:rPr>
          <w:rFonts w:ascii="Times New Roman" w:hAnsi="Times New Roman"/>
          <w:sz w:val="20"/>
          <w:szCs w:val="20"/>
        </w:rPr>
        <w:t>targets for the</w:t>
      </w:r>
      <w:r w:rsidR="003900A9" w:rsidRPr="00C845C5">
        <w:rPr>
          <w:rFonts w:ascii="Times New Roman" w:hAnsi="Times New Roman"/>
          <w:sz w:val="20"/>
          <w:szCs w:val="20"/>
        </w:rPr>
        <w:t xml:space="preserve"> aviation industry </w:t>
      </w:r>
      <w:r w:rsidR="00644180" w:rsidRPr="00C845C5">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f7Ta6Qyo","properties":{"formattedCitation":"[11]","plainCitation":"[11]","noteIndex":0},"citationItems":[{"id":"968HXJ10/A1Tq3ZKy","uris":["http://www.mendeley.com/documents/?uuid=d80365a4-504c-4434-a188-951cb898f65a"],"uri":["http://www.mendeley.com/documents/?uuid=d80365a4-504c-4434-a188-951cb898f65a"],"itemData":{"author":[{"dropping-particle":"","family":"IRENA","given":"","non-dropping-particle":"","parse-names":false,"suffix":""}],"id":"ITEM-1","issued":{"date-parts":[["2017"]]},"title":"Biofuels for aviation technology brief","type":"report"}}],"schema":"https://github.com/citation-style-language/schema/raw/master/csl-citation.json"} </w:instrText>
      </w:r>
      <w:r w:rsidR="00644180" w:rsidRPr="00C845C5">
        <w:rPr>
          <w:rFonts w:ascii="Times New Roman" w:hAnsi="Times New Roman"/>
          <w:sz w:val="20"/>
          <w:szCs w:val="20"/>
        </w:rPr>
        <w:fldChar w:fldCharType="separate"/>
      </w:r>
      <w:r w:rsidR="0051129D" w:rsidRPr="0051129D">
        <w:rPr>
          <w:rFonts w:ascii="Times New Roman" w:hAnsi="Times New Roman" w:cs="Times New Roman"/>
          <w:sz w:val="20"/>
        </w:rPr>
        <w:t>[11]</w:t>
      </w:r>
      <w:r w:rsidR="00644180" w:rsidRPr="00C845C5">
        <w:rPr>
          <w:rFonts w:ascii="Times New Roman" w:hAnsi="Times New Roman"/>
          <w:sz w:val="20"/>
          <w:szCs w:val="20"/>
        </w:rPr>
        <w:fldChar w:fldCharType="end"/>
      </w:r>
      <w:r w:rsidR="00C845C5" w:rsidRPr="00C845C5">
        <w:rPr>
          <w:rFonts w:ascii="Times New Roman" w:hAnsi="Times New Roman"/>
          <w:sz w:val="20"/>
          <w:szCs w:val="20"/>
        </w:rPr>
        <w:t>.</w:t>
      </w:r>
      <w:r w:rsidR="00100676" w:rsidRPr="00C845C5">
        <w:rPr>
          <w:rFonts w:ascii="Times New Roman" w:hAnsi="Times New Roman"/>
          <w:sz w:val="20"/>
          <w:szCs w:val="20"/>
        </w:rPr>
        <w:t xml:space="preserve"> </w:t>
      </w:r>
      <w:r w:rsidR="004A51AC" w:rsidRPr="00C845C5">
        <w:rPr>
          <w:rFonts w:ascii="Times New Roman" w:hAnsi="Times New Roman"/>
          <w:sz w:val="20"/>
          <w:szCs w:val="20"/>
        </w:rPr>
        <w:t>B</w:t>
      </w:r>
      <w:r w:rsidR="00C97EC8" w:rsidRPr="00C845C5">
        <w:rPr>
          <w:rFonts w:ascii="Times New Roman" w:hAnsi="Times New Roman"/>
          <w:sz w:val="20"/>
          <w:szCs w:val="20"/>
        </w:rPr>
        <w:t>io</w:t>
      </w:r>
      <w:r w:rsidR="005269EC" w:rsidRPr="00C845C5">
        <w:rPr>
          <w:rFonts w:ascii="Times New Roman" w:hAnsi="Times New Roman"/>
          <w:sz w:val="20"/>
          <w:szCs w:val="20"/>
        </w:rPr>
        <w:t xml:space="preserve">-derived </w:t>
      </w:r>
      <w:r w:rsidR="00C97EC8" w:rsidRPr="00C845C5">
        <w:rPr>
          <w:rFonts w:ascii="Times New Roman" w:hAnsi="Times New Roman"/>
          <w:sz w:val="20"/>
          <w:szCs w:val="20"/>
        </w:rPr>
        <w:t>aviation fuels generated</w:t>
      </w:r>
      <w:r w:rsidR="004A51AC" w:rsidRPr="00C845C5">
        <w:rPr>
          <w:rFonts w:ascii="Times New Roman" w:hAnsi="Times New Roman"/>
          <w:sz w:val="20"/>
          <w:szCs w:val="20"/>
        </w:rPr>
        <w:t xml:space="preserve"> from different technology pathways must be </w:t>
      </w:r>
      <w:r w:rsidR="00BF530C" w:rsidRPr="00C845C5">
        <w:rPr>
          <w:rFonts w:ascii="Times New Roman" w:hAnsi="Times New Roman"/>
          <w:sz w:val="20"/>
          <w:szCs w:val="20"/>
        </w:rPr>
        <w:t xml:space="preserve">certified by the American Society for Testing and Materials </w:t>
      </w:r>
      <w:r w:rsidR="0074425A" w:rsidRPr="00C845C5">
        <w:rPr>
          <w:rFonts w:ascii="Times New Roman" w:hAnsi="Times New Roman"/>
          <w:sz w:val="20"/>
          <w:szCs w:val="20"/>
        </w:rPr>
        <w:t xml:space="preserve">International </w:t>
      </w:r>
      <w:r w:rsidR="00BF530C" w:rsidRPr="00C845C5">
        <w:rPr>
          <w:rFonts w:ascii="Times New Roman" w:hAnsi="Times New Roman"/>
          <w:sz w:val="20"/>
          <w:szCs w:val="20"/>
        </w:rPr>
        <w:t xml:space="preserve">(ASTM) </w:t>
      </w:r>
      <w:r w:rsidR="005F0DD1" w:rsidRPr="00C845C5">
        <w:rPr>
          <w:rFonts w:ascii="Times New Roman" w:hAnsi="Times New Roman"/>
          <w:sz w:val="20"/>
          <w:szCs w:val="20"/>
        </w:rPr>
        <w:t>(ASTM D7566 – Standard Specification for Aviation Turbine Fuel Containing Synthesized Hydrocarbons)</w:t>
      </w:r>
      <w:r w:rsidRPr="00C845C5">
        <w:rPr>
          <w:rFonts w:ascii="Times New Roman" w:hAnsi="Times New Roman"/>
          <w:sz w:val="20"/>
          <w:szCs w:val="20"/>
        </w:rPr>
        <w:t xml:space="preserve"> or equivalent standards (e.g. Standard 90-091 of United Kingdom’s Ministry of Defense; </w:t>
      </w:r>
      <w:r w:rsidR="00792FD5" w:rsidRPr="00C845C5">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lMJdHXBy","properties":{"formattedCitation":"[12]","plainCitation":"[12]","noteIndex":0},"citationItems":[{"id":"968HXJ10/fOqxOAdr","uris":["http://www.mendeley.com/documents/?uuid=b52d2fc1-c690-4a2f-99bd-1d84057c1ae3"],"uri":["http://www.mendeley.com/documents/?uuid=b52d2fc1-c690-4a2f-99bd-1d84057c1ae3"],"itemData":{"author":[{"dropping-particle":"","family":"Defence","given":"Ministry of","non-dropping-particle":"","parse-names":false,"suffix":""}],"id":"ITEM-1","issued":{"date-parts":[["2019"]]},"title":"Defence Standard 91-091 Turbine Fuel , Kerosene Type , Jet A- 1 ; NATO Code : F-35 ; Joint Service Designation : AVTUR","type":"article-journal"}}],"schema":"https://github.com/citation-style-language/schema/raw/master/csl-citation.json"} </w:instrText>
      </w:r>
      <w:r w:rsidR="00792FD5" w:rsidRPr="00C845C5">
        <w:rPr>
          <w:rFonts w:ascii="Times New Roman" w:hAnsi="Times New Roman"/>
          <w:sz w:val="20"/>
          <w:szCs w:val="20"/>
        </w:rPr>
        <w:fldChar w:fldCharType="separate"/>
      </w:r>
      <w:r w:rsidR="0051129D" w:rsidRPr="0051129D">
        <w:rPr>
          <w:rFonts w:ascii="Times New Roman" w:hAnsi="Times New Roman" w:cs="Times New Roman"/>
          <w:sz w:val="20"/>
        </w:rPr>
        <w:t>[12]</w:t>
      </w:r>
      <w:r w:rsidR="00792FD5" w:rsidRPr="00C845C5">
        <w:rPr>
          <w:rFonts w:ascii="Times New Roman" w:hAnsi="Times New Roman"/>
          <w:sz w:val="20"/>
          <w:szCs w:val="20"/>
        </w:rPr>
        <w:fldChar w:fldCharType="end"/>
      </w:r>
      <w:r w:rsidRPr="00C845C5">
        <w:rPr>
          <w:rFonts w:ascii="Times New Roman" w:hAnsi="Times New Roman"/>
          <w:sz w:val="20"/>
          <w:szCs w:val="20"/>
        </w:rPr>
        <w:t>)</w:t>
      </w:r>
      <w:r w:rsidR="00F55800" w:rsidRPr="00C845C5">
        <w:rPr>
          <w:rFonts w:ascii="Times New Roman" w:hAnsi="Times New Roman"/>
          <w:sz w:val="20"/>
          <w:szCs w:val="20"/>
        </w:rPr>
        <w:t xml:space="preserve"> </w:t>
      </w:r>
      <w:r w:rsidR="00EF6EDC" w:rsidRPr="00C845C5">
        <w:rPr>
          <w:rFonts w:ascii="Times New Roman" w:hAnsi="Times New Roman"/>
          <w:sz w:val="20"/>
          <w:szCs w:val="20"/>
        </w:rPr>
        <w:t>before it can</w:t>
      </w:r>
      <w:r w:rsidR="00BF530C" w:rsidRPr="00C845C5">
        <w:rPr>
          <w:rFonts w:ascii="Times New Roman" w:hAnsi="Times New Roman"/>
          <w:sz w:val="20"/>
          <w:szCs w:val="20"/>
        </w:rPr>
        <w:t xml:space="preserve"> be used in commercial </w:t>
      </w:r>
      <w:r w:rsidR="0083741E" w:rsidRPr="00C845C5">
        <w:rPr>
          <w:rFonts w:ascii="Times New Roman" w:hAnsi="Times New Roman"/>
          <w:sz w:val="20"/>
          <w:szCs w:val="20"/>
        </w:rPr>
        <w:t>aircraft</w:t>
      </w:r>
      <w:r w:rsidR="004A51AC" w:rsidRPr="00C845C5">
        <w:rPr>
          <w:rFonts w:ascii="Times New Roman" w:hAnsi="Times New Roman"/>
          <w:sz w:val="20"/>
          <w:szCs w:val="20"/>
        </w:rPr>
        <w:t xml:space="preserve">. </w:t>
      </w:r>
      <w:r w:rsidR="00EF6EDC" w:rsidRPr="00882F06">
        <w:rPr>
          <w:rFonts w:ascii="Times New Roman" w:hAnsi="Times New Roman"/>
          <w:sz w:val="20"/>
          <w:szCs w:val="20"/>
        </w:rPr>
        <w:t>So far, there are only six certified pathways, namely</w:t>
      </w:r>
      <w:r w:rsidR="00E54953" w:rsidRPr="00882F06">
        <w:rPr>
          <w:rFonts w:ascii="Times New Roman" w:hAnsi="Times New Roman"/>
          <w:sz w:val="20"/>
          <w:szCs w:val="20"/>
        </w:rPr>
        <w:t xml:space="preserve"> the Fischer-Tropsch (FT) </w:t>
      </w:r>
      <w:r w:rsidR="001E1AA6" w:rsidRPr="00882F06">
        <w:rPr>
          <w:rFonts w:ascii="Times New Roman" w:hAnsi="Times New Roman"/>
          <w:sz w:val="20"/>
          <w:szCs w:val="20"/>
        </w:rPr>
        <w:t>process, hydroprocessed ester</w:t>
      </w:r>
      <w:r w:rsidR="00B43FA5" w:rsidRPr="00882F06">
        <w:rPr>
          <w:rFonts w:ascii="Times New Roman" w:hAnsi="Times New Roman"/>
          <w:sz w:val="20"/>
          <w:szCs w:val="20"/>
        </w:rPr>
        <w:t>s</w:t>
      </w:r>
      <w:r w:rsidR="001E1AA6" w:rsidRPr="00882F06">
        <w:rPr>
          <w:rFonts w:ascii="Times New Roman" w:hAnsi="Times New Roman"/>
          <w:sz w:val="20"/>
          <w:szCs w:val="20"/>
        </w:rPr>
        <w:t xml:space="preserve"> and fatty acid</w:t>
      </w:r>
      <w:r w:rsidR="00B43FA5" w:rsidRPr="00882F06">
        <w:rPr>
          <w:rFonts w:ascii="Times New Roman" w:hAnsi="Times New Roman"/>
          <w:sz w:val="20"/>
          <w:szCs w:val="20"/>
        </w:rPr>
        <w:t>s</w:t>
      </w:r>
      <w:r w:rsidR="001E1AA6" w:rsidRPr="00882F06">
        <w:rPr>
          <w:rFonts w:ascii="Times New Roman" w:hAnsi="Times New Roman"/>
          <w:sz w:val="20"/>
          <w:szCs w:val="20"/>
        </w:rPr>
        <w:t xml:space="preserve"> (HEFA), direct sugar to hydrocarbon (DSHC), alcoholic fermentation</w:t>
      </w:r>
      <w:r w:rsidR="0010788D" w:rsidRPr="00882F06">
        <w:rPr>
          <w:rFonts w:ascii="Times New Roman" w:hAnsi="Times New Roman"/>
          <w:sz w:val="20"/>
          <w:szCs w:val="20"/>
        </w:rPr>
        <w:t xml:space="preserve"> (AF)</w:t>
      </w:r>
      <w:r w:rsidR="00E54953" w:rsidRPr="00882F06">
        <w:rPr>
          <w:rFonts w:ascii="Times New Roman" w:hAnsi="Times New Roman"/>
          <w:sz w:val="20"/>
          <w:szCs w:val="20"/>
        </w:rPr>
        <w:t>,</w:t>
      </w:r>
      <w:r w:rsidR="001E1AA6" w:rsidRPr="00882F06">
        <w:rPr>
          <w:rFonts w:ascii="Times New Roman" w:hAnsi="Times New Roman"/>
          <w:sz w:val="20"/>
          <w:szCs w:val="20"/>
        </w:rPr>
        <w:t xml:space="preserve"> syngas fermentation</w:t>
      </w:r>
      <w:r w:rsidR="0010788D" w:rsidRPr="00882F06">
        <w:rPr>
          <w:rFonts w:ascii="Times New Roman" w:hAnsi="Times New Roman"/>
          <w:sz w:val="20"/>
          <w:szCs w:val="20"/>
        </w:rPr>
        <w:t xml:space="preserve"> (SF)</w:t>
      </w:r>
      <w:r w:rsidR="00DB6131">
        <w:rPr>
          <w:rFonts w:ascii="Times New Roman" w:hAnsi="Times New Roman"/>
          <w:sz w:val="20"/>
          <w:szCs w:val="20"/>
        </w:rPr>
        <w:t>,</w:t>
      </w:r>
      <w:r w:rsidR="00E54953" w:rsidRPr="00882F06">
        <w:rPr>
          <w:rFonts w:ascii="Times New Roman" w:hAnsi="Times New Roman"/>
          <w:sz w:val="20"/>
          <w:szCs w:val="20"/>
        </w:rPr>
        <w:t xml:space="preserve"> and catalytic hydrothermolysis </w:t>
      </w:r>
      <w:r w:rsidR="004E3425" w:rsidRPr="00882F06">
        <w:rPr>
          <w:rFonts w:ascii="Times New Roman" w:hAnsi="Times New Roman"/>
          <w:sz w:val="20"/>
          <w:szCs w:val="20"/>
        </w:rPr>
        <w:t xml:space="preserve">jet </w:t>
      </w:r>
      <w:r w:rsidR="00E54953" w:rsidRPr="00882F06">
        <w:rPr>
          <w:rFonts w:ascii="Times New Roman" w:hAnsi="Times New Roman"/>
          <w:sz w:val="20"/>
          <w:szCs w:val="20"/>
        </w:rPr>
        <w:t>(CH</w:t>
      </w:r>
      <w:r w:rsidR="004E3425" w:rsidRPr="00882F06">
        <w:rPr>
          <w:rFonts w:ascii="Times New Roman" w:hAnsi="Times New Roman"/>
          <w:sz w:val="20"/>
          <w:szCs w:val="20"/>
        </w:rPr>
        <w:t>J</w:t>
      </w:r>
      <w:r w:rsidR="00E54953" w:rsidRPr="00882F06">
        <w:rPr>
          <w:rFonts w:ascii="Times New Roman" w:hAnsi="Times New Roman"/>
          <w:sz w:val="20"/>
          <w:szCs w:val="20"/>
        </w:rPr>
        <w:t>)</w:t>
      </w:r>
      <w:r w:rsidR="00F627DC" w:rsidRPr="00882F06">
        <w:rPr>
          <w:rFonts w:ascii="Times New Roman" w:hAnsi="Times New Roman"/>
          <w:sz w:val="20"/>
          <w:szCs w:val="20"/>
        </w:rPr>
        <w:t>.</w:t>
      </w:r>
      <w:r w:rsidR="00F627DC" w:rsidRPr="00612363">
        <w:rPr>
          <w:rFonts w:ascii="Times New Roman" w:hAnsi="Times New Roman"/>
          <w:sz w:val="20"/>
          <w:szCs w:val="20"/>
        </w:rPr>
        <w:t xml:space="preserve"> </w:t>
      </w:r>
      <w:r w:rsidR="00EF6EDC" w:rsidRPr="00612363">
        <w:rPr>
          <w:rFonts w:ascii="Times New Roman" w:hAnsi="Times New Roman"/>
          <w:sz w:val="20"/>
          <w:szCs w:val="20"/>
        </w:rPr>
        <w:t>These bio-derived fuels are here termed as aviation biofuels.</w:t>
      </w:r>
      <w:r w:rsidR="00EF6EDC">
        <w:rPr>
          <w:rFonts w:ascii="Times New Roman" w:hAnsi="Times New Roman"/>
          <w:sz w:val="20"/>
          <w:szCs w:val="20"/>
        </w:rPr>
        <w:t xml:space="preserve"> </w:t>
      </w:r>
      <w:r w:rsidR="00130D79">
        <w:rPr>
          <w:rFonts w:ascii="Times New Roman" w:hAnsi="Times New Roman"/>
          <w:sz w:val="20"/>
          <w:szCs w:val="20"/>
        </w:rPr>
        <w:t>The</w:t>
      </w:r>
      <w:r w:rsidR="004069F7">
        <w:rPr>
          <w:rFonts w:ascii="Times New Roman" w:hAnsi="Times New Roman"/>
          <w:sz w:val="20"/>
          <w:szCs w:val="20"/>
        </w:rPr>
        <w:t>y can be used as drop-in fuels, i.e. they are</w:t>
      </w:r>
      <w:r w:rsidR="009F4CAD">
        <w:rPr>
          <w:rFonts w:ascii="Times New Roman" w:hAnsi="Times New Roman"/>
          <w:sz w:val="20"/>
          <w:szCs w:val="20"/>
        </w:rPr>
        <w:t xml:space="preserve">, </w:t>
      </w:r>
      <w:r w:rsidR="001C006B">
        <w:rPr>
          <w:rFonts w:ascii="Times New Roman" w:hAnsi="Times New Roman"/>
          <w:sz w:val="20"/>
          <w:szCs w:val="20"/>
        </w:rPr>
        <w:t xml:space="preserve">up </w:t>
      </w:r>
      <w:r w:rsidR="009F4CAD">
        <w:rPr>
          <w:rFonts w:ascii="Times New Roman" w:hAnsi="Times New Roman"/>
          <w:sz w:val="20"/>
          <w:szCs w:val="20"/>
        </w:rPr>
        <w:t>to a certain blending limit,</w:t>
      </w:r>
      <w:r w:rsidR="004069F7">
        <w:rPr>
          <w:rFonts w:ascii="Times New Roman" w:hAnsi="Times New Roman"/>
          <w:sz w:val="20"/>
          <w:szCs w:val="20"/>
        </w:rPr>
        <w:t xml:space="preserve"> interchangeable with conventional kerosene</w:t>
      </w:r>
      <w:r w:rsidR="009F4CAD">
        <w:rPr>
          <w:rFonts w:ascii="Times New Roman" w:hAnsi="Times New Roman"/>
          <w:sz w:val="20"/>
          <w:szCs w:val="20"/>
        </w:rPr>
        <w:t>,</w:t>
      </w:r>
      <w:r w:rsidR="004069F7">
        <w:rPr>
          <w:rFonts w:ascii="Times New Roman" w:hAnsi="Times New Roman"/>
          <w:sz w:val="20"/>
          <w:szCs w:val="20"/>
        </w:rPr>
        <w:t xml:space="preserve"> and do not require adaptation of the fuel distribution</w:t>
      </w:r>
      <w:r w:rsidR="009F4CAD">
        <w:rPr>
          <w:rFonts w:ascii="Times New Roman" w:hAnsi="Times New Roman"/>
          <w:sz w:val="20"/>
          <w:szCs w:val="20"/>
        </w:rPr>
        <w:t xml:space="preserve"> network or of the engine. Besides</w:t>
      </w:r>
      <w:r w:rsidR="004C7C67">
        <w:rPr>
          <w:rFonts w:ascii="Times New Roman" w:hAnsi="Times New Roman"/>
          <w:sz w:val="20"/>
          <w:szCs w:val="20"/>
        </w:rPr>
        <w:t xml:space="preserve"> avoiding the use of fossil carbon, aviation biofuels proved to </w:t>
      </w:r>
      <w:r w:rsidR="004C7C67" w:rsidRPr="00DD5182">
        <w:rPr>
          <w:rFonts w:ascii="Times New Roman" w:hAnsi="Times New Roman"/>
          <w:sz w:val="20"/>
          <w:szCs w:val="20"/>
        </w:rPr>
        <w:t>low</w:t>
      </w:r>
      <w:r w:rsidR="009F4CAD">
        <w:rPr>
          <w:rFonts w:ascii="Times New Roman" w:hAnsi="Times New Roman"/>
          <w:sz w:val="20"/>
          <w:szCs w:val="20"/>
        </w:rPr>
        <w:t>er soot formation during combustion</w:t>
      </w:r>
      <w:r w:rsidR="004C7C67" w:rsidRPr="00DD5182">
        <w:rPr>
          <w:rFonts w:ascii="Times New Roman" w:hAnsi="Times New Roman"/>
          <w:sz w:val="20"/>
          <w:szCs w:val="20"/>
        </w:rPr>
        <w:t xml:space="preserve">, as they </w:t>
      </w:r>
      <w:r w:rsidR="00D77B1E">
        <w:rPr>
          <w:rFonts w:ascii="Times New Roman" w:hAnsi="Times New Roman"/>
          <w:sz w:val="20"/>
          <w:szCs w:val="20"/>
        </w:rPr>
        <w:t>provide</w:t>
      </w:r>
      <w:r w:rsidR="004C7C67" w:rsidRPr="00DD5182">
        <w:rPr>
          <w:rFonts w:ascii="Times New Roman" w:hAnsi="Times New Roman"/>
          <w:sz w:val="20"/>
          <w:szCs w:val="20"/>
        </w:rPr>
        <w:t xml:space="preserve"> more straight-chain chemical groups than conventional kerosene</w:t>
      </w:r>
      <w:r w:rsidR="00F664FF" w:rsidRPr="00DD5182">
        <w:rPr>
          <w:rFonts w:ascii="Times New Roman" w:hAnsi="Times New Roman"/>
          <w:sz w:val="20"/>
          <w:szCs w:val="20"/>
        </w:rPr>
        <w:t xml:space="preserve"> </w:t>
      </w:r>
      <w:r w:rsidR="00BF0183" w:rsidRPr="00DD5182">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ijqXyXNE","properties":{"formattedCitation":"[2,13]","plainCitation":"[2,13]","noteIndex":0},"citationItems":[{"id":"968HXJ10/oBSah4mL","uris":["http://www.mendeley.com/documents/?uuid=7c29f4af-a33e-4eea-86d6-34e089e1013d"],"uri":["http://www.mendeley.com/documents/?uuid=7c29f4af-a33e-4eea-86d6-34e089e1013d"],"itemData":{"author":[{"dropping-particle":"","family":"ATAG","given":"","non-dropping-particle":"","parse-names":false,"suffix":""}],"id":"ITEM-1","issue":"March","issued":{"date-parts":[["2019"]]},"number-of-pages":"1-2","title":"Aviation and climate change","type":"report"}},{"id":"968HXJ10/OnQqNbIl","uris":["http://www.mendeley.com/documents/?uuid=1f33bbb5-052a-4f76-8238-37eb9ba5c275"],"uri":["http://www.mendeley.com/documents/?uuid=1f33bbb5-052a-4f76-8238-37eb9ba5c275"],"itemData":{"DOI":"10.1016/b978-0-08-102291-7.00002-2","author":[{"dropping-particle":"","family":"Chen","given":"Jia Tian","non-dropping-particle":"","parse-names":false,"suffix":""},{"dropping-particle":"","family":"Abdullah","given":"Luqman Chuah","non-dropping-particle":"","parse-names":false,"suffix":""},{"dropping-particle":"","family":"Tahir","given":"Paridah Md.","non-dropping-particle":"","parse-names":false,"suffix":""}],"container-title":"Structural Health Monitoring of Biocomposites, Fibre-Reinforced Composites and Hybrid Composites","id":"ITEM-2","issued":{"date-parts":[["2019"]]},"page":"19-31","title":"Biomass valorization for better aviation environmental impact through biocomposites and aviation biofuel","type":"chapter"}}],"schema":"https://github.com/citation-style-language/schema/raw/master/csl-citation.json"} </w:instrText>
      </w:r>
      <w:r w:rsidR="00BF0183" w:rsidRPr="00DD5182">
        <w:rPr>
          <w:rFonts w:ascii="Times New Roman" w:hAnsi="Times New Roman"/>
          <w:sz w:val="20"/>
          <w:szCs w:val="20"/>
        </w:rPr>
        <w:fldChar w:fldCharType="separate"/>
      </w:r>
      <w:r w:rsidR="0051129D" w:rsidRPr="0051129D">
        <w:rPr>
          <w:rFonts w:ascii="Times New Roman" w:hAnsi="Times New Roman" w:cs="Times New Roman"/>
          <w:sz w:val="20"/>
        </w:rPr>
        <w:t>[2,13]</w:t>
      </w:r>
      <w:r w:rsidR="00BF0183" w:rsidRPr="00DD5182">
        <w:rPr>
          <w:rFonts w:ascii="Times New Roman" w:hAnsi="Times New Roman"/>
          <w:sz w:val="20"/>
          <w:szCs w:val="20"/>
        </w:rPr>
        <w:fldChar w:fldCharType="end"/>
      </w:r>
      <w:r w:rsidR="00DD5182" w:rsidRPr="00DD5182">
        <w:rPr>
          <w:rFonts w:ascii="Times New Roman" w:hAnsi="Times New Roman"/>
          <w:sz w:val="20"/>
          <w:szCs w:val="20"/>
        </w:rPr>
        <w:t>.</w:t>
      </w:r>
      <w:r w:rsidR="00F664FF" w:rsidRPr="00DD5182">
        <w:rPr>
          <w:rFonts w:ascii="Times New Roman" w:hAnsi="Times New Roman"/>
          <w:sz w:val="20"/>
          <w:szCs w:val="20"/>
        </w:rPr>
        <w:t xml:space="preserve"> </w:t>
      </w:r>
      <w:r w:rsidR="003F5BDF" w:rsidRPr="00DD5182">
        <w:rPr>
          <w:rFonts w:ascii="Times New Roman" w:hAnsi="Times New Roman"/>
          <w:sz w:val="20"/>
          <w:szCs w:val="20"/>
        </w:rPr>
        <w:t xml:space="preserve">This cleaner burning implies, on the long-term, an increased engine performance, and better fuel efficiency </w:t>
      </w:r>
      <w:r w:rsidR="00B11DE9" w:rsidRPr="00DD5182">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v6lcmwa","properties":{"formattedCitation":"[13]","plainCitation":"[13]","noteIndex":0},"citationItems":[{"id":"968HXJ10/OnQqNbIl","uris":["http://www.mendeley.com/documents/?uuid=1f33bbb5-052a-4f76-8238-37eb9ba5c275"],"uri":["http://www.mendeley.com/documents/?uuid=1f33bbb5-052a-4f76-8238-37eb9ba5c275"],"itemData":{"DOI":"10.1016/b978-0-08-102291-7.00002-2","author":[{"dropping-particle":"","family":"Chen","given":"Jia Tian","non-dropping-particle":"","parse-names":false,"suffix":""},{"dropping-particle":"","family":"Abdullah","given":"Luqman Chuah","non-dropping-particle":"","parse-names":false,"suffix":""},{"dropping-particle":"","family":"Tahir","given":"Paridah Md.","non-dropping-particle":"","parse-names":false,"suffix":""}],"container-title":"Structural Health Monitoring of Biocomposites, Fibre-Reinforced Composites and Hybrid Composites","id":"ITEM-1","issued":{"date-parts":[["2019"]]},"page":"19-31","title":"Biomass valorization for better aviation environmental impact through biocomposites and aviation biofuel","type":"chapter"}}],"schema":"https://github.com/citation-style-language/schema/raw/master/csl-citation.json"} </w:instrText>
      </w:r>
      <w:r w:rsidR="00B11DE9" w:rsidRPr="00DD5182">
        <w:rPr>
          <w:rFonts w:ascii="Times New Roman" w:hAnsi="Times New Roman"/>
          <w:sz w:val="20"/>
          <w:szCs w:val="20"/>
        </w:rPr>
        <w:fldChar w:fldCharType="separate"/>
      </w:r>
      <w:r w:rsidR="0051129D" w:rsidRPr="0051129D">
        <w:rPr>
          <w:rFonts w:ascii="Times New Roman" w:hAnsi="Times New Roman" w:cs="Times New Roman"/>
          <w:sz w:val="20"/>
        </w:rPr>
        <w:t>[13]</w:t>
      </w:r>
      <w:r w:rsidR="00B11DE9" w:rsidRPr="00DD5182">
        <w:rPr>
          <w:rFonts w:ascii="Times New Roman" w:hAnsi="Times New Roman"/>
          <w:sz w:val="20"/>
          <w:szCs w:val="20"/>
        </w:rPr>
        <w:fldChar w:fldCharType="end"/>
      </w:r>
      <w:r w:rsidR="00DD5182" w:rsidRPr="00DD5182">
        <w:rPr>
          <w:rFonts w:ascii="Times New Roman" w:hAnsi="Times New Roman"/>
          <w:sz w:val="20"/>
          <w:szCs w:val="20"/>
        </w:rPr>
        <w:t>.</w:t>
      </w:r>
      <w:r w:rsidR="003F5BDF" w:rsidRPr="00DD5182">
        <w:rPr>
          <w:rFonts w:ascii="Times New Roman" w:hAnsi="Times New Roman"/>
          <w:sz w:val="20"/>
          <w:szCs w:val="20"/>
        </w:rPr>
        <w:t xml:space="preserve"> </w:t>
      </w:r>
      <w:r w:rsidR="00B6228F" w:rsidRPr="00DD5182">
        <w:rPr>
          <w:rFonts w:ascii="Times New Roman" w:hAnsi="Times New Roman"/>
          <w:sz w:val="20"/>
          <w:szCs w:val="20"/>
        </w:rPr>
        <w:t>On the other hand, this predominance of straight-chain hydr</w:t>
      </w:r>
      <w:r w:rsidR="009F4CAD">
        <w:rPr>
          <w:rFonts w:ascii="Times New Roman" w:hAnsi="Times New Roman"/>
          <w:sz w:val="20"/>
          <w:szCs w:val="20"/>
        </w:rPr>
        <w:t>ocarbons implies a low</w:t>
      </w:r>
      <w:r w:rsidR="00B6228F" w:rsidRPr="00DD5182">
        <w:rPr>
          <w:rFonts w:ascii="Times New Roman" w:hAnsi="Times New Roman"/>
          <w:sz w:val="20"/>
          <w:szCs w:val="20"/>
        </w:rPr>
        <w:t xml:space="preserve"> content</w:t>
      </w:r>
      <w:r w:rsidR="009F4CAD">
        <w:rPr>
          <w:rFonts w:ascii="Times New Roman" w:hAnsi="Times New Roman"/>
          <w:sz w:val="20"/>
          <w:szCs w:val="20"/>
        </w:rPr>
        <w:t xml:space="preserve"> of aromatics in the fuel, a condition</w:t>
      </w:r>
      <w:r w:rsidR="00B6228F" w:rsidRPr="00DD5182">
        <w:rPr>
          <w:rFonts w:ascii="Times New Roman" w:hAnsi="Times New Roman"/>
          <w:sz w:val="20"/>
          <w:szCs w:val="20"/>
        </w:rPr>
        <w:t xml:space="preserve"> known to cause some elastomers of the engine seals to shrink, leading to eventual fuel leak </w:t>
      </w:r>
      <w:r w:rsidR="00140010" w:rsidRPr="00DD5182">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zNMTxYpz","properties":{"formattedCitation":"[14,15]","plainCitation":"[14,15]","noteIndex":0},"citationItems":[{"id":"968HXJ10/LS2s8sNs","uris":["http://www.mendeley.com/documents/?uuid=784ec652-e56d-42c2-8e21-60b91bc7ba10"],"uri":["http://www.mendeley.com/documents/?uuid=784ec652-e56d-42c2-8e21-60b91bc7ba10"],"itemData":{"abstract":"This review gives a detailed account of the different types of water contaminated fuel and the conditions that bring about each form of contamination. It also considers studies that have been done to date that investigate the physics behind the behaviour of water in different hydrocarbons and jet fuel at low temperatures.","author":[{"dropping-particle":"","family":"Baena-Zambrana","given":"S.","non-dropping-particle":"","parse-names":false,"suffix":""},{"dropping-particle":"","family":"Repetto","given":"S. L.","non-dropping-particle":"","parse-names":false,"suffix":""},{"dropping-particle":"","family":"Lawson","given":"C. P.","non-dropping-particle":"","parse-names":false,"suffix":""},{"dropping-particle":"","family":"Lam","given":"J.K.-W.","non-dropping-particle":"","parse-names":false,"suffix":""}],"container-title":"Progress in Aerospace Sciences","id":"ITEM-1","issued":{"date-parts":[["2013"]]},"page":"35-44","title":"Behaviour of water in jet fuel - A literature review","type":"article-journal","volume":"60"}},{"id":"968HXJ10/io9rcQFh","uris":["http://www.mendeley.com/documents/?uuid=a978b790-20e5-4988-8a60-6e88c759d6cb"],"uri":["http://www.mendeley.com/documents/?uuid=a978b790-20e5-4988-8a60-6e88c759d6cb"],"itemData":{"DOI":"10.1016/j.fuel.2019.06.007","ISSN":"00162361","abstract":"Due to excessive greenhouse gas emissions and high dependence on traditional petroleum jet fuel, the sustainable development of the aviation industry has drawn increasing attention worldwide. One of the most promising strategies is to develop and industrialize alternative aviation fuels produced from renewable resources, e.g. biomass. Renewable bio-jet fuel has the potential to reduce CO2 emissions over their life cycle, which make bio-jet fuels an attractive substitution for aviation fuels. This paper provided an overview on the conversion technologies, economic assessment, environmental influence and development status of bio-jet fuels. The results suggested that hydrogenated esters and fatty acids, and Fischer-Tropsch synthesis can be the most promising technologies for bio-jet fuels production in near term. Future works, such as searching for more suitable feedstock, improving competitiveness for alternative jet fuels, meeting emission reduction targets in large-scale production and making measures for the indirect impact are needed for further investigation. The large-scale deployment of bio-jet fuels could achieve significant potentials of both bio-jet fuels production and CO2 emissions reduction based on future available biomass feedstock.","author":[{"dropping-particle":"","family":"Wei","given":"Hongjian","non-dropping-particle":"","parse-names":false,"suffix":""},{"dropping-particle":"","family":"Liu","given":"Wenzhi","non-dropping-particle":"","parse-names":false,"suffix":""},{"dropping-particle":"","family":"Chen","given":"Xinyu","non-dropping-particle":"","parse-names":false,"suffix":""},{"dropping-particle":"","family":"Yang","given":"Qing","non-dropping-particle":"","parse-names":false,"suffix":""},{"dropping-particle":"","family":"Li","given":"Jiashuo","non-dropping-particle":"","parse-names":false,"suffix":""},{"dropping-particle":"","family":"Chen","given":"Hanping","non-dropping-particle":"","parse-names":false,"suffix":""}],"container-title":"Fuel","id":"ITEM-2","issued":{"date-parts":[["2019"]]},"title":"Renewable bio-jet fuel production for aviation: A review","type":"article-journal","volume":"254"}}],"schema":"https://github.com/citation-style-language/schema/raw/master/csl-citation.json"} </w:instrText>
      </w:r>
      <w:r w:rsidR="00140010" w:rsidRPr="00DD5182">
        <w:rPr>
          <w:rFonts w:ascii="Times New Roman" w:hAnsi="Times New Roman"/>
          <w:sz w:val="20"/>
          <w:szCs w:val="20"/>
        </w:rPr>
        <w:fldChar w:fldCharType="separate"/>
      </w:r>
      <w:r w:rsidR="0051129D" w:rsidRPr="0051129D">
        <w:rPr>
          <w:rFonts w:ascii="Times New Roman" w:hAnsi="Times New Roman" w:cs="Times New Roman"/>
          <w:sz w:val="20"/>
        </w:rPr>
        <w:t>[14,15]</w:t>
      </w:r>
      <w:r w:rsidR="00140010" w:rsidRPr="00DD5182">
        <w:rPr>
          <w:rFonts w:ascii="Times New Roman" w:hAnsi="Times New Roman"/>
          <w:sz w:val="20"/>
          <w:szCs w:val="20"/>
        </w:rPr>
        <w:fldChar w:fldCharType="end"/>
      </w:r>
      <w:r w:rsidR="00DD5182" w:rsidRPr="00DD5182">
        <w:rPr>
          <w:rFonts w:ascii="Times New Roman" w:hAnsi="Times New Roman"/>
          <w:sz w:val="20"/>
          <w:szCs w:val="20"/>
        </w:rPr>
        <w:t>.</w:t>
      </w:r>
      <w:r w:rsidR="00B6228F" w:rsidRPr="00DD5182">
        <w:rPr>
          <w:rFonts w:ascii="Times New Roman" w:hAnsi="Times New Roman"/>
          <w:sz w:val="20"/>
          <w:szCs w:val="20"/>
        </w:rPr>
        <w:t xml:space="preserve"> </w:t>
      </w:r>
      <w:r w:rsidR="0000646A">
        <w:rPr>
          <w:rFonts w:ascii="Times New Roman" w:hAnsi="Times New Roman"/>
          <w:sz w:val="20"/>
          <w:szCs w:val="20"/>
        </w:rPr>
        <w:t xml:space="preserve">Reflecting </w:t>
      </w:r>
      <w:r w:rsidR="00D77B1E">
        <w:rPr>
          <w:rFonts w:ascii="Times New Roman" w:hAnsi="Times New Roman"/>
          <w:sz w:val="20"/>
          <w:szCs w:val="20"/>
        </w:rPr>
        <w:t>this</w:t>
      </w:r>
      <w:r w:rsidR="0000646A">
        <w:rPr>
          <w:rFonts w:ascii="Times New Roman" w:hAnsi="Times New Roman"/>
          <w:sz w:val="20"/>
          <w:szCs w:val="20"/>
        </w:rPr>
        <w:t xml:space="preserve"> risk</w:t>
      </w:r>
      <w:r w:rsidR="00D77B1E">
        <w:rPr>
          <w:rFonts w:ascii="Times New Roman" w:hAnsi="Times New Roman"/>
          <w:sz w:val="20"/>
          <w:szCs w:val="20"/>
        </w:rPr>
        <w:t xml:space="preserve">, ASTM D7566 requires a minimum aromatics content </w:t>
      </w:r>
      <w:r w:rsidR="00D77B1E" w:rsidRPr="002268CE">
        <w:rPr>
          <w:rFonts w:ascii="Times New Roman" w:hAnsi="Times New Roman"/>
          <w:sz w:val="20"/>
          <w:szCs w:val="20"/>
        </w:rPr>
        <w:t>of 8% by volume</w:t>
      </w:r>
      <w:r w:rsidR="00D77B1E">
        <w:rPr>
          <w:rFonts w:ascii="Times New Roman" w:hAnsi="Times New Roman"/>
          <w:sz w:val="20"/>
          <w:szCs w:val="20"/>
        </w:rPr>
        <w:t>. This implies that to date, a</w:t>
      </w:r>
      <w:r w:rsidR="0041599F" w:rsidRPr="00DD5182">
        <w:rPr>
          <w:rFonts w:ascii="Times New Roman" w:hAnsi="Times New Roman"/>
          <w:sz w:val="20"/>
          <w:szCs w:val="20"/>
        </w:rPr>
        <w:t xml:space="preserve">viation biofuels have been commercially used only as blends with </w:t>
      </w:r>
      <w:r w:rsidR="0083741E" w:rsidRPr="00DD5182">
        <w:rPr>
          <w:rFonts w:ascii="Times New Roman" w:hAnsi="Times New Roman"/>
          <w:sz w:val="20"/>
          <w:szCs w:val="20"/>
        </w:rPr>
        <w:t>conventional</w:t>
      </w:r>
      <w:r w:rsidR="0041599F" w:rsidRPr="00DD5182">
        <w:rPr>
          <w:rFonts w:ascii="Times New Roman" w:hAnsi="Times New Roman"/>
          <w:sz w:val="20"/>
          <w:szCs w:val="20"/>
        </w:rPr>
        <w:t xml:space="preserve"> kerosene, with </w:t>
      </w:r>
      <w:r w:rsidR="00217DA3">
        <w:rPr>
          <w:rFonts w:ascii="Times New Roman" w:hAnsi="Times New Roman"/>
          <w:sz w:val="20"/>
          <w:szCs w:val="20"/>
        </w:rPr>
        <w:t xml:space="preserve">blending rates varying between 10% (DSHC) and 50% (all other certified biofuels) </w:t>
      </w:r>
      <w:r w:rsidR="0041599F" w:rsidRPr="00DD5182">
        <w:rPr>
          <w:rFonts w:ascii="Times New Roman" w:hAnsi="Times New Roman"/>
          <w:sz w:val="20"/>
          <w:szCs w:val="20"/>
        </w:rPr>
        <w:t xml:space="preserve">of the total fuel volume </w:t>
      </w:r>
      <w:r w:rsidR="00B11DE9" w:rsidRPr="00DD5182">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EMXKKJgi","properties":{"formattedCitation":"[14]","plainCitation":"[14]","noteIndex":0},"citationItems":[{"id":"968HXJ10/LS2s8sNs","uris":["http://www.mendeley.com/documents/?uuid=784ec652-e56d-42c2-8e21-60b91bc7ba10"],"uri":["http://www.mendeley.com/documents/?uuid=784ec652-e56d-42c2-8e21-60b91bc7ba10"],"itemData":{"abstract":"This review gives a detailed account of the different types of water contaminated fuel and the conditions that bring about each form of contamination. It also considers studies that have been done to date that investigate the physics behind the behaviour of water in different hydrocarbons and jet fuel at low temperatures.","author":[{"dropping-particle":"","family":"Baena-Zambrana","given":"S.","non-dropping-particle":"","parse-names":false,"suffix":""},{"dropping-particle":"","family":"Repetto","given":"S. L.","non-dropping-particle":"","parse-names":false,"suffix":""},{"dropping-particle":"","family":"Lawson","given":"C. P.","non-dropping-particle":"","parse-names":false,"suffix":""},{"dropping-particle":"","family":"Lam","given":"J.K.-W.","non-dropping-particle":"","parse-names":false,"suffix":""}],"container-title":"Progress in Aerospace Sciences","id":"ITEM-1","issued":{"date-parts":[["2013"]]},"page":"35-44","title":"Behaviour of water in jet fuel - A literature review","type":"article-journal","volume":"60"}}],"schema":"https://github.com/citation-style-language/schema/raw/master/csl-citation.json"} </w:instrText>
      </w:r>
      <w:r w:rsidR="00B11DE9" w:rsidRPr="00DD5182">
        <w:rPr>
          <w:rFonts w:ascii="Times New Roman" w:hAnsi="Times New Roman"/>
          <w:sz w:val="20"/>
          <w:szCs w:val="20"/>
        </w:rPr>
        <w:fldChar w:fldCharType="separate"/>
      </w:r>
      <w:r w:rsidR="0051129D" w:rsidRPr="0051129D">
        <w:rPr>
          <w:rFonts w:ascii="Times New Roman" w:hAnsi="Times New Roman" w:cs="Times New Roman"/>
          <w:sz w:val="20"/>
        </w:rPr>
        <w:t>[14]</w:t>
      </w:r>
      <w:r w:rsidR="00B11DE9" w:rsidRPr="00DD5182">
        <w:rPr>
          <w:rFonts w:ascii="Times New Roman" w:hAnsi="Times New Roman"/>
          <w:sz w:val="20"/>
          <w:szCs w:val="20"/>
        </w:rPr>
        <w:fldChar w:fldCharType="end"/>
      </w:r>
      <w:r w:rsidR="0041599F" w:rsidRPr="002268CE">
        <w:rPr>
          <w:rFonts w:ascii="Times New Roman" w:hAnsi="Times New Roman"/>
          <w:sz w:val="20"/>
          <w:szCs w:val="20"/>
        </w:rPr>
        <w:t xml:space="preserve">. </w:t>
      </w:r>
    </w:p>
    <w:p w14:paraId="10CFE417" w14:textId="7DD9477E" w:rsidR="00C96DAF" w:rsidRDefault="008C66DD" w:rsidP="00290530">
      <w:pPr>
        <w:spacing w:after="120" w:line="276" w:lineRule="auto"/>
        <w:jc w:val="thaiDistribute"/>
        <w:rPr>
          <w:rFonts w:ascii="Times New Roman" w:hAnsi="Times New Roman"/>
          <w:sz w:val="20"/>
          <w:szCs w:val="20"/>
        </w:rPr>
      </w:pPr>
      <w:r w:rsidRPr="002268CE">
        <w:rPr>
          <w:rFonts w:ascii="Times New Roman" w:hAnsi="Times New Roman"/>
          <w:sz w:val="20"/>
          <w:szCs w:val="20"/>
        </w:rPr>
        <w:t xml:space="preserve">Besides biofuels, additional alternatives </w:t>
      </w:r>
      <w:r w:rsidR="009842A3" w:rsidRPr="002268CE">
        <w:rPr>
          <w:rFonts w:ascii="Times New Roman" w:hAnsi="Times New Roman"/>
          <w:sz w:val="20"/>
          <w:szCs w:val="20"/>
        </w:rPr>
        <w:t xml:space="preserve">for fossil free aviation </w:t>
      </w:r>
      <w:r w:rsidRPr="002268CE">
        <w:rPr>
          <w:rFonts w:ascii="Times New Roman" w:hAnsi="Times New Roman"/>
          <w:sz w:val="20"/>
          <w:szCs w:val="20"/>
        </w:rPr>
        <w:t>include</w:t>
      </w:r>
      <w:r w:rsidR="00124A52" w:rsidRPr="002268CE">
        <w:rPr>
          <w:rFonts w:ascii="Times New Roman" w:hAnsi="Times New Roman"/>
          <w:sz w:val="20"/>
          <w:szCs w:val="20"/>
        </w:rPr>
        <w:t xml:space="preserve"> </w:t>
      </w:r>
      <w:r w:rsidR="00207EFB" w:rsidRPr="002268CE">
        <w:rPr>
          <w:rFonts w:ascii="Times New Roman" w:hAnsi="Times New Roman"/>
          <w:sz w:val="20"/>
          <w:szCs w:val="20"/>
        </w:rPr>
        <w:t xml:space="preserve">power-to-liquid </w:t>
      </w:r>
      <w:r w:rsidR="009E2256" w:rsidRPr="002268CE">
        <w:rPr>
          <w:rFonts w:ascii="Times New Roman" w:hAnsi="Times New Roman"/>
          <w:sz w:val="20"/>
          <w:szCs w:val="20"/>
        </w:rPr>
        <w:t>electrofuels (</w:t>
      </w:r>
      <w:r w:rsidR="00F24278" w:rsidRPr="002268CE">
        <w:rPr>
          <w:rFonts w:ascii="Times New Roman" w:hAnsi="Times New Roman"/>
          <w:sz w:val="20"/>
          <w:szCs w:val="20"/>
        </w:rPr>
        <w:t>sometimes</w:t>
      </w:r>
      <w:r w:rsidR="009E2256" w:rsidRPr="002268CE">
        <w:rPr>
          <w:rFonts w:ascii="Times New Roman" w:hAnsi="Times New Roman"/>
          <w:sz w:val="20"/>
          <w:szCs w:val="20"/>
        </w:rPr>
        <w:t xml:space="preserve"> known as synthetic fuels</w:t>
      </w:r>
      <w:r w:rsidR="00EF37B7" w:rsidRPr="002268CE">
        <w:rPr>
          <w:rFonts w:ascii="Times New Roman" w:hAnsi="Times New Roman"/>
          <w:sz w:val="20"/>
          <w:szCs w:val="20"/>
        </w:rPr>
        <w:t xml:space="preserve">, </w:t>
      </w:r>
      <w:r w:rsidRPr="002268CE">
        <w:rPr>
          <w:rFonts w:ascii="Times New Roman" w:hAnsi="Times New Roman"/>
          <w:sz w:val="20"/>
          <w:szCs w:val="20"/>
        </w:rPr>
        <w:t xml:space="preserve">or </w:t>
      </w:r>
      <w:r w:rsidR="00EF37B7" w:rsidRPr="002268CE">
        <w:rPr>
          <w:rFonts w:ascii="Times New Roman" w:hAnsi="Times New Roman"/>
          <w:sz w:val="20"/>
          <w:szCs w:val="20"/>
        </w:rPr>
        <w:t>power</w:t>
      </w:r>
      <w:r w:rsidR="00F24278" w:rsidRPr="002268CE">
        <w:rPr>
          <w:rFonts w:ascii="Times New Roman" w:hAnsi="Times New Roman"/>
          <w:sz w:val="20"/>
          <w:szCs w:val="20"/>
        </w:rPr>
        <w:t>fuels</w:t>
      </w:r>
      <w:r w:rsidR="009E2256" w:rsidRPr="002268CE">
        <w:rPr>
          <w:rFonts w:ascii="Times New Roman" w:hAnsi="Times New Roman"/>
          <w:sz w:val="20"/>
          <w:szCs w:val="20"/>
        </w:rPr>
        <w:t xml:space="preserve">). </w:t>
      </w:r>
      <w:r w:rsidRPr="002268CE">
        <w:rPr>
          <w:rFonts w:ascii="Times New Roman" w:hAnsi="Times New Roman"/>
          <w:sz w:val="20"/>
          <w:szCs w:val="20"/>
        </w:rPr>
        <w:t>Aviation electrof</w:t>
      </w:r>
      <w:r w:rsidR="00523CF6" w:rsidRPr="002268CE">
        <w:rPr>
          <w:rFonts w:ascii="Times New Roman" w:hAnsi="Times New Roman"/>
          <w:sz w:val="20"/>
          <w:szCs w:val="20"/>
        </w:rPr>
        <w:t xml:space="preserve">uels </w:t>
      </w:r>
      <w:r w:rsidRPr="002268CE">
        <w:rPr>
          <w:rFonts w:ascii="Times New Roman" w:hAnsi="Times New Roman"/>
          <w:sz w:val="20"/>
          <w:szCs w:val="20"/>
        </w:rPr>
        <w:t>require a source of C and</w:t>
      </w:r>
      <w:r w:rsidR="00E02031">
        <w:rPr>
          <w:rFonts w:ascii="Times New Roman" w:hAnsi="Times New Roman"/>
          <w:sz w:val="20"/>
          <w:szCs w:val="20"/>
        </w:rPr>
        <w:t xml:space="preserve"> hydrogen</w:t>
      </w:r>
      <w:r w:rsidRPr="002268CE">
        <w:rPr>
          <w:rFonts w:ascii="Times New Roman" w:hAnsi="Times New Roman"/>
          <w:sz w:val="20"/>
          <w:szCs w:val="20"/>
        </w:rPr>
        <w:t xml:space="preserve"> </w:t>
      </w:r>
      <w:r w:rsidR="00E02031">
        <w:rPr>
          <w:rFonts w:ascii="Times New Roman" w:hAnsi="Times New Roman"/>
          <w:sz w:val="20"/>
          <w:szCs w:val="20"/>
        </w:rPr>
        <w:t>(</w:t>
      </w:r>
      <w:r w:rsidRPr="002268CE">
        <w:rPr>
          <w:rFonts w:ascii="Times New Roman" w:hAnsi="Times New Roman"/>
          <w:sz w:val="20"/>
          <w:szCs w:val="20"/>
        </w:rPr>
        <w:t>H</w:t>
      </w:r>
      <w:r w:rsidRPr="002268CE">
        <w:rPr>
          <w:rFonts w:ascii="Times New Roman" w:hAnsi="Times New Roman"/>
          <w:sz w:val="20"/>
          <w:szCs w:val="20"/>
          <w:vertAlign w:val="subscript"/>
        </w:rPr>
        <w:t>2</w:t>
      </w:r>
      <w:r w:rsidR="00931BAD" w:rsidRPr="002268CE">
        <w:rPr>
          <w:rFonts w:ascii="Times New Roman" w:hAnsi="Times New Roman"/>
          <w:sz w:val="20"/>
          <w:szCs w:val="20"/>
          <w:vertAlign w:val="subscript"/>
        </w:rPr>
        <w:t xml:space="preserve"> </w:t>
      </w:r>
      <w:r w:rsidR="00E02031">
        <w:rPr>
          <w:rFonts w:ascii="Times New Roman" w:hAnsi="Times New Roman"/>
          <w:sz w:val="20"/>
          <w:szCs w:val="20"/>
        </w:rPr>
        <w:t>) i</w:t>
      </w:r>
      <w:r w:rsidR="00931BAD" w:rsidRPr="002268CE">
        <w:rPr>
          <w:rFonts w:ascii="Times New Roman" w:hAnsi="Times New Roman"/>
          <w:sz w:val="20"/>
          <w:szCs w:val="20"/>
        </w:rPr>
        <w:t xml:space="preserve">n order to generate hydrocarbon </w:t>
      </w:r>
      <w:r w:rsidR="00E02031">
        <w:rPr>
          <w:rFonts w:ascii="Times New Roman" w:hAnsi="Times New Roman"/>
          <w:sz w:val="20"/>
          <w:szCs w:val="20"/>
        </w:rPr>
        <w:t xml:space="preserve">liquid </w:t>
      </w:r>
      <w:r w:rsidR="00931BAD" w:rsidRPr="002268CE">
        <w:rPr>
          <w:rFonts w:ascii="Times New Roman" w:hAnsi="Times New Roman"/>
          <w:sz w:val="20"/>
          <w:szCs w:val="20"/>
        </w:rPr>
        <w:t xml:space="preserve">fuels </w:t>
      </w:r>
      <w:r w:rsidR="00E02031">
        <w:rPr>
          <w:rFonts w:ascii="Times New Roman" w:hAnsi="Times New Roman"/>
          <w:sz w:val="20"/>
          <w:szCs w:val="20"/>
        </w:rPr>
        <w:t>having</w:t>
      </w:r>
      <w:r w:rsidR="00931BAD" w:rsidRPr="002268CE">
        <w:rPr>
          <w:rFonts w:ascii="Times New Roman" w:hAnsi="Times New Roman"/>
          <w:sz w:val="20"/>
          <w:szCs w:val="20"/>
        </w:rPr>
        <w:t xml:space="preserve"> similar properties </w:t>
      </w:r>
      <w:r w:rsidR="00E02031">
        <w:rPr>
          <w:rFonts w:ascii="Times New Roman" w:hAnsi="Times New Roman"/>
          <w:sz w:val="20"/>
          <w:szCs w:val="20"/>
        </w:rPr>
        <w:t>with</w:t>
      </w:r>
      <w:r w:rsidR="00931BAD" w:rsidRPr="002268CE">
        <w:rPr>
          <w:rFonts w:ascii="Times New Roman" w:hAnsi="Times New Roman"/>
          <w:sz w:val="20"/>
          <w:szCs w:val="20"/>
        </w:rPr>
        <w:t xml:space="preserve"> </w:t>
      </w:r>
      <w:r w:rsidR="00BF2343" w:rsidRPr="002268CE">
        <w:rPr>
          <w:rFonts w:ascii="Times New Roman" w:hAnsi="Times New Roman"/>
          <w:sz w:val="20"/>
          <w:szCs w:val="20"/>
        </w:rPr>
        <w:t>fossil-based kerosene</w:t>
      </w:r>
      <w:r w:rsidRPr="002268CE">
        <w:rPr>
          <w:rFonts w:ascii="Times New Roman" w:hAnsi="Times New Roman"/>
          <w:sz w:val="20"/>
          <w:szCs w:val="20"/>
        </w:rPr>
        <w:t xml:space="preserve">. Hydrogen may be produced via </w:t>
      </w:r>
      <w:r w:rsidR="00F02B10" w:rsidRPr="002268CE">
        <w:rPr>
          <w:rFonts w:ascii="Times New Roman" w:hAnsi="Times New Roman"/>
          <w:sz w:val="20"/>
          <w:szCs w:val="20"/>
        </w:rPr>
        <w:t>water</w:t>
      </w:r>
      <w:r w:rsidR="00001464">
        <w:rPr>
          <w:rFonts w:ascii="Times New Roman" w:hAnsi="Times New Roman"/>
          <w:sz w:val="20"/>
          <w:szCs w:val="20"/>
        </w:rPr>
        <w:t>-</w:t>
      </w:r>
      <w:r w:rsidR="00F02B10" w:rsidRPr="002268CE">
        <w:rPr>
          <w:rFonts w:ascii="Times New Roman" w:hAnsi="Times New Roman"/>
          <w:sz w:val="20"/>
          <w:szCs w:val="20"/>
        </w:rPr>
        <w:t xml:space="preserve"> splitting technologies such as </w:t>
      </w:r>
      <w:r w:rsidRPr="002268CE">
        <w:rPr>
          <w:rFonts w:ascii="Times New Roman" w:hAnsi="Times New Roman"/>
          <w:sz w:val="20"/>
          <w:szCs w:val="20"/>
        </w:rPr>
        <w:t xml:space="preserve">water electrolysis </w:t>
      </w:r>
      <w:r w:rsidR="009B536B"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6S5M4XtH","properties":{"formattedCitation":"[16]","plainCitation":"[16]","noteIndex":0},"citationItems":[{"id":"968HXJ10/SG1LaQbI","uris":["http://www.mendeley.com/documents/?uuid=7b7c8caf-8cfe-4c51-ab74-60f612dfe6a1"],"uri":["http://www.mendeley.com/documents/?uuid=7b7c8caf-8cfe-4c51-ab74-60f612dfe6a1"],"itemData":{"DOI":"10.1016/j.rser.2017.09.003","ISSN":"18790690","abstract":"Water electrolysis has the potential to become a key element in coupling the electricity, mobility, heating and chemical sector via Power-to-Liquids (PtL) or Power-to-Gas (PtG) in a future sustainable energy system. Based on an extensive market survey, discussions with manufacturers, project reports and literature, an overview of the current status of alkaline, PEM and solid oxide electrolysis on the way to large-scale flexible energy storage is presented. These main water electrolysis technologies were compared in terms of available capacity, nominal and part-load performance, flexibility (load range, load gradients, start-up time, stand-by losses) lifetime and investment costs. This review provides a basis of the parameters required and the necessary understanding of electrolysis fundamentals and technologies for a techno-economic analysis of water electrolysis-based concepts and an evaluation of PtG and PtL in energy system studies.","author":[{"dropping-particle":"","family":"Buttler","given":"Alexander","non-dropping-particle":"","parse-names":false,"suffix":""},{"dropping-particle":"","family":"Spliethoff","given":"Hartmut","non-dropping-particle":"","parse-names":false,"suffix":""}],"container-title":"Renewable and Sustainable Energy Reviews","id":"ITEM-1","issue":"September","issued":{"date-parts":[["2018"]]},"page":"2440-2454","title":"Current status of water electrolysis for energy storage, grid balancing and sector coupling via power-to-gas and power-to-liquids: A review","type":"article-journal","volume":"82"}}],"schema":"https://github.com/citation-style-language/schema/raw/master/csl-citation.json"} </w:instrText>
      </w:r>
      <w:r w:rsidR="009B536B" w:rsidRPr="002268CE">
        <w:rPr>
          <w:rFonts w:ascii="Times New Roman" w:hAnsi="Times New Roman"/>
          <w:sz w:val="20"/>
          <w:szCs w:val="20"/>
        </w:rPr>
        <w:fldChar w:fldCharType="separate"/>
      </w:r>
      <w:r w:rsidR="0051129D" w:rsidRPr="0051129D">
        <w:rPr>
          <w:rFonts w:ascii="Times New Roman" w:hAnsi="Times New Roman" w:cs="Times New Roman"/>
          <w:sz w:val="20"/>
        </w:rPr>
        <w:t>[16]</w:t>
      </w:r>
      <w:r w:rsidR="009B536B" w:rsidRPr="002268CE">
        <w:rPr>
          <w:rFonts w:ascii="Times New Roman" w:hAnsi="Times New Roman"/>
          <w:sz w:val="20"/>
          <w:szCs w:val="20"/>
        </w:rPr>
        <w:fldChar w:fldCharType="end"/>
      </w:r>
      <w:r w:rsidR="00F02B10" w:rsidRPr="002268CE">
        <w:rPr>
          <w:rFonts w:ascii="Times New Roman" w:hAnsi="Times New Roman"/>
          <w:sz w:val="20"/>
          <w:szCs w:val="20"/>
        </w:rPr>
        <w:t>,</w:t>
      </w:r>
      <w:r w:rsidRPr="002268CE">
        <w:rPr>
          <w:rFonts w:ascii="Times New Roman" w:hAnsi="Times New Roman"/>
          <w:sz w:val="20"/>
          <w:szCs w:val="20"/>
        </w:rPr>
        <w:t xml:space="preserve"> thermochemistry </w:t>
      </w:r>
      <w:r w:rsidR="009B536B"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amqMpYOn","properties":{"formattedCitation":"[17]","plainCitation":"[17]","noteIndex":0},"citationItems":[{"id":"968HXJ10/i9wD99cS","uris":["http://www.mendeley.com/documents/?uuid=2486799e-b526-49fb-8ba0-c2f6e17ee9a9"],"uri":["http://www.mendeley.com/documents/?uuid=2486799e-b526-49fb-8ba0-c2f6e17ee9a9"],"itemData":{"DOI":"10.1063/1.4984463","ISBN":"9780735415225","ISSN":"15517616","abstract":"The entire production chain for renewable kerosene obtained directly from sunlight, H2O, and CO2 is experimentally demonstrated. The key component of the production process is a high-temperature solar reactor containing a reticulated porous ceramic (RPC) structure made of ceria, which enables the splitting of H2O and CO2 via a 2-step thermochemical redox cycle. In the 1st reduction step, ceria is endo-thermally reduced using concentrated solar radiation as the energy source of process heat. In the 2nd oxidation step, nonstoichiometric ceria reacts with H2O and CO2 to form H2 and CO - syngas - which is finally converted into kerosene by the Fischer-Tropsch process. The RPC featured dual-scale porosity for enhanced heat and mass transfer: mm-size pores for volumetric radiation absorption during the reduction step and μm-size pores within its struts for fast kinetics during the oxidation step. We report on the engineering design of the solar reactor and the experimental demonstration of over 290 consecutive redox cycles for producing high-quality syngas suitable for the processing of liquid hydrocarbon fuels.","author":[{"dropping-particle":"","family":"Furler","given":"P.","non-dropping-particle":"","parse-names":false,"suffix":""},{"dropping-particle":"","family":"Marxer","given":"D.","non-dropping-particle":"","parse-names":false,"suffix":""},{"dropping-particle":"","family":"Scheffe","given":"J.","non-dropping-particle":"","parse-names":false,"suffix":""},{"dropping-particle":"","family":"Reinalda","given":"D.","non-dropping-particle":"","parse-names":false,"suffix":""},{"dropping-particle":"","family":"Geerlings","given":"H.","non-dropping-particle":"","parse-names":false,"suffix":""},{"dropping-particle":"","family":"Falter","given":"C.","non-dropping-particle":"","parse-names":false,"suffix":""},{"dropping-particle":"","family":"Batteiger","given":"V.","non-dropping-particle":"","parse-names":false,"suffix":""},{"dropping-particle":"","family":"Sizmann","given":"A.","non-dropping-particle":"","parse-names":false,"suffix":""},{"dropping-particle":"","family":"Steinfeld","given":"A.","non-dropping-particle":"","parse-names":false,"suffix":""}],"container-title":"AIP Conference Proceedings","id":"ITEM-1","issue":"June","issued":{"date-parts":[["2017"]]},"title":"Solar kerosene from H2O and CO2","type":"article-journal","volume":"1850"}}],"schema":"https://github.com/citation-style-language/schema/raw/master/csl-citation.json"} </w:instrText>
      </w:r>
      <w:r w:rsidR="009B536B" w:rsidRPr="002268CE">
        <w:rPr>
          <w:rFonts w:ascii="Times New Roman" w:hAnsi="Times New Roman"/>
          <w:sz w:val="20"/>
          <w:szCs w:val="20"/>
        </w:rPr>
        <w:fldChar w:fldCharType="separate"/>
      </w:r>
      <w:r w:rsidR="0051129D" w:rsidRPr="0051129D">
        <w:rPr>
          <w:rFonts w:ascii="Times New Roman" w:hAnsi="Times New Roman" w:cs="Times New Roman"/>
          <w:sz w:val="20"/>
        </w:rPr>
        <w:t>[17]</w:t>
      </w:r>
      <w:r w:rsidR="009B536B" w:rsidRPr="002268CE">
        <w:rPr>
          <w:rFonts w:ascii="Times New Roman" w:hAnsi="Times New Roman"/>
          <w:sz w:val="20"/>
          <w:szCs w:val="20"/>
        </w:rPr>
        <w:fldChar w:fldCharType="end"/>
      </w:r>
      <w:r w:rsidR="00F02B10" w:rsidRPr="002268CE">
        <w:rPr>
          <w:rFonts w:ascii="Times New Roman" w:hAnsi="Times New Roman"/>
          <w:sz w:val="20"/>
          <w:szCs w:val="20"/>
        </w:rPr>
        <w:t xml:space="preserve"> or bio-photolysis </w:t>
      </w:r>
      <w:r w:rsidR="00F02B10"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mkHnsQCy","properties":{"formattedCitation":"[18]","plainCitation":"[18]","noteIndex":0},"citationItems":[{"id":"968HXJ10/15779W06","uris":["http://www.mendeley.com/documents/?uuid=c3f5226a-d52a-4b09-a8cf-02ae156539a5"],"uri":["http://www.mendeley.com/documents/?uuid=c3f5226a-d52a-4b09-a8cf-02ae156539a5"],"itemData":{"DOI":"10.1007/978-3-030-14463-0_5","ISBN":"9783030144630","abstract":"Hydrogen is the most abundant element in the universe, comprising approximately 75% of all matter by weight, molecular hydrogen (H2) exists in only trace amounts within the Earth’s atmosphere. As a gaseous and carbon-free fuel, hydrogen can be combusted with water and therefore is regarded as a clean nonpolluting fuel. Hydrogen is produced by steam reformation of methane, gasification of coal and biomass, and metabolic pathway of special type of microorganisms, commonly known as biological hydrogen production. Biological hydrogen evolution provides a sustainable and environmentally friendly way to produce clean energy from renewable resources. Biological hydrogen production processes are mostly controlled by either photosynthetic or fermentative organisms. Hydrogen can be produced biologically by direct biophotolysis, indirect biophotolysis, photofermentation, dark fermentation, combination of these processes (such as integration of dark- and photofermentation, etc.) or by water–gas shift reaction. Among a selection of biological systems, cyanobacteria have become a major source as potential cell factories for hydrogen production. They are highly promising microorganisms for biological photohydrogen production. Cyanobacteria grow by photosynthesis, and essentially contain chlorophyll and various carotenoids whose main functions are light-harvesting and photoprotection. They produce chlorophyll a, and most also have characteristic pigments called phycobilins, which function as accessory pigments in photosynthesis. Cyanobacteria produce hydrogen gas using nitrogenase and/or hydrogenase. This study explains the potential of cyanobacteria to produce biohydrogen and focuses on biophotolysis-based hydrogen production by cyanobacteria.","author":[{"dropping-particle":"","family":"Ghiasian","given":"Mozhgan","non-dropping-particle":"","parse-names":false,"suffix":""}],"id":"ITEM-1","issued":{"date-parts":[["2019"]]},"number-of-pages":"161-184","publisher":"Springer International Publishing","title":"Biophotolysis-Based Hydrogen Production by Cyanobacteria","type":"book"}}],"schema":"https://github.com/citation-style-language/schema/raw/master/csl-citation.json"} </w:instrText>
      </w:r>
      <w:r w:rsidR="00F02B10" w:rsidRPr="002268CE">
        <w:rPr>
          <w:rFonts w:ascii="Times New Roman" w:hAnsi="Times New Roman"/>
          <w:sz w:val="20"/>
          <w:szCs w:val="20"/>
        </w:rPr>
        <w:fldChar w:fldCharType="separate"/>
      </w:r>
      <w:r w:rsidR="0051129D" w:rsidRPr="0051129D">
        <w:rPr>
          <w:rFonts w:ascii="Times New Roman" w:hAnsi="Times New Roman" w:cs="Times New Roman"/>
          <w:sz w:val="20"/>
        </w:rPr>
        <w:t>[18]</w:t>
      </w:r>
      <w:r w:rsidR="00F02B10" w:rsidRPr="002268CE">
        <w:rPr>
          <w:rFonts w:ascii="Times New Roman" w:hAnsi="Times New Roman"/>
          <w:sz w:val="20"/>
          <w:szCs w:val="20"/>
        </w:rPr>
        <w:fldChar w:fldCharType="end"/>
      </w:r>
      <w:r w:rsidR="002268CE" w:rsidRPr="002268CE">
        <w:rPr>
          <w:rFonts w:ascii="Times New Roman" w:hAnsi="Times New Roman"/>
          <w:sz w:val="20"/>
          <w:szCs w:val="20"/>
        </w:rPr>
        <w:t>.</w:t>
      </w:r>
      <w:r w:rsidR="00201DBB" w:rsidRPr="002268CE">
        <w:rPr>
          <w:rFonts w:ascii="Times New Roman" w:hAnsi="Times New Roman"/>
          <w:sz w:val="20"/>
          <w:szCs w:val="20"/>
        </w:rPr>
        <w:t xml:space="preserve"> </w:t>
      </w:r>
      <w:r w:rsidR="003B496D" w:rsidRPr="002268CE">
        <w:rPr>
          <w:rFonts w:ascii="Times New Roman" w:hAnsi="Times New Roman"/>
          <w:sz w:val="20"/>
          <w:szCs w:val="20"/>
        </w:rPr>
        <w:t xml:space="preserve">Carbon may stem from biomass-free options such as direct capture from </w:t>
      </w:r>
      <w:r w:rsidR="00E02031">
        <w:rPr>
          <w:rFonts w:ascii="Times New Roman" w:hAnsi="Times New Roman"/>
          <w:sz w:val="20"/>
          <w:szCs w:val="20"/>
        </w:rPr>
        <w:t>carbon dioxide</w:t>
      </w:r>
      <w:r w:rsidR="003B496D" w:rsidRPr="002268CE">
        <w:rPr>
          <w:rFonts w:ascii="Times New Roman" w:hAnsi="Times New Roman"/>
          <w:sz w:val="20"/>
          <w:szCs w:val="20"/>
        </w:rPr>
        <w:t xml:space="preserve"> </w:t>
      </w:r>
      <w:r w:rsidR="00E02031">
        <w:rPr>
          <w:rFonts w:ascii="Times New Roman" w:hAnsi="Times New Roman"/>
          <w:sz w:val="20"/>
          <w:szCs w:val="20"/>
        </w:rPr>
        <w:t>(</w:t>
      </w:r>
      <w:r w:rsidR="003B496D" w:rsidRPr="002268CE">
        <w:rPr>
          <w:rFonts w:ascii="Times New Roman" w:hAnsi="Times New Roman"/>
          <w:sz w:val="20"/>
          <w:szCs w:val="20"/>
        </w:rPr>
        <w:t>CO</w:t>
      </w:r>
      <w:r w:rsidR="003B496D" w:rsidRPr="002268CE">
        <w:rPr>
          <w:rFonts w:ascii="Times New Roman" w:hAnsi="Times New Roman"/>
          <w:sz w:val="20"/>
          <w:szCs w:val="20"/>
          <w:vertAlign w:val="subscript"/>
        </w:rPr>
        <w:t>2</w:t>
      </w:r>
      <w:r w:rsidR="00E02031">
        <w:rPr>
          <w:rFonts w:ascii="Times New Roman" w:hAnsi="Times New Roman"/>
          <w:sz w:val="20"/>
          <w:szCs w:val="20"/>
        </w:rPr>
        <w:t xml:space="preserve">) </w:t>
      </w:r>
      <w:r w:rsidR="003B496D" w:rsidRPr="002268CE">
        <w:rPr>
          <w:rFonts w:ascii="Times New Roman" w:hAnsi="Times New Roman"/>
          <w:sz w:val="20"/>
          <w:szCs w:val="20"/>
        </w:rPr>
        <w:t xml:space="preserve">in the atmosphere (typically termed Direct Air Capture, DAC) </w:t>
      </w:r>
      <w:r w:rsidR="00D12DB9"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SkDjjvS","properties":{"formattedCitation":"[19,20]","plainCitation":"[19,20]","noteIndex":0},"citationItems":[{"id":"968HXJ10/gIhmp4cZ","uris":["http://www.mendeley.com/documents/?uuid=a64b2f85-6546-4578-8de5-a632a12b39a6"],"uri":["http://www.mendeley.com/documents/?uuid=a64b2f85-6546-4578-8de5-a632a12b39a6"],"itemData":{"DOI":"10.1016/j.joule.2018.05.006","ISSN":"25424351","abstract":"We describe a process for capturing CO2 from the atmosphere in an industrial plant. The design captures </w:instrText>
      </w:r>
      <w:r w:rsidR="00752A1E">
        <w:rPr>
          <w:rFonts w:ascii="Cambria Math" w:hAnsi="Cambria Math" w:cs="Cambria Math"/>
          <w:sz w:val="20"/>
          <w:szCs w:val="20"/>
        </w:rPr>
        <w:instrText>∼</w:instrText>
      </w:r>
      <w:r w:rsidR="00752A1E">
        <w:rPr>
          <w:rFonts w:ascii="Times New Roman" w:hAnsi="Times New Roman"/>
          <w:sz w:val="20"/>
          <w:szCs w:val="20"/>
        </w:rPr>
        <w:instrText xml:space="preserve">1 Mt-CO2/year in a continuous process using an aqueous KOH sorbent coupled to a calcium caustic recovery loop. We describe the design rationale, summarize performance of the major unit operations, and provide a capital cost breakdown developed with an independent consulting engineering firm. We report results from a pilot plant that provides data on performance of the major unit operations. We summarize the energy and material balance computed using an Aspen process simulation. When CO2 is delivered at 15 MPa, the design requires either 8.81 GJ of natural gas, or 5.25 GJ of gas and 366 kWhr of electricity, per ton of CO2 captured. Depending on financial assumptions, energy costs, and the specific choice of inputs and outputs, the levelized cost per ton CO2 captured from the atmosphere ranges from 94 to 232 $/t-CO2. An industrial process for large-scale capture of atmospheric CO2 (DAC) serves two roles. First, as a source of CO2 for making carbon-neutral hydrocarbon fuels, enabling carbon-free energy to be converted into high-energy-density fuels. Solar fuels, for example, may be produced at high-insolation low-cost locations from DAC-CO2 and electrolytic hydrogen using gas-to-liquids technology enabling decarbonization of difficult-to-electrify sectors such as aviation. And second, DAC with CO2 sequestration allows carbon removal. The feasibility of DAC has been disputed, in part, because publications have not provided sufficient engineering detail to allow independent evaluation of costs. We provide an engineering cost basis for a commercial DAC system for which all major components are either drawn from well-established commercial heritage or described in sufficient detail to allow assessment by third parties. This design reflects roughly 100 person-years of development by Carbon Engineering. First direct air capture paper for which all major components are either drawn from well-established commercial heritage or described in sufficient detail to allow assessment by third parties. Includes energy and materials balances, commercial engineering cost breakdown, and pilot plant data. When CO2 is delivered at 15 MPa, the design requires either 8.81 GJ of natural gas, or 5.25 GJ of gas and 366 kWhr of electricity, per ton of CO2 captured. Levelized cost per t-CO2 from atmosphere ranges from 94 to 232 $/t-CO2.","author":[{"dropping-particle":"","family":"Keith","given":"David W.","non-dropping-particle":"","parse-names":false,"suffix":""},{"dropping-particle":"","family":"Holmes","given":"Geoffrey","non-dropping-particle":"","parse-names":false,"suffix":""},{"dropping-particle":"","family":"Angelo","given":"David","non-dropping-particle":"St.","parse-names":false,"suffix":""},{"dropping-particle":"","family":"Heidel","given":"Kenton","non-dropping-particle":"","parse-names":false,"suffix":""}],"container-title":"Joule","id":"ITEM-1","issued":{"date-parts":[["2018"]]},"page":"1-22","publisher":"Elsevier Inc.","title":"A Process for Capturing CO2 from the Atmosphere","type":"article-journal"}},{"id":"968HXJ10/kukSVVud","uris":["http://www.mendeley.com/documents/?uuid=cc5ef0f0-ffbb-4ce8-8151-4f514b9a6f99"],"uri":["http://www.mendeley.com/documents/?uuid=cc5ef0f0-ffbb-4ce8-8151-4f514b9a6f99"],"itemData":{"DOI":"10.1038/s41467-019-10842-5","ISBN":"4146701910","ISSN":"20411723","abstract":"The feasibility of large-scale biological CO2 removal to achieve stringent climate targets remains unclear. Direct Air Carbon Capture and Storage (DACCS) offers an alternative negative emissions technology (NET) option. Here we conduct the first inter-model comparison on the role of DACCS in 1.5 and 2 °C scenarios, under a variety of techno-economic assumptions. Deploying DACCS significantly reduces mitigation costs, and it complements rather than substitutes other NETs. The key factor limiting DACCS deployment is the rate at which it can be scaled up. Our scenarios’ average DACCS scale-up rates of 1.5 GtCO2/yr would require considerable sorbent production and up to 300 EJ/yr of energy input by 2100. The risk of assuming that DACCS can be deployed at scale, and finding it to be subsequently unavailable, leads to a global temperature overshoot of up to 0.8 °C. DACCS should therefore be developed and deployed alongside, rather than instead of, other mitigation options.","author":[{"dropping-particle":"","family":"Realmonte","given":"Giulia","non-dropping-particle":"","parse-names":false,"suffix":""},{"dropping-particle":"","family":"Drouet","given":"Laurent","non-dropping-particle":"","parse-names":false,"suffix":""},{"dropping-particle":"","family":"Gambhir","given":"Ajay","non-dropping-particle":"","parse-names":false,"suffix":""},{"dropping-particle":"","family":"Glynn","given":"James","non-dropping-particle":"","parse-names":false,"suffix":""},{"dropping-particle":"","family":"Hawkes","given":"Adam","non-dropping-particle":"","parse-names":false,"suffix":""},{"dropping-particle":"","family":"Köberle","given":"Alexandre C.","non-dropping-particle":"","parse-names":false,"suffix":""},{"dropping-particle":"","family":"Tavoni","given":"Massimo","non-dropping-particle":"","parse-names":false,"suffix":""}],"container-title":"Nature Communications","id":"ITEM-2","issue":"1","issued":{"date-parts":[["2019"]]},"page":"1-12","publisher":"Springer US","title":"An inter-model assessment of the role of direct air capture in deep mitigation pathways","type":"article-journal","volume":"10"}}],"schema":"https://github.com/citation-style-language/schema/raw/master/csl-citation.json"} </w:instrText>
      </w:r>
      <w:r w:rsidR="00D12DB9" w:rsidRPr="002268CE">
        <w:rPr>
          <w:rFonts w:ascii="Times New Roman" w:hAnsi="Times New Roman"/>
          <w:sz w:val="20"/>
          <w:szCs w:val="20"/>
        </w:rPr>
        <w:fldChar w:fldCharType="separate"/>
      </w:r>
      <w:r w:rsidR="0051129D" w:rsidRPr="0051129D">
        <w:rPr>
          <w:rFonts w:ascii="Times New Roman" w:hAnsi="Times New Roman" w:cs="Times New Roman"/>
          <w:sz w:val="20"/>
        </w:rPr>
        <w:t>[19,20]</w:t>
      </w:r>
      <w:r w:rsidR="00D12DB9" w:rsidRPr="002268CE">
        <w:rPr>
          <w:rFonts w:ascii="Times New Roman" w:hAnsi="Times New Roman"/>
          <w:sz w:val="20"/>
          <w:szCs w:val="20"/>
        </w:rPr>
        <w:fldChar w:fldCharType="end"/>
      </w:r>
      <w:r w:rsidR="002268CE" w:rsidRPr="002268CE">
        <w:rPr>
          <w:rFonts w:ascii="Times New Roman" w:hAnsi="Times New Roman"/>
          <w:sz w:val="20"/>
          <w:szCs w:val="20"/>
        </w:rPr>
        <w:t>,</w:t>
      </w:r>
      <w:r w:rsidR="003B496D" w:rsidRPr="002268CE">
        <w:rPr>
          <w:rFonts w:ascii="Times New Roman" w:hAnsi="Times New Roman"/>
          <w:sz w:val="20"/>
          <w:szCs w:val="20"/>
        </w:rPr>
        <w:t xml:space="preserve"> </w:t>
      </w:r>
      <w:r w:rsidR="00217DA3">
        <w:rPr>
          <w:rFonts w:ascii="Times New Roman" w:hAnsi="Times New Roman"/>
          <w:sz w:val="20"/>
          <w:szCs w:val="20"/>
        </w:rPr>
        <w:t>or involve biogenic carbon through</w:t>
      </w:r>
      <w:r w:rsidR="003B496D" w:rsidRPr="002268CE">
        <w:rPr>
          <w:rFonts w:ascii="Times New Roman" w:hAnsi="Times New Roman"/>
          <w:sz w:val="20"/>
          <w:szCs w:val="20"/>
        </w:rPr>
        <w:t xml:space="preserve"> </w:t>
      </w:r>
      <w:r w:rsidR="00217DA3">
        <w:rPr>
          <w:rFonts w:ascii="Times New Roman" w:hAnsi="Times New Roman"/>
          <w:sz w:val="20"/>
          <w:szCs w:val="20"/>
        </w:rPr>
        <w:t xml:space="preserve">the use of </w:t>
      </w:r>
      <w:r w:rsidR="00BF2343" w:rsidRPr="002268CE">
        <w:rPr>
          <w:rFonts w:ascii="Times New Roman" w:hAnsi="Times New Roman"/>
          <w:sz w:val="20"/>
          <w:szCs w:val="20"/>
        </w:rPr>
        <w:t xml:space="preserve">syngas </w:t>
      </w:r>
      <w:r w:rsidR="003B496D" w:rsidRPr="002268CE">
        <w:rPr>
          <w:rFonts w:ascii="Times New Roman" w:hAnsi="Times New Roman"/>
          <w:sz w:val="20"/>
          <w:szCs w:val="20"/>
        </w:rPr>
        <w:t>ste</w:t>
      </w:r>
      <w:r w:rsidR="00BF2343" w:rsidRPr="002268CE">
        <w:rPr>
          <w:rFonts w:ascii="Times New Roman" w:hAnsi="Times New Roman"/>
          <w:sz w:val="20"/>
          <w:szCs w:val="20"/>
        </w:rPr>
        <w:t xml:space="preserve">mming from biomass gasification, or </w:t>
      </w:r>
      <w:r w:rsidR="0019638E" w:rsidRPr="002268CE">
        <w:rPr>
          <w:rFonts w:ascii="Times New Roman" w:hAnsi="Times New Roman"/>
          <w:sz w:val="20"/>
          <w:szCs w:val="20"/>
        </w:rPr>
        <w:t>syngas through</w:t>
      </w:r>
      <w:r w:rsidR="00BF2343" w:rsidRPr="002268CE">
        <w:rPr>
          <w:rFonts w:ascii="Times New Roman" w:hAnsi="Times New Roman"/>
          <w:sz w:val="20"/>
          <w:szCs w:val="20"/>
        </w:rPr>
        <w:t xml:space="preserve"> high-temperature co-electrolysis </w:t>
      </w:r>
      <w:r w:rsidR="00D12DB9"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8pL15ux","properties":{"formattedCitation":"[21]","plainCitation":"[21]","noteIndex":0},"citationItems":[{"id":"968HXJ10/ekEyyPJY","uris":["http://www.mendeley.com/documents/?uuid=fed2c73d-50fa-412e-9a31-3fe87556e2f8"],"uri":["http://www.mendeley.com/documents/?uuid=fed2c73d-50fa-412e-9a31-3fe87556e2f8"],"itemData":{"ISBN":"6103544947","author":[{"dropping-particle":"","family":"Sunfire","given":"","non-dropping-particle":"","parse-names":false,"suffix":""}],"container-title":"Sunfire GmbH Press release","id":"ITEM-1","issued":{"date-parts":[["2019"]]},"page":"1-3","title":"Breakthrough for power-to-x: Sunfire puts first co-electrolysis into operation and starts scaling","type":"article-newspaper"}}],"schema":"https://github.com/citation-style-language/schema/raw/master/csl-citation.json"} </w:instrText>
      </w:r>
      <w:r w:rsidR="00D12DB9" w:rsidRPr="002268CE">
        <w:rPr>
          <w:rFonts w:ascii="Times New Roman" w:hAnsi="Times New Roman"/>
          <w:sz w:val="20"/>
          <w:szCs w:val="20"/>
        </w:rPr>
        <w:fldChar w:fldCharType="separate"/>
      </w:r>
      <w:r w:rsidR="0051129D" w:rsidRPr="0051129D">
        <w:rPr>
          <w:rFonts w:ascii="Times New Roman" w:hAnsi="Times New Roman" w:cs="Times New Roman"/>
          <w:sz w:val="20"/>
        </w:rPr>
        <w:t>[21]</w:t>
      </w:r>
      <w:r w:rsidR="00D12DB9" w:rsidRPr="002268CE">
        <w:rPr>
          <w:rFonts w:ascii="Times New Roman" w:hAnsi="Times New Roman"/>
          <w:sz w:val="20"/>
          <w:szCs w:val="20"/>
        </w:rPr>
        <w:fldChar w:fldCharType="end"/>
      </w:r>
      <w:r w:rsidR="002268CE" w:rsidRPr="002268CE">
        <w:rPr>
          <w:rFonts w:ascii="Times New Roman" w:hAnsi="Times New Roman"/>
          <w:sz w:val="20"/>
          <w:szCs w:val="20"/>
        </w:rPr>
        <w:t>.</w:t>
      </w:r>
      <w:r w:rsidR="003B496D" w:rsidRPr="002268CE">
        <w:rPr>
          <w:rFonts w:ascii="Times New Roman" w:hAnsi="Times New Roman"/>
          <w:sz w:val="20"/>
          <w:szCs w:val="20"/>
        </w:rPr>
        <w:t xml:space="preserve"> </w:t>
      </w:r>
      <w:r w:rsidR="00683652" w:rsidRPr="002268CE">
        <w:rPr>
          <w:rFonts w:ascii="Times New Roman" w:hAnsi="Times New Roman"/>
          <w:sz w:val="20"/>
          <w:szCs w:val="20"/>
        </w:rPr>
        <w:t>It may also stem from CO</w:t>
      </w:r>
      <w:r w:rsidR="00683652" w:rsidRPr="002268CE">
        <w:rPr>
          <w:rFonts w:ascii="Times New Roman" w:hAnsi="Times New Roman"/>
          <w:sz w:val="20"/>
          <w:szCs w:val="20"/>
          <w:vertAlign w:val="subscript"/>
        </w:rPr>
        <w:t>2</w:t>
      </w:r>
      <w:r w:rsidR="00683652" w:rsidRPr="002268CE">
        <w:rPr>
          <w:rFonts w:ascii="Times New Roman" w:hAnsi="Times New Roman"/>
          <w:sz w:val="20"/>
          <w:szCs w:val="20"/>
        </w:rPr>
        <w:t xml:space="preserve"> captured from a point source (industrial process) </w:t>
      </w:r>
      <w:r w:rsidR="001B4B96"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5DZp0NPN","properties":{"formattedCitation":"[22\\uc0\\u8211{}24]","plainCitation":"[22–24]","noteIndex":0},"citationItems":[{"id":"968HXJ10/mNxkmTz9","uris":["http://www.mendeley.com/documents/?uuid=a9f5222d-a1da-4e57-9ff3-bc73b40ceb51"],"uri":["http://www.mendeley.com/documents/?uuid=a9f5222d-a1da-4e57-9ff3-bc73b40ceb51"],"itemData":{"DOI":"10.1016/j.ijggc.2011.12.007","ISSN":"17505836","abstract":"Among various configurations of fossil fuel power plants with carbon dioxide capture, this paper focuses on pre-combustion capture technology applied to an Integrated Gasification Combined Cycle power plant using gas-liquid absorption. The paper proposes a detailed study and optimization of plant design (column height and packed dimensions) with CO 2 capture process using different solvents as: aqueous solutions of alkanolamine, dimethyl ethers of polyethylene glycol, chilled methanol and N-Methyl-2-pyrolidone. By developing simulations in Aspen Plus, the following performance results of these physical and chemical solvents, mentioned above, are discussed: overall energy consumption (power consumption, heating and cooling agent consumption), CO 2 specific emissions, net electric power output and plant efficiency. The paper presents as well, the total investment capital cost of an IGCC coal mixed with biomass (sawdust) power plant generating 425-450MW net electricity with (70% CO 2 capture, 80% CO 2 capture and 90% CO 2 capture) and without pre-combustion CO 2 capture.Simulation results show that for evaluated solvents for CO 2 capture, the physical solvent, dimethyl ethers of polyethylene glycol, is more energy efficient that the other physical and chemical solvents investigated. Regarding the economic study, implementation of pre-combustion CO 2 capture on IGCC plant, using dimethyl ethers of polyethylene glycol, leads to an increase of the capital cost with about 19.55% for 70% CO 2 capture, 20.91% for 80% CO 2 capture and 22.55% for 90% CO 2 capture. © 2011 Elsevier Ltd.","author":[{"dropping-particle":"","family":"Padurean","given":"Anamaria","non-dropping-particle":"","parse-names":false,"suffix":""},{"dropping-particle":"","family":"Cormos","given":"Calin Cristian","non-dropping-particle":"","parse-names":false,"suffix":""},{"dropping-particle":"","family":"Agachi","given":"Paul Serban","non-dropping-particle":"","parse-names":false,"suffix":""}],"container-title":"International Journal of Greenhouse Gas Control","id":"ITEM-1","issued":{"date-parts":[["2012"]]},"page":"1-11","publisher":"Elsevier Ltd","title":"Pre-combustion carbon dioxide capture by gas-liquid absorption for Integrated Gasification Combined Cycle power plants","type":"article-journal","volume":"7"}},{"id":"968HXJ10/myNlf51C","uris":["http://www.mendeley.com/documents/?uuid=904a66e3-19b0-4013-8ffe-07e75855a11d"],"uri":["http://www.mendeley.com/documents/?uuid=904a66e3-19b0-4013-8ffe-07e75855a11d"],"itemData":{"DOI":"10.1016/j.fuel.2015.01.014","ISSN":"00162361","abstract":"The purpose of this study is to present the testing of a 30 wt% solution of ethanolamine (MEA) in an advanced CO&lt;inf&gt;2&lt;/inf&gt; capture pilot plant. The mobile pilot plant, designed, constructed and operated by the Institute for Chemical Processing of Coal (IChPW) in cooperation with industrial partners: TAURON Polska Energia and TAURON Wytwarzanie, was used to carry out trials at the Jaworzno II Power Plant in Poland. Thanks to flexible technological design, numerous process flows sheet modifications were tested. The use of split flow or inter-stage absorber cooling is demonstrated and compared to the standard amine process. Presented modifications resulted in an increase of CO&lt;inf&gt;2&lt;/inf&gt; recovery ranging from 3% to 8%, whilst reducing the reboiler heat duty by about 5%. The correlation of CO&lt;inf&gt;2&lt;/inf&gt; recovery, reboiler heat duty and process parameters (solvent loading, L/G ratio) has been established for numerous process flow sheet modifications. The tests provide valuable experimental evidence for modifications described in the literature, mainly through modelling and demonstrate that flow sheet modifications, despite the increase in plant complexity, are worth considering.","author":[{"dropping-particle":"","family":"Stec","given":"Marcin","non-dropping-particle":"","parse-names":false,"suffix":""},{"dropping-particle":"","family":"Tatarczuk","given":"Adam","non-dropping-particle":"","parse-names":false,"suffix":""},{"dropping-particle":"","family":"Więcław-Solny","given":"Lucyna","non-dropping-particle":"","parse-names":false,"suffix":""},{"dropping-particle":"","family":"Krótki","given":"Aleksander","non-dropping-particle":"","parse-names":false,"suffix":""},{"dropping-particle":"","family":"͆ciązko","given":"Marek","non-dropping-particle":"","parse-names":false,"suffix":""},{"dropping-particle":"","family":"Tokarski","given":"Stanisław","non-dropping-particle":"","parse-names":false,"suffix":""}],"container-title":"Fuel","id":"ITEM-2","issued":{"date-parts":[["2015"]]},"page":"50-56","title":"Pilot plant results for advanced CO&lt;inf&gt;2&lt;/inf&gt; capture process using amine scrubbing at the Jaworzno II Power Plant in Poland","type":"article-journal","volume":"151"}},{"id":"968HXJ10/cgVdYtyb","uris":["http://www.mendeley.com/documents/?uuid=a1da6e6a-38a5-43ab-9f57-84387907f565"],"uri":["http://www.mendeley.com/documents/?uuid=a1da6e6a-38a5-43ab-9f57-84387907f565"],"itemData":{"DOI":"10.1016/j.egypro.2017.03.1754","ISSN":"18766102","abstract":"Calcium looping has been demonstrated to be a promising technology for CO2 capture in fossil fuel fired power plants due to its high energy efficiency. Synergies between the calcium looping process and cement production endorse that the calcium looping process is a highly suitable CO2 capture process for the cement industry. In this poster, first experimental results from calcium looping for cement plant application are presented. The results were obtained at a 200 kWth pilot plant operating with two interconnected circulated fluidized beds.","author":[{"dropping-particle":"","family":"Hornberger","given":"M.","non-dropping-particle":"","parse-names":false,"suffix":""},{"dropping-particle":"","family":"Spörl","given":"R.","non-dropping-particle":"","parse-names":false,"suffix":""},{"dropping-particle":"","family":"Scheffknecht","given":"G.","non-dropping-particle":"","parse-names":false,"suffix":""}],"container-title":"Energy Procedia","id":"ITEM-3","issue":"November 2016","issued":{"date-parts":[["2017"]]},"page":"6171-6174","publisher":"Elsevier B.V.","title":"Calcium Looping for CO2 Capture in Cement Plants - Pilot Scale Test","type":"article-journal","volume":"114"}}],"schema":"https://github.com/citation-style-language/schema/raw/master/csl-citation.json"} </w:instrText>
      </w:r>
      <w:r w:rsidR="001B4B96" w:rsidRPr="002268CE">
        <w:rPr>
          <w:rFonts w:ascii="Times New Roman" w:hAnsi="Times New Roman"/>
          <w:sz w:val="20"/>
          <w:szCs w:val="20"/>
        </w:rPr>
        <w:fldChar w:fldCharType="separate"/>
      </w:r>
      <w:r w:rsidR="0051129D" w:rsidRPr="0051129D">
        <w:rPr>
          <w:rFonts w:ascii="Times New Roman" w:hAnsi="Times New Roman" w:cs="Times New Roman"/>
          <w:sz w:val="20"/>
          <w:szCs w:val="24"/>
        </w:rPr>
        <w:t>[22–24]</w:t>
      </w:r>
      <w:r w:rsidR="001B4B96" w:rsidRPr="002268CE">
        <w:rPr>
          <w:rFonts w:ascii="Times New Roman" w:hAnsi="Times New Roman"/>
          <w:sz w:val="20"/>
          <w:szCs w:val="20"/>
        </w:rPr>
        <w:fldChar w:fldCharType="end"/>
      </w:r>
      <w:r w:rsidR="002268CE" w:rsidRPr="002268CE">
        <w:rPr>
          <w:rFonts w:ascii="Times New Roman" w:hAnsi="Times New Roman"/>
          <w:sz w:val="20"/>
          <w:szCs w:val="20"/>
        </w:rPr>
        <w:t>.</w:t>
      </w:r>
      <w:r w:rsidR="00683652" w:rsidRPr="002268CE">
        <w:rPr>
          <w:rFonts w:ascii="Times New Roman" w:hAnsi="Times New Roman"/>
          <w:sz w:val="20"/>
          <w:szCs w:val="20"/>
        </w:rPr>
        <w:t xml:space="preserve"> </w:t>
      </w:r>
      <w:r w:rsidR="001F1372">
        <w:rPr>
          <w:rFonts w:ascii="Times New Roman" w:hAnsi="Times New Roman"/>
          <w:sz w:val="20"/>
          <w:szCs w:val="20"/>
        </w:rPr>
        <w:t>Liquid fuels are</w:t>
      </w:r>
      <w:r w:rsidR="00E03E33" w:rsidRPr="002268CE">
        <w:rPr>
          <w:rFonts w:ascii="Times New Roman" w:hAnsi="Times New Roman"/>
          <w:sz w:val="20"/>
          <w:szCs w:val="20"/>
        </w:rPr>
        <w:t xml:space="preserve"> then produced through the FT process </w:t>
      </w:r>
      <w:r w:rsidR="00D12DB9"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3ohJWv3d","properties":{"formattedCitation":"[21]","plainCitation":"[21]","noteIndex":0},"citationItems":[{"id":"968HXJ10/ekEyyPJY","uris":["http://www.mendeley.com/documents/?uuid=fed2c73d-50fa-412e-9a31-3fe87556e2f8"],"uri":["http://www.mendeley.com/documents/?uuid=fed2c73d-50fa-412e-9a31-3fe87556e2f8"],"itemData":{"ISBN":"6103544947","author":[{"dropping-particle":"","family":"Sunfire","given":"","non-dropping-particle":"","parse-names":false,"suffix":""}],"container-title":"Sunfire GmbH Press release","id":"ITEM-1","issued":{"date-parts":[["2019"]]},"page":"1-3","title":"Breakthrough for power-to-x: Sunfire puts first co-electrolysis into operation and starts scaling","type":"article-newspaper"}}],"schema":"https://github.com/citation-style-language/schema/raw/master/csl-citation.json"} </w:instrText>
      </w:r>
      <w:r w:rsidR="00D12DB9" w:rsidRPr="002268CE">
        <w:rPr>
          <w:rFonts w:ascii="Times New Roman" w:hAnsi="Times New Roman"/>
          <w:sz w:val="20"/>
          <w:szCs w:val="20"/>
        </w:rPr>
        <w:fldChar w:fldCharType="separate"/>
      </w:r>
      <w:r w:rsidR="0051129D" w:rsidRPr="0051129D">
        <w:rPr>
          <w:rFonts w:ascii="Times New Roman" w:hAnsi="Times New Roman" w:cs="Times New Roman"/>
          <w:sz w:val="20"/>
        </w:rPr>
        <w:t>[21]</w:t>
      </w:r>
      <w:r w:rsidR="00D12DB9" w:rsidRPr="002268CE">
        <w:rPr>
          <w:rFonts w:ascii="Times New Roman" w:hAnsi="Times New Roman"/>
          <w:sz w:val="20"/>
          <w:szCs w:val="20"/>
        </w:rPr>
        <w:fldChar w:fldCharType="end"/>
      </w:r>
      <w:r w:rsidR="00E03E33" w:rsidRPr="002268CE">
        <w:rPr>
          <w:rFonts w:ascii="Times New Roman" w:hAnsi="Times New Roman"/>
          <w:sz w:val="20"/>
          <w:szCs w:val="20"/>
        </w:rPr>
        <w:t xml:space="preserve"> or methanol </w:t>
      </w:r>
      <w:r w:rsidR="00683652" w:rsidRPr="002268CE">
        <w:rPr>
          <w:rFonts w:ascii="Times New Roman" w:hAnsi="Times New Roman"/>
          <w:sz w:val="20"/>
          <w:szCs w:val="20"/>
        </w:rPr>
        <w:t>(CH</w:t>
      </w:r>
      <w:r w:rsidR="00683652" w:rsidRPr="002268CE">
        <w:rPr>
          <w:rFonts w:ascii="Times New Roman" w:hAnsi="Times New Roman"/>
          <w:sz w:val="20"/>
          <w:szCs w:val="20"/>
          <w:vertAlign w:val="subscript"/>
        </w:rPr>
        <w:t>3</w:t>
      </w:r>
      <w:r w:rsidR="00683652" w:rsidRPr="002268CE">
        <w:rPr>
          <w:rFonts w:ascii="Times New Roman" w:hAnsi="Times New Roman"/>
          <w:sz w:val="20"/>
          <w:szCs w:val="20"/>
        </w:rPr>
        <w:t xml:space="preserve">OH) </w:t>
      </w:r>
      <w:r w:rsidR="00E03E33" w:rsidRPr="002268CE">
        <w:rPr>
          <w:rFonts w:ascii="Times New Roman" w:hAnsi="Times New Roman"/>
          <w:sz w:val="20"/>
          <w:szCs w:val="20"/>
        </w:rPr>
        <w:t xml:space="preserve">synthesis </w:t>
      </w:r>
      <w:r w:rsidR="00914E39"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JO003ruW","properties":{"formattedCitation":"[25,26]","plainCitation":"[25,26]","noteIndex":0},"citationItems":[{"id":"968HXJ10/WjeeF2tI","uris":["http://www.mendeley.com/documents/?uuid=9d3beeb4-8fde-4d20-9fd6-b92786aeca1f"],"uri":["http://www.mendeley.com/documents/?uuid=9d3beeb4-8fde-4d20-9fd6-b92786aeca1f"],"itemData":{"DOI":"10.1016/j.rser.2018.07.030","ISSN":"18790690","abstract":"This article reviews the issues facing co-electrolysis and its applications to the power-to-methanol process. Co-electrolysis is an attractive process for syngas production that uses excess generated electricity. In extended applications, syngas produced from co-electrolysis can be used for various applications like methanol production. In this review, the power-to-methanol process is comprehensively discussed from a process systems engineering viewpoint. The subjects discussed include the reason to choose methanol as a final product, the latest progress in power-to-methanol projects, and a comparison of methanol production from H2-CO (from co-electrolysis) and H2-CO2 mixtures (from electrolysis). Syngas production pathways from co-electrolysis and electrolysis are further investigated, and potential power-to-methanol schemes using co-electrolysis are deployed. Lastly, research directions are proposed to accelerate power-to-methanol commercialization.","author":[{"dropping-particle":"","family":"Andika","given":"Riezqa","non-dropping-particle":"","parse-names":false,"suffix":""},{"dropping-particle":"","family":"Nandiyanto","given":"Asep Bayu Dani","non-dropping-particle":"","parse-names":false,"suffix":""},{"dropping-particle":"","family":"Putra","given":"Zulfan Adi","non-dropping-particle":"","parse-names":false,"suffix":""},{"dropping-particle":"","family":"Bilad","given":"Muhammad Roil","non-dropping-particle":"","parse-names":false,"suffix":""},{"dropping-particle":"","family":"Kim","given":"Young","non-dropping-particle":"","parse-names":false,"suffix":""},{"dropping-particle":"","family":"Yun","given":"Choa Mun","non-dropping-particle":"","parse-names":false,"suffix":""},{"dropping-particle":"","family":"Lee","given":"Moonyong","non-dropping-particle":"","parse-names":false,"suffix":""}],"container-title":"Renewable and Sustainable Energy Reviews","id":"ITEM-1","issue":"July","issued":{"date-parts":[["2018"]]},"page":"227-241","publisher":"Elsevier Ltd","title":"Co-electrolysis for power-to-methanol applications","type":"article-journal","volume":"95"}},{"id":"968HXJ10/xcoAFHUB","uris":["http://www.mendeley.com/documents/?uuid=c34cef72-601a-4a4e-ad93-bc3b00bf92a7"],"uri":["http://www.mendeley.com/documents/?uuid=c34cef72-601a-4a4e-ad93-bc3b00bf92a7"],"itemData":{"abstract":"The 2015 Paris Agreement requires massive green- house gas emission reductions in all sectors by mid-century. Renewable fuels are a major building block to achieve substantial absolute emission re- ductions in aviation. This study gives an introduction into the novel concept of producing renewable jet fuel using renewable electricity, so-called Power- to-Liquids (PtL). The PtL production pathways and the drop-in capability of the resulting jet fuel are explained and their comparative performances are discussed in terms of greenhouse gas emissions, energy efficiencies, costs, water demand and land requirements. The study is directed towards industry, politics and non-governmental actors in aviation; experts in aviation emissions and renewable jet fuels; and the interested public in the field.","author":[{"dropping-particle":"","family":"Schmidt","given":"Patrick","non-dropping-particle":"","parse-names":false,"suffix":""},{"dropping-particle":"","family":"Weindorf","given":"Werner","non-dropping-particle":"","parse-names":false,"suffix":""}],"container-title":"Dessau-Roßlau","id":"ITEM-2","issue":"september","issued":{"date-parts":[["2016"]]},"page":"1-36","title":"Power-to-Liquids: Potentials and Perspectives for the Future Supply of Renewable Aviation Fuel","type":"article-journal"}}],"schema":"https://github.com/citation-style-language/schema/raw/master/csl-citation.json"} </w:instrText>
      </w:r>
      <w:r w:rsidR="00914E39" w:rsidRPr="002268CE">
        <w:rPr>
          <w:rFonts w:ascii="Times New Roman" w:hAnsi="Times New Roman"/>
          <w:sz w:val="20"/>
          <w:szCs w:val="20"/>
        </w:rPr>
        <w:fldChar w:fldCharType="separate"/>
      </w:r>
      <w:r w:rsidR="0051129D" w:rsidRPr="0051129D">
        <w:rPr>
          <w:rFonts w:ascii="Times New Roman" w:hAnsi="Times New Roman" w:cs="Times New Roman"/>
          <w:sz w:val="20"/>
        </w:rPr>
        <w:t>[25,26]</w:t>
      </w:r>
      <w:r w:rsidR="00914E39" w:rsidRPr="002268CE">
        <w:rPr>
          <w:rFonts w:ascii="Times New Roman" w:hAnsi="Times New Roman"/>
          <w:sz w:val="20"/>
          <w:szCs w:val="20"/>
        </w:rPr>
        <w:fldChar w:fldCharType="end"/>
      </w:r>
      <w:r w:rsidR="002268CE" w:rsidRPr="002268CE">
        <w:rPr>
          <w:rFonts w:ascii="Times New Roman" w:hAnsi="Times New Roman"/>
          <w:sz w:val="20"/>
          <w:szCs w:val="20"/>
        </w:rPr>
        <w:t>.</w:t>
      </w:r>
      <w:r w:rsidR="00E03E33">
        <w:rPr>
          <w:rFonts w:ascii="Times New Roman" w:hAnsi="Times New Roman"/>
          <w:sz w:val="20"/>
          <w:szCs w:val="20"/>
        </w:rPr>
        <w:t xml:space="preserve"> </w:t>
      </w:r>
    </w:p>
    <w:p w14:paraId="126DFA6F" w14:textId="7E0411A1" w:rsidR="009E2256" w:rsidRPr="002268CE" w:rsidRDefault="009F2D29" w:rsidP="00290530">
      <w:pPr>
        <w:spacing w:after="120" w:line="276" w:lineRule="auto"/>
        <w:jc w:val="thaiDistribute"/>
        <w:rPr>
          <w:rFonts w:ascii="Times New Roman" w:hAnsi="Times New Roman"/>
          <w:sz w:val="20"/>
          <w:szCs w:val="20"/>
        </w:rPr>
      </w:pPr>
      <w:r>
        <w:rPr>
          <w:rFonts w:ascii="Times New Roman" w:hAnsi="Times New Roman"/>
          <w:sz w:val="20"/>
          <w:szCs w:val="20"/>
        </w:rPr>
        <w:t xml:space="preserve">Other alternative </w:t>
      </w:r>
      <w:r w:rsidR="00593B83">
        <w:rPr>
          <w:rFonts w:ascii="Times New Roman" w:hAnsi="Times New Roman"/>
          <w:sz w:val="20"/>
          <w:szCs w:val="20"/>
        </w:rPr>
        <w:t xml:space="preserve">technologies </w:t>
      </w:r>
      <w:r w:rsidR="00C96DAF">
        <w:rPr>
          <w:rFonts w:ascii="Times New Roman" w:hAnsi="Times New Roman"/>
          <w:sz w:val="20"/>
          <w:szCs w:val="20"/>
        </w:rPr>
        <w:t>are here labelled as</w:t>
      </w:r>
      <w:r w:rsidR="00CB5653">
        <w:rPr>
          <w:rFonts w:ascii="Times New Roman" w:hAnsi="Times New Roman"/>
          <w:sz w:val="20"/>
          <w:szCs w:val="20"/>
        </w:rPr>
        <w:t xml:space="preserve"> </w:t>
      </w:r>
      <w:r w:rsidR="00C96DAF">
        <w:rPr>
          <w:rFonts w:ascii="Times New Roman" w:hAnsi="Times New Roman"/>
          <w:sz w:val="20"/>
          <w:szCs w:val="20"/>
        </w:rPr>
        <w:t>carbon-free options, as they</w:t>
      </w:r>
      <w:r w:rsidR="00971E8B">
        <w:rPr>
          <w:rFonts w:ascii="Times New Roman" w:hAnsi="Times New Roman"/>
          <w:sz w:val="20"/>
          <w:szCs w:val="20"/>
        </w:rPr>
        <w:t xml:space="preserve"> intrinsically</w:t>
      </w:r>
      <w:r w:rsidR="00C96DAF">
        <w:rPr>
          <w:rFonts w:ascii="Times New Roman" w:hAnsi="Times New Roman"/>
          <w:sz w:val="20"/>
          <w:szCs w:val="20"/>
        </w:rPr>
        <w:t xml:space="preserve"> </w:t>
      </w:r>
      <w:r w:rsidR="00971E8B">
        <w:rPr>
          <w:rFonts w:ascii="Times New Roman" w:hAnsi="Times New Roman"/>
          <w:sz w:val="20"/>
          <w:szCs w:val="20"/>
        </w:rPr>
        <w:t>intend to decouple aviation energy sourcing</w:t>
      </w:r>
      <w:r w:rsidR="00C96DAF">
        <w:rPr>
          <w:rFonts w:ascii="Times New Roman" w:hAnsi="Times New Roman"/>
          <w:sz w:val="20"/>
          <w:szCs w:val="20"/>
        </w:rPr>
        <w:t xml:space="preserve"> from a carbon source</w:t>
      </w:r>
      <w:r w:rsidR="00D04D23">
        <w:rPr>
          <w:rFonts w:ascii="Times New Roman" w:hAnsi="Times New Roman"/>
          <w:sz w:val="20"/>
          <w:szCs w:val="20"/>
        </w:rPr>
        <w:t xml:space="preserve">. </w:t>
      </w:r>
      <w:r w:rsidR="0062071E">
        <w:rPr>
          <w:rFonts w:ascii="Times New Roman" w:hAnsi="Times New Roman"/>
          <w:sz w:val="20"/>
          <w:szCs w:val="20"/>
        </w:rPr>
        <w:t xml:space="preserve">This includes the use of electric batteries for aviation, </w:t>
      </w:r>
      <w:r w:rsidR="00971E8B">
        <w:rPr>
          <w:rFonts w:ascii="Times New Roman" w:hAnsi="Times New Roman"/>
          <w:sz w:val="20"/>
          <w:szCs w:val="20"/>
        </w:rPr>
        <w:t xml:space="preserve">a </w:t>
      </w:r>
      <w:r w:rsidR="0062071E">
        <w:rPr>
          <w:rFonts w:ascii="Times New Roman" w:hAnsi="Times New Roman"/>
          <w:sz w:val="20"/>
          <w:szCs w:val="20"/>
        </w:rPr>
        <w:t xml:space="preserve">rapidly developing area of research for using either fully electric propulsion or </w:t>
      </w:r>
      <w:r w:rsidR="00501830" w:rsidRPr="002268CE">
        <w:rPr>
          <w:rFonts w:ascii="Times New Roman" w:hAnsi="Times New Roman"/>
          <w:sz w:val="20"/>
          <w:szCs w:val="20"/>
        </w:rPr>
        <w:t xml:space="preserve">hybrid </w:t>
      </w:r>
      <w:r w:rsidR="008630F3" w:rsidRPr="002268CE">
        <w:rPr>
          <w:rFonts w:ascii="Times New Roman" w:hAnsi="Times New Roman"/>
          <w:sz w:val="20"/>
          <w:szCs w:val="20"/>
        </w:rPr>
        <w:t xml:space="preserve">electric propulsions </w:t>
      </w:r>
      <w:r w:rsidR="005460F4"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6j7xS8Nu","properties":{"formattedCitation":"[27,28]","plainCitation":"[27,28]","noteIndex":0},"citationItems":[{"id":"968HXJ10/mGEa3YV5","uris":["http://www.mendeley.com/documents/?uuid=91fbef27-778a-4f0f-910f-0faf680e81c7"],"uri":["http://www.mendeley.com/documents/?uuid=91fbef27-778a-4f0f-910f-0faf680e81c7"],"itemData":{"author":[{"dropping-particle":"","family":"Misra","given":"Ajay","non-dropping-particle":"","parse-names":false,"suffix":""}],"container-title":"40th International Conference and Expo on Advanced  Ceramics and Composites","id":"ITEM-1","issued":{"date-parts":[["2016"]]},"title":"Energy Conversion and Storage Requirements for Hybrid Electric Aircraft","type":"article-journal"}},{"id":"968HXJ10/zhnjb6IV","uris":["http://www.mendeley.com/documents/?uuid=caabf6fe-3334-4288-a290-6bb24e1af54d"],"uri":["http://www.mendeley.com/documents/?uuid=caabf6fe-3334-4288-a290-6bb24e1af54d"],"itemData":{"DOI":"10.3390/en11010217","ISSN":"19961073","abstract":"Ambitious targets to reduce emissions caused by aviation in the light of an expected ongoing rise of the air transport demand in the future drive the research of propulsion systems with lower CO2 emissions. Regional hybrid electric aircraft (HEA) powered by conventional gas turbines and battery powered electric motors are investigated to test hybrid propulsion operation strategies. Especially the role of the battery within environmentally friendly concepts with significantly reduced carbon footprint is analyzed. Thus, a new simulation approach for HEA is introduced. The main findings underline the importance of choosing the right power-to-energy-ratio of a battery according to the flight mission. The gravimetric energy and power density of the electric storages determine the technologically feasibility of hybrid concepts. Cost competitive HEA configurations are found, but do not promise the targeted CO2 emission savings, when the well-to-wheel system is regarded with its actual costs. Sensitivity studies are used to determine external levers that favor the profitability of HEA.","author":[{"dropping-particle":"","family":"Hoelzen","given":"Julian","non-dropping-particle":"","parse-names":false,"suffix":""},{"dropping-particle":"","family":"Liu","given":"Yaolong","non-dropping-particle":"","parse-names":false,"suffix":""},{"dropping-particle":"","family":"Bensmann","given":"Boris","non-dropping-particle":"","parse-names":false,"suffix":""},{"dropping-particle":"","family":"Winnefeld","given":"Christopher","non-dropping-particle":"","parse-names":false,"suffix":""},{"dropping-particle":"","family":"Elham","given":"Ali","non-dropping-particle":"","parse-names":false,"suffix":""},{"dropping-particle":"","family":"Friedrichs","given":"Jens","non-dropping-particle":"","parse-names":false,"suffix":""},{"dropping-particle":"","family":"Hanke-Rauschenbach","given":"Richard","non-dropping-particle":"","parse-names":false,"suffix":""}],"container-title":"Energies","id":"ITEM-2","issue":"1","issued":{"date-parts":[["2018"]]},"page":"1-26","title":"Conceptual design of operation strategies for hybrid electric aircraft","type":"article-journal","volume":"11"}}],"schema":"https://github.com/citation-style-language/schema/raw/master/csl-citation.json"} </w:instrText>
      </w:r>
      <w:r w:rsidR="005460F4" w:rsidRPr="002268CE">
        <w:rPr>
          <w:rFonts w:ascii="Times New Roman" w:hAnsi="Times New Roman"/>
          <w:sz w:val="20"/>
          <w:szCs w:val="20"/>
        </w:rPr>
        <w:fldChar w:fldCharType="separate"/>
      </w:r>
      <w:r w:rsidR="0051129D" w:rsidRPr="0051129D">
        <w:rPr>
          <w:rFonts w:ascii="Times New Roman" w:hAnsi="Times New Roman" w:cs="Times New Roman"/>
          <w:sz w:val="20"/>
        </w:rPr>
        <w:t>[27,28]</w:t>
      </w:r>
      <w:r w:rsidR="005460F4" w:rsidRPr="002268CE">
        <w:rPr>
          <w:rFonts w:ascii="Times New Roman" w:hAnsi="Times New Roman"/>
          <w:sz w:val="20"/>
          <w:szCs w:val="20"/>
        </w:rPr>
        <w:fldChar w:fldCharType="end"/>
      </w:r>
      <w:r w:rsidR="002268CE" w:rsidRPr="002268CE">
        <w:rPr>
          <w:rFonts w:ascii="Times New Roman" w:hAnsi="Times New Roman"/>
          <w:sz w:val="20"/>
          <w:szCs w:val="20"/>
        </w:rPr>
        <w:t xml:space="preserve">. </w:t>
      </w:r>
      <w:r w:rsidR="00F20E9A" w:rsidRPr="002268CE">
        <w:rPr>
          <w:rFonts w:ascii="Times New Roman" w:hAnsi="Times New Roman"/>
          <w:sz w:val="20"/>
          <w:szCs w:val="20"/>
        </w:rPr>
        <w:t>One</w:t>
      </w:r>
      <w:r w:rsidR="008630F3" w:rsidRPr="002268CE">
        <w:rPr>
          <w:rFonts w:ascii="Times New Roman" w:hAnsi="Times New Roman"/>
          <w:sz w:val="20"/>
          <w:szCs w:val="20"/>
        </w:rPr>
        <w:t xml:space="preserve"> challenge </w:t>
      </w:r>
      <w:r w:rsidR="00F20E9A" w:rsidRPr="002268CE">
        <w:rPr>
          <w:rFonts w:ascii="Times New Roman" w:hAnsi="Times New Roman"/>
          <w:sz w:val="20"/>
          <w:szCs w:val="20"/>
        </w:rPr>
        <w:t>this pose</w:t>
      </w:r>
      <w:r w:rsidR="001F1372">
        <w:rPr>
          <w:rFonts w:ascii="Times New Roman" w:hAnsi="Times New Roman"/>
          <w:sz w:val="20"/>
          <w:szCs w:val="20"/>
        </w:rPr>
        <w:t>s</w:t>
      </w:r>
      <w:r w:rsidR="00F20E9A" w:rsidRPr="002268CE">
        <w:rPr>
          <w:rFonts w:ascii="Times New Roman" w:hAnsi="Times New Roman"/>
          <w:sz w:val="20"/>
          <w:szCs w:val="20"/>
        </w:rPr>
        <w:t xml:space="preserve"> </w:t>
      </w:r>
      <w:r w:rsidR="008630F3" w:rsidRPr="002268CE">
        <w:rPr>
          <w:rFonts w:ascii="Times New Roman" w:hAnsi="Times New Roman"/>
          <w:sz w:val="20"/>
          <w:szCs w:val="20"/>
        </w:rPr>
        <w:t xml:space="preserve">is the development of </w:t>
      </w:r>
      <w:r w:rsidR="00F20E9A" w:rsidRPr="002268CE">
        <w:rPr>
          <w:rFonts w:ascii="Times New Roman" w:hAnsi="Times New Roman"/>
          <w:sz w:val="20"/>
          <w:szCs w:val="20"/>
        </w:rPr>
        <w:t>energy-dense batteries as light and compact as possible</w:t>
      </w:r>
      <w:r w:rsidR="00A67B46" w:rsidRPr="002268CE">
        <w:rPr>
          <w:rFonts w:ascii="Times New Roman" w:hAnsi="Times New Roman"/>
          <w:sz w:val="20"/>
          <w:szCs w:val="20"/>
        </w:rPr>
        <w:t xml:space="preserve">. </w:t>
      </w:r>
      <w:r w:rsidR="006A3928" w:rsidRPr="002268CE">
        <w:rPr>
          <w:rFonts w:ascii="Times New Roman" w:hAnsi="Times New Roman"/>
          <w:sz w:val="20"/>
          <w:szCs w:val="20"/>
        </w:rPr>
        <w:t xml:space="preserve">Additionally, </w:t>
      </w:r>
      <w:r w:rsidR="00501830" w:rsidRPr="002268CE">
        <w:rPr>
          <w:rFonts w:ascii="Times New Roman" w:hAnsi="Times New Roman"/>
          <w:sz w:val="20"/>
          <w:szCs w:val="20"/>
        </w:rPr>
        <w:t>hydrogen</w:t>
      </w:r>
      <w:r w:rsidR="00593B83" w:rsidRPr="002268CE">
        <w:rPr>
          <w:rFonts w:ascii="Times New Roman" w:hAnsi="Times New Roman"/>
          <w:sz w:val="20"/>
          <w:szCs w:val="20"/>
        </w:rPr>
        <w:t xml:space="preserve"> (both gases and cryogenic forms)</w:t>
      </w:r>
      <w:r w:rsidR="00F20E9A" w:rsidRPr="002268CE">
        <w:rPr>
          <w:rFonts w:ascii="Times New Roman" w:hAnsi="Times New Roman"/>
          <w:sz w:val="20"/>
          <w:szCs w:val="20"/>
        </w:rPr>
        <w:t xml:space="preserve"> </w:t>
      </w:r>
      <w:r w:rsidR="005460F4"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EmqH6nxu","properties":{"formattedCitation":"[29,30]","plainCitation":"[29,30]","noteIndex":0},"citationItems":[{"id":"968HXJ10/dl9JdcCM","uris":["http://www.mendeley.com/documents/?uuid=82e6f8bc-8f73-4139-86df-119bb560d866"],"uri":["http://www.mendeley.com/documents/?uuid=82e6f8bc-8f73-4139-86df-119bb560d866"],"itemData":{"DOI":"10.1016/j.rser.2019.02.022","ISSN":"18790690","abstract":"The world energy consumption is greatly influenced by the aviation industry with a total energy consumption ranging between 2.5% and 5%. Currently, liquid fossil fuel, which releases various types of Greenhouse Gas (GHG) emissions, is the main fuel in the aviation industry. As the aviation industry grows rapidly to meet the requirements of the increased world population, the demand for environmentally friendly power technology for various applications in the aviation sector has been increased sharply in recent years. Among the various clean power sources, energy obtained from hydrogen is considered the future for energy generation in the aviation industry due to its cleanness and abundance. This paper aims to give an overview of the potential aviation applications where hydrogen and fuel cell technology can be used. Also, the major challenges that limit the wide adoption of hydrogen technology in aviation are highlighted and future research prospects are identified.","author":[{"dropping-particle":"","family":"Baroutaji","given":"Ahmad","non-dropping-particle":"","parse-names":false,"suffix":""},{"dropping-particle":"","family":"Wilberforce","given":"Tabbi","non-dropping-particle":"","parse-names":false,"suffix":""},{"dropping-particle":"","family":"Ramadan","given":"Mohamad","non-dropping-particle":"","parse-names":false,"suffix":""},{"dropping-particle":"","family":"Olabi","given":"Abdul Ghani","non-dropping-particle":"","parse-names":false,"suffix":""}],"container-title":"Renewable and Sustainable Energy Reviews","id":"ITEM-1","issue":"September 2018","issued":{"date-parts":[["2019"]]},"page":"31-40","publisher":"Elsevier Ltd","title":"Comprehensive investigation on hydrogen and fuel cell technology in the aviation and aerospace sectors","type":"article-journal","volume":"106"}},{"id":"968HXJ10/AmZ7STpN","uris":["http://www.mendeley.com/documents/?uuid=074d4e78-3a4c-4fa9-9f4c-3463b19e93be"],"uri":["http://www.mendeley.com/documents/?uuid=074d4e78-3a4c-4fa9-9f4c-3463b19e93be"],"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-2","issued":{"date-parts":[["2020"]]},"title":"Opportunities for Hydrogen in Commercial Aviation","type":"article-journal"}}],"schema":"https://github.com/citation-style-language/schema/raw/master/csl-citation.json"} </w:instrText>
      </w:r>
      <w:r w:rsidR="005460F4" w:rsidRPr="002268CE">
        <w:rPr>
          <w:rFonts w:ascii="Times New Roman" w:hAnsi="Times New Roman"/>
          <w:sz w:val="20"/>
          <w:szCs w:val="20"/>
        </w:rPr>
        <w:fldChar w:fldCharType="separate"/>
      </w:r>
      <w:r w:rsidR="0051129D" w:rsidRPr="0051129D">
        <w:rPr>
          <w:rFonts w:ascii="Times New Roman" w:hAnsi="Times New Roman" w:cs="Times New Roman"/>
          <w:sz w:val="20"/>
        </w:rPr>
        <w:t>[29,30]</w:t>
      </w:r>
      <w:r w:rsidR="005460F4" w:rsidRPr="002268CE">
        <w:rPr>
          <w:rFonts w:ascii="Times New Roman" w:hAnsi="Times New Roman"/>
          <w:sz w:val="20"/>
          <w:szCs w:val="20"/>
        </w:rPr>
        <w:fldChar w:fldCharType="end"/>
      </w:r>
      <w:r w:rsidR="00501830" w:rsidRPr="002268CE">
        <w:rPr>
          <w:rFonts w:ascii="Times New Roman" w:hAnsi="Times New Roman"/>
          <w:sz w:val="20"/>
          <w:szCs w:val="20"/>
        </w:rPr>
        <w:t xml:space="preserve"> and </w:t>
      </w:r>
      <w:r w:rsidR="00F20E9A" w:rsidRPr="002268CE">
        <w:rPr>
          <w:rFonts w:ascii="Times New Roman" w:hAnsi="Times New Roman"/>
          <w:sz w:val="20"/>
          <w:szCs w:val="20"/>
        </w:rPr>
        <w:t xml:space="preserve">solar energy </w:t>
      </w:r>
      <w:r w:rsidR="006917CD" w:rsidRPr="002268CE">
        <w:rPr>
          <w:rFonts w:ascii="Times New Roman" w:hAnsi="Times New Roman"/>
          <w:sz w:val="20"/>
          <w:szCs w:val="20"/>
        </w:rPr>
        <w:t xml:space="preserve">sources </w:t>
      </w:r>
      <w:r w:rsidR="00405A87"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Pqa3qwuN","properties":{"formattedCitation":"[31]","plainCitation":"[31]","noteIndex":0},"citationItems":[{"id":"968HXJ10/XESOk0cA","uris":["http://www.mendeley.com/documents/?uuid=b9bc453f-278b-39a2-9a56-5516cff1e460"],"uri":["http://www.mendeley.com/documents/?uuid=b9bc453f-278b-39a2-9a56-5516cff1e460"],"itemData":{"URL":"https://byeaerospace.com/silent-falcon/","accessed":{"date-parts":[["2020","1","12"]]},"author":[{"dropping-particle":"","family":"ByeAerospace","given":"","non-dropping-particle":"","parse-names":false,"suffix":""}],"container-title":"Bye Aerospace","id":"ITEM-1","issued":{"date-parts":[["2020"]]},"title":"Silent Falcon Solar Electric UAV - Bye Aerospace","type":"webpage"}}],"schema":"https://github.com/citation-style-language/schema/raw/master/csl-citation.json"} </w:instrText>
      </w:r>
      <w:r w:rsidR="00405A87" w:rsidRPr="002268CE">
        <w:rPr>
          <w:rFonts w:ascii="Times New Roman" w:hAnsi="Times New Roman"/>
          <w:sz w:val="20"/>
          <w:szCs w:val="20"/>
        </w:rPr>
        <w:fldChar w:fldCharType="separate"/>
      </w:r>
      <w:r w:rsidR="00CA240D" w:rsidRPr="00CA240D">
        <w:rPr>
          <w:rFonts w:ascii="Times New Roman" w:hAnsi="Times New Roman" w:cs="Times New Roman"/>
          <w:sz w:val="20"/>
        </w:rPr>
        <w:t>[31]</w:t>
      </w:r>
      <w:r w:rsidR="00405A87" w:rsidRPr="002268CE">
        <w:rPr>
          <w:rFonts w:ascii="Times New Roman" w:hAnsi="Times New Roman"/>
          <w:sz w:val="20"/>
          <w:szCs w:val="20"/>
        </w:rPr>
        <w:fldChar w:fldCharType="end"/>
      </w:r>
      <w:r w:rsidR="006A3928" w:rsidRPr="002268CE">
        <w:rPr>
          <w:rFonts w:ascii="Times New Roman" w:hAnsi="Times New Roman"/>
          <w:sz w:val="20"/>
          <w:szCs w:val="20"/>
        </w:rPr>
        <w:t xml:space="preserve"> are currently be</w:t>
      </w:r>
      <w:r w:rsidR="00F20E9A" w:rsidRPr="002268CE">
        <w:rPr>
          <w:rFonts w:ascii="Times New Roman" w:hAnsi="Times New Roman"/>
          <w:sz w:val="20"/>
          <w:szCs w:val="20"/>
        </w:rPr>
        <w:t xml:space="preserve">ing researched </w:t>
      </w:r>
      <w:r w:rsidR="001F1372">
        <w:rPr>
          <w:rFonts w:ascii="Times New Roman" w:hAnsi="Times New Roman"/>
          <w:sz w:val="20"/>
          <w:szCs w:val="20"/>
        </w:rPr>
        <w:t>as alternative options for use</w:t>
      </w:r>
      <w:r w:rsidR="001F1372" w:rsidRPr="002268CE">
        <w:rPr>
          <w:rFonts w:ascii="Times New Roman" w:hAnsi="Times New Roman"/>
          <w:sz w:val="20"/>
          <w:szCs w:val="20"/>
        </w:rPr>
        <w:t xml:space="preserve"> </w:t>
      </w:r>
      <w:r w:rsidR="00F20E9A" w:rsidRPr="002268CE">
        <w:rPr>
          <w:rFonts w:ascii="Times New Roman" w:hAnsi="Times New Roman"/>
          <w:sz w:val="20"/>
          <w:szCs w:val="20"/>
        </w:rPr>
        <w:t>in</w:t>
      </w:r>
      <w:r w:rsidR="006A3928" w:rsidRPr="002268CE">
        <w:rPr>
          <w:rFonts w:ascii="Times New Roman" w:hAnsi="Times New Roman"/>
          <w:sz w:val="20"/>
          <w:szCs w:val="20"/>
        </w:rPr>
        <w:t xml:space="preserve"> commercial flights</w:t>
      </w:r>
      <w:r w:rsidR="001F1372">
        <w:rPr>
          <w:rFonts w:ascii="Times New Roman" w:hAnsi="Times New Roman"/>
          <w:sz w:val="20"/>
          <w:szCs w:val="20"/>
        </w:rPr>
        <w:t>.</w:t>
      </w:r>
    </w:p>
    <w:p w14:paraId="202D3105" w14:textId="56E451EE" w:rsidR="002232B7" w:rsidRDefault="00054368" w:rsidP="00290530">
      <w:pPr>
        <w:spacing w:after="120" w:line="276" w:lineRule="auto"/>
        <w:jc w:val="thaiDistribute"/>
        <w:rPr>
          <w:rFonts w:ascii="Times New Roman" w:hAnsi="Times New Roman"/>
          <w:sz w:val="20"/>
          <w:szCs w:val="20"/>
        </w:rPr>
      </w:pPr>
      <w:r w:rsidRPr="002268CE">
        <w:rPr>
          <w:rFonts w:ascii="Times New Roman" w:hAnsi="Times New Roman"/>
          <w:sz w:val="20"/>
          <w:szCs w:val="20"/>
        </w:rPr>
        <w:t xml:space="preserve">Here, we refer to the biofuels, electrofuels and carbon-free alternatives for fueling aviation as “sustainable </w:t>
      </w:r>
      <w:r w:rsidR="00DB27C3">
        <w:rPr>
          <w:rFonts w:ascii="Times New Roman" w:hAnsi="Times New Roman"/>
          <w:sz w:val="20"/>
          <w:szCs w:val="20"/>
        </w:rPr>
        <w:t xml:space="preserve">energy sourcing for aviation” (SESA). </w:t>
      </w:r>
      <w:r w:rsidR="002232B7">
        <w:rPr>
          <w:rFonts w:ascii="Times New Roman" w:hAnsi="Times New Roman"/>
          <w:sz w:val="20"/>
          <w:szCs w:val="20"/>
        </w:rPr>
        <w:t xml:space="preserve">One commonly used denomination is “sustainable aviation fuels” (SAF), but we refrained from using it for two reasons. First, this term is typically used to represent biofuels only </w:t>
      </w:r>
      <w:r w:rsidRPr="002268CE">
        <w:rPr>
          <w:rFonts w:ascii="Times New Roman" w:hAnsi="Times New Roman"/>
          <w:sz w:val="20"/>
          <w:szCs w:val="20"/>
        </w:rPr>
        <w:t xml:space="preserve"> (e.g. </w:t>
      </w:r>
      <w:r w:rsidR="00CB51DD" w:rsidRPr="002268CE">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PQ1vbKWR","properties":{"formattedCitation":"[32]","plainCitation":"[32]","noteIndex":0},"citationItems":[{"id":"968HXJ10/FT1nf4et","uris":["http://www.mendeley.com/documents/?uuid=0c45c090-f811-4e13-ac04-0247e735097b"],"uri":["http://www.mendeley.com/documents/?uuid=0c45c090-f811-4e13-ac04-0247e735097b"],"itemData":{"DOI":"10.1016/j.egypro.2019.01.308","ISSN":"18766102","abstract":"Aviation is steadily growing worldwide as well as in the European Union (EU). Overall, EU transports increased their GreenHouse Gas (GHG) Emissions since 1990, while the other energy sectors succeeded in achieving a constant reduction over the same period. In this context, air transport is the most critical area to decarbonize, given the limited number of options that can be implemented, such as optimization of flight routes, increase of jet engine energy efficiency, and few others. Switching to renewable or low carbon fuels is thus the main opportunity for aviation. Large scale deployment of Sustainable Aviation Fuels (SAF) is however a real challenge, as it requires large investments in new production facilities, strong reduction in production costs (over the entire value chain, i.e. including feedstock production, collection and delivery), and considerable investments in ASTM certification. The present work shortly reviews the perspectives of aviation fuel in terms of demand and GHG emission trends, possible routes to jet fuel production, and the status of ASTM certified routes to jet fuel as of today.","author":[{"dropping-particle":"","family":"Chiaramonti","given":"David","non-dropping-particle":"","parse-names":false,"suffix":""}],"container-title":"Energy Procedia","id":"ITEM-1","issued":{"date-parts":[["2019"]]},"page":"1202-1207","title":"Sustainable aviation fuels: The challenge of decarbonization","type":"paper-conference","volume":"158"}}],"schema":"https://github.com/citation-style-language/schema/raw/master/csl-citation.json"} </w:instrText>
      </w:r>
      <w:r w:rsidR="00CB51DD" w:rsidRPr="002268CE">
        <w:rPr>
          <w:rFonts w:ascii="Times New Roman" w:hAnsi="Times New Roman"/>
          <w:sz w:val="20"/>
          <w:szCs w:val="20"/>
        </w:rPr>
        <w:fldChar w:fldCharType="separate"/>
      </w:r>
      <w:r w:rsidR="00CA240D" w:rsidRPr="00CA240D">
        <w:rPr>
          <w:rFonts w:ascii="Times New Roman" w:hAnsi="Times New Roman" w:cs="Times New Roman"/>
          <w:sz w:val="20"/>
        </w:rPr>
        <w:t>[32]</w:t>
      </w:r>
      <w:r w:rsidR="00CB51DD" w:rsidRPr="002268CE">
        <w:rPr>
          <w:rFonts w:ascii="Times New Roman" w:hAnsi="Times New Roman"/>
          <w:sz w:val="20"/>
          <w:szCs w:val="20"/>
        </w:rPr>
        <w:fldChar w:fldCharType="end"/>
      </w:r>
      <w:r w:rsidRPr="002268CE">
        <w:rPr>
          <w:rFonts w:ascii="Times New Roman" w:hAnsi="Times New Roman"/>
          <w:sz w:val="20"/>
          <w:szCs w:val="20"/>
        </w:rPr>
        <w:t xml:space="preserve">). </w:t>
      </w:r>
      <w:r w:rsidR="002232B7">
        <w:rPr>
          <w:rFonts w:ascii="Times New Roman" w:hAnsi="Times New Roman"/>
          <w:sz w:val="20"/>
          <w:szCs w:val="20"/>
        </w:rPr>
        <w:t xml:space="preserve">Second, some of the emerging technologies (e.g. batteries) do not fit within the concept of fuel, hence we here propose the more </w:t>
      </w:r>
      <w:r w:rsidR="001F1372">
        <w:rPr>
          <w:rFonts w:ascii="Times New Roman" w:hAnsi="Times New Roman"/>
          <w:sz w:val="20"/>
          <w:szCs w:val="20"/>
        </w:rPr>
        <w:t xml:space="preserve">inclusive </w:t>
      </w:r>
      <w:r w:rsidR="002232B7">
        <w:rPr>
          <w:rFonts w:ascii="Times New Roman" w:hAnsi="Times New Roman"/>
          <w:sz w:val="20"/>
          <w:szCs w:val="20"/>
        </w:rPr>
        <w:t xml:space="preserve">SESA </w:t>
      </w:r>
      <w:r w:rsidR="001F1372">
        <w:rPr>
          <w:rFonts w:ascii="Times New Roman" w:hAnsi="Times New Roman"/>
          <w:sz w:val="20"/>
          <w:szCs w:val="20"/>
        </w:rPr>
        <w:t xml:space="preserve">terminology </w:t>
      </w:r>
      <w:r w:rsidR="002232B7">
        <w:rPr>
          <w:rFonts w:ascii="Times New Roman" w:hAnsi="Times New Roman"/>
          <w:sz w:val="20"/>
          <w:szCs w:val="20"/>
        </w:rPr>
        <w:t xml:space="preserve">instead. </w:t>
      </w:r>
    </w:p>
    <w:p w14:paraId="00BE453E" w14:textId="3E66D870" w:rsidR="006C3842" w:rsidRPr="002232B7" w:rsidRDefault="00260EA0" w:rsidP="00290530">
      <w:pPr>
        <w:spacing w:after="120" w:line="276" w:lineRule="auto"/>
        <w:jc w:val="thaiDistribute"/>
        <w:rPr>
          <w:rFonts w:ascii="Times New Roman" w:hAnsi="Times New Roman"/>
          <w:sz w:val="20"/>
          <w:szCs w:val="20"/>
        </w:rPr>
      </w:pPr>
      <w:r w:rsidRPr="002268CE">
        <w:rPr>
          <w:rFonts w:ascii="Times New Roman" w:hAnsi="Times New Roman"/>
          <w:sz w:val="20"/>
          <w:szCs w:val="20"/>
        </w:rPr>
        <w:t xml:space="preserve">Although reviews have been published to document the process flows and to some extent the sustainability aspects of </w:t>
      </w:r>
      <w:r w:rsidR="00EB1EF2">
        <w:rPr>
          <w:rFonts w:ascii="Times New Roman" w:hAnsi="Times New Roman"/>
          <w:sz w:val="20"/>
          <w:szCs w:val="20"/>
        </w:rPr>
        <w:t>SESA</w:t>
      </w:r>
      <w:r w:rsidRPr="002268CE">
        <w:rPr>
          <w:rFonts w:ascii="Times New Roman" w:hAnsi="Times New Roman"/>
          <w:sz w:val="20"/>
          <w:szCs w:val="20"/>
        </w:rPr>
        <w:t xml:space="preserve"> alternatives to kerosene, there are typically focused on only one of the three </w:t>
      </w:r>
      <w:r w:rsidR="00EB1EF2">
        <w:rPr>
          <w:rFonts w:ascii="Times New Roman" w:hAnsi="Times New Roman"/>
          <w:sz w:val="20"/>
          <w:szCs w:val="20"/>
        </w:rPr>
        <w:t>SESA</w:t>
      </w:r>
      <w:r w:rsidRPr="002268CE">
        <w:rPr>
          <w:rFonts w:ascii="Times New Roman" w:hAnsi="Times New Roman"/>
          <w:sz w:val="20"/>
          <w:szCs w:val="20"/>
        </w:rPr>
        <w:t xml:space="preserve"> categories distinguished herein. </w:t>
      </w:r>
      <w:r w:rsidR="009B25D1" w:rsidRPr="002268CE">
        <w:rPr>
          <w:rFonts w:ascii="Times New Roman" w:hAnsi="Times New Roman"/>
          <w:sz w:val="20"/>
          <w:szCs w:val="20"/>
        </w:rPr>
        <w:t xml:space="preserve">Aviation biofuels have been the most widely reviewed. </w:t>
      </w:r>
      <w:r w:rsidR="001F1372">
        <w:rPr>
          <w:rFonts w:ascii="Times New Roman" w:hAnsi="Times New Roman"/>
          <w:sz w:val="20"/>
          <w:szCs w:val="20"/>
        </w:rPr>
        <w:t>One notable review is</w:t>
      </w:r>
      <w:r w:rsidR="009B25D1" w:rsidRPr="002268CE">
        <w:rPr>
          <w:rFonts w:ascii="Times New Roman" w:hAnsi="Times New Roman"/>
          <w:sz w:val="20"/>
          <w:szCs w:val="20"/>
        </w:rPr>
        <w:t xml:space="preserve"> the one of</w:t>
      </w:r>
      <w:r w:rsidR="00151E4B" w:rsidRPr="002268CE">
        <w:rPr>
          <w:rFonts w:ascii="Times New Roman" w:hAnsi="Times New Roman" w:cs="Times New Roman"/>
          <w:sz w:val="20"/>
          <w:szCs w:val="20"/>
        </w:rPr>
        <w:t xml:space="preserve"> </w:t>
      </w:r>
      <w:r w:rsidR="00151E4B"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I9Dlb6dx","properties":{"formattedCitation":"[33]","plainCitation":"[33]","noteIndex":0},"citationItems":[{"id":"968HXJ10/rl8fvgoe","uris":["http://www.mendeley.com/documents/?uuid=f748e8c7-2a57-44ad-b7a0-33787fb67d34"],"uri":["http://www.mendeley.com/documents/?uuid=f748e8c7-2a57-44ad-b7a0-33787fb67d34"],"itemData":{"DOI":"10.1016/j.rser.2017.05.108","ISSN":"18790690","abstract":"The aviation sector contributes with 2% of the total anthropogenic CO2 emissions, and predictions estimate that air traffic will double in the next 20 years, doubling fuel requirements and CO2 emissions. The International Air Transport Association (IATA) has identified the development of renewable aviation fuel, known as biojet fuel, as the most promising strategy to reduce the environmental impact of the aviation sector. The renewable hydrocarbons that constitute biojet fuel are also known as synthetic paraffinic kerosene (SPK), and their properties are almost identical to those of jet fuel. SPK has also the advantage of containing very little sulfur, producing lower CO2 emissions than jet fuel. The focus of this paper is to review the scientific and technological advances related to the existing pathways to produce biojet fuel, and to identify those that could lead to the future implementation of a sustainable production chain for renewable aviation fuel. The production process of biojet fuel is the key to satisfying both technical and economic goals required to obtain a more competitive biofuel, and allow the sustainable development of aviation sector.","author":[{"dropping-particle":"","family":"Gutiérrez-Antonio","given":"C.","non-dropping-particle":"","parse-names":false,"suffix":""},{"dropping-particle":"","family":"Gómez-Castro","given":"F. I.","non-dropping-particle":"","parse-names":false,"suffix":""},{"dropping-particle":"","family":"Lira-Flores","given":"J. A.","non-dropping-particle":"de","parse-names":false,"suffix":""},{"dropping-particle":"","family":"Hernández","given":"S.","non-dropping-particle":"","parse-names":false,"suffix":""}],"container-title":"Renewable and Sustainable Energy Reviews","id":"ITEM-1","issued":{"date-parts":[["2017"]]},"page":"709-729","title":"A review on the production processes of renewable jet fuel","type":"article","volume":"79"}}],"schema":"https://github.com/citation-style-language/schema/raw/master/csl-citation.json"} </w:instrText>
      </w:r>
      <w:r w:rsidR="00151E4B" w:rsidRPr="002268CE">
        <w:rPr>
          <w:rFonts w:ascii="Times New Roman" w:hAnsi="Times New Roman" w:cs="Times New Roman"/>
          <w:sz w:val="20"/>
          <w:szCs w:val="20"/>
        </w:rPr>
        <w:fldChar w:fldCharType="separate"/>
      </w:r>
      <w:r w:rsidR="00CA240D" w:rsidRPr="00CA240D">
        <w:rPr>
          <w:rFonts w:ascii="Times New Roman" w:hAnsi="Times New Roman" w:cs="Times New Roman"/>
          <w:sz w:val="20"/>
        </w:rPr>
        <w:t>[33]</w:t>
      </w:r>
      <w:r w:rsidR="00151E4B" w:rsidRPr="002268CE">
        <w:rPr>
          <w:rFonts w:ascii="Times New Roman" w:hAnsi="Times New Roman" w:cs="Times New Roman"/>
          <w:sz w:val="20"/>
          <w:szCs w:val="20"/>
        </w:rPr>
        <w:fldChar w:fldCharType="end"/>
      </w:r>
      <w:r w:rsidR="009B25D1" w:rsidRPr="002268CE">
        <w:rPr>
          <w:rFonts w:ascii="Times New Roman" w:hAnsi="Times New Roman" w:cs="Times New Roman"/>
          <w:sz w:val="20"/>
          <w:szCs w:val="20"/>
        </w:rPr>
        <w:t>, where the conversion processes are extensively described, with key technological advances and challenges</w:t>
      </w:r>
      <w:r w:rsidR="00151E4B" w:rsidRPr="002268CE">
        <w:rPr>
          <w:rFonts w:ascii="Times New Roman" w:hAnsi="Times New Roman" w:cs="Times New Roman"/>
          <w:sz w:val="20"/>
          <w:szCs w:val="20"/>
        </w:rPr>
        <w:t>.</w:t>
      </w:r>
      <w:r w:rsidR="009B25D1" w:rsidRPr="002268CE">
        <w:rPr>
          <w:rFonts w:ascii="Times New Roman" w:hAnsi="Times New Roman" w:cs="Times New Roman"/>
          <w:sz w:val="20"/>
          <w:szCs w:val="20"/>
        </w:rPr>
        <w:t xml:space="preserve"> </w:t>
      </w:r>
      <w:r w:rsidR="00DC1D1C" w:rsidRPr="002268CE">
        <w:rPr>
          <w:rFonts w:ascii="Times New Roman" w:hAnsi="Times New Roman" w:cs="Times New Roman"/>
          <w:sz w:val="20"/>
          <w:szCs w:val="20"/>
        </w:rPr>
        <w:t xml:space="preserve">In addition to that, </w:t>
      </w:r>
      <w:r w:rsidR="00E04176" w:rsidRPr="002268CE">
        <w:rPr>
          <w:rFonts w:ascii="Times New Roman" w:hAnsi="Times New Roman" w:cs="Times New Roman"/>
          <w:sz w:val="20"/>
          <w:szCs w:val="20"/>
        </w:rPr>
        <w:t xml:space="preserve">economic and environmental </w:t>
      </w:r>
      <w:r w:rsidR="00257692" w:rsidRPr="002268CE">
        <w:rPr>
          <w:rFonts w:ascii="Times New Roman" w:hAnsi="Times New Roman" w:cs="Times New Roman"/>
          <w:sz w:val="20"/>
          <w:szCs w:val="20"/>
        </w:rPr>
        <w:t>aspects of biofuel pathways are comprehensively</w:t>
      </w:r>
      <w:r w:rsidR="00F20FC8" w:rsidRPr="002268CE">
        <w:rPr>
          <w:rFonts w:ascii="Times New Roman" w:hAnsi="Times New Roman" w:cs="Times New Roman"/>
          <w:sz w:val="20"/>
          <w:szCs w:val="20"/>
        </w:rPr>
        <w:t xml:space="preserve"> </w:t>
      </w:r>
      <w:r w:rsidR="006C3842" w:rsidRPr="002268CE">
        <w:rPr>
          <w:rFonts w:ascii="Times New Roman" w:hAnsi="Times New Roman" w:cs="Times New Roman"/>
          <w:sz w:val="20"/>
          <w:szCs w:val="20"/>
        </w:rPr>
        <w:t>discussed</w:t>
      </w:r>
      <w:r w:rsidR="00E04176" w:rsidRPr="002268CE">
        <w:rPr>
          <w:rFonts w:ascii="Times New Roman" w:hAnsi="Times New Roman" w:cs="Times New Roman"/>
          <w:sz w:val="20"/>
          <w:szCs w:val="20"/>
        </w:rPr>
        <w:t xml:space="preserve"> by </w:t>
      </w:r>
      <w:r w:rsidR="00151E4B"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6rZKBoWA","properties":{"formattedCitation":"[34]","plainCitation":"[34]","noteIndex":0},"citationItems":[{"id":"968HXJ10/969Iw5HJ","uris":["http://www.mendeley.com/documents/?uuid=2d4d77f1-4e06-4b47-9e0d-db118ec48842"],"uri":["http://www.mendeley.com/documents/?uuid=2d4d77f1-4e06-4b47-9e0d-db118ec48842"],"itemData":{"abstract":"Biomass-derived jet (biojet) fuel has become a key element in the aviation industry’s strategy to reduce operating costs and environmental impacts. Researchers from the oil-refining industry, the aviation industry, government, biofuel companies, agricultural organizations, and academia are working toward developing commercially viable and sustainable processes that produce long-lasting renewable jet fuels with low production costs and low greenhouse gas emissions. Additionally, jet fuels must meet ASTM International specifications and potentially be a 100% drop-in replacement for the current petroleum jet fuel. The combustion characteristics and engine tests demonstrate the benefits of running the aviation gas turbine with biojet fuels. In this study, the current technologies for producing renewable jet fuels, categorized by alcohols- to-jet, oil-to-jet, syngas-to-jet, and sugar-to-jet pathways, are reviewed. The main challenges for each technology pathway, including feedstock availability, conceptual process design, process economics, life-cycle assessment of greenhouse gas emissions, and commercial readiness, are discussed. Although the feedstock price and availability and energy intensity of the process are significant barriers, biomass-derived jet fuel has the potential to replace a significant portion of conventional jet fuel required to meet commercial and military demand. vi","author":[{"dropping-particle":"","family":"Wang","given":"Wei-Cheng","non-dropping-particle":"","parse-names":false,"suffix":""},{"dropping-particle":"","family":"Tao","given":"Ling","non-dropping-particle":"","parse-names":false,"suffix":""},{"dropping-particle":"","family":"Markham","given":"Jennifer","non-dropping-particle":"","parse-names":false,"suffix":""},{"dropping-particle":"","family":"Zhang","given":"Yanan","non-dropping-particle":"","parse-names":false,"suffix":""},{"dropping-particle":"","family":"Tan","given":"Eric","non-dropping-particle":"","parse-names":false,"suffix":""},{"dropping-particle":"","family":"Batan","given":"Liaw","non-dropping-particle":"","parse-names":false,"suffix":""},{"dropping-particle":"","family":"Biddy","given":"Mary","non-dropping-particle":"","parse-names":false,"suffix":""},{"dropping-particle":"","family":"Wang","given":"Wei-Cheng","non-dropping-particle":"","parse-names":false,"suffix":""},{"dropping-particle":"","family":"Tao","given":"Ling","non-dropping-particle":"","parse-names":false,"suffix":""},{"dropping-particle":"","family":"Zhang","given":"Yanan","non-dropping-particle":"","parse-names":false,"suffix":""},{"dropping-particle":"","family":"Tan","given":"Eric","non-dropping-particle":"","parse-names":false,"suffix":""},{"dropping-particle":"","family":"Warner","given":"Ethan","non-dropping-particle":"","parse-names":false,"suffix":""},{"dropping-particle":"","family":"Biddy","given":"Mary","non-dropping-particle":"","parse-names":false,"suffix":""}],"id":"ITEM-1","issue":"July","issued":{"date-parts":[["2016"]]},"number-of-pages":"98","title":"Review of Biojet Fuel Conversion Technologies","type":"report"}}],"schema":"https://github.com/citation-style-language/schema/raw/master/csl-citation.json"} </w:instrText>
      </w:r>
      <w:r w:rsidR="00151E4B" w:rsidRPr="002268CE">
        <w:rPr>
          <w:rFonts w:ascii="Times New Roman" w:hAnsi="Times New Roman" w:cs="Times New Roman"/>
          <w:sz w:val="20"/>
          <w:szCs w:val="20"/>
        </w:rPr>
        <w:fldChar w:fldCharType="separate"/>
      </w:r>
      <w:r w:rsidR="00CA240D" w:rsidRPr="00CA240D">
        <w:rPr>
          <w:rFonts w:ascii="Times New Roman" w:hAnsi="Times New Roman" w:cs="Times New Roman"/>
          <w:sz w:val="20"/>
        </w:rPr>
        <w:t>[34]</w:t>
      </w:r>
      <w:r w:rsidR="00151E4B" w:rsidRPr="002268CE">
        <w:rPr>
          <w:rFonts w:ascii="Times New Roman" w:hAnsi="Times New Roman" w:cs="Times New Roman"/>
          <w:sz w:val="20"/>
          <w:szCs w:val="20"/>
        </w:rPr>
        <w:fldChar w:fldCharType="end"/>
      </w:r>
      <w:r w:rsidR="00510E4D" w:rsidRPr="002268CE">
        <w:rPr>
          <w:rFonts w:ascii="Times New Roman" w:hAnsi="Times New Roman" w:cs="Times New Roman"/>
          <w:sz w:val="20"/>
          <w:szCs w:val="20"/>
        </w:rPr>
        <w:t xml:space="preserve"> and </w:t>
      </w:r>
      <w:r w:rsidR="00ED186A"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cEm95ynM","properties":{"formattedCitation":"[15]","plainCitation":"[15]","noteIndex":0},"citationItems":[{"id":"968HXJ10/io9rcQFh","uris":["http://www.mendeley.com/documents/?uuid=a978b790-20e5-4988-8a60-6e88c759d6cb"],"uri":["http://www.mendeley.com/documents/?uuid=a978b790-20e5-4988-8a60-6e88c759d6cb"],"itemData":{"DOI":"10.1016/j.fuel.2019.06.007","ISSN":"00162361","abstract":"Due to excessive greenhouse gas emissions and high dependence on traditional petroleum jet fuel, the sustainable development of the aviation industry has drawn increasing attention worldwide. One of the most promising strategies is to develop and industrialize alternative aviation fuels produced from renewable resources, e.g. biomass. Renewable bio-jet fuel has the potential to reduce CO2 emissions over their life cycle, which make bio-jet fuels an attractive substitution for aviation fuels. This paper provided an overview on the conversion technologies, economic assessment, environmental influence and development status of bio-jet fuels. The results suggested that hydrogenated esters and fatty acids, and Fischer-Tropsch synthesis can be the most promising technologies for bio-jet fuels production in near term. Future works, such as searching for more suitable feedstock, improving competitiveness for alternative jet fuels, meeting emission reduction targets in large-scale production and making measures for the indirect impact are needed for further investigation. The large-scale deployment of bio-jet fuels could achieve significant potentials of both bio-jet fuels production and CO2 emissions reduction based on future available biomass feedstock.","author":[{"dropping-particle":"","family":"Wei","given":"Hongjian","non-dropping-particle":"","parse-names":false,"suffix":""},{"dropping-particle":"","family":"Liu","given":"Wenzhi","non-dropping-particle":"","parse-names":false,"suffix":""},{"dropping-particle":"","family":"Chen","given":"Xinyu","non-dropping-particle":"","parse-names":false,"suffix":""},{"dropping-particle":"","family":"Yang","given":"Qing","non-dropping-particle":"","parse-names":false,"suffix":""},{"dropping-particle":"","family":"Li","given":"Jiashuo","non-dropping-particle":"","parse-names":false,"suffix":""},{"dropping-particle":"","family":"Chen","given":"Hanping","non-dropping-particle":"","parse-names":false,"suffix":""}],"container-title":"Fuel","id":"ITEM-1","issued":{"date-parts":[["2019"]]},"title":"Renewable bio-jet fuel production for aviation: A review","type":"article-journal","volume":"254"}}],"schema":"https://github.com/citation-style-language/schema/raw/master/csl-citation.json"} </w:instrText>
      </w:r>
      <w:r w:rsidR="00ED186A" w:rsidRPr="002268CE">
        <w:rPr>
          <w:rFonts w:ascii="Times New Roman" w:hAnsi="Times New Roman" w:cs="Times New Roman"/>
          <w:sz w:val="20"/>
          <w:szCs w:val="20"/>
        </w:rPr>
        <w:fldChar w:fldCharType="separate"/>
      </w:r>
      <w:r w:rsidR="0051129D" w:rsidRPr="0051129D">
        <w:rPr>
          <w:rFonts w:ascii="Times New Roman" w:hAnsi="Times New Roman" w:cs="Times New Roman"/>
          <w:sz w:val="20"/>
        </w:rPr>
        <w:t>[15]</w:t>
      </w:r>
      <w:r w:rsidR="00ED186A" w:rsidRPr="002268CE">
        <w:rPr>
          <w:rFonts w:ascii="Times New Roman" w:hAnsi="Times New Roman" w:cs="Times New Roman"/>
          <w:sz w:val="20"/>
          <w:szCs w:val="20"/>
        </w:rPr>
        <w:fldChar w:fldCharType="end"/>
      </w:r>
      <w:r w:rsidR="00E04176" w:rsidRPr="002268CE">
        <w:rPr>
          <w:rFonts w:ascii="Times New Roman" w:hAnsi="Times New Roman" w:cs="Times New Roman"/>
          <w:sz w:val="20"/>
          <w:szCs w:val="20"/>
        </w:rPr>
        <w:t xml:space="preserve">. </w:t>
      </w:r>
      <w:r w:rsidR="00D77B1E">
        <w:rPr>
          <w:rFonts w:ascii="Times New Roman" w:hAnsi="Times New Roman" w:cs="Times New Roman"/>
          <w:sz w:val="20"/>
          <w:szCs w:val="20"/>
        </w:rPr>
        <w:t>Similarly, a</w:t>
      </w:r>
      <w:r w:rsidR="00257692" w:rsidRPr="002268CE">
        <w:rPr>
          <w:rFonts w:ascii="Times New Roman" w:hAnsi="Times New Roman" w:cs="Times New Roman"/>
          <w:sz w:val="20"/>
          <w:szCs w:val="20"/>
        </w:rPr>
        <w:t>n overview of the state-of-the-</w:t>
      </w:r>
      <w:r w:rsidR="00151E4B" w:rsidRPr="002268CE">
        <w:rPr>
          <w:rFonts w:ascii="Times New Roman" w:hAnsi="Times New Roman" w:cs="Times New Roman"/>
          <w:sz w:val="20"/>
          <w:szCs w:val="20"/>
        </w:rPr>
        <w:t xml:space="preserve">art in the implementation </w:t>
      </w:r>
      <w:r w:rsidR="00257692" w:rsidRPr="002268CE">
        <w:rPr>
          <w:rFonts w:ascii="Times New Roman" w:hAnsi="Times New Roman" w:cs="Times New Roman"/>
          <w:sz w:val="20"/>
          <w:szCs w:val="20"/>
        </w:rPr>
        <w:t>of biofuels with</w:t>
      </w:r>
      <w:r w:rsidR="00151E4B" w:rsidRPr="002268CE">
        <w:rPr>
          <w:rFonts w:ascii="Times New Roman" w:hAnsi="Times New Roman" w:cs="Times New Roman"/>
          <w:sz w:val="20"/>
          <w:szCs w:val="20"/>
        </w:rPr>
        <w:t xml:space="preserve">in the aviation </w:t>
      </w:r>
      <w:r w:rsidR="00257692" w:rsidRPr="002268CE">
        <w:rPr>
          <w:rFonts w:ascii="Times New Roman" w:hAnsi="Times New Roman" w:cs="Times New Roman"/>
          <w:sz w:val="20"/>
          <w:szCs w:val="20"/>
        </w:rPr>
        <w:t>sector</w:t>
      </w:r>
      <w:r w:rsidR="00151E4B" w:rsidRPr="002268CE">
        <w:rPr>
          <w:rFonts w:ascii="Times New Roman" w:hAnsi="Times New Roman" w:cs="Times New Roman"/>
          <w:sz w:val="20"/>
          <w:szCs w:val="20"/>
        </w:rPr>
        <w:t xml:space="preserve"> was presented</w:t>
      </w:r>
      <w:r w:rsidR="00D77B1E">
        <w:rPr>
          <w:rFonts w:ascii="Times New Roman" w:hAnsi="Times New Roman" w:cs="Times New Roman"/>
          <w:sz w:val="20"/>
          <w:szCs w:val="20"/>
        </w:rPr>
        <w:t xml:space="preserve"> by</w:t>
      </w:r>
      <w:r w:rsidR="00151E4B" w:rsidRPr="002268CE">
        <w:rPr>
          <w:rFonts w:ascii="Times New Roman" w:hAnsi="Times New Roman" w:cs="Times New Roman"/>
          <w:sz w:val="20"/>
          <w:szCs w:val="20"/>
        </w:rPr>
        <w:t xml:space="preserve"> </w:t>
      </w:r>
      <w:r w:rsidR="00123496"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jbQhksT9","properties":{"formattedCitation":"[35]","plainCitation":"[35]","noteIndex":0},"citationItems":[{"id":"968HXJ10/jPA3pwql","uris":["http://www.mendeley.com/documents/?uuid=328208be-66f3-4fef-9222-b539a4dea8ac"],"uri":["http://www.mendeley.com/documents/?uuid=328208be-66f3-4fef-9222-b539a4dea8ac"],"itemData":{"author":[{"dropping-particle":"","family":"Hari","given":"Thushara Kandaramath","non-dropping-particle":"","parse-names":false,"suffix":""},{"dropping-particle":"","family":"Yaakob","given":"Zahira","non-dropping-particle":"","parse-names":false,"suffix":""},{"dropping-particle":"","family":"Binitha","given":"N. N.","non-dropping-particle":"","parse-names":false,"suffix":""}],"container-title":"renewable and sustainable energy reviews","id":"ITEM-1","issued":{"date-parts":[["2015"]]},"page":"1234-1244","title":"Aviation biofuel from renewable resouces routes opportunities and challenges","type":"article-journal","volume":"42"}}],"schema":"https://github.com/citation-style-language/schema/raw/master/csl-citation.json"} </w:instrText>
      </w:r>
      <w:r w:rsidR="00123496" w:rsidRPr="002268CE">
        <w:rPr>
          <w:rFonts w:ascii="Times New Roman" w:hAnsi="Times New Roman" w:cs="Times New Roman"/>
          <w:sz w:val="20"/>
          <w:szCs w:val="20"/>
        </w:rPr>
        <w:fldChar w:fldCharType="separate"/>
      </w:r>
      <w:r w:rsidR="00CA240D" w:rsidRPr="00CA240D">
        <w:rPr>
          <w:rFonts w:ascii="Times New Roman" w:hAnsi="Times New Roman" w:cs="Times New Roman"/>
          <w:sz w:val="20"/>
        </w:rPr>
        <w:t>[35]</w:t>
      </w:r>
      <w:r w:rsidR="00123496" w:rsidRPr="002268CE">
        <w:rPr>
          <w:rFonts w:ascii="Times New Roman" w:hAnsi="Times New Roman" w:cs="Times New Roman"/>
          <w:sz w:val="20"/>
          <w:szCs w:val="20"/>
        </w:rPr>
        <w:fldChar w:fldCharType="end"/>
      </w:r>
      <w:r w:rsidR="002268CE" w:rsidRPr="002268CE">
        <w:rPr>
          <w:rFonts w:ascii="Times New Roman" w:hAnsi="Times New Roman" w:cs="Times New Roman"/>
          <w:sz w:val="20"/>
          <w:szCs w:val="20"/>
        </w:rPr>
        <w:t>.</w:t>
      </w:r>
      <w:r w:rsidR="002033E5" w:rsidRPr="002268CE">
        <w:rPr>
          <w:rFonts w:ascii="Times New Roman" w:hAnsi="Times New Roman" w:cs="Times New Roman"/>
          <w:sz w:val="20"/>
          <w:szCs w:val="20"/>
        </w:rPr>
        <w:t xml:space="preserve"> </w:t>
      </w:r>
      <w:r w:rsidR="006C3842" w:rsidRPr="002268CE">
        <w:rPr>
          <w:rFonts w:ascii="Times New Roman" w:hAnsi="Times New Roman" w:cs="Times New Roman"/>
          <w:sz w:val="20"/>
          <w:szCs w:val="20"/>
        </w:rPr>
        <w:t xml:space="preserve">Although not as extensively reviewed, the main synthesis pathways for a variety of electrofuels were qualitatively discussed in </w:t>
      </w:r>
      <w:r w:rsidR="00ED186A"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ioK5DGy6","properties":{"formattedCitation":"[36]","plainCitation":"[36]","noteIndex":0},"citationItems":[{"id":"968HXJ10/mKYZVP4t","uris":["http://www.mendeley.com/documents/?uuid=fec570c8-e828-440a-87af-183150ea2cbc"],"uri":["http://www.mendeley.com/documents/?uuid=fec570c8-e828-440a-87af-183150ea2cbc"],"itemData":{"DOI":"10.3390/en11020392","ISSN":"19961073","abstract":"With the growth of aviation traffic and the demand for emission reduction, alternative fuels like the so-called electrofuels could comprise a sustainable solution. Electrofuels are understood as those that use renewable energy for fuel synthesis and that are carbon-neutral with respect to greenhouse gas emission. In this study, five potential electrofuels are discussed with respect to the potential application as aviation fuels, being n-octane, methanol, methane, hydrogen and ammonia, and compared to conventional Jet A-1 fuel. Three important aspects are illuminated. Firstly, the synthesis process of the electrofuel is described with its technological paths, its energy efficiency and the maturity or research need of the production. Secondly, the physico-chemical properties are compared with respect to specific energy, energy density, as well as those properties relevant to the combustion of the fuels, i.e., autoignition delay time, adiabatic flame temperature, laminar flame speed and extinction strain rate. Results show that the physical and combustion properties significantly differ from jet fuel, except for n-octane. The results describe how the different electrofuels perform with respect to important aspects such as fuel and air mass flow rates. In addition, the results help determine mixture properties of the exhaust gas for each electrofuel. Thirdly, a turbine configuration is investigated at a constant operating point to further analyze the drop-in potential of electrofuels in aircraft engines. It is found that electrofuels can generally substitute conventional kerosene-based fuels, but have some downsides in the form of higher structural loads and potentially lower efficiencies. Finally, a preliminary comparative evaluation matrix is developed. It contains specifically those fields for the different proposed electrofuels where special challenges and problematic points are seen that need more research for potential application. Synthetically-produced n-octane is seen as a potential candidate for a future electrofuel where even a drop-in capability is given. For the other fuels, more issues need further research to allow the application as electrofuels in aviation. Specifically interesting could be the combination of hydrogen with ammonia in the far future; however, the research is just at the beginning stage.","author":[{"dropping-particle":"","family":"Goldmann","given":"Andreas","non-dropping-particle":"","parse-names":false,"suffix":""},{"dropping-particle":"","family":"Sauter","given":"Waldemar","non-dropping-particle":"","parse-names":false,"suffix":""},{"dropping-particle":"","family":"Oettinger","given":"Marcel","non-dropping-particle":"","parse-names":false,"suffix":""},{"dropping-particle":"","family":"Kluge","given":"Tim","non-dropping-particle":"","parse-names":false,"suffix":""},{"dropping-particle":"","family":"Schröder","given":"Uwe","non-dropping-particle":"","parse-names":false,"suffix":""},{"dropping-particle":"","family":"Seume","given":"Joerg R.","non-dropping-particle":"","parse-names":false,"suffix":""},{"dropping-particle":"","family":"Friedrichs","given":"Jens","non-dropping-particle":"","parse-names":false,"suffix":""},{"dropping-particle":"","family":"Dinkelacker","given":"Friedrich","non-dropping-particle":"","parse-names":false,"suffix":""}],"container-title":"Energies","id":"ITEM-1","issue":"2","issued":{"date-parts":[["2018"]]},"page":"1-23","title":"A study on electrofuels in aviation","type":"article-journal","volume":"11"}}],"schema":"https://github.com/citation-style-language/schema/raw/master/csl-citation.json"} </w:instrText>
      </w:r>
      <w:r w:rsidR="00ED186A" w:rsidRPr="002268CE">
        <w:rPr>
          <w:rFonts w:ascii="Times New Roman" w:hAnsi="Times New Roman" w:cs="Times New Roman"/>
          <w:sz w:val="20"/>
          <w:szCs w:val="20"/>
        </w:rPr>
        <w:fldChar w:fldCharType="separate"/>
      </w:r>
      <w:r w:rsidR="00CA240D" w:rsidRPr="00CA240D">
        <w:rPr>
          <w:rFonts w:ascii="Times New Roman" w:hAnsi="Times New Roman" w:cs="Times New Roman"/>
          <w:sz w:val="20"/>
        </w:rPr>
        <w:t>[36]</w:t>
      </w:r>
      <w:r w:rsidR="00ED186A" w:rsidRPr="002268CE">
        <w:rPr>
          <w:rFonts w:ascii="Times New Roman" w:hAnsi="Times New Roman" w:cs="Times New Roman"/>
          <w:sz w:val="20"/>
          <w:szCs w:val="20"/>
        </w:rPr>
        <w:fldChar w:fldCharType="end"/>
      </w:r>
      <w:r w:rsidR="006C3842" w:rsidRPr="002268CE">
        <w:rPr>
          <w:rFonts w:ascii="Times New Roman" w:hAnsi="Times New Roman" w:cs="Times New Roman"/>
          <w:sz w:val="20"/>
          <w:szCs w:val="20"/>
        </w:rPr>
        <w:t xml:space="preserve">, with regards to the required physical and chemical properties of these fuels when used in airplanes. </w:t>
      </w:r>
      <w:r w:rsidR="00660CD7">
        <w:rPr>
          <w:rFonts w:ascii="Times New Roman" w:hAnsi="Times New Roman" w:cs="Times New Roman"/>
          <w:sz w:val="20"/>
          <w:szCs w:val="20"/>
        </w:rPr>
        <w:t xml:space="preserve">The studies of </w:t>
      </w:r>
      <w:r w:rsidR="00B61F95"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zhoLRrbn","properties":{"formattedCitation":"[37]","plainCitation":"[37]","noteIndex":0},"citationItems":[{"id":"968HXJ10/d9A8ZxBw","uris":["http://www.mendeley.com/documents/?uuid=81434985-26e1-4c16-82c7-d589cf04c1e6"],"uri":["http://www.mendeley.com/documents/?uuid=81434985-26e1-4c16-82c7-d589cf04c1e6"],"itemData":{"DOI":"10.1016/j.rser.2017.05.288","ISSN":"18790690","abstract":"Electrofuels (also called power-to-gas/liquids/fuels or synthetic fuels) are potential future carbon-based fuels produced from carbon dioxide (CO 2 ) and water using electricity as the primary source of energy. This article assesses the production cost of electrofuels through: (i) a literature review, focusing on which steps that have the largest impact as well as the greatest uncertainty; (ii) a more comprehensive review, including the costs and efficiencies for the separate production steps, and (iii) calculations to compare the production costs of the different fuel options in a harmonized way, including a sensitivity analysis of the parameters with the greatest impact on the total electrofuel production cost. The assessment covers: methane, methanol, dimethyl ether, diesel, and gasoline. The literature review showed large differences among the studies and a broad range of production cost estimates (10–3500 € 2015 /MWh fuel ), which is first and foremost as a result of how authors have handled technology matureness, installation costs, and external factors. Our calculations result in productions costs in the range of 200–280 € 2015 /MWh fuel in 2015 and 160–210 € 2015 /MWh fuel in 2030 using base cost assumptions from the literature review. Compared to biofuels, these estimates are in the upper range or above. Our results also show that the choice of energy carrier is not as critical for the electrofuels production cost as technological choices and external factors. Instead the two most important factors affecting the production cost of all electrofuels are the capital cost of the electrolyser and the electricity price, i.e., the hydrogen production cost. The capacity factor of the unit and the life span of the electrolyser are also important parameters affecting that production cost. In order to determine if electrofuels are a cost-effective future transport fuel relative to alternatives other than biofuels, the costs for distribution, propulsion, and storage systems need to be considered.","author":[{"dropping-particle":"","family":"Brynolf","given":"Selma","non-dropping-particle":"","parse-names":false,"suffix":""},{"dropping-particle":"","family":"Taljegard","given":"Maria","non-dropping-particle":"","parse-names":false,"suffix":""},{"dropping-particle":"","family":"Grahn","given":"Maria","non-dropping-particle":"","parse-names":false,"suffix":""},{"dropping-particle":"","family":"Hansson","given":"Julia","non-dropping-particle":"","parse-names":false,"suffix":""}],"container-title":"Renewable and Sustainable Energy Reviews","id":"ITEM-1","issue":"July 2016","issued":{"date-parts":[["2018"]]},"page":"1887-1905","publisher":"Elsevier Ltd","title":"Electrofuels for the transport sector: A review of production costs","type":"article-journal","volume":"81"}}],"schema":"https://github.com/citation-style-language/schema/raw/master/csl-citation.json"} </w:instrText>
      </w:r>
      <w:r w:rsidR="00B61F95" w:rsidRPr="002268CE">
        <w:rPr>
          <w:rFonts w:ascii="Times New Roman" w:hAnsi="Times New Roman" w:cs="Times New Roman"/>
          <w:sz w:val="20"/>
          <w:szCs w:val="20"/>
        </w:rPr>
        <w:fldChar w:fldCharType="separate"/>
      </w:r>
      <w:r w:rsidR="00CA240D" w:rsidRPr="00CA240D">
        <w:rPr>
          <w:rFonts w:ascii="Times New Roman" w:hAnsi="Times New Roman" w:cs="Times New Roman"/>
          <w:sz w:val="20"/>
        </w:rPr>
        <w:t>[37]</w:t>
      </w:r>
      <w:r w:rsidR="00B61F95" w:rsidRPr="002268CE">
        <w:rPr>
          <w:rFonts w:ascii="Times New Roman" w:hAnsi="Times New Roman" w:cs="Times New Roman"/>
          <w:sz w:val="20"/>
          <w:szCs w:val="20"/>
        </w:rPr>
        <w:fldChar w:fldCharType="end"/>
      </w:r>
      <w:r w:rsidR="00E75284" w:rsidRPr="002268CE">
        <w:rPr>
          <w:rFonts w:ascii="Times New Roman" w:hAnsi="Times New Roman" w:cs="Times New Roman"/>
          <w:sz w:val="20"/>
          <w:szCs w:val="20"/>
        </w:rPr>
        <w:t xml:space="preserve"> </w:t>
      </w:r>
      <w:r w:rsidR="006C3842" w:rsidRPr="002268CE">
        <w:rPr>
          <w:rFonts w:ascii="Times New Roman" w:hAnsi="Times New Roman" w:cs="Times New Roman"/>
          <w:sz w:val="20"/>
          <w:szCs w:val="20"/>
        </w:rPr>
        <w:t xml:space="preserve">as well as </w:t>
      </w:r>
      <w:r w:rsidR="006C3842"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06QzZ4ae","properties":{"formattedCitation":"[38]","plainCitation":"[38]","noteIndex":0},"citationItems":[{"id":"968HXJ10/13SV83Za","uris":["http://www.mendeley.com/documents/?uuid=4f724f80-8085-4a72-9837-be39a773c7d5"],"uri":["http://www.mendeley.com/documents/?uuid=4f724f80-8085-4a72-9837-be39a773c7d5"],"itemData":{"DOI":"10.3389/fenrg.2017.00004","ISSN":"2296598X","abstract":"This paper maps, categorizes, and quantifies all major point sources of carbon dioxide (CO 2 ) emissions from industrial and combustion processes in Sweden. The paper also estimates the Swedish technical potential for electrofuels (power-to-gas/fuels) based on carbon capture and utilization. With our bottom-up approach using European databases, we find that Sweden emits approximately 50 million metric tons of CO 2 per year from different types of point sources, with 65% (or about 32 million tons) from biogenic sources. The major sources are the pulp and paper industry (46%), heat and power production (23%), and waste treatment and incineration (8%). Most of the CO 2 is emitted at low concentrations (&lt;15%) from sources in the southern part of Sweden where power demand generally exceeds in-region supply. The potentially recoverable emissions from all the included point sources amount to 45 million tons. If all the recoverable CO 2 were used to produce electrofuels, the yield would correspond to 2-3 times the current Swedish demand for transportation fuels. The electricity required would correspond to about 3 times the current Swedish electricity supply. The current relatively few emission sources with high concentrations of CO 2 (&gt;90%, biofuel operations) would yield electrofuels corresponding to approximately 2% of the current demand for transportation fuels (corresponding to 1.5-2 TWh/year). In a 2030 scenario with large-scale biofuels operations based on lignocellulosic feedstocks, the potential for electrofuels production from high-concentration sources increases to 8-11 TWh/year. Finally, renewable electricity and production costs, rather than CO 2 supply, limit the potential for production of electrofuels in Sweden.","author":[{"dropping-particle":"","family":"Hansson","given":"Julia","non-dropping-particle":"","parse-names":false,"suffix":""},{"dropping-particle":"","family":"Hackl","given":"Roman","non-dropping-particle":"","parse-names":false,"suffix":""},{"dropping-particle":"","family":"Taljegard","given":"Maria","non-dropping-particle":"","parse-names":false,"suffix":""},{"dropping-particle":"","family":"Brynolf","given":"Selma","non-dropping-particle":"","parse-names":false,"suffix":""},{"dropping-particle":"","family":"Grahn","given":"Maria","non-dropping-particle":"","parse-names":false,"suffix":""}],"container-title":"Frontiers in Energy Research","id":"ITEM-1","issue":"MAR","issued":{"date-parts":[["2017"]]},"page":"1-12","title":"The potential for electrofuels production in Sweden utilizing fossil and biogenic CO 2 point sources","type":"article-journal","volume":"5"}}],"schema":"https://github.com/citation-style-language/schema/raw/master/csl-citation.json"} </w:instrText>
      </w:r>
      <w:r w:rsidR="006C3842" w:rsidRPr="002268CE">
        <w:rPr>
          <w:rFonts w:ascii="Times New Roman" w:hAnsi="Times New Roman" w:cs="Times New Roman"/>
          <w:sz w:val="20"/>
          <w:szCs w:val="20"/>
        </w:rPr>
        <w:fldChar w:fldCharType="separate"/>
      </w:r>
      <w:r w:rsidR="00CA240D" w:rsidRPr="00CA240D">
        <w:rPr>
          <w:rFonts w:ascii="Times New Roman" w:hAnsi="Times New Roman" w:cs="Times New Roman"/>
          <w:sz w:val="20"/>
        </w:rPr>
        <w:t>[38]</w:t>
      </w:r>
      <w:r w:rsidR="006C3842" w:rsidRPr="002268CE">
        <w:rPr>
          <w:rFonts w:ascii="Times New Roman" w:hAnsi="Times New Roman" w:cs="Times New Roman"/>
          <w:sz w:val="20"/>
          <w:szCs w:val="20"/>
        </w:rPr>
        <w:fldChar w:fldCharType="end"/>
      </w:r>
      <w:r w:rsidR="002268CE" w:rsidRPr="002268CE">
        <w:rPr>
          <w:rFonts w:ascii="Times New Roman" w:hAnsi="Times New Roman" w:cs="Times New Roman"/>
          <w:sz w:val="20"/>
          <w:szCs w:val="20"/>
        </w:rPr>
        <w:t>,</w:t>
      </w:r>
      <w:r w:rsidR="006C3842" w:rsidRPr="002268CE">
        <w:rPr>
          <w:rFonts w:ascii="Times New Roman" w:hAnsi="Times New Roman" w:cs="Times New Roman"/>
          <w:sz w:val="20"/>
          <w:szCs w:val="20"/>
        </w:rPr>
        <w:t xml:space="preserve"> albeit not focusing on the aviation sector per se, carried out an economic analysis for a variety of electrofuel</w:t>
      </w:r>
      <w:r w:rsidR="00660CD7">
        <w:rPr>
          <w:rFonts w:ascii="Times New Roman" w:hAnsi="Times New Roman" w:cs="Times New Roman"/>
          <w:sz w:val="20"/>
          <w:szCs w:val="20"/>
        </w:rPr>
        <w:t>s documenting several technologies</w:t>
      </w:r>
      <w:r w:rsidR="006C3842" w:rsidRPr="002268CE">
        <w:rPr>
          <w:rFonts w:ascii="Times New Roman" w:hAnsi="Times New Roman" w:cs="Times New Roman"/>
          <w:sz w:val="20"/>
          <w:szCs w:val="20"/>
        </w:rPr>
        <w:t xml:space="preserve"> and variations in plant size. However, the electrofuels </w:t>
      </w:r>
      <w:r w:rsidR="006C3842" w:rsidRPr="002268CE">
        <w:rPr>
          <w:rFonts w:ascii="Times New Roman" w:hAnsi="Times New Roman" w:cs="Times New Roman"/>
          <w:sz w:val="20"/>
          <w:szCs w:val="20"/>
        </w:rPr>
        <w:lastRenderedPageBreak/>
        <w:t xml:space="preserve">investigated in these studies can be considered only as intermediates for aviation fuel production. The recent work of </w:t>
      </w:r>
      <w:r w:rsidR="008E45AF"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LEWZZMWO","properties":{"formattedCitation":"[39]","plainCitation":"[39]","noteIndex":0},"citationItems":[{"id":"968HXJ10/r2PFu2t6","uris":["http://www.mendeley.com/documents/?uuid=8a2b7cd5-ceb8-45b0-8827-5384c34bc28c"],"uri":["http://www.mendeley.com/documents/?uuid=8a2b7cd5-ceb8-45b0-8827-5384c34bc28c"],"itemData":{"DOI":"10.1595/205651320x15816756012040","ISBN":"205651320X","ISSN":"2056-5135","abstract":"Aviation fuel demand is expected to continue to grow over the next decades and continue to rely heavily on kerosene fuel for use in jet engines. While efficiency and operational improvements are possible ways to reduce GHG emissions, decarbonisation will need to heavily rely on low carbon kerosene drop-in alternatives. Currently, alternative fuels make up a very small share of fuel used in aviation, but their commercialisation is making good progress. Hydrogen offers a longer term alternative fuel option but requires aircraft design and fuelling infrastructure changes. Electrification is emerging as an option for providing propulsion in aircraft, either in pure form in small aircraft or in hybrid mode in larger aircraft. This paper reviews the status, challenges and prospects of alternative fuels and electrification in aviation.","author":[{"dropping-particle":"","family":"Bauen","given":"Ausilio","non-dropping-particle":"","parse-names":false,"suffix":""},{"dropping-particle":"","family":"Bitossi","given":"Niccolò","non-dropping-particle":"","parse-names":false,"suffix":""},{"dropping-particle":"","family":"German","given":"Lizzie","non-dropping-particle":"","parse-names":false,"suffix":""},{"dropping-particle":"","family":"Harris","given":"Anisha","non-dropping-particle":"","parse-names":false,"suffix":""},{"dropping-particle":"","family":"Leow","given":"Khangzhen","non-dropping-particle":"","parse-names":false,"suffix":""}],"container-title":"Johnson Matthey Technology Review","id":"ITEM-1","issue":"3","issued":{"date-parts":[["2020"]]},"page":"263-278","title":"Sustainable Aviation Fuels","type":"article-journal"}}],"schema":"https://github.com/citation-style-language/schema/raw/master/csl-citation.json"} </w:instrText>
      </w:r>
      <w:r w:rsidR="008E45AF" w:rsidRPr="002268CE">
        <w:rPr>
          <w:rFonts w:ascii="Times New Roman" w:hAnsi="Times New Roman" w:cs="Times New Roman"/>
          <w:sz w:val="20"/>
          <w:szCs w:val="20"/>
        </w:rPr>
        <w:fldChar w:fldCharType="separate"/>
      </w:r>
      <w:r w:rsidR="00CA240D" w:rsidRPr="00CA240D">
        <w:rPr>
          <w:rFonts w:ascii="Times New Roman" w:hAnsi="Times New Roman" w:cs="Times New Roman"/>
          <w:sz w:val="20"/>
        </w:rPr>
        <w:t>[39]</w:t>
      </w:r>
      <w:r w:rsidR="008E45AF" w:rsidRPr="002268CE">
        <w:rPr>
          <w:rFonts w:ascii="Times New Roman" w:hAnsi="Times New Roman" w:cs="Times New Roman"/>
          <w:sz w:val="20"/>
          <w:szCs w:val="20"/>
        </w:rPr>
        <w:fldChar w:fldCharType="end"/>
      </w:r>
      <w:r w:rsidR="006C3842" w:rsidRPr="002268CE">
        <w:rPr>
          <w:rFonts w:ascii="Times New Roman" w:hAnsi="Times New Roman" w:cs="Times New Roman"/>
          <w:sz w:val="20"/>
          <w:szCs w:val="20"/>
        </w:rPr>
        <w:t>, on</w:t>
      </w:r>
      <w:r w:rsidR="006C3842">
        <w:rPr>
          <w:rFonts w:ascii="Times New Roman" w:hAnsi="Times New Roman" w:cs="Times New Roman"/>
          <w:sz w:val="20"/>
          <w:szCs w:val="20"/>
        </w:rPr>
        <w:t xml:space="preserve"> the other hand, represent a notable advance where a general overview of both carbon-free and biofuels options are described. </w:t>
      </w:r>
      <w:r w:rsidR="00F938F8">
        <w:rPr>
          <w:rFonts w:ascii="Times New Roman" w:hAnsi="Times New Roman" w:cs="Times New Roman"/>
          <w:sz w:val="20"/>
          <w:szCs w:val="20"/>
        </w:rPr>
        <w:t>Albeit valuable, the study of Bauen</w:t>
      </w:r>
      <w:r w:rsidR="00660CD7">
        <w:rPr>
          <w:rFonts w:ascii="Times New Roman" w:hAnsi="Times New Roman" w:cs="Times New Roman"/>
          <w:sz w:val="20"/>
          <w:szCs w:val="20"/>
        </w:rPr>
        <w:t xml:space="preserve"> </w:t>
      </w:r>
      <w:r w:rsidR="00660CD7"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d7yz2tkX","properties":{"formattedCitation":"[39]","plainCitation":"[39]","noteIndex":0},"citationItems":[{"id":"968HXJ10/r2PFu2t6","uris":["http://www.mendeley.com/documents/?uuid=8a2b7cd5-ceb8-45b0-8827-5384c34bc28c"],"uri":["http://www.mendeley.com/documents/?uuid=8a2b7cd5-ceb8-45b0-8827-5384c34bc28c"],"itemData":{"DOI":"10.1595/205651320x15816756012040","ISBN":"205651320X","ISSN":"2056-5135","abstract":"Aviation fuel demand is expected to continue to grow over the next decades and continue to rely heavily on kerosene fuel for use in jet engines. While efficiency and operational improvements are possible ways to reduce GHG emissions, decarbonisation will need to heavily rely on low carbon kerosene drop-in alternatives. Currently, alternative fuels make up a very small share of fuel used in aviation, but their commercialisation is making good progress. Hydrogen offers a longer term alternative fuel option but requires aircraft design and fuelling infrastructure changes. Electrification is emerging as an option for providing propulsion in aircraft, either in pure form in small aircraft or in hybrid mode in larger aircraft. This paper reviews the status, challenges and prospects of alternative fuels and electrification in aviation.","author":[{"dropping-particle":"","family":"Bauen","given":"Ausilio","non-dropping-particle":"","parse-names":false,"suffix":""},{"dropping-particle":"","family":"Bitossi","given":"Niccolò","non-dropping-particle":"","parse-names":false,"suffix":""},{"dropping-particle":"","family":"German","given":"Lizzie","non-dropping-particle":"","parse-names":false,"suffix":""},{"dropping-particle":"","family":"Harris","given":"Anisha","non-dropping-particle":"","parse-names":false,"suffix":""},{"dropping-particle":"","family":"Leow","given":"Khangzhen","non-dropping-particle":"","parse-names":false,"suffix":""}],"container-title":"Johnson Matthey Technology Review","id":"ITEM-1","issue":"3","issued":{"date-parts":[["2020"]]},"page":"263-278","title":"Sustainable Aviation Fuels","type":"article-journal"}}],"schema":"https://github.com/citation-style-language/schema/raw/master/csl-citation.json"} </w:instrText>
      </w:r>
      <w:r w:rsidR="00660CD7" w:rsidRPr="002268CE">
        <w:rPr>
          <w:rFonts w:ascii="Times New Roman" w:hAnsi="Times New Roman" w:cs="Times New Roman"/>
          <w:sz w:val="20"/>
          <w:szCs w:val="20"/>
        </w:rPr>
        <w:fldChar w:fldCharType="separate"/>
      </w:r>
      <w:r w:rsidR="00CA240D" w:rsidRPr="00CA240D">
        <w:rPr>
          <w:rFonts w:ascii="Times New Roman" w:hAnsi="Times New Roman" w:cs="Times New Roman"/>
          <w:sz w:val="20"/>
        </w:rPr>
        <w:t>[39]</w:t>
      </w:r>
      <w:r w:rsidR="00660CD7" w:rsidRPr="002268CE">
        <w:rPr>
          <w:rFonts w:ascii="Times New Roman" w:hAnsi="Times New Roman" w:cs="Times New Roman"/>
          <w:sz w:val="20"/>
          <w:szCs w:val="20"/>
        </w:rPr>
        <w:fldChar w:fldCharType="end"/>
      </w:r>
      <w:r w:rsidR="00F938F8">
        <w:rPr>
          <w:rFonts w:ascii="Times New Roman" w:hAnsi="Times New Roman" w:cs="Times New Roman"/>
          <w:sz w:val="20"/>
          <w:szCs w:val="20"/>
        </w:rPr>
        <w:t xml:space="preserve"> remains largely qualitative and do not detail the technical conversion pathways and processes involved, besides completely excluding electrofuels. Moreover, all of the above-mentioned studies, with the </w:t>
      </w:r>
      <w:r w:rsidR="00F938F8" w:rsidRPr="002268CE">
        <w:rPr>
          <w:rFonts w:ascii="Times New Roman" w:hAnsi="Times New Roman" w:cs="Times New Roman"/>
          <w:sz w:val="20"/>
          <w:szCs w:val="20"/>
        </w:rPr>
        <w:t xml:space="preserve">exception of </w:t>
      </w:r>
      <w:r w:rsidR="008E45AF" w:rsidRPr="002268C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jTdKA112","properties":{"formattedCitation":"[15,40]","plainCitation":"[15,40]","noteIndex":0},"citationItems":[{"id":"968HXJ10/Lcb8p7eH","uris":["http://www.mendeley.com/documents/?uuid=862facf5-ede8-4080-b95b-8e52fa36d698"],"uri":["http://www.mendeley.com/documents/?uuid=862facf5-ede8-4080-b95b-8e52fa36d698"],"itemData":{"DOI":"10.1016/j.rser.2015.09.016","ISSN":"18790690","abstract":"Biomass-derived jet (bio-jet) fuel has become a key element in the aviation industry's strategy to reduce operating costs and environmental impacts. Researchers from the oil-refining industry, the aviation industry, government, biofuel companies, agricultural organizations, and academia are working toward developing a commercially viable and sustainable process that produces a long-lasting renewable jet fuel with low production costs and low greenhouse emissions. This jet fuel, additionally, must meet ASTM International specifications and potentially be a 100% drop-in replacement for current petroleum jet fuel. In this study, the current technologies for producing renewable jet fuels, categorized by alcohols-to-jet, oil-to-jet, syngas-to-jet, and sugar-to-jet pathways are reviewed. The main challenges for each technology pathway, including conceptual process design, process economics and life-cycle assessment of greenhouse gas emissions are discussed. Although the feedstock price and availability and energy intensity of the process are significant barriers, biomass-derived jet fuel has the potential to replace a significant portion of conventional jet fuel required to meet commercial and military demand.","author":[{"dropping-particle":"","family":"Wang","given":"Wei Cheng","non-dropping-particle":"","parse-names":false,"suffix":""},{"dropping-particle":"","family":"Tao","given":"Ling","non-dropping-particle":"","parse-names":false,"suffix":""}],"container-title":"Renewable and Sustainable Energy Reviews","id":"ITEM-1","issued":{"date-parts":[["2016"]]},"page":"801-822","title":"Bio-jet fuel conversion technologies","type":"article-journal","volume":"53"}},{"id":"968HXJ10/io9rcQFh","uris":["http://www.mendeley.com/documents/?uuid=a978b790-20e5-4988-8a60-6e88c759d6cb"],"uri":["http://www.mendeley.com/documents/?uuid=a978b790-20e5-4988-8a60-6e88c759d6cb"],"itemData":{"DOI":"10.1016/j.fuel.2019.06.007","ISSN":"00162361","abstract":"Due to excessive greenhouse gas emissions and high dependence on traditional petroleum jet fuel, the sustainable development of the aviation industry has drawn increasing attention worldwide. One of the most promising strategies is to develop and industrialize alternative aviation fuels produced from renewable resources, e.g. biomass. Renewable bio-jet fuel has the potential to reduce CO2 emissions over their life cycle, which make bio-jet fuels an attractive substitution for aviation fuels. This paper provided an overview on the conversion technologies, economic assessment, environmental influence and development status of bio-jet fuels. The results suggested that hydrogenated esters and fatty acids, and Fischer-Tropsch synthesis can be the most promising technologies for bio-jet fuels production in near term. Future works, such as searching for more suitable feedstock, improving competitiveness for alternative jet fuels, meeting emission reduction targets in large-scale production and making measures for the indirect impact are needed for further investigation. The large-scale deployment of bio-jet fuels could achieve significant potentials of both bio-jet fuels production and CO2 emissions reduction based on future available biomass feedstock.","author":[{"dropping-particle":"","family":"Wei","given":"Hongjian","non-dropping-particle":"","parse-names":false,"suffix":""},{"dropping-particle":"","family":"Liu","given":"Wenzhi","non-dropping-particle":"","parse-names":false,"suffix":""},{"dropping-particle":"","family":"Chen","given":"Xinyu","non-dropping-particle":"","parse-names":false,"suffix":""},{"dropping-particle":"","family":"Yang","given":"Qing","non-dropping-particle":"","parse-names":false,"suffix":""},{"dropping-particle":"","family":"Li","given":"Jiashuo","non-dropping-particle":"","parse-names":false,"suffix":""},{"dropping-particle":"","family":"Chen","given":"Hanping","non-dropping-particle":"","parse-names":false,"suffix":""}],"container-title":"Fuel","id":"ITEM-2","issued":{"date-parts":[["2019"]]},"title":"Renewable bio-jet fuel production for aviation: A review","type":"article-journal","volume":"254"}}],"schema":"https://github.com/citation-style-language/schema/raw/master/csl-citation.json"} </w:instrText>
      </w:r>
      <w:r w:rsidR="008E45AF" w:rsidRPr="002268CE">
        <w:rPr>
          <w:rFonts w:ascii="Times New Roman" w:hAnsi="Times New Roman" w:cs="Times New Roman"/>
          <w:sz w:val="20"/>
          <w:szCs w:val="20"/>
        </w:rPr>
        <w:fldChar w:fldCharType="separate"/>
      </w:r>
      <w:r w:rsidR="0051129D" w:rsidRPr="0051129D">
        <w:rPr>
          <w:rFonts w:ascii="Times New Roman" w:hAnsi="Times New Roman" w:cs="Times New Roman"/>
          <w:sz w:val="20"/>
        </w:rPr>
        <w:t>[15,40]</w:t>
      </w:r>
      <w:r w:rsidR="008E45AF" w:rsidRPr="002268CE">
        <w:rPr>
          <w:rFonts w:ascii="Times New Roman" w:hAnsi="Times New Roman" w:cs="Times New Roman"/>
          <w:sz w:val="20"/>
          <w:szCs w:val="20"/>
        </w:rPr>
        <w:fldChar w:fldCharType="end"/>
      </w:r>
      <w:r w:rsidR="00F938F8" w:rsidRPr="002268CE">
        <w:rPr>
          <w:rFonts w:ascii="Times New Roman" w:hAnsi="Times New Roman" w:cs="Times New Roman"/>
          <w:sz w:val="20"/>
          <w:szCs w:val="20"/>
        </w:rPr>
        <w:t>, completely</w:t>
      </w:r>
      <w:r w:rsidR="00F938F8">
        <w:rPr>
          <w:rFonts w:ascii="Times New Roman" w:hAnsi="Times New Roman" w:cs="Times New Roman"/>
          <w:sz w:val="20"/>
          <w:szCs w:val="20"/>
        </w:rPr>
        <w:t xml:space="preserve"> overlook the co-products generated along the production process. Yet, these do generate market interactions that in turn are part of the overall economic and environmental performance of these new alternatives, and accordingly must be understood. </w:t>
      </w:r>
    </w:p>
    <w:p w14:paraId="1E730663" w14:textId="77777777" w:rsidR="00327A50" w:rsidRDefault="00327A50" w:rsidP="00290530">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In the perspective </w:t>
      </w:r>
      <w:r w:rsidR="00660CD7">
        <w:rPr>
          <w:rFonts w:ascii="Times New Roman" w:hAnsi="Times New Roman" w:cs="Times New Roman"/>
          <w:sz w:val="20"/>
          <w:szCs w:val="20"/>
        </w:rPr>
        <w:t>of bridging</w:t>
      </w:r>
      <w:r>
        <w:rPr>
          <w:rFonts w:ascii="Times New Roman" w:hAnsi="Times New Roman" w:cs="Times New Roman"/>
          <w:sz w:val="20"/>
          <w:szCs w:val="20"/>
        </w:rPr>
        <w:t xml:space="preserve"> this gap, and in the vision </w:t>
      </w:r>
      <w:r w:rsidR="00660CD7">
        <w:rPr>
          <w:rFonts w:ascii="Times New Roman" w:hAnsi="Times New Roman" w:cs="Times New Roman"/>
          <w:sz w:val="20"/>
          <w:szCs w:val="20"/>
        </w:rPr>
        <w:t>of supplying</w:t>
      </w:r>
      <w:r>
        <w:rPr>
          <w:rFonts w:ascii="Times New Roman" w:hAnsi="Times New Roman" w:cs="Times New Roman"/>
          <w:sz w:val="20"/>
          <w:szCs w:val="20"/>
        </w:rPr>
        <w:t xml:space="preserve"> an harmonized comparative background to assess the environmental consequences of current and emerging options for </w:t>
      </w:r>
      <w:r w:rsidR="00660CD7">
        <w:rPr>
          <w:rFonts w:ascii="Times New Roman" w:hAnsi="Times New Roman" w:cs="Times New Roman"/>
          <w:sz w:val="20"/>
          <w:szCs w:val="20"/>
        </w:rPr>
        <w:t>fueling the aviation sector, t</w:t>
      </w:r>
      <w:r>
        <w:rPr>
          <w:rFonts w:ascii="Times New Roman" w:hAnsi="Times New Roman" w:cs="Times New Roman"/>
          <w:sz w:val="20"/>
          <w:szCs w:val="20"/>
        </w:rPr>
        <w:t>he present study aims at presenting a comprehensive review of both biofuels, electrofuels, and carbon-free alternatives. More specifical</w:t>
      </w:r>
      <w:r w:rsidR="00D77B1E">
        <w:rPr>
          <w:rFonts w:ascii="Times New Roman" w:hAnsi="Times New Roman" w:cs="Times New Roman"/>
          <w:sz w:val="20"/>
          <w:szCs w:val="20"/>
        </w:rPr>
        <w:t>ly, the objectives of this work are</w:t>
      </w:r>
      <w:r>
        <w:rPr>
          <w:rFonts w:ascii="Times New Roman" w:hAnsi="Times New Roman" w:cs="Times New Roman"/>
          <w:sz w:val="20"/>
          <w:szCs w:val="20"/>
        </w:rPr>
        <w:t xml:space="preserve"> to i) detail the production pathway at the process level, for each type of technology</w:t>
      </w:r>
      <w:r w:rsidR="00944290">
        <w:rPr>
          <w:rFonts w:ascii="Times New Roman" w:hAnsi="Times New Roman" w:cs="Times New Roman"/>
          <w:sz w:val="20"/>
          <w:szCs w:val="20"/>
        </w:rPr>
        <w:t>/energy source</w:t>
      </w:r>
      <w:r w:rsidR="00EB1EF2">
        <w:rPr>
          <w:rFonts w:ascii="Times New Roman" w:hAnsi="Times New Roman" w:cs="Times New Roman"/>
          <w:sz w:val="20"/>
          <w:szCs w:val="20"/>
        </w:rPr>
        <w:t xml:space="preserve"> within the three SESA</w:t>
      </w:r>
      <w:r>
        <w:rPr>
          <w:rFonts w:ascii="Times New Roman" w:hAnsi="Times New Roman" w:cs="Times New Roman"/>
          <w:sz w:val="20"/>
          <w:szCs w:val="20"/>
        </w:rPr>
        <w:t xml:space="preserve"> categories, ii) document the co-products generated in these pathways, as well as their potential market uptake, and iii) supply an overview of the current legislation and public announcements regarding fossil-free aviation. </w:t>
      </w:r>
    </w:p>
    <w:p w14:paraId="3DC8B38C" w14:textId="77777777" w:rsidR="004560ED" w:rsidRPr="003E5658" w:rsidRDefault="00A51119" w:rsidP="00290530">
      <w:pPr>
        <w:spacing w:before="120" w:after="120" w:line="276" w:lineRule="auto"/>
        <w:jc w:val="thaiDistribute"/>
        <w:rPr>
          <w:rFonts w:ascii="Times New Roman" w:hAnsi="Times New Roman"/>
          <w:b/>
          <w:bCs/>
          <w:sz w:val="20"/>
          <w:szCs w:val="20"/>
        </w:rPr>
      </w:pPr>
      <w:r w:rsidRPr="002268CE">
        <w:rPr>
          <w:rFonts w:ascii="Times New Roman" w:hAnsi="Times New Roman"/>
          <w:b/>
          <w:bCs/>
          <w:sz w:val="20"/>
          <w:szCs w:val="20"/>
        </w:rPr>
        <w:t>2</w:t>
      </w:r>
      <w:r w:rsidR="00D33BDC" w:rsidRPr="002268CE">
        <w:rPr>
          <w:rFonts w:ascii="Times New Roman" w:hAnsi="Times New Roman"/>
          <w:b/>
          <w:bCs/>
          <w:sz w:val="20"/>
          <w:szCs w:val="20"/>
        </w:rPr>
        <w:t xml:space="preserve">. </w:t>
      </w:r>
      <w:r w:rsidR="00920CF9" w:rsidRPr="002268CE">
        <w:rPr>
          <w:rFonts w:ascii="Times New Roman" w:hAnsi="Times New Roman"/>
          <w:b/>
          <w:bCs/>
          <w:sz w:val="20"/>
          <w:szCs w:val="20"/>
        </w:rPr>
        <w:t>Aviation biofuel</w:t>
      </w:r>
      <w:r w:rsidR="004560ED" w:rsidRPr="002268CE">
        <w:rPr>
          <w:rFonts w:ascii="Times New Roman" w:hAnsi="Times New Roman"/>
          <w:b/>
          <w:bCs/>
          <w:sz w:val="20"/>
          <w:szCs w:val="20"/>
        </w:rPr>
        <w:t xml:space="preserve"> </w:t>
      </w:r>
      <w:r w:rsidR="00C17599" w:rsidRPr="002268CE">
        <w:rPr>
          <w:rFonts w:ascii="Times New Roman" w:hAnsi="Times New Roman"/>
          <w:b/>
          <w:bCs/>
          <w:sz w:val="20"/>
          <w:szCs w:val="20"/>
        </w:rPr>
        <w:t>p</w:t>
      </w:r>
      <w:r w:rsidR="001E015B">
        <w:rPr>
          <w:rFonts w:ascii="Times New Roman" w:hAnsi="Times New Roman"/>
          <w:b/>
          <w:bCs/>
          <w:sz w:val="20"/>
          <w:szCs w:val="20"/>
        </w:rPr>
        <w:t>athways</w:t>
      </w:r>
    </w:p>
    <w:p w14:paraId="579CCDF3" w14:textId="77777777" w:rsidR="00B50466" w:rsidRDefault="00B50466" w:rsidP="00290530">
      <w:pPr>
        <w:spacing w:after="120" w:line="276" w:lineRule="auto"/>
        <w:jc w:val="thaiDistribute"/>
        <w:rPr>
          <w:rFonts w:ascii="Times New Roman" w:hAnsi="Times New Roman"/>
          <w:sz w:val="20"/>
          <w:szCs w:val="20"/>
        </w:rPr>
      </w:pPr>
      <w:r w:rsidRPr="00B50466">
        <w:rPr>
          <w:rFonts w:ascii="Times New Roman" w:hAnsi="Times New Roman"/>
          <w:sz w:val="20"/>
          <w:szCs w:val="20"/>
        </w:rPr>
        <w:t>In</w:t>
      </w:r>
      <w:r>
        <w:rPr>
          <w:rFonts w:ascii="Times New Roman" w:hAnsi="Times New Roman"/>
          <w:sz w:val="20"/>
          <w:szCs w:val="20"/>
        </w:rPr>
        <w:t xml:space="preserve"> this section, the main conversion pathways of </w:t>
      </w:r>
      <w:r w:rsidR="00920CF9">
        <w:rPr>
          <w:rFonts w:ascii="Times New Roman" w:hAnsi="Times New Roman"/>
          <w:sz w:val="20"/>
          <w:szCs w:val="20"/>
        </w:rPr>
        <w:t>aviation biofuels</w:t>
      </w:r>
      <w:r w:rsidR="00D77B1E">
        <w:rPr>
          <w:rFonts w:ascii="Times New Roman" w:hAnsi="Times New Roman"/>
          <w:sz w:val="20"/>
          <w:szCs w:val="20"/>
        </w:rPr>
        <w:t xml:space="preserve"> currently produced or under development</w:t>
      </w:r>
      <w:r>
        <w:rPr>
          <w:rFonts w:ascii="Times New Roman" w:hAnsi="Times New Roman"/>
          <w:sz w:val="20"/>
          <w:szCs w:val="20"/>
        </w:rPr>
        <w:t xml:space="preserve"> are presented, based o</w:t>
      </w:r>
      <w:r w:rsidR="00A16F04">
        <w:rPr>
          <w:rFonts w:ascii="Times New Roman" w:hAnsi="Times New Roman"/>
          <w:sz w:val="20"/>
          <w:szCs w:val="20"/>
        </w:rPr>
        <w:t>n an extensive literature review</w:t>
      </w:r>
      <w:r>
        <w:rPr>
          <w:rFonts w:ascii="Times New Roman" w:hAnsi="Times New Roman"/>
          <w:sz w:val="20"/>
          <w:szCs w:val="20"/>
        </w:rPr>
        <w:t xml:space="preserve"> including scientific papers, company reports, and patents. </w:t>
      </w:r>
    </w:p>
    <w:p w14:paraId="3595BB65" w14:textId="77777777" w:rsidR="00930FD6" w:rsidRDefault="00FE52A6" w:rsidP="00290530">
      <w:pPr>
        <w:spacing w:after="120" w:line="276" w:lineRule="auto"/>
        <w:jc w:val="thaiDistribute"/>
        <w:rPr>
          <w:rFonts w:ascii="Times New Roman" w:hAnsi="Times New Roman"/>
          <w:sz w:val="20"/>
          <w:szCs w:val="20"/>
        </w:rPr>
      </w:pPr>
      <w:r>
        <w:rPr>
          <w:rFonts w:ascii="Times New Roman" w:hAnsi="Times New Roman"/>
          <w:sz w:val="20"/>
          <w:szCs w:val="20"/>
        </w:rPr>
        <w:t>T</w:t>
      </w:r>
      <w:r w:rsidR="00B50466">
        <w:rPr>
          <w:rFonts w:ascii="Times New Roman" w:hAnsi="Times New Roman"/>
          <w:sz w:val="20"/>
          <w:szCs w:val="20"/>
        </w:rPr>
        <w:t xml:space="preserve">hree categories </w:t>
      </w:r>
      <w:r w:rsidR="008774F8">
        <w:rPr>
          <w:rFonts w:ascii="Times New Roman" w:hAnsi="Times New Roman"/>
          <w:sz w:val="20"/>
          <w:szCs w:val="20"/>
        </w:rPr>
        <w:t>are distinguished according to the feedstock used:</w:t>
      </w:r>
      <w:r w:rsidR="00C92D20">
        <w:rPr>
          <w:rFonts w:ascii="Times New Roman" w:hAnsi="Times New Roman"/>
          <w:sz w:val="20"/>
          <w:szCs w:val="20"/>
        </w:rPr>
        <w:t xml:space="preserve"> </w:t>
      </w:r>
      <w:r w:rsidR="00B50466">
        <w:rPr>
          <w:rFonts w:ascii="Times New Roman" w:hAnsi="Times New Roman"/>
          <w:sz w:val="20"/>
          <w:szCs w:val="20"/>
        </w:rPr>
        <w:t>carbohydrate, lignocellulosic and oi</w:t>
      </w:r>
      <w:r w:rsidR="00DB3C25">
        <w:rPr>
          <w:rFonts w:ascii="Times New Roman" w:hAnsi="Times New Roman"/>
          <w:sz w:val="20"/>
          <w:szCs w:val="20"/>
        </w:rPr>
        <w:t>l</w:t>
      </w:r>
      <w:r w:rsidR="00B50466">
        <w:rPr>
          <w:rFonts w:ascii="Times New Roman" w:hAnsi="Times New Roman"/>
          <w:sz w:val="20"/>
          <w:szCs w:val="20"/>
        </w:rPr>
        <w:t xml:space="preserve">-based biomass. </w:t>
      </w:r>
    </w:p>
    <w:p w14:paraId="4C42DC8B" w14:textId="67ABE8DA" w:rsidR="003A3B9C" w:rsidRDefault="00930FD6" w:rsidP="00290530">
      <w:pPr>
        <w:spacing w:after="120" w:line="276" w:lineRule="auto"/>
        <w:jc w:val="thaiDistribute"/>
        <w:rPr>
          <w:rFonts w:ascii="Times New Roman" w:hAnsi="Times New Roman"/>
          <w:sz w:val="20"/>
          <w:szCs w:val="20"/>
        </w:rPr>
      </w:pPr>
      <w:r>
        <w:rPr>
          <w:rFonts w:ascii="Times New Roman" w:hAnsi="Times New Roman"/>
          <w:sz w:val="20"/>
          <w:szCs w:val="20"/>
        </w:rPr>
        <w:t>F</w:t>
      </w:r>
      <w:r w:rsidR="00BB3847" w:rsidRPr="002268CE">
        <w:rPr>
          <w:rFonts w:ascii="Times New Roman" w:hAnsi="Times New Roman"/>
          <w:sz w:val="20"/>
          <w:szCs w:val="20"/>
        </w:rPr>
        <w:t>ig.</w:t>
      </w:r>
      <w:r w:rsidR="00B1485A" w:rsidRPr="002268CE">
        <w:rPr>
          <w:rFonts w:ascii="Times New Roman" w:hAnsi="Times New Roman"/>
          <w:sz w:val="20"/>
          <w:szCs w:val="20"/>
        </w:rPr>
        <w:t xml:space="preserve"> 1</w:t>
      </w:r>
      <w:r w:rsidR="006D3DB6" w:rsidRPr="002268CE">
        <w:rPr>
          <w:rFonts w:ascii="Times New Roman" w:hAnsi="Times New Roman"/>
          <w:sz w:val="20"/>
          <w:szCs w:val="20"/>
        </w:rPr>
        <w:t xml:space="preserve"> presents an overview of </w:t>
      </w:r>
      <w:r w:rsidR="0045746A" w:rsidRPr="002268CE">
        <w:rPr>
          <w:rFonts w:ascii="Times New Roman" w:hAnsi="Times New Roman"/>
          <w:sz w:val="20"/>
          <w:szCs w:val="20"/>
        </w:rPr>
        <w:t>eight different</w:t>
      </w:r>
      <w:r w:rsidR="00D77B1E">
        <w:rPr>
          <w:rFonts w:ascii="Times New Roman" w:hAnsi="Times New Roman"/>
          <w:sz w:val="20"/>
          <w:szCs w:val="20"/>
        </w:rPr>
        <w:t xml:space="preserve"> biofuels</w:t>
      </w:r>
      <w:r w:rsidR="0045746A" w:rsidRPr="002268CE">
        <w:rPr>
          <w:rFonts w:ascii="Times New Roman" w:hAnsi="Times New Roman"/>
          <w:sz w:val="20"/>
          <w:szCs w:val="20"/>
        </w:rPr>
        <w:t xml:space="preserve"> </w:t>
      </w:r>
      <w:r>
        <w:rPr>
          <w:rFonts w:ascii="Times New Roman" w:hAnsi="Times New Roman"/>
          <w:sz w:val="20"/>
          <w:szCs w:val="20"/>
        </w:rPr>
        <w:t>pathways</w:t>
      </w:r>
      <w:r w:rsidR="00321255" w:rsidRPr="002268CE">
        <w:rPr>
          <w:rFonts w:ascii="Times New Roman" w:hAnsi="Times New Roman"/>
          <w:sz w:val="20"/>
          <w:szCs w:val="20"/>
        </w:rPr>
        <w:t xml:space="preserve">, six </w:t>
      </w:r>
      <w:r w:rsidR="006D3DB6" w:rsidRPr="002268CE">
        <w:rPr>
          <w:rFonts w:ascii="Times New Roman" w:hAnsi="Times New Roman"/>
          <w:sz w:val="20"/>
          <w:szCs w:val="20"/>
        </w:rPr>
        <w:t>b</w:t>
      </w:r>
      <w:r w:rsidR="00361BF7" w:rsidRPr="002268CE">
        <w:rPr>
          <w:rFonts w:ascii="Times New Roman" w:hAnsi="Times New Roman"/>
          <w:sz w:val="20"/>
          <w:szCs w:val="20"/>
        </w:rPr>
        <w:t>eing already certified by ASTM</w:t>
      </w:r>
      <w:r w:rsidR="00D77B1E">
        <w:rPr>
          <w:rFonts w:ascii="Times New Roman" w:hAnsi="Times New Roman"/>
          <w:sz w:val="20"/>
          <w:szCs w:val="20"/>
        </w:rPr>
        <w:t>. These pathways involve</w:t>
      </w:r>
      <w:r w:rsidR="008774F8" w:rsidRPr="002268CE">
        <w:rPr>
          <w:rFonts w:ascii="Times New Roman" w:hAnsi="Times New Roman"/>
          <w:sz w:val="20"/>
          <w:szCs w:val="20"/>
        </w:rPr>
        <w:t xml:space="preserve"> different blending rates (Table S1)</w:t>
      </w:r>
      <w:r w:rsidR="00361BF7" w:rsidRPr="002268CE">
        <w:rPr>
          <w:rFonts w:ascii="Times New Roman" w:hAnsi="Times New Roman"/>
          <w:sz w:val="20"/>
          <w:szCs w:val="20"/>
        </w:rPr>
        <w:t xml:space="preserve">. </w:t>
      </w:r>
      <w:r w:rsidR="006D3DB6" w:rsidRPr="002268CE">
        <w:rPr>
          <w:rFonts w:ascii="Times New Roman" w:hAnsi="Times New Roman"/>
          <w:sz w:val="20"/>
          <w:szCs w:val="20"/>
        </w:rPr>
        <w:t xml:space="preserve">Some pathways are well developed, documented and </w:t>
      </w:r>
      <w:r w:rsidR="0000646A">
        <w:rPr>
          <w:rFonts w:ascii="Times New Roman" w:hAnsi="Times New Roman"/>
          <w:sz w:val="20"/>
          <w:szCs w:val="20"/>
        </w:rPr>
        <w:t>applied in large-scale production</w:t>
      </w:r>
      <w:r w:rsidR="00D77B1E">
        <w:rPr>
          <w:rFonts w:ascii="Times New Roman" w:hAnsi="Times New Roman"/>
          <w:sz w:val="20"/>
          <w:szCs w:val="20"/>
        </w:rPr>
        <w:t xml:space="preserve"> </w:t>
      </w:r>
      <w:r w:rsidR="006D3DB6" w:rsidRPr="002268CE">
        <w:rPr>
          <w:rFonts w:ascii="Times New Roman" w:hAnsi="Times New Roman"/>
          <w:sz w:val="20"/>
          <w:szCs w:val="20"/>
        </w:rPr>
        <w:t>(pilot/demonstration plants), while some</w:t>
      </w:r>
      <w:r w:rsidR="00361BF7" w:rsidRPr="002268CE">
        <w:rPr>
          <w:rFonts w:ascii="Times New Roman" w:hAnsi="Times New Roman"/>
          <w:sz w:val="20"/>
          <w:szCs w:val="20"/>
        </w:rPr>
        <w:t>, such as the CHJ pathway,</w:t>
      </w:r>
      <w:r w:rsidR="006D3DB6" w:rsidRPr="002268CE">
        <w:rPr>
          <w:rFonts w:ascii="Times New Roman" w:hAnsi="Times New Roman"/>
          <w:sz w:val="20"/>
          <w:szCs w:val="20"/>
        </w:rPr>
        <w:t xml:space="preserve"> are less </w:t>
      </w:r>
      <w:r w:rsidR="00361BF7" w:rsidRPr="002268CE">
        <w:rPr>
          <w:rFonts w:ascii="Times New Roman" w:hAnsi="Times New Roman"/>
          <w:sz w:val="20"/>
          <w:szCs w:val="20"/>
        </w:rPr>
        <w:t xml:space="preserve">extensively </w:t>
      </w:r>
      <w:r w:rsidR="006D3DB6" w:rsidRPr="002268CE">
        <w:rPr>
          <w:rFonts w:ascii="Times New Roman" w:hAnsi="Times New Roman"/>
          <w:sz w:val="20"/>
          <w:szCs w:val="20"/>
        </w:rPr>
        <w:t>documented.</w:t>
      </w:r>
      <w:r w:rsidR="00522BA8" w:rsidRPr="002268CE">
        <w:rPr>
          <w:rFonts w:ascii="Times New Roman" w:hAnsi="Times New Roman"/>
          <w:sz w:val="20"/>
          <w:szCs w:val="20"/>
        </w:rPr>
        <w:t xml:space="preserve"> These are briefly described herein, and additional insights on e.g. the biofuels properties or the leading industrial producers to date are available in the </w:t>
      </w:r>
      <w:r w:rsidR="00780AD1">
        <w:rPr>
          <w:rFonts w:ascii="Times New Roman" w:hAnsi="Times New Roman"/>
          <w:sz w:val="20"/>
          <w:szCs w:val="20"/>
        </w:rPr>
        <w:t>supplementary material 1 (</w:t>
      </w:r>
      <w:r w:rsidR="00522BA8" w:rsidRPr="002268CE">
        <w:rPr>
          <w:rFonts w:ascii="Times New Roman" w:hAnsi="Times New Roman"/>
          <w:sz w:val="20"/>
          <w:szCs w:val="20"/>
        </w:rPr>
        <w:t>SM</w:t>
      </w:r>
      <w:r w:rsidR="00482BDE">
        <w:rPr>
          <w:rFonts w:ascii="Times New Roman" w:hAnsi="Times New Roman"/>
          <w:sz w:val="20"/>
          <w:szCs w:val="20"/>
        </w:rPr>
        <w:t>1</w:t>
      </w:r>
      <w:r w:rsidR="00780AD1">
        <w:rPr>
          <w:rFonts w:ascii="Times New Roman" w:hAnsi="Times New Roman"/>
          <w:sz w:val="20"/>
          <w:szCs w:val="20"/>
        </w:rPr>
        <w:t>)</w:t>
      </w:r>
      <w:r w:rsidR="00522BA8" w:rsidRPr="002268CE">
        <w:rPr>
          <w:rFonts w:ascii="Times New Roman" w:hAnsi="Times New Roman"/>
          <w:sz w:val="20"/>
          <w:szCs w:val="20"/>
        </w:rPr>
        <w:t xml:space="preserve"> (Table</w:t>
      </w:r>
      <w:r w:rsidR="0093766D">
        <w:rPr>
          <w:rFonts w:ascii="Times New Roman" w:hAnsi="Times New Roman"/>
          <w:sz w:val="20"/>
          <w:szCs w:val="20"/>
        </w:rPr>
        <w:t>s</w:t>
      </w:r>
      <w:r w:rsidR="00522BA8" w:rsidRPr="002268CE">
        <w:rPr>
          <w:rFonts w:ascii="Times New Roman" w:hAnsi="Times New Roman"/>
          <w:sz w:val="20"/>
          <w:szCs w:val="20"/>
        </w:rPr>
        <w:t xml:space="preserve"> S1-S2).</w:t>
      </w:r>
      <w:r w:rsidR="00522BA8">
        <w:rPr>
          <w:rFonts w:ascii="Times New Roman" w:hAnsi="Times New Roman"/>
          <w:sz w:val="20"/>
          <w:szCs w:val="20"/>
        </w:rPr>
        <w:t xml:space="preserve"> </w:t>
      </w:r>
    </w:p>
    <w:p w14:paraId="3C13ABF2" w14:textId="77777777" w:rsidR="00D33BDC" w:rsidRPr="0082500A" w:rsidRDefault="00A51119" w:rsidP="00290530">
      <w:pPr>
        <w:spacing w:before="120" w:after="120" w:line="276" w:lineRule="auto"/>
        <w:jc w:val="thaiDistribute"/>
        <w:rPr>
          <w:rFonts w:ascii="Times New Roman" w:hAnsi="Times New Roman"/>
          <w:b/>
          <w:bCs/>
          <w:sz w:val="20"/>
          <w:szCs w:val="20"/>
        </w:rPr>
      </w:pPr>
      <w:r>
        <w:rPr>
          <w:rFonts w:ascii="Times New Roman" w:hAnsi="Times New Roman"/>
          <w:b/>
          <w:bCs/>
          <w:sz w:val="20"/>
          <w:szCs w:val="20"/>
        </w:rPr>
        <w:t>2</w:t>
      </w:r>
      <w:r w:rsidR="00E90F68" w:rsidRPr="0082500A">
        <w:rPr>
          <w:rFonts w:ascii="Times New Roman" w:hAnsi="Times New Roman"/>
          <w:b/>
          <w:bCs/>
          <w:sz w:val="20"/>
          <w:szCs w:val="20"/>
        </w:rPr>
        <w:t xml:space="preserve">.1 </w:t>
      </w:r>
      <w:r w:rsidR="001E015B">
        <w:rPr>
          <w:rFonts w:ascii="Times New Roman" w:hAnsi="Times New Roman"/>
          <w:b/>
          <w:bCs/>
          <w:sz w:val="20"/>
          <w:szCs w:val="20"/>
        </w:rPr>
        <w:t>Pathways involving c</w:t>
      </w:r>
      <w:r w:rsidR="00E90F68" w:rsidRPr="0082500A">
        <w:rPr>
          <w:rFonts w:ascii="Times New Roman" w:hAnsi="Times New Roman"/>
          <w:b/>
          <w:bCs/>
          <w:sz w:val="20"/>
          <w:szCs w:val="20"/>
        </w:rPr>
        <w:t>arbohydrate-</w:t>
      </w:r>
      <w:r w:rsidR="001E015B">
        <w:rPr>
          <w:rFonts w:ascii="Times New Roman" w:hAnsi="Times New Roman"/>
          <w:b/>
          <w:bCs/>
          <w:sz w:val="20"/>
          <w:szCs w:val="20"/>
        </w:rPr>
        <w:t>rich feedstock</w:t>
      </w:r>
    </w:p>
    <w:p w14:paraId="59B82885" w14:textId="7E4CB803" w:rsidR="00B80745" w:rsidRPr="00460A56" w:rsidRDefault="00E93C31" w:rsidP="00290530">
      <w:pPr>
        <w:spacing w:after="120" w:line="276" w:lineRule="auto"/>
        <w:jc w:val="thaiDistribute"/>
        <w:rPr>
          <w:rFonts w:ascii="Times New Roman" w:hAnsi="Times New Roman"/>
          <w:sz w:val="20"/>
          <w:szCs w:val="20"/>
        </w:rPr>
      </w:pPr>
      <w:r>
        <w:rPr>
          <w:rFonts w:ascii="Times New Roman" w:hAnsi="Times New Roman"/>
          <w:sz w:val="20"/>
          <w:szCs w:val="20"/>
        </w:rPr>
        <w:t xml:space="preserve">This category </w:t>
      </w:r>
      <w:r w:rsidR="00BB3847">
        <w:rPr>
          <w:rFonts w:ascii="Times New Roman" w:hAnsi="Times New Roman"/>
          <w:sz w:val="20"/>
          <w:szCs w:val="20"/>
        </w:rPr>
        <w:t xml:space="preserve">comprises three </w:t>
      </w:r>
      <w:r w:rsidR="00BB3847" w:rsidRPr="002268CE">
        <w:rPr>
          <w:rFonts w:ascii="Times New Roman" w:hAnsi="Times New Roman"/>
          <w:sz w:val="20"/>
          <w:szCs w:val="20"/>
        </w:rPr>
        <w:t>pathways (Fig.</w:t>
      </w:r>
      <w:r w:rsidR="00B1485A" w:rsidRPr="002268CE">
        <w:rPr>
          <w:rFonts w:ascii="Times New Roman" w:hAnsi="Times New Roman"/>
          <w:sz w:val="20"/>
          <w:szCs w:val="20"/>
        </w:rPr>
        <w:t xml:space="preserve"> 1</w:t>
      </w:r>
      <w:r w:rsidRPr="002268CE">
        <w:rPr>
          <w:rFonts w:ascii="Times New Roman" w:hAnsi="Times New Roman"/>
          <w:sz w:val="20"/>
          <w:szCs w:val="20"/>
        </w:rPr>
        <w:t>). They</w:t>
      </w:r>
      <w:r>
        <w:rPr>
          <w:rFonts w:ascii="Times New Roman" w:hAnsi="Times New Roman"/>
          <w:sz w:val="20"/>
          <w:szCs w:val="20"/>
        </w:rPr>
        <w:t xml:space="preserve"> </w:t>
      </w:r>
      <w:r w:rsidR="00763A5F">
        <w:rPr>
          <w:rFonts w:ascii="Times New Roman" w:hAnsi="Times New Roman"/>
          <w:sz w:val="20"/>
          <w:szCs w:val="20"/>
        </w:rPr>
        <w:t>greatly</w:t>
      </w:r>
      <w:r w:rsidR="0029660C">
        <w:rPr>
          <w:rFonts w:ascii="Times New Roman" w:hAnsi="Times New Roman"/>
          <w:sz w:val="20"/>
          <w:szCs w:val="20"/>
        </w:rPr>
        <w:t xml:space="preserve"> </w:t>
      </w:r>
      <w:r>
        <w:rPr>
          <w:rFonts w:ascii="Times New Roman" w:hAnsi="Times New Roman"/>
          <w:sz w:val="20"/>
          <w:szCs w:val="20"/>
        </w:rPr>
        <w:t>rely upon carbohydrate-rich feedstock</w:t>
      </w:r>
      <w:r w:rsidR="009E4078">
        <w:rPr>
          <w:rFonts w:ascii="Times New Roman" w:hAnsi="Times New Roman"/>
          <w:sz w:val="20"/>
          <w:szCs w:val="20"/>
        </w:rPr>
        <w:t>s</w:t>
      </w:r>
      <w:r>
        <w:rPr>
          <w:rFonts w:ascii="Times New Roman" w:hAnsi="Times New Roman"/>
          <w:sz w:val="20"/>
          <w:szCs w:val="20"/>
        </w:rPr>
        <w:t xml:space="preserve"> such as sugarcane, sorghum, </w:t>
      </w:r>
      <w:r w:rsidR="00760D4C">
        <w:rPr>
          <w:rFonts w:ascii="Times New Roman" w:hAnsi="Times New Roman"/>
          <w:sz w:val="20"/>
          <w:szCs w:val="20"/>
        </w:rPr>
        <w:t xml:space="preserve">maize </w:t>
      </w:r>
      <w:r>
        <w:rPr>
          <w:rFonts w:ascii="Times New Roman" w:hAnsi="Times New Roman"/>
          <w:sz w:val="20"/>
          <w:szCs w:val="20"/>
        </w:rPr>
        <w:t xml:space="preserve">dextrose, maize, etc., but can be </w:t>
      </w:r>
      <w:r w:rsidR="006D3DB6">
        <w:rPr>
          <w:rFonts w:ascii="Times New Roman" w:hAnsi="Times New Roman"/>
          <w:sz w:val="20"/>
          <w:szCs w:val="20"/>
        </w:rPr>
        <w:t xml:space="preserve">also </w:t>
      </w:r>
      <w:r>
        <w:rPr>
          <w:rFonts w:ascii="Times New Roman" w:hAnsi="Times New Roman"/>
          <w:sz w:val="20"/>
          <w:szCs w:val="20"/>
        </w:rPr>
        <w:t xml:space="preserve">used with less dense carbohydrate sources such as molasses. </w:t>
      </w:r>
      <w:r w:rsidR="00086398">
        <w:rPr>
          <w:rFonts w:ascii="Times New Roman" w:hAnsi="Times New Roman"/>
          <w:sz w:val="20"/>
          <w:szCs w:val="20"/>
        </w:rPr>
        <w:t>Si</w:t>
      </w:r>
      <w:r w:rsidR="000D7361">
        <w:rPr>
          <w:rFonts w:ascii="Times New Roman" w:hAnsi="Times New Roman"/>
          <w:sz w:val="20"/>
          <w:szCs w:val="20"/>
        </w:rPr>
        <w:t xml:space="preserve">mple </w:t>
      </w:r>
      <w:r w:rsidR="006D3DB6">
        <w:rPr>
          <w:rFonts w:ascii="Times New Roman" w:hAnsi="Times New Roman"/>
          <w:sz w:val="20"/>
          <w:szCs w:val="20"/>
        </w:rPr>
        <w:t>mechanical pretreatment</w:t>
      </w:r>
      <w:r w:rsidR="00540568">
        <w:rPr>
          <w:rFonts w:ascii="Times New Roman" w:hAnsi="Times New Roman"/>
          <w:sz w:val="20"/>
          <w:szCs w:val="20"/>
        </w:rPr>
        <w:t xml:space="preserve"> </w:t>
      </w:r>
      <w:r w:rsidR="007A7151">
        <w:rPr>
          <w:rFonts w:ascii="Times New Roman" w:hAnsi="Times New Roman"/>
          <w:sz w:val="20"/>
          <w:szCs w:val="20"/>
        </w:rPr>
        <w:t xml:space="preserve">for particle size reduction </w:t>
      </w:r>
      <w:r w:rsidR="00540568">
        <w:rPr>
          <w:rFonts w:ascii="Times New Roman" w:hAnsi="Times New Roman"/>
          <w:sz w:val="20"/>
          <w:szCs w:val="20"/>
        </w:rPr>
        <w:t xml:space="preserve">(milling, chopping, grinding, etc.) </w:t>
      </w:r>
      <w:r w:rsidR="00B80745">
        <w:rPr>
          <w:rFonts w:ascii="Times New Roman" w:hAnsi="Times New Roman"/>
          <w:sz w:val="20"/>
          <w:szCs w:val="20"/>
        </w:rPr>
        <w:t xml:space="preserve">may be </w:t>
      </w:r>
      <w:r w:rsidR="00B80745" w:rsidRPr="00460A56">
        <w:rPr>
          <w:rFonts w:ascii="Times New Roman" w:hAnsi="Times New Roman"/>
          <w:sz w:val="20"/>
          <w:szCs w:val="20"/>
        </w:rPr>
        <w:t xml:space="preserve">performed </w:t>
      </w:r>
      <w:r w:rsidR="00086398" w:rsidRPr="00460A56">
        <w:rPr>
          <w:rFonts w:ascii="Times New Roman" w:hAnsi="Times New Roman"/>
          <w:sz w:val="20"/>
          <w:szCs w:val="20"/>
        </w:rPr>
        <w:t xml:space="preserve">for sugar-rich feedstock </w:t>
      </w:r>
      <w:r w:rsidR="00B80745" w:rsidRPr="00460A56">
        <w:rPr>
          <w:rFonts w:ascii="Times New Roman" w:hAnsi="Times New Roman"/>
          <w:sz w:val="20"/>
          <w:szCs w:val="20"/>
        </w:rPr>
        <w:t>(e.g. s</w:t>
      </w:r>
      <w:r w:rsidR="004B7A5C" w:rsidRPr="00460A56">
        <w:rPr>
          <w:rFonts w:ascii="Times New Roman" w:hAnsi="Times New Roman"/>
          <w:sz w:val="20"/>
          <w:szCs w:val="20"/>
        </w:rPr>
        <w:t>ugarcane, maize,</w:t>
      </w:r>
      <w:r w:rsidR="00B80745" w:rsidRPr="00460A56">
        <w:rPr>
          <w:rFonts w:ascii="Times New Roman" w:hAnsi="Times New Roman"/>
          <w:sz w:val="20"/>
          <w:szCs w:val="20"/>
        </w:rPr>
        <w:t xml:space="preserve"> fodder beet). </w:t>
      </w:r>
      <w:r w:rsidR="00540568" w:rsidRPr="00460A56">
        <w:rPr>
          <w:rFonts w:ascii="Times New Roman" w:hAnsi="Times New Roman"/>
          <w:sz w:val="20"/>
          <w:szCs w:val="20"/>
        </w:rPr>
        <w:t>For</w:t>
      </w:r>
      <w:r w:rsidR="003842F5" w:rsidRPr="00460A56">
        <w:rPr>
          <w:rFonts w:ascii="Times New Roman" w:hAnsi="Times New Roman"/>
          <w:sz w:val="20"/>
          <w:szCs w:val="20"/>
        </w:rPr>
        <w:t xml:space="preserve"> lignocellulosic</w:t>
      </w:r>
      <w:r w:rsidR="00540568" w:rsidRPr="00460A56">
        <w:rPr>
          <w:rFonts w:ascii="Times New Roman" w:hAnsi="Times New Roman"/>
          <w:sz w:val="20"/>
          <w:szCs w:val="20"/>
        </w:rPr>
        <w:t>-rich</w:t>
      </w:r>
      <w:r w:rsidR="003842F5" w:rsidRPr="00460A56">
        <w:rPr>
          <w:rFonts w:ascii="Times New Roman" w:hAnsi="Times New Roman"/>
          <w:sz w:val="20"/>
          <w:szCs w:val="20"/>
        </w:rPr>
        <w:t xml:space="preserve"> feedstock</w:t>
      </w:r>
      <w:r w:rsidR="006D3DB6" w:rsidRPr="00460A56">
        <w:rPr>
          <w:rFonts w:ascii="Times New Roman" w:hAnsi="Times New Roman"/>
          <w:sz w:val="20"/>
          <w:szCs w:val="20"/>
        </w:rPr>
        <w:t xml:space="preserve"> (e.g. </w:t>
      </w:r>
      <w:r w:rsidR="00540568" w:rsidRPr="00460A56">
        <w:rPr>
          <w:rFonts w:ascii="Times New Roman" w:hAnsi="Times New Roman"/>
          <w:sz w:val="20"/>
          <w:szCs w:val="20"/>
        </w:rPr>
        <w:t>straw, woody crops and/or residues</w:t>
      </w:r>
      <w:r w:rsidR="006D3DB6" w:rsidRPr="00460A56">
        <w:rPr>
          <w:rFonts w:ascii="Times New Roman" w:hAnsi="Times New Roman"/>
          <w:sz w:val="20"/>
          <w:szCs w:val="20"/>
        </w:rPr>
        <w:t>)</w:t>
      </w:r>
      <w:r w:rsidR="001A578B" w:rsidRPr="00460A56">
        <w:rPr>
          <w:rFonts w:ascii="Times New Roman" w:hAnsi="Times New Roman"/>
          <w:sz w:val="20"/>
          <w:szCs w:val="20"/>
        </w:rPr>
        <w:t>, this</w:t>
      </w:r>
      <w:r w:rsidR="006D3DB6" w:rsidRPr="00460A56">
        <w:rPr>
          <w:rFonts w:ascii="Times New Roman" w:hAnsi="Times New Roman"/>
          <w:sz w:val="20"/>
          <w:szCs w:val="20"/>
        </w:rPr>
        <w:t xml:space="preserve"> mechanical pretreatment is followed by delignification. In this step, </w:t>
      </w:r>
      <w:r w:rsidR="00B80745" w:rsidRPr="00460A56">
        <w:rPr>
          <w:rFonts w:ascii="Times New Roman" w:hAnsi="Times New Roman"/>
          <w:sz w:val="20"/>
          <w:szCs w:val="20"/>
        </w:rPr>
        <w:t>the lignin fraction is typically separated from cellulose and hemicellulos</w:t>
      </w:r>
      <w:r w:rsidR="003842F5" w:rsidRPr="00460A56">
        <w:rPr>
          <w:rFonts w:ascii="Times New Roman" w:hAnsi="Times New Roman"/>
          <w:sz w:val="20"/>
          <w:szCs w:val="20"/>
        </w:rPr>
        <w:t>e by an alkaline deacetylation,</w:t>
      </w:r>
      <w:r w:rsidR="004752DF" w:rsidRPr="00460A56">
        <w:rPr>
          <w:rFonts w:ascii="Times New Roman" w:hAnsi="Times New Roman"/>
          <w:sz w:val="20"/>
          <w:szCs w:val="20"/>
        </w:rPr>
        <w:t xml:space="preserve"> followed by vacuum filtration </w:t>
      </w:r>
      <w:r w:rsidR="009E4078" w:rsidRPr="00460A56">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e99UKJZD","properties":{"formattedCitation":"[40,41]","plainCitation":"[40,41]","noteIndex":0},"citationItems":[{"id":"968HXJ10/x0bkQlTQ","uris":["http://www.mendeley.com/documents/?uuid=6f644593-3489-4a67-bcca-3787ae5a567e"],"uri":["http://www.mendeley.com/documents/?uuid=6f644593-3489-4a67-bcca-3787ae5a567e"],"itemData":{"abstract":"This techno-economic analysis models a production cost for cellulosic hydrocarbon biofuels that\\r\\ncan be considered as a baseline to assess the competitiveness and market potential for the\\r\\ntechnology. It can also be used to quantify the economic impact of individual conversion\\r\\nperformance targets and prioritize them in terms of their potential to reduce cost. The analysis\\r\\npresented here also includes consideration of the life-cycle implications of the process model by\\r\\ntracking sustainability metrics for the modeled biorefinery, including greenhouse gas emissions,\\r\\nfossil energy demand, and water consumption.\\r\\nBuilding on prior design report practices, NREL, together with Harris Group, performed a\\r\\nfeasibility-level analysis for a plausible catalytic conversion process to meet an intermediate\\r\\nDOE cost goal of $5/gallon gasoline equivalent (GGE) in a timeframe prior to 2022. The\\r\\nmodeled biorefinery processes 2,205 dry tons biomass/day and achieves a fuel selling price of\\r\\n$4.05/GGE in 2011-year dollars as determined by modeled conversion targets and “n\\r\\nth-plant”\\r\\nproject costs and financing, associated with a total fuel yield of 78.3 GGE/dry ton when\\r\\nassuming hydrogen is purchased from off-site production. Alternatively, if hydrogen is instead\\r\\nproduced in situ by diverting a fraction (41%) of hydrolysate carbon towards reforming reactions, fuel yield drops to 45.3 GGE/dry ton and selling price increases to $5.48/GGE. If\\r\\ninstead hydrogen is produced by diverting a fraction of biomass to a gasification process to\\r\\nproduce and subsequently refine syngas to hydrogen, such a scenario would require 36% of the\\r\\navailable biomass and would translate to a fuel yield of 50.1 GGE/dry ton and selling price of\\r\\n$4.95/GGE. Preliminary assessment of sustainability metrics associated with these three\\r\\nhydrogen scenarios indicates a more favorable greenhouse gas profile for the in situ and\\r\\ngasification cases as it avoids the use of natural gas for off-site hydrogen production. However,\\r\\nadditional benefits are likely to be seen for a case including on-site hydrogen production via\\r\\nsteam methane reforming (rather than off-site as in the base case evaluated here), given\\r\\nadditional integration advantages that may be brought about through heat/power integration and\\r\\ncarbon recycles which were beyond the scope of this effort; in any case, a full well-to-wheel lifecycle\\r\\nanalysis is required to better understand gre…","author":[{"dropping-particle":"","family":"Davis","given":"R","non-dropping-particle":"","parse-names":false,"suffix":""},{"dropping-particle":"","family":"Tao","given":"L","non-dropping-particle":"","parse-names":false,"suffix":""},{"dropping-particle":"","family":"Scarlata","given":"C","non-dropping-particle":"","parse-names":false,"suffix":""},{"dropping-particle":"","family":"Tan","given":"E C D","non-dropping-particle":"","parse-names":false,"suffix":""},{"dropping-particle":"","family":"Ross","given":"J","non-dropping-particle":"","parse-names":false,"suffix":""},{"dropping-particle":"","family":"Lukas","given":"J","non-dropping-particle":"","parse-names":false,"suffix":""},{"dropping-particle":"","family":"Sexton","given":"D","non-dropping-particle":"","parse-names":false,"suffix":""}],"id":"ITEM-1","issued":{"date-parts":[["2015"]]},"number-of-pages":"133","title":"Process Design and Economics for the Conversion of Lignocellulosic Biomass to Hydrocarbons: Dilute-Acid and Enzymatic Deconstruction of Biomass to Sugars and Catalytic Conversion of Sugars to Hydrocarbons","type":"report"}},{"id":"968HXJ10/Lcb8p7eH","uris":["http://www.mendeley.com/documents/?uuid=862facf5-ede8-4080-b95b-8e52fa36d698"],"uri":["http://www.mendeley.com/documents/?uuid=862facf5-ede8-4080-b95b-8e52fa36d698"],"itemData":{"DOI":"10.1016/j.rser.2015.09.016","ISSN":"18790690","abstract":"Biomass-derived jet (bio-jet) fuel has become a key element in the aviation industry's strategy to reduce operating costs and environmental impacts. Researchers from the oil-refining industry, the aviation industry, government, biofuel companies, agricultural organizations, and academia are working toward developing a commercially viable and sustainable process that produces a long-lasting renewable jet fuel with low production costs and low greenhouse emissions. This jet fuel, additionally, must meet ASTM International specifications and potentially be a 100% drop-in replacement for current petroleum jet fuel. In this study, the current technologies for producing renewable jet fuels, categorized by alcohols-to-jet, oil-to-jet, syngas-to-jet, and sugar-to-jet pathways are reviewed. The main challenges for each technology pathway, including conceptual process design, process economics and life-cycle assessment of greenhouse gas emissions are discussed. Although the feedstock price and availability and energy intensity of the process are significant barriers, biomass-derived jet fuel has the potential to replace a significant portion of conventional jet fuel required to meet commercial and military demand.","author":[{"dropping-particle":"","family":"Wang","given":"Wei Cheng","non-dropping-particle":"","parse-names":false,"suffix":""},{"dropping-particle":"","family":"Tao","given":"Ling","non-dropping-particle":"","parse-names":false,"suffix":""}],"container-title":"Renewable and Sustainable Energy Reviews","id":"ITEM-2","issued":{"date-parts":[["2016"]]},"page":"801-822","title":"Bio-jet fuel conversion technologies","type":"article-journal","volume":"53"}}],"schema":"https://github.com/citation-style-language/schema/raw/master/csl-citation.json"} </w:instrText>
      </w:r>
      <w:r w:rsidR="009E4078" w:rsidRPr="00460A56">
        <w:rPr>
          <w:rFonts w:ascii="Times New Roman" w:hAnsi="Times New Roman"/>
          <w:sz w:val="20"/>
          <w:szCs w:val="20"/>
        </w:rPr>
        <w:fldChar w:fldCharType="separate"/>
      </w:r>
      <w:r w:rsidR="00CA240D" w:rsidRPr="00CA240D">
        <w:rPr>
          <w:rFonts w:ascii="Times New Roman" w:hAnsi="Times New Roman" w:cs="Times New Roman"/>
          <w:sz w:val="20"/>
        </w:rPr>
        <w:t>[40,41]</w:t>
      </w:r>
      <w:r w:rsidR="009E4078" w:rsidRPr="00460A56">
        <w:rPr>
          <w:rFonts w:ascii="Times New Roman" w:hAnsi="Times New Roman"/>
          <w:sz w:val="20"/>
          <w:szCs w:val="20"/>
        </w:rPr>
        <w:fldChar w:fldCharType="end"/>
      </w:r>
      <w:r w:rsidR="00460A56" w:rsidRPr="00460A56">
        <w:rPr>
          <w:rFonts w:ascii="Times New Roman" w:hAnsi="Times New Roman"/>
          <w:sz w:val="20"/>
          <w:szCs w:val="20"/>
        </w:rPr>
        <w:t>.</w:t>
      </w:r>
      <w:r w:rsidR="00B80745" w:rsidRPr="00460A56">
        <w:rPr>
          <w:rFonts w:ascii="Times New Roman" w:hAnsi="Times New Roman"/>
          <w:sz w:val="20"/>
          <w:szCs w:val="20"/>
        </w:rPr>
        <w:t xml:space="preserve">The remaining lignin may be utilized in various applications such as the generation of heat and electricity, </w:t>
      </w:r>
      <w:r w:rsidR="009604DC" w:rsidRPr="00460A56">
        <w:rPr>
          <w:rFonts w:ascii="Times New Roman" w:hAnsi="Times New Roman"/>
          <w:sz w:val="20"/>
          <w:szCs w:val="20"/>
        </w:rPr>
        <w:t xml:space="preserve">or </w:t>
      </w:r>
      <w:r w:rsidR="00B80745" w:rsidRPr="00460A56">
        <w:rPr>
          <w:rFonts w:ascii="Times New Roman" w:hAnsi="Times New Roman"/>
          <w:sz w:val="20"/>
          <w:szCs w:val="20"/>
        </w:rPr>
        <w:t>the production of syngas (through gasification) for liquid fuel productions</w:t>
      </w:r>
      <w:r w:rsidR="0032537C" w:rsidRPr="00460A56">
        <w:rPr>
          <w:rFonts w:ascii="Times New Roman" w:hAnsi="Times New Roman"/>
          <w:sz w:val="20"/>
          <w:szCs w:val="20"/>
        </w:rPr>
        <w:t xml:space="preserve"> </w:t>
      </w:r>
      <w:r w:rsidR="00F83336" w:rsidRPr="00460A56">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8Xbod88","properties":{"formattedCitation":"[42,43]","plainCitation":"[42,43]","noteIndex":0},"citationItems":[{"id":"968HXJ10/s7Q8bDBj","uris":["http://www.mendeley.com/documents/?uuid=8b31b759-13c8-46f1-953a-b489f8eb9074"],"uri":["http://www.mendeley.com/documents/?uuid=8b31b759-13c8-46f1-953a-b489f8eb9074"],"itemData":{"abstract":"Virent Energy Systems, Inc. has discovered and is now developing innovative and novel catalytic methods to convert plant sugars into high-energy hydrocarbons mixtures that can be used directly or blended seamlessly to make conventional liquid fuels. The methods utilize Virent's patented Bio- Forming® technology to produce renewable gasoline, diesel, and jet fuel from a wide range of bio- mass feedstocks, including non-food varieties. The BioForming platform expands the utility of the aqueous phase reforming (APR) process by combining APR with catalysts and reactor systems simi- lar to those found in standard petroleum oil refineries to convert sugar-based compounds into non- oxygenated hydrocarbons mixtures. The hydrocarbon mixtures have significantly higher volumetric energy content than ethanol, do not require the energy intensive dewatering steps associated with ethanol production, and can be brought to market using the current petroleum infrastructure and pipelines, which are not available to the ethanol industry. Preliminary economic analysis suggests that converting sugars to conventional liquid fuels using Virent’s BioForming process can economi- cally compete with petroleum fuels at crude oil prices greater than $60/bbl.","author":[{"dropping-particle":"","family":"Blommel","given":"Paul G","non-dropping-particle":"","parse-names":false,"suffix":""},{"dropping-particle":"","family":"Cortright","given":"Randy D","non-dropping-particle":"","parse-names":false,"suffix":""}],"container-title":"Energy","id":"ITEM-1","issue":"1319","issued":{"date-parts":[["2008"]]},"page":"1-14","title":"Production of Conventional Liquid Fuels from Sugars","type":"article","volume":"August 25"}},{"id":"968HXJ10/h3xnGacJ","uris":["http://www.mendeley.com/documents/?uuid=e7ac08ca-115f-438c-ba90-b6aa2385452c"],"uri":["http://www.mendeley.com/documents/?uuid=e7ac08ca-115f-438c-ba90-b6aa2385452c"],"itemData":{"author":[{"dropping-particle":"","family":"Chheda, J","given":"N.","non-dropping-particle":"","parse-names":false,"suffix":""},{"dropping-particle":"","family":"Powell, J.","given":"B.","non-dropping-particle":"","parse-names":false,"suffix":""}],"id":"ITEM-2","issued":{"date-parts":[["2016"]]},"number":"US 9303226 B2","publisher-place":"Houston, TX (US)","title":"Direct aqueous phase reforming of bio-based feedstocks","type":"patent"}}],"schema":"https://github.com/citation-style-language/schema/raw/master/csl-citation.json"} </w:instrText>
      </w:r>
      <w:r w:rsidR="00F83336" w:rsidRPr="00460A56">
        <w:rPr>
          <w:rFonts w:ascii="Times New Roman" w:hAnsi="Times New Roman"/>
          <w:sz w:val="20"/>
          <w:szCs w:val="20"/>
        </w:rPr>
        <w:fldChar w:fldCharType="separate"/>
      </w:r>
      <w:r w:rsidR="00CA240D" w:rsidRPr="00CA240D">
        <w:rPr>
          <w:rFonts w:ascii="Times New Roman" w:hAnsi="Times New Roman" w:cs="Times New Roman"/>
          <w:sz w:val="20"/>
        </w:rPr>
        <w:t>[42,43]</w:t>
      </w:r>
      <w:r w:rsidR="00F83336" w:rsidRPr="00460A56">
        <w:rPr>
          <w:rFonts w:ascii="Times New Roman" w:hAnsi="Times New Roman"/>
          <w:sz w:val="20"/>
          <w:szCs w:val="20"/>
        </w:rPr>
        <w:fldChar w:fldCharType="end"/>
      </w:r>
      <w:r w:rsidR="00460A56" w:rsidRPr="00460A56">
        <w:rPr>
          <w:rFonts w:ascii="Times New Roman" w:hAnsi="Times New Roman"/>
          <w:sz w:val="20"/>
          <w:szCs w:val="20"/>
        </w:rPr>
        <w:t xml:space="preserve">. </w:t>
      </w:r>
      <w:r w:rsidR="00B80745" w:rsidRPr="00460A56">
        <w:rPr>
          <w:rFonts w:ascii="Times New Roman" w:hAnsi="Times New Roman"/>
          <w:sz w:val="20"/>
          <w:szCs w:val="20"/>
        </w:rPr>
        <w:t>The cellulose and hemicellulose fractions are further processed with enzymatic or acid hydrolysis approaches to recover C</w:t>
      </w:r>
      <w:r w:rsidR="00B80745" w:rsidRPr="00460A56">
        <w:rPr>
          <w:rFonts w:ascii="Times New Roman" w:hAnsi="Times New Roman"/>
          <w:sz w:val="20"/>
          <w:szCs w:val="20"/>
          <w:vertAlign w:val="subscript"/>
        </w:rPr>
        <w:t>5</w:t>
      </w:r>
      <w:r w:rsidR="00B80745" w:rsidRPr="00460A56">
        <w:rPr>
          <w:rFonts w:ascii="Times New Roman" w:hAnsi="Times New Roman"/>
          <w:sz w:val="20"/>
          <w:szCs w:val="20"/>
        </w:rPr>
        <w:t xml:space="preserve"> and C</w:t>
      </w:r>
      <w:r w:rsidR="00B80745" w:rsidRPr="00460A56">
        <w:rPr>
          <w:rFonts w:ascii="Times New Roman" w:hAnsi="Times New Roman"/>
          <w:sz w:val="20"/>
          <w:szCs w:val="20"/>
          <w:vertAlign w:val="subscript"/>
        </w:rPr>
        <w:t>6</w:t>
      </w:r>
      <w:r w:rsidR="00A56B07" w:rsidRPr="00460A56">
        <w:rPr>
          <w:rFonts w:ascii="Times New Roman" w:hAnsi="Times New Roman"/>
          <w:sz w:val="20"/>
          <w:szCs w:val="20"/>
        </w:rPr>
        <w:t xml:space="preserve"> sugars. As a result, an </w:t>
      </w:r>
      <w:r w:rsidR="00B80745" w:rsidRPr="00460A56">
        <w:rPr>
          <w:rFonts w:ascii="Times New Roman" w:hAnsi="Times New Roman"/>
          <w:sz w:val="20"/>
          <w:szCs w:val="20"/>
        </w:rPr>
        <w:t xml:space="preserve">hydrolysate is </w:t>
      </w:r>
      <w:r w:rsidR="009604DC" w:rsidRPr="00460A56">
        <w:rPr>
          <w:rFonts w:ascii="Times New Roman" w:hAnsi="Times New Roman"/>
          <w:sz w:val="20"/>
          <w:szCs w:val="20"/>
        </w:rPr>
        <w:t>produced and further used as</w:t>
      </w:r>
      <w:r w:rsidR="00B80745" w:rsidRPr="00460A56">
        <w:rPr>
          <w:rFonts w:ascii="Times New Roman" w:hAnsi="Times New Roman"/>
          <w:sz w:val="20"/>
          <w:szCs w:val="20"/>
        </w:rPr>
        <w:t xml:space="preserve"> input for the </w:t>
      </w:r>
      <w:r w:rsidR="00074ECD" w:rsidRPr="00460A56">
        <w:rPr>
          <w:rFonts w:ascii="Times New Roman" w:hAnsi="Times New Roman"/>
          <w:sz w:val="20"/>
          <w:szCs w:val="20"/>
        </w:rPr>
        <w:t>aqueous phase reforming (</w:t>
      </w:r>
      <w:r w:rsidR="00B80745" w:rsidRPr="00460A56">
        <w:rPr>
          <w:rFonts w:ascii="Times New Roman" w:hAnsi="Times New Roman"/>
          <w:sz w:val="20"/>
          <w:szCs w:val="20"/>
        </w:rPr>
        <w:t>APR</w:t>
      </w:r>
      <w:r w:rsidR="00074ECD" w:rsidRPr="00460A56">
        <w:rPr>
          <w:rFonts w:ascii="Times New Roman" w:hAnsi="Times New Roman"/>
          <w:sz w:val="20"/>
          <w:szCs w:val="20"/>
        </w:rPr>
        <w:t>)</w:t>
      </w:r>
      <w:r w:rsidR="00B80745" w:rsidRPr="00460A56">
        <w:rPr>
          <w:rFonts w:ascii="Times New Roman" w:hAnsi="Times New Roman"/>
          <w:sz w:val="20"/>
          <w:szCs w:val="20"/>
        </w:rPr>
        <w:t xml:space="preserve">, DSHC and AF pathways. </w:t>
      </w:r>
    </w:p>
    <w:p w14:paraId="08F76CB5" w14:textId="77777777" w:rsidR="00953073" w:rsidRPr="00460A56" w:rsidRDefault="00A51119" w:rsidP="00290530">
      <w:pPr>
        <w:spacing w:after="120" w:line="276" w:lineRule="auto"/>
        <w:jc w:val="thaiDistribute"/>
        <w:rPr>
          <w:rFonts w:ascii="Times New Roman" w:hAnsi="Times New Roman"/>
          <w:i/>
          <w:iCs/>
          <w:sz w:val="20"/>
          <w:szCs w:val="20"/>
        </w:rPr>
      </w:pPr>
      <w:r w:rsidRPr="00460A56">
        <w:rPr>
          <w:rFonts w:ascii="Times New Roman" w:hAnsi="Times New Roman"/>
          <w:i/>
          <w:iCs/>
          <w:sz w:val="20"/>
          <w:szCs w:val="20"/>
        </w:rPr>
        <w:t>2</w:t>
      </w:r>
      <w:r w:rsidR="00953073" w:rsidRPr="00460A56">
        <w:rPr>
          <w:rFonts w:ascii="Times New Roman" w:hAnsi="Times New Roman"/>
          <w:i/>
          <w:iCs/>
          <w:sz w:val="20"/>
          <w:szCs w:val="20"/>
        </w:rPr>
        <w:t>.1.1 Aqueous phase reforming (APR)</w:t>
      </w:r>
    </w:p>
    <w:p w14:paraId="17120EEF" w14:textId="5A00EB2B" w:rsidR="00752521" w:rsidRPr="00460A56" w:rsidRDefault="00D01132" w:rsidP="00290530">
      <w:pPr>
        <w:spacing w:after="120" w:line="276" w:lineRule="auto"/>
        <w:jc w:val="thaiDistribute"/>
        <w:rPr>
          <w:rFonts w:ascii="Times New Roman" w:hAnsi="Times New Roman"/>
          <w:sz w:val="20"/>
          <w:szCs w:val="20"/>
        </w:rPr>
      </w:pPr>
      <w:r w:rsidRPr="00460A56">
        <w:rPr>
          <w:rFonts w:ascii="Times New Roman" w:hAnsi="Times New Roman"/>
          <w:sz w:val="20"/>
          <w:szCs w:val="20"/>
        </w:rPr>
        <w:t>In this pathway, t</w:t>
      </w:r>
      <w:r w:rsidR="00084808" w:rsidRPr="00460A56">
        <w:rPr>
          <w:rFonts w:ascii="Times New Roman" w:hAnsi="Times New Roman"/>
          <w:sz w:val="20"/>
          <w:szCs w:val="20"/>
        </w:rPr>
        <w:t xml:space="preserve">he </w:t>
      </w:r>
      <w:r w:rsidRPr="00460A56">
        <w:rPr>
          <w:rFonts w:ascii="Times New Roman" w:hAnsi="Times New Roman"/>
          <w:sz w:val="20"/>
          <w:szCs w:val="20"/>
        </w:rPr>
        <w:t xml:space="preserve">generated </w:t>
      </w:r>
      <w:r w:rsidR="00084808" w:rsidRPr="00460A56">
        <w:rPr>
          <w:rFonts w:ascii="Times New Roman" w:hAnsi="Times New Roman"/>
          <w:sz w:val="20"/>
          <w:szCs w:val="20"/>
        </w:rPr>
        <w:t xml:space="preserve">hydrolysate </w:t>
      </w:r>
      <w:r w:rsidR="00BB3847" w:rsidRPr="00460A56">
        <w:rPr>
          <w:rFonts w:ascii="Times New Roman" w:hAnsi="Times New Roman"/>
          <w:sz w:val="20"/>
          <w:szCs w:val="20"/>
        </w:rPr>
        <w:t>(Fig.</w:t>
      </w:r>
      <w:r w:rsidR="00B1485A" w:rsidRPr="00460A56">
        <w:rPr>
          <w:rFonts w:ascii="Times New Roman" w:hAnsi="Times New Roman"/>
          <w:sz w:val="20"/>
          <w:szCs w:val="20"/>
        </w:rPr>
        <w:t xml:space="preserve"> 2</w:t>
      </w:r>
      <w:r w:rsidRPr="00460A56">
        <w:rPr>
          <w:rFonts w:ascii="Times New Roman" w:hAnsi="Times New Roman"/>
          <w:sz w:val="20"/>
          <w:szCs w:val="20"/>
        </w:rPr>
        <w:t>) first</w:t>
      </w:r>
      <w:r w:rsidR="00084808" w:rsidRPr="00460A56">
        <w:rPr>
          <w:rFonts w:ascii="Times New Roman" w:hAnsi="Times New Roman"/>
          <w:sz w:val="20"/>
          <w:szCs w:val="20"/>
        </w:rPr>
        <w:t xml:space="preserve"> undergo</w:t>
      </w:r>
      <w:r w:rsidRPr="00460A56">
        <w:rPr>
          <w:rFonts w:ascii="Times New Roman" w:hAnsi="Times New Roman"/>
          <w:sz w:val="20"/>
          <w:szCs w:val="20"/>
        </w:rPr>
        <w:t>es</w:t>
      </w:r>
      <w:r w:rsidR="00084808" w:rsidRPr="00460A56">
        <w:rPr>
          <w:rFonts w:ascii="Times New Roman" w:hAnsi="Times New Roman"/>
          <w:sz w:val="20"/>
          <w:szCs w:val="20"/>
        </w:rPr>
        <w:t xml:space="preserve"> a purif</w:t>
      </w:r>
      <w:r w:rsidR="00011219" w:rsidRPr="00460A56">
        <w:rPr>
          <w:rFonts w:ascii="Times New Roman" w:hAnsi="Times New Roman"/>
          <w:sz w:val="20"/>
          <w:szCs w:val="20"/>
        </w:rPr>
        <w:t>i</w:t>
      </w:r>
      <w:r w:rsidR="0098701E" w:rsidRPr="00460A56">
        <w:rPr>
          <w:rFonts w:ascii="Times New Roman" w:hAnsi="Times New Roman"/>
          <w:sz w:val="20"/>
          <w:szCs w:val="20"/>
        </w:rPr>
        <w:t>cation and concentration process</w:t>
      </w:r>
      <w:r w:rsidRPr="00460A56">
        <w:rPr>
          <w:rFonts w:ascii="Times New Roman" w:hAnsi="Times New Roman"/>
          <w:sz w:val="20"/>
          <w:szCs w:val="20"/>
        </w:rPr>
        <w:t>. In this step,</w:t>
      </w:r>
      <w:r w:rsidR="006B772D" w:rsidRPr="00460A56">
        <w:rPr>
          <w:rFonts w:ascii="Times New Roman" w:hAnsi="Times New Roman"/>
          <w:sz w:val="20"/>
          <w:szCs w:val="20"/>
        </w:rPr>
        <w:t xml:space="preserve"> </w:t>
      </w:r>
      <w:r w:rsidR="0099549A" w:rsidRPr="00460A56">
        <w:rPr>
          <w:rFonts w:ascii="Times New Roman" w:hAnsi="Times New Roman"/>
          <w:sz w:val="20"/>
          <w:szCs w:val="20"/>
        </w:rPr>
        <w:t xml:space="preserve">numerous techniques </w:t>
      </w:r>
      <w:r w:rsidR="00D77B1E">
        <w:rPr>
          <w:rFonts w:ascii="Times New Roman" w:hAnsi="Times New Roman"/>
          <w:sz w:val="20"/>
          <w:szCs w:val="20"/>
        </w:rPr>
        <w:t>may</w:t>
      </w:r>
      <w:r w:rsidR="0099549A" w:rsidRPr="00460A56">
        <w:rPr>
          <w:rFonts w:ascii="Times New Roman" w:hAnsi="Times New Roman"/>
          <w:sz w:val="20"/>
          <w:szCs w:val="20"/>
        </w:rPr>
        <w:t xml:space="preserve"> be applied, for instance, </w:t>
      </w:r>
      <w:r w:rsidR="00615958" w:rsidRPr="00460A56">
        <w:rPr>
          <w:rFonts w:ascii="Times New Roman" w:hAnsi="Times New Roman"/>
          <w:sz w:val="20"/>
          <w:szCs w:val="20"/>
        </w:rPr>
        <w:t xml:space="preserve">alkaline solvents for ash and </w:t>
      </w:r>
      <w:r w:rsidR="00AD6614" w:rsidRPr="00460A56">
        <w:rPr>
          <w:rFonts w:ascii="Times New Roman" w:hAnsi="Times New Roman"/>
          <w:sz w:val="20"/>
          <w:szCs w:val="20"/>
        </w:rPr>
        <w:t xml:space="preserve">residual </w:t>
      </w:r>
      <w:r w:rsidR="00BB5840" w:rsidRPr="00460A56">
        <w:rPr>
          <w:rFonts w:ascii="Times New Roman" w:hAnsi="Times New Roman"/>
          <w:sz w:val="20"/>
          <w:szCs w:val="20"/>
        </w:rPr>
        <w:t>lignin removal</w:t>
      </w:r>
      <w:r w:rsidR="00A22029" w:rsidRPr="00460A56">
        <w:rPr>
          <w:rFonts w:ascii="Times New Roman" w:hAnsi="Times New Roman"/>
          <w:sz w:val="20"/>
          <w:szCs w:val="20"/>
        </w:rPr>
        <w:t xml:space="preserve">, </w:t>
      </w:r>
      <w:r w:rsidR="00AD6614" w:rsidRPr="00460A56">
        <w:rPr>
          <w:rFonts w:ascii="Times New Roman" w:hAnsi="Times New Roman"/>
          <w:sz w:val="20"/>
          <w:szCs w:val="20"/>
        </w:rPr>
        <w:t>and filtration</w:t>
      </w:r>
      <w:r w:rsidR="00A57A29" w:rsidRPr="00460A56">
        <w:rPr>
          <w:rFonts w:ascii="Times New Roman" w:hAnsi="Times New Roman"/>
          <w:sz w:val="20"/>
          <w:szCs w:val="20"/>
        </w:rPr>
        <w:t xml:space="preserve"> </w:t>
      </w:r>
      <w:r w:rsidR="0099549A" w:rsidRPr="00460A56">
        <w:rPr>
          <w:rFonts w:ascii="Times New Roman" w:hAnsi="Times New Roman"/>
          <w:sz w:val="20"/>
          <w:szCs w:val="20"/>
        </w:rPr>
        <w:t xml:space="preserve">for </w:t>
      </w:r>
      <w:r w:rsidR="00C2275A" w:rsidRPr="00460A56">
        <w:rPr>
          <w:rFonts w:ascii="Times New Roman" w:hAnsi="Times New Roman"/>
          <w:sz w:val="20"/>
          <w:szCs w:val="20"/>
        </w:rPr>
        <w:t>insoluble solid residues</w:t>
      </w:r>
      <w:r w:rsidR="00A57A29" w:rsidRPr="00460A56">
        <w:rPr>
          <w:rFonts w:ascii="Times New Roman" w:hAnsi="Times New Roman"/>
          <w:sz w:val="20"/>
          <w:szCs w:val="20"/>
        </w:rPr>
        <w:t xml:space="preserve"> removal </w:t>
      </w:r>
      <w:r w:rsidR="00D876E3" w:rsidRPr="00460A56">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ygjbFfTX","properties":{"formattedCitation":"[44,45]","plainCitation":"[44,45]","noteIndex":0},"citationItems":[{"id":"968HXJ10/5q7NaR9W","uris":["http://www.mendeley.com/documents/?uuid=f1007e9f-799a-4607-8792-94943381eba7"],"uri":["http://www.mendeley.com/documents/?uuid=f1007e9f-799a-4607-8792-94943381eba7"],"itemData":{"DOI":"10.1039/c0gc00263a","ISSN":"14639262","abstract":"In this paper we report a novel four-step process for the production of jet and diesel fuel range alkanes from hemicellulose extracts derived from northeastern hardwood trees. The extract is representative of a byproduct that could be produced by wood-processing industries such as biomass boilers or pulp mills in the northeastern U.S. The hemicellulose extract tested in this study contained mainly xylose oligomers (21.2 g/l xylose after the acid hydrolysis) as well as 0.31 g/l glucose, 0.91 g/l arabinose, 0.2 g/l lactic acid, 2.39 g/l acetic acid, 0.31 g/l formic acid, and other minor products. The first step in this process is an acid-catalyzed biphasic dehydration to produce furfural in yields up to 87%. The furfural is extracted from the aqueous solution into a tetrahydrofuran (THF) phase which is then fed into an aldol condensation step. The furfural-acetone-furfural (F-Ac-F) dimer is produced in this step by reaction of furfural with acetone in yields up to 96% for the F-Ac-F dimer. The F-Ac-F dimer is then subject to a low-temperature hydrogenation to form the hydrogenated dimer (H-FAF) at 110-130 °C and 800 psig with a 5 wt% Ru/C catalyst. Finally the H-FAF undergoes hydrodeoxygenation to make jet and diesel fuel range alkanes, primarily C13 and C12, in yields up to 91%. The theoretical yield for this process is 0.61 kg of alkane per kg of dry xylose derived from the hemicellulose extract. Experimentally we were able to obtain 76% of the theoretical yield for the overall process. We estimate that jet and diesel fuel range alkanes can be produced from between $2.06/gal to $4.39/gal depending on the feed xylose concentration, the size of the biorefinery, and the overall yield. Sensitivity analysis shows that the prices of raw materials, the organic-to-aqueous mass ratio in the biphasic dehydration, and the feed xylose concentration in the hemicellulose extract significantly affect the product cost. © The Royal Society of Chemistry 2010.","author":[{"dropping-particle":"","family":"Xing","given":"Rong","non-dropping-particle":"","parse-names":false,"suffix":""},{"dropping-particle":"V.","family":"Subrahmanyam","given":"Ayyagari","non-dropping-particle":"","parse-names":false,"suffix":""},{"dropping-particle":"","family":"Olcay","given":"Hakan","non-dropping-particle":"","parse-names":false,"suffix":""},{"dropping-particle":"","family":"Qi","given":"Wei","non-dropping-particle":"","parse-names":false,"suffix":""},{"dropping-particle":"","family":"Walsum","given":"G. Peter","non-dropping-particle":"Van","parse-names":false,"suffix":""},{"dropping-particle":"","family":"Pendse","given":"Hemant","non-dropping-particle":"","parse-names":false,"suffix":""},{"dropping-particle":"","family":"Huber","given":"George W.","non-dropping-particle":"","parse-names":false,"suffix":""}],"container-title":"Green Chemistry","id":"ITEM-1","issue":"11","issued":{"date-parts":[["2010"]]},"page":"1933-1946","title":"Production of jet and diesel fuel range alkanes from waste hemicellulose-derived aqueous solutions","type":"article-journal","volume":"12"}},{"id":"968HXJ10/0Fyba9wd","uris":["http://www.mendeley.com/documents/?uuid=21c5b9bd-fbda-39b5-820a-39bc3cb41184"],"uri":["http://www.mendeley.com/documents/?uuid=21c5b9bd-fbda-39b5-820a-39bc3cb41184"],"itemData":{"URL":"https://www.virent.com/","accessed":{"date-parts":[["2020","1","28"]]},"author":[{"dropping-particle":"","family":"Virent","given":"","non-dropping-particle":"","parse-names":false,"suffix":""}],"id":"ITEM-2","issued":{"date-parts":[["2019"]]},"title":"Virent, Inc.","type":"webpage"}}],"schema":"https://github.com/citation-style-language/schema/raw/master/csl-citation.json"} </w:instrText>
      </w:r>
      <w:r w:rsidR="00D876E3" w:rsidRPr="00460A56">
        <w:rPr>
          <w:rFonts w:ascii="Times New Roman" w:hAnsi="Times New Roman"/>
          <w:sz w:val="20"/>
          <w:szCs w:val="20"/>
        </w:rPr>
        <w:fldChar w:fldCharType="separate"/>
      </w:r>
      <w:r w:rsidR="00CA240D" w:rsidRPr="00CA240D">
        <w:rPr>
          <w:rFonts w:ascii="Times New Roman" w:hAnsi="Times New Roman" w:cs="Times New Roman"/>
          <w:sz w:val="20"/>
        </w:rPr>
        <w:t>[44,45]</w:t>
      </w:r>
      <w:r w:rsidR="00D876E3" w:rsidRPr="00460A56">
        <w:rPr>
          <w:rFonts w:ascii="Times New Roman" w:hAnsi="Times New Roman"/>
          <w:sz w:val="20"/>
          <w:szCs w:val="20"/>
        </w:rPr>
        <w:fldChar w:fldCharType="end"/>
      </w:r>
      <w:r w:rsidR="00A57A29" w:rsidRPr="00460A56">
        <w:rPr>
          <w:rFonts w:ascii="Times New Roman" w:hAnsi="Times New Roman"/>
          <w:sz w:val="20"/>
          <w:szCs w:val="20"/>
        </w:rPr>
        <w:t xml:space="preserve">. </w:t>
      </w:r>
      <w:r w:rsidR="00084808" w:rsidRPr="00460A56">
        <w:rPr>
          <w:rFonts w:ascii="Times New Roman" w:hAnsi="Times New Roman"/>
          <w:sz w:val="20"/>
          <w:szCs w:val="20"/>
        </w:rPr>
        <w:t>Depending on the initi</w:t>
      </w:r>
      <w:r w:rsidRPr="00460A56">
        <w:rPr>
          <w:rFonts w:ascii="Times New Roman" w:hAnsi="Times New Roman"/>
          <w:sz w:val="20"/>
          <w:szCs w:val="20"/>
        </w:rPr>
        <w:t>al feedstock characteristics, the</w:t>
      </w:r>
      <w:r>
        <w:rPr>
          <w:rFonts w:ascii="Times New Roman" w:hAnsi="Times New Roman"/>
          <w:sz w:val="20"/>
          <w:szCs w:val="20"/>
        </w:rPr>
        <w:t xml:space="preserve"> sugar-rich hydrolysate produce</w:t>
      </w:r>
      <w:r w:rsidR="00E71DBB">
        <w:rPr>
          <w:rFonts w:ascii="Times New Roman" w:hAnsi="Times New Roman"/>
          <w:sz w:val="20"/>
          <w:szCs w:val="20"/>
        </w:rPr>
        <w:t>d in the concentration step</w:t>
      </w:r>
      <w:r w:rsidR="00194E17">
        <w:rPr>
          <w:rFonts w:ascii="Times New Roman" w:hAnsi="Times New Roman"/>
          <w:sz w:val="20"/>
          <w:szCs w:val="20"/>
        </w:rPr>
        <w:t xml:space="preserve"> undergo</w:t>
      </w:r>
      <w:r w:rsidR="003E7B16">
        <w:rPr>
          <w:rFonts w:ascii="Times New Roman" w:hAnsi="Times New Roman"/>
          <w:sz w:val="20"/>
          <w:szCs w:val="20"/>
        </w:rPr>
        <w:t>es</w:t>
      </w:r>
      <w:r w:rsidR="00194E17">
        <w:rPr>
          <w:rFonts w:ascii="Times New Roman" w:hAnsi="Times New Roman"/>
          <w:sz w:val="20"/>
          <w:szCs w:val="20"/>
        </w:rPr>
        <w:t xml:space="preserve"> an hydro</w:t>
      </w:r>
      <w:r w:rsidR="00084808">
        <w:rPr>
          <w:rFonts w:ascii="Times New Roman" w:hAnsi="Times New Roman"/>
          <w:sz w:val="20"/>
          <w:szCs w:val="20"/>
        </w:rPr>
        <w:t xml:space="preserve">treating process to convert sugars and organic acids </w:t>
      </w:r>
      <w:r w:rsidR="00084808" w:rsidRPr="00460A56">
        <w:rPr>
          <w:rFonts w:ascii="Times New Roman" w:hAnsi="Times New Roman"/>
          <w:sz w:val="20"/>
          <w:szCs w:val="20"/>
        </w:rPr>
        <w:t xml:space="preserve">through hydrogenation (forming polyhydric alcohols) </w:t>
      </w:r>
      <w:r w:rsidR="004E59EF" w:rsidRPr="00460A56">
        <w:rPr>
          <w:rFonts w:ascii="Times New Roman" w:hAnsi="Times New Roman"/>
          <w:sz w:val="20"/>
          <w:szCs w:val="20"/>
        </w:rPr>
        <w:t>and/</w:t>
      </w:r>
      <w:r w:rsidR="00084808" w:rsidRPr="00460A56">
        <w:rPr>
          <w:rFonts w:ascii="Times New Roman" w:hAnsi="Times New Roman"/>
          <w:sz w:val="20"/>
          <w:szCs w:val="20"/>
        </w:rPr>
        <w:t>or hydrogenolysis (forming shorter-chain compounds)</w:t>
      </w:r>
      <w:r w:rsidR="00464592" w:rsidRPr="00460A56">
        <w:rPr>
          <w:rFonts w:ascii="Times New Roman" w:hAnsi="Times New Roman"/>
          <w:sz w:val="20"/>
          <w:szCs w:val="20"/>
        </w:rPr>
        <w:t xml:space="preserve"> </w:t>
      </w:r>
      <w:r w:rsidR="007221D3" w:rsidRPr="00460A56">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Q2CALkhH","properties":{"formattedCitation":"[42,46,47]","plainCitation":"[42,46,47]","noteIndex":0},"citationItems":[{"id":"968HXJ10/s7Q8bDBj","uris":["http://www.mendeley.com/documents/?uuid=8b31b759-13c8-46f1-953a-b489f8eb9074"],"uri":["http://www.mendeley.com/documents/?uuid=8b31b759-13c8-46f1-953a-b489f8eb9074"],"itemData":{"abstract":"Virent Energy Systems, Inc. has discovered and is now developing innovative and novel catalytic methods to convert plant sugars into high-energy hydrocarbons mixtures that can be used directly or blended seamlessly to make conventional liquid fuels. The methods utilize Virent's patented Bio- Forming® technology to produce renewable gasoline, diesel, and jet fuel from a wide range of bio- mass feedstocks, including non-food varieties. The BioForming platform expands the utility of the aqueous phase reforming (APR) process by combining APR with catalysts and reactor systems simi- lar to those found in standard petroleum oil refineries to convert sugar-based compounds into non- oxygenated hydrocarbons mixtures. The hydrocarbon mixtures have significantly higher volumetric energy content than ethanol, do not require the energy intensive dewatering steps associated with ethanol production, and can be brought to market using the current petroleum infrastructure and pipelines, which are not available to the ethanol industry. Preliminary economic analysis suggests that converting sugars to conventional liquid fuels using Virent’s BioForming process can economi- cally compete with petroleum fuels at crude oil prices greater than $60/bbl.","author":[{"dropping-particle":"","family":"Blommel","given":"Paul G","non-dropping-particle":"","parse-names":false,"suffix":""},{"dropping-particle":"","family":"Cortright","given":"Randy D","non-dropping-particle":"","parse-names":false,"suffix":""}],"container-title":"Energy","id":"ITEM-1","issue":"1319","issued":{"date-parts":[["2008"]]},"page":"1-14","title":"Production of Conventional Liquid Fuels from Sugars","type":"article","volume":"August 25"}},{"id":"968HXJ10/lAR45Dq5","uris":["http://www.mendeley.com/documents/?uuid=ec70adae-aaed-4678-9c68-7be941ca448d"],"uri":["http://www.mendeley.com/documents/?uuid=ec70adae-aaed-4678-9c68-7be941ca448d"],"itemData":{"abstract":"A method comprises providing a bio-based feedstock; con tacting the bio-based feedstock with a solvent in a hydrolysis reaction to form an intermediate stream comprising carbohy drates; contacting the intermediate stream with an apr catalyst to form a plurality of oxygenated intermediates, wherein a first portion of the oxygenated intermediates are recycled to form the solvent; and processing at least a second portion of the oxygenated intermediates to form a fuel blend.","author":[{"dropping-particle":"","family":"Chheda","given":"Juben Nemchand","non-dropping-particle":"","parse-names":false,"suffix":""},{"dropping-particle":"","family":"Powell","given":"Joseph Broun","non-dropping-particle":"","parse-names":false,"suffix":""}],"id":"ITEM-2","issue":"12","issued":{"date-parts":[["2011"]]},"number":"US 9,303,226 B2","title":"Direct aqueous phase reforming of biobased feedstocks","type":"patent","volume":"2"}},{"id":"968HXJ10/b6OMBKdq","uris":["http://www.mendeley.com/documents/?uuid=aead5023-3acc-42c1-b534-7e1e3ee19373"],"uri":["http://www.mendeley.com/documents/?uuid=aead5023-3acc-42c1-b534-7e1e3ee19373"],"itemData":{"DOI":"10.1016/j.egypro.2014.11.1142","ISSN":"18766102","abstract":"The high-quality bio-jet fuel derived from biomass resources can directly replace commercial fossil fuels for aviation due to the similar composition and properties. However, conventional technologies on hydrodeoxygenation of plant oil can't produce renewable aromatics, which is the key component in the jet fuel. In this paper, the bio-jet fuels were produced by aqueous-phase processing of plant sugar/polyol. Liquid fuel yield of 31.8% with sorbitol conversion of 98% was obtained under the conditions of 280 °C, WHSV of 1.25 h-1, GHSV of 2500 h;-1; and 4.0 MPa hydrogen pressure. The content of aromatics and napthenes was above 72wt.% in the produced liquid fuels. This process uses a wide variety of both cellulosic and conventional plant sugars, providing an economic route to sustainable bio-based jet fuel production, which includes normal and iso-paraffins, naphthenes, and aromatics required for aviation.","author":[{"dropping-particle":"","family":"Wang","given":"Tiejun","non-dropping-particle":"","parse-names":false,"suffix":""},{"dropping-particle":"","family":"Tan","given":"Jin","non-dropping-particle":"","parse-names":false,"suffix":""},{"dropping-particle":"","family":"Qiu","given":"Songbai","non-dropping-particle":"","parse-names":false,"suffix":""},{"dropping-particle":"","family":"Zhang","given":"Qing","non-dropping-particle":"","parse-names":false,"suffix":""},{"dropping-particle":"","family":"Long","given":"Jinxing","non-dropping-particle":"","parse-names":false,"suffix":""},{"dropping-particle":"","family":"Chen","given":"Lungang","non-dropping-particle":"","parse-names":false,"suffix":""},{"dropping-particle":"","family":"Ma","given":"Longlong","non-dropping-particle":"","parse-names":false,"suffix":""},{"dropping-particle":"","family":"Li","given":"Kai","non-dropping-particle":"","parse-names":false,"suffix":""},{"dropping-particle":"","family":"Liu","given":"Qiying","non-dropping-particle":"","parse-names":false,"suffix":""},{"dropping-particle":"","family":"Zheng","given":"Qi","non-dropping-particle":"","parse-names":false,"suffix":""}],"container-title":"Energy Procedia","id":"ITEM-3","issued":{"date-parts":[["2014"]]},"page":"432-435","publisher":"Elsevier B.V.","title":"Liquid fuel production by aqueous phase catalytic transformation of biomass for aviation","type":"article-journal","volume":"61"}}],"schema":"https://github.com/citation-style-language/schema/raw/master/csl-citation.json"} </w:instrText>
      </w:r>
      <w:r w:rsidR="007221D3" w:rsidRPr="00460A56">
        <w:rPr>
          <w:rFonts w:ascii="Times New Roman" w:hAnsi="Times New Roman"/>
          <w:sz w:val="20"/>
          <w:szCs w:val="20"/>
        </w:rPr>
        <w:fldChar w:fldCharType="separate"/>
      </w:r>
      <w:r w:rsidR="00CA240D" w:rsidRPr="00CA240D">
        <w:rPr>
          <w:rFonts w:ascii="Times New Roman" w:hAnsi="Times New Roman" w:cs="Times New Roman"/>
          <w:sz w:val="20"/>
        </w:rPr>
        <w:t>[42,46,47]</w:t>
      </w:r>
      <w:r w:rsidR="007221D3" w:rsidRPr="00460A56">
        <w:rPr>
          <w:rFonts w:ascii="Times New Roman" w:hAnsi="Times New Roman"/>
          <w:sz w:val="20"/>
          <w:szCs w:val="20"/>
        </w:rPr>
        <w:fldChar w:fldCharType="end"/>
      </w:r>
      <w:r w:rsidR="00460A56" w:rsidRPr="00460A56">
        <w:rPr>
          <w:rFonts w:ascii="Times New Roman" w:hAnsi="Times New Roman"/>
          <w:sz w:val="20"/>
          <w:szCs w:val="20"/>
        </w:rPr>
        <w:t>.</w:t>
      </w:r>
      <w:r w:rsidR="00464592" w:rsidRPr="00460A56">
        <w:rPr>
          <w:rFonts w:ascii="Times New Roman" w:hAnsi="Times New Roman"/>
          <w:sz w:val="20"/>
          <w:szCs w:val="20"/>
        </w:rPr>
        <w:t xml:space="preserve"> </w:t>
      </w:r>
      <w:r w:rsidR="00752521" w:rsidRPr="00460A56">
        <w:rPr>
          <w:rFonts w:ascii="Times New Roman" w:hAnsi="Times New Roman"/>
          <w:sz w:val="20"/>
          <w:szCs w:val="20"/>
        </w:rPr>
        <w:t xml:space="preserve">Oxygen is </w:t>
      </w:r>
      <w:r w:rsidR="00084808" w:rsidRPr="00460A56">
        <w:rPr>
          <w:rFonts w:ascii="Times New Roman" w:hAnsi="Times New Roman"/>
          <w:sz w:val="20"/>
          <w:szCs w:val="20"/>
        </w:rPr>
        <w:t xml:space="preserve">then removed from the obtained </w:t>
      </w:r>
      <w:r w:rsidR="003E7B16" w:rsidRPr="00460A56">
        <w:rPr>
          <w:rFonts w:ascii="Times New Roman" w:hAnsi="Times New Roman"/>
          <w:sz w:val="20"/>
          <w:szCs w:val="20"/>
        </w:rPr>
        <w:t xml:space="preserve">molecules </w:t>
      </w:r>
      <w:r w:rsidR="00084808" w:rsidRPr="00460A56">
        <w:rPr>
          <w:rFonts w:ascii="Times New Roman" w:hAnsi="Times New Roman"/>
          <w:sz w:val="20"/>
          <w:szCs w:val="20"/>
        </w:rPr>
        <w:t xml:space="preserve">through two successive steps: the </w:t>
      </w:r>
      <w:r w:rsidR="00A34E8F" w:rsidRPr="00460A56">
        <w:rPr>
          <w:rFonts w:ascii="Times New Roman" w:hAnsi="Times New Roman"/>
          <w:sz w:val="20"/>
          <w:szCs w:val="20"/>
        </w:rPr>
        <w:t>APR</w:t>
      </w:r>
      <w:r w:rsidR="003E7B16" w:rsidRPr="00460A56">
        <w:rPr>
          <w:rFonts w:ascii="Times New Roman" w:hAnsi="Times New Roman"/>
          <w:sz w:val="20"/>
          <w:szCs w:val="20"/>
        </w:rPr>
        <w:t xml:space="preserve"> </w:t>
      </w:r>
      <w:r w:rsidR="00084808" w:rsidRPr="00460A56">
        <w:rPr>
          <w:rFonts w:ascii="Times New Roman" w:hAnsi="Times New Roman"/>
          <w:sz w:val="20"/>
          <w:szCs w:val="20"/>
        </w:rPr>
        <w:t xml:space="preserve">followed by a condensation process. </w:t>
      </w:r>
    </w:p>
    <w:p w14:paraId="2AD39CA0" w14:textId="3FBAD19F" w:rsidR="00AD144C" w:rsidRPr="00C06DB0" w:rsidRDefault="00B26388" w:rsidP="00290530">
      <w:pPr>
        <w:spacing w:after="120" w:line="276" w:lineRule="auto"/>
        <w:jc w:val="thaiDistribute"/>
        <w:rPr>
          <w:rFonts w:ascii="Times New Roman" w:hAnsi="Times New Roman"/>
          <w:sz w:val="20"/>
          <w:szCs w:val="20"/>
        </w:rPr>
      </w:pPr>
      <w:r w:rsidRPr="00460A56">
        <w:rPr>
          <w:rFonts w:ascii="Times New Roman" w:hAnsi="Times New Roman"/>
          <w:sz w:val="20"/>
          <w:szCs w:val="20"/>
        </w:rPr>
        <w:lastRenderedPageBreak/>
        <w:t>In</w:t>
      </w:r>
      <w:r w:rsidR="00752521" w:rsidRPr="00460A56">
        <w:rPr>
          <w:rFonts w:ascii="Times New Roman" w:hAnsi="Times New Roman"/>
          <w:sz w:val="20"/>
          <w:szCs w:val="20"/>
        </w:rPr>
        <w:t xml:space="preserve"> the APR process, the </w:t>
      </w:r>
      <w:r w:rsidRPr="00460A56">
        <w:rPr>
          <w:rFonts w:ascii="Times New Roman" w:hAnsi="Times New Roman"/>
          <w:sz w:val="20"/>
          <w:szCs w:val="20"/>
        </w:rPr>
        <w:t xml:space="preserve">aqueous phase is reacted </w:t>
      </w:r>
      <w:r w:rsidR="00FB37DF" w:rsidRPr="00460A56">
        <w:rPr>
          <w:rFonts w:ascii="Times New Roman" w:hAnsi="Times New Roman"/>
          <w:sz w:val="20"/>
          <w:szCs w:val="20"/>
        </w:rPr>
        <w:t xml:space="preserve">in the presence of a catalyst </w:t>
      </w:r>
      <w:r w:rsidRPr="00460A56">
        <w:rPr>
          <w:rFonts w:ascii="Times New Roman" w:hAnsi="Times New Roman"/>
          <w:sz w:val="20"/>
          <w:szCs w:val="20"/>
        </w:rPr>
        <w:t>under a large variety of</w:t>
      </w:r>
      <w:r w:rsidR="00C70D58" w:rsidRPr="00460A56">
        <w:rPr>
          <w:rFonts w:ascii="Times New Roman" w:hAnsi="Times New Roman"/>
          <w:sz w:val="20"/>
          <w:szCs w:val="20"/>
        </w:rPr>
        <w:t xml:space="preserve"> operating </w:t>
      </w:r>
      <w:r w:rsidR="006A5510" w:rsidRPr="00460A56">
        <w:rPr>
          <w:rFonts w:ascii="Times New Roman" w:hAnsi="Times New Roman"/>
          <w:sz w:val="20"/>
          <w:szCs w:val="20"/>
        </w:rPr>
        <w:t>conditions.</w:t>
      </w:r>
      <w:r w:rsidR="003340B8" w:rsidRPr="00460A56">
        <w:rPr>
          <w:rFonts w:ascii="Times New Roman" w:hAnsi="Times New Roman"/>
          <w:sz w:val="20"/>
          <w:szCs w:val="20"/>
        </w:rPr>
        <w:t xml:space="preserve"> A</w:t>
      </w:r>
      <w:r w:rsidR="006A5510" w:rsidRPr="00460A56">
        <w:rPr>
          <w:rFonts w:ascii="Times New Roman" w:hAnsi="Times New Roman"/>
          <w:sz w:val="20"/>
          <w:szCs w:val="20"/>
        </w:rPr>
        <w:t xml:space="preserve"> </w:t>
      </w:r>
      <w:r w:rsidR="00C70D58" w:rsidRPr="00460A56">
        <w:rPr>
          <w:rFonts w:ascii="Times New Roman" w:hAnsi="Times New Roman"/>
          <w:sz w:val="20"/>
          <w:szCs w:val="20"/>
        </w:rPr>
        <w:t>temperature</w:t>
      </w:r>
      <w:r w:rsidR="00752521" w:rsidRPr="00460A56">
        <w:rPr>
          <w:rFonts w:ascii="Times New Roman" w:hAnsi="Times New Roman"/>
          <w:sz w:val="20"/>
          <w:szCs w:val="20"/>
        </w:rPr>
        <w:t xml:space="preserve"> </w:t>
      </w:r>
      <w:r w:rsidR="00E565ED" w:rsidRPr="00460A56">
        <w:rPr>
          <w:rFonts w:ascii="Times New Roman" w:hAnsi="Times New Roman"/>
          <w:sz w:val="20"/>
          <w:szCs w:val="20"/>
        </w:rPr>
        <w:t xml:space="preserve">range of </w:t>
      </w:r>
      <w:r w:rsidR="00752521" w:rsidRPr="00460A56">
        <w:rPr>
          <w:rFonts w:ascii="Times New Roman" w:hAnsi="Times New Roman"/>
          <w:sz w:val="20"/>
          <w:szCs w:val="20"/>
        </w:rPr>
        <w:t xml:space="preserve">175–300 </w:t>
      </w:r>
      <w:r w:rsidR="00752521" w:rsidRPr="00460A56">
        <w:rPr>
          <w:rFonts w:ascii="Times New Roman" w:hAnsi="Times New Roman" w:cs="Times New Roman"/>
          <w:sz w:val="20"/>
          <w:szCs w:val="20"/>
        </w:rPr>
        <w:t>°</w:t>
      </w:r>
      <w:r w:rsidR="00E565ED" w:rsidRPr="00460A56">
        <w:rPr>
          <w:rFonts w:ascii="Times New Roman" w:hAnsi="Times New Roman"/>
          <w:sz w:val="20"/>
          <w:szCs w:val="20"/>
        </w:rPr>
        <w:t xml:space="preserve">C and pressure range of </w:t>
      </w:r>
      <w:r w:rsidR="00752521" w:rsidRPr="00460A56">
        <w:rPr>
          <w:rFonts w:ascii="Times New Roman" w:hAnsi="Times New Roman"/>
          <w:sz w:val="20"/>
          <w:szCs w:val="20"/>
        </w:rPr>
        <w:t>10 –</w:t>
      </w:r>
      <w:r w:rsidR="00E565ED" w:rsidRPr="00460A56">
        <w:rPr>
          <w:rFonts w:ascii="Times New Roman" w:hAnsi="Times New Roman"/>
          <w:sz w:val="20"/>
          <w:szCs w:val="20"/>
        </w:rPr>
        <w:t xml:space="preserve"> 90 bar</w:t>
      </w:r>
      <w:r w:rsidR="00752521" w:rsidRPr="00460A56">
        <w:rPr>
          <w:rFonts w:ascii="Times New Roman" w:hAnsi="Times New Roman"/>
          <w:sz w:val="20"/>
          <w:szCs w:val="20"/>
        </w:rPr>
        <w:t xml:space="preserve"> </w:t>
      </w:r>
      <w:r w:rsidR="006A5510" w:rsidRPr="00460A56">
        <w:rPr>
          <w:rFonts w:ascii="Times New Roman" w:hAnsi="Times New Roman"/>
          <w:sz w:val="20"/>
          <w:szCs w:val="20"/>
        </w:rPr>
        <w:t>are necessary</w:t>
      </w:r>
      <w:r w:rsidR="00C70D58" w:rsidRPr="00460A56">
        <w:rPr>
          <w:rFonts w:ascii="Times New Roman" w:hAnsi="Times New Roman"/>
          <w:sz w:val="20"/>
          <w:szCs w:val="20"/>
        </w:rPr>
        <w:t xml:space="preserve"> </w:t>
      </w:r>
      <w:r w:rsidR="0092194B" w:rsidRPr="00460A56">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rhQwJhL","properties":{"formattedCitation":"[42]","plainCitation":"[42]","noteIndex":0},"citationItems":[{"id":"968HXJ10/s7Q8bDBj","uris":["http://www.mendeley.com/documents/?uuid=8b31b759-13c8-46f1-953a-b489f8eb9074"],"uri":["http://www.mendeley.com/documents/?uuid=8b31b759-13c8-46f1-953a-b489f8eb9074"],"itemData":{"abstract":"Virent Energy Systems, Inc. has discovered and is now developing innovative and novel catalytic methods to convert plant sugars into high-energy hydrocarbons mixtures that can be used directly or blended seamlessly to make conventional liquid fuels. The methods utilize Virent's patented Bio- Forming® technology to produce renewable gasoline, diesel, and jet fuel from a wide range of bio- mass feedstocks, including non-food varieties. The BioForming platform expands the utility of the aqueous phase reforming (APR) process by combining APR with catalysts and reactor systems simi- lar to those found in standard petroleum oil refineries to convert sugar-based compounds into non- oxygenated hydrocarbons mixtures. The hydrocarbon mixtures have significantly higher volumetric energy content than ethanol, do not require the energy intensive dewatering steps associated with ethanol production, and can be brought to market using the current petroleum infrastructure and pipelines, which are not available to the ethanol industry. Preliminary economic analysis suggests that converting sugars to conventional liquid fuels using Virent’s BioForming process can economi- cally compete with petroleum fuels at crude oil prices greater than $60/bbl.","author":[{"dropping-particle":"","family":"Blommel","given":"Paul G","non-dropping-particle":"","parse-names":false,"suffix":""},{"dropping-particle":"","family":"Cortright","given":"Randy D","non-dropping-particle":"","parse-names":false,"suffix":""}],"container-title":"Energy","id":"ITEM-1","issue":"1319","issued":{"date-parts":[["2008"]]},"page":"1-14","title":"Production of Conventional Liquid Fuels from Sugars","type":"article","volume":"August 25"}}],"schema":"https://github.com/citation-style-language/schema/raw/master/csl-citation.json"} </w:instrText>
      </w:r>
      <w:r w:rsidR="0092194B" w:rsidRPr="00460A56">
        <w:rPr>
          <w:rFonts w:ascii="Times New Roman" w:hAnsi="Times New Roman"/>
          <w:sz w:val="20"/>
          <w:szCs w:val="20"/>
        </w:rPr>
        <w:fldChar w:fldCharType="separate"/>
      </w:r>
      <w:r w:rsidR="00CA240D" w:rsidRPr="00CA240D">
        <w:rPr>
          <w:rFonts w:ascii="Times New Roman" w:hAnsi="Times New Roman" w:cs="Times New Roman"/>
          <w:sz w:val="20"/>
        </w:rPr>
        <w:t>[42]</w:t>
      </w:r>
      <w:r w:rsidR="0092194B" w:rsidRPr="00460A56">
        <w:rPr>
          <w:rFonts w:ascii="Times New Roman" w:hAnsi="Times New Roman"/>
          <w:sz w:val="20"/>
          <w:szCs w:val="20"/>
        </w:rPr>
        <w:fldChar w:fldCharType="end"/>
      </w:r>
      <w:r w:rsidR="00C70D58" w:rsidRPr="00460A56">
        <w:rPr>
          <w:rFonts w:ascii="Times New Roman" w:hAnsi="Times New Roman"/>
          <w:sz w:val="20"/>
          <w:szCs w:val="20"/>
        </w:rPr>
        <w:t xml:space="preserve"> </w:t>
      </w:r>
      <w:r w:rsidR="00FB37DF" w:rsidRPr="00460A56">
        <w:rPr>
          <w:rFonts w:ascii="Times New Roman" w:hAnsi="Times New Roman"/>
          <w:sz w:val="20"/>
          <w:szCs w:val="20"/>
        </w:rPr>
        <w:t>when</w:t>
      </w:r>
      <w:r w:rsidR="006A5510" w:rsidRPr="00460A56">
        <w:rPr>
          <w:rFonts w:ascii="Times New Roman" w:hAnsi="Times New Roman"/>
          <w:sz w:val="20"/>
          <w:szCs w:val="20"/>
        </w:rPr>
        <w:t xml:space="preserve"> </w:t>
      </w:r>
      <w:r w:rsidR="00FB37DF" w:rsidRPr="00460A56">
        <w:rPr>
          <w:rFonts w:ascii="Times New Roman" w:hAnsi="Times New Roman"/>
          <w:sz w:val="20"/>
          <w:szCs w:val="20"/>
        </w:rPr>
        <w:t>catalyst</w:t>
      </w:r>
      <w:r w:rsidR="00C73399" w:rsidRPr="00460A56">
        <w:rPr>
          <w:rFonts w:ascii="Times New Roman" w:hAnsi="Times New Roman"/>
          <w:sz w:val="20"/>
          <w:szCs w:val="20"/>
        </w:rPr>
        <w:t>s</w:t>
      </w:r>
      <w:r w:rsidR="00FB37DF" w:rsidRPr="00460A56">
        <w:rPr>
          <w:rFonts w:ascii="Times New Roman" w:hAnsi="Times New Roman"/>
          <w:sz w:val="20"/>
          <w:szCs w:val="20"/>
        </w:rPr>
        <w:t xml:space="preserve"> </w:t>
      </w:r>
      <w:r w:rsidR="00362783" w:rsidRPr="00460A56">
        <w:rPr>
          <w:rFonts w:ascii="Times New Roman" w:hAnsi="Times New Roman"/>
          <w:sz w:val="20"/>
          <w:szCs w:val="20"/>
        </w:rPr>
        <w:t>such as</w:t>
      </w:r>
      <w:r w:rsidR="006A5510" w:rsidRPr="00460A56">
        <w:rPr>
          <w:rFonts w:ascii="Times New Roman" w:hAnsi="Times New Roman"/>
          <w:sz w:val="20"/>
          <w:szCs w:val="20"/>
        </w:rPr>
        <w:t xml:space="preserve"> </w:t>
      </w:r>
      <w:r w:rsidR="00C70D58" w:rsidRPr="00460A56">
        <w:rPr>
          <w:rFonts w:ascii="Times New Roman" w:hAnsi="Times New Roman"/>
          <w:sz w:val="20"/>
          <w:szCs w:val="20"/>
        </w:rPr>
        <w:t xml:space="preserve">Cu, Re, </w:t>
      </w:r>
      <w:r w:rsidR="00FB37DF" w:rsidRPr="00460A56">
        <w:rPr>
          <w:rFonts w:ascii="Times New Roman" w:hAnsi="Times New Roman"/>
          <w:sz w:val="20"/>
          <w:szCs w:val="20"/>
        </w:rPr>
        <w:t>Ni, Fe, Co, Ru, Pd, Rh, or Pt are used</w:t>
      </w:r>
      <w:r w:rsidR="00C70D58" w:rsidRPr="00460A56">
        <w:rPr>
          <w:rFonts w:ascii="Times New Roman" w:hAnsi="Times New Roman"/>
          <w:sz w:val="20"/>
          <w:szCs w:val="20"/>
        </w:rPr>
        <w:t xml:space="preserve"> </w:t>
      </w:r>
      <w:r w:rsidR="0092194B" w:rsidRPr="00460A56">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rGkN7yM","properties":{"formattedCitation":"[46]","plainCitation":"[46]","noteIndex":0},"citationItems":[{"id":"968HXJ10/lAR45Dq5","uris":["http://www.mendeley.com/documents/?uuid=ec70adae-aaed-4678-9c68-7be941ca448d"],"uri":["http://www.mendeley.com/documents/?uuid=ec70adae-aaed-4678-9c68-7be941ca448d"],"itemData":{"abstract":"A method comprises providing a bio-based feedstock; con tacting the bio-based feedstock with a solvent in a hydrolysis reaction to form an intermediate stream comprising carbohy drates; contacting the intermediate stream with an apr catalyst to form a plurality of oxygenated intermediates, wherein a first portion of the oxygenated intermediates are recycled to form the solvent; and processing at least a second portion of the oxygenated intermediates to form a fuel blend.","author":[{"dropping-particle":"","family":"Chheda","given":"Juben Nemchand","non-dropping-particle":"","parse-names":false,"suffix":""},{"dropping-particle":"","family":"Powell","given":"Joseph Broun","non-dropping-particle":"","parse-names":false,"suffix":""}],"id":"ITEM-1","issue":"12","issued":{"date-parts":[["2011"]]},"number":"US 9,303,226 B2","title":"Direct aqueous phase reforming of biobased feedstocks","type":"patent","volume":"2"}}],"schema":"https://github.com/citation-style-language/schema/raw/master/csl-citation.json"} </w:instrText>
      </w:r>
      <w:r w:rsidR="0092194B" w:rsidRPr="00460A56">
        <w:rPr>
          <w:rFonts w:ascii="Times New Roman" w:hAnsi="Times New Roman"/>
          <w:sz w:val="20"/>
          <w:szCs w:val="20"/>
        </w:rPr>
        <w:fldChar w:fldCharType="separate"/>
      </w:r>
      <w:r w:rsidR="00CA240D" w:rsidRPr="00CA240D">
        <w:rPr>
          <w:rFonts w:ascii="Times New Roman" w:hAnsi="Times New Roman" w:cs="Times New Roman"/>
          <w:sz w:val="20"/>
        </w:rPr>
        <w:t>[46]</w:t>
      </w:r>
      <w:r w:rsidR="0092194B" w:rsidRPr="00460A56">
        <w:rPr>
          <w:rFonts w:ascii="Times New Roman" w:hAnsi="Times New Roman"/>
          <w:sz w:val="20"/>
          <w:szCs w:val="20"/>
        </w:rPr>
        <w:fldChar w:fldCharType="end"/>
      </w:r>
      <w:r w:rsidR="00460A56" w:rsidRPr="00460A56">
        <w:rPr>
          <w:rFonts w:ascii="Times New Roman" w:hAnsi="Times New Roman"/>
          <w:sz w:val="20"/>
          <w:szCs w:val="20"/>
        </w:rPr>
        <w:t>.</w:t>
      </w:r>
      <w:r w:rsidR="00C70D58" w:rsidRPr="00460A56">
        <w:rPr>
          <w:rFonts w:ascii="Times New Roman" w:hAnsi="Times New Roman"/>
          <w:sz w:val="20"/>
          <w:szCs w:val="20"/>
        </w:rPr>
        <w:t xml:space="preserve"> Examples of </w:t>
      </w:r>
      <w:r w:rsidR="001D3DC4" w:rsidRPr="00460A56">
        <w:rPr>
          <w:rFonts w:ascii="Times New Roman" w:hAnsi="Times New Roman"/>
          <w:sz w:val="20"/>
          <w:szCs w:val="20"/>
        </w:rPr>
        <w:t xml:space="preserve">specific </w:t>
      </w:r>
      <w:r w:rsidR="00C70D58" w:rsidRPr="00460A56">
        <w:rPr>
          <w:rFonts w:ascii="Times New Roman" w:hAnsi="Times New Roman"/>
          <w:sz w:val="20"/>
          <w:szCs w:val="20"/>
        </w:rPr>
        <w:t xml:space="preserve">operating conditions in the literature are </w:t>
      </w:r>
      <w:r w:rsidR="00374AF5" w:rsidRPr="00460A56">
        <w:rPr>
          <w:rFonts w:ascii="Times New Roman" w:hAnsi="Times New Roman"/>
          <w:sz w:val="20"/>
          <w:szCs w:val="20"/>
        </w:rPr>
        <w:t>summarized</w:t>
      </w:r>
      <w:r w:rsidR="00C70D58" w:rsidRPr="00460A56">
        <w:rPr>
          <w:rFonts w:ascii="Times New Roman" w:hAnsi="Times New Roman"/>
          <w:sz w:val="20"/>
          <w:szCs w:val="20"/>
        </w:rPr>
        <w:t xml:space="preserve"> in the </w:t>
      </w:r>
      <w:r w:rsidR="00B743B1">
        <w:rPr>
          <w:rFonts w:ascii="Times New Roman" w:hAnsi="Times New Roman"/>
          <w:sz w:val="20"/>
          <w:szCs w:val="20"/>
        </w:rPr>
        <w:t>SM1</w:t>
      </w:r>
      <w:r w:rsidR="00C70D58" w:rsidRPr="00460A56">
        <w:rPr>
          <w:rFonts w:ascii="Times New Roman" w:hAnsi="Times New Roman"/>
          <w:sz w:val="20"/>
          <w:szCs w:val="20"/>
        </w:rPr>
        <w:t xml:space="preserve">. </w:t>
      </w:r>
      <w:r w:rsidR="00752521" w:rsidRPr="00460A56">
        <w:rPr>
          <w:rFonts w:ascii="Times New Roman" w:hAnsi="Times New Roman"/>
          <w:sz w:val="20"/>
          <w:szCs w:val="20"/>
        </w:rPr>
        <w:t xml:space="preserve">The reactions </w:t>
      </w:r>
      <w:r w:rsidR="00B853D4" w:rsidRPr="00460A56">
        <w:rPr>
          <w:rFonts w:ascii="Times New Roman" w:hAnsi="Times New Roman"/>
          <w:sz w:val="20"/>
          <w:szCs w:val="20"/>
        </w:rPr>
        <w:t>happening within this pr</w:t>
      </w:r>
      <w:r w:rsidR="00C70BE3" w:rsidRPr="00460A56">
        <w:rPr>
          <w:rFonts w:ascii="Times New Roman" w:hAnsi="Times New Roman"/>
          <w:sz w:val="20"/>
          <w:szCs w:val="20"/>
        </w:rPr>
        <w:t xml:space="preserve">ocess </w:t>
      </w:r>
      <w:r w:rsidR="00672CFC" w:rsidRPr="00460A56">
        <w:rPr>
          <w:rFonts w:ascii="Times New Roman" w:hAnsi="Times New Roman"/>
          <w:sz w:val="20"/>
          <w:szCs w:val="20"/>
        </w:rPr>
        <w:t>strongly</w:t>
      </w:r>
      <w:r w:rsidR="00672CFC">
        <w:rPr>
          <w:rFonts w:ascii="Times New Roman" w:hAnsi="Times New Roman"/>
          <w:sz w:val="20"/>
          <w:szCs w:val="20"/>
        </w:rPr>
        <w:t xml:space="preserve"> depend upon</w:t>
      </w:r>
      <w:r w:rsidR="00C70BE3">
        <w:rPr>
          <w:rFonts w:ascii="Times New Roman" w:hAnsi="Times New Roman"/>
          <w:sz w:val="20"/>
          <w:szCs w:val="20"/>
        </w:rPr>
        <w:t xml:space="preserve"> </w:t>
      </w:r>
      <w:r w:rsidR="00672CFC">
        <w:rPr>
          <w:rFonts w:ascii="Times New Roman" w:hAnsi="Times New Roman"/>
          <w:sz w:val="20"/>
          <w:szCs w:val="20"/>
        </w:rPr>
        <w:t>the specific configuration</w:t>
      </w:r>
      <w:r w:rsidR="000B259A">
        <w:rPr>
          <w:rFonts w:ascii="Times New Roman" w:hAnsi="Times New Roman"/>
          <w:sz w:val="20"/>
          <w:szCs w:val="20"/>
        </w:rPr>
        <w:t xml:space="preserve"> </w:t>
      </w:r>
      <w:r w:rsidR="00C70BE3">
        <w:rPr>
          <w:rFonts w:ascii="Times New Roman" w:hAnsi="Times New Roman"/>
          <w:sz w:val="20"/>
          <w:szCs w:val="20"/>
        </w:rPr>
        <w:t xml:space="preserve">and typically include </w:t>
      </w:r>
      <w:r w:rsidR="00214685">
        <w:rPr>
          <w:rFonts w:ascii="Times New Roman" w:hAnsi="Times New Roman"/>
          <w:sz w:val="20"/>
          <w:szCs w:val="20"/>
        </w:rPr>
        <w:t xml:space="preserve">dehydrogenation of alcohols, </w:t>
      </w:r>
      <w:r w:rsidR="00752521">
        <w:rPr>
          <w:rFonts w:ascii="Times New Roman" w:hAnsi="Times New Roman"/>
          <w:sz w:val="20"/>
          <w:szCs w:val="20"/>
        </w:rPr>
        <w:t xml:space="preserve">hydrogenation of carbonyls, deoxygenation, hydrogenolysis and cyclization. </w:t>
      </w:r>
      <w:r w:rsidR="00B853D4">
        <w:rPr>
          <w:rFonts w:ascii="Times New Roman" w:hAnsi="Times New Roman"/>
          <w:sz w:val="20"/>
          <w:szCs w:val="20"/>
        </w:rPr>
        <w:t>As a result of this step, t</w:t>
      </w:r>
      <w:r w:rsidR="00752521">
        <w:rPr>
          <w:rFonts w:ascii="Times New Roman" w:hAnsi="Times New Roman"/>
          <w:sz w:val="20"/>
          <w:szCs w:val="20"/>
        </w:rPr>
        <w:t xml:space="preserve">he water-soluble </w:t>
      </w:r>
      <w:r w:rsidR="004650B6">
        <w:rPr>
          <w:rFonts w:ascii="Times New Roman" w:hAnsi="Times New Roman"/>
          <w:sz w:val="20"/>
          <w:szCs w:val="20"/>
        </w:rPr>
        <w:t xml:space="preserve">oxygenated compounds are </w:t>
      </w:r>
      <w:r w:rsidR="004650B6" w:rsidRPr="00C06DB0">
        <w:rPr>
          <w:rFonts w:ascii="Times New Roman" w:hAnsi="Times New Roman"/>
          <w:sz w:val="20"/>
          <w:szCs w:val="20"/>
        </w:rPr>
        <w:t xml:space="preserve">converted into </w:t>
      </w:r>
      <w:r w:rsidR="00C54AF4" w:rsidRPr="00C06DB0">
        <w:rPr>
          <w:rFonts w:ascii="Times New Roman" w:hAnsi="Times New Roman"/>
          <w:sz w:val="20"/>
          <w:szCs w:val="20"/>
        </w:rPr>
        <w:t>a liquid mixture (APR liquid), which is a complex mixture of hydrocarbons and undesired oxygenated hydrocarbons (e.g. alcohols, aldehydes, ketones)</w:t>
      </w:r>
      <w:r w:rsidR="00752521" w:rsidRPr="00C06DB0">
        <w:rPr>
          <w:rFonts w:ascii="Times New Roman" w:hAnsi="Times New Roman"/>
          <w:sz w:val="20"/>
          <w:szCs w:val="20"/>
        </w:rPr>
        <w:t xml:space="preserve">. </w:t>
      </w:r>
      <w:r w:rsidR="00C54AF4" w:rsidRPr="00C06DB0">
        <w:rPr>
          <w:rFonts w:ascii="Times New Roman" w:hAnsi="Times New Roman"/>
          <w:sz w:val="20"/>
          <w:szCs w:val="20"/>
        </w:rPr>
        <w:t xml:space="preserve">These may be separated at this stage or fed directly to the subsequent condensation step </w:t>
      </w:r>
      <w:r w:rsidR="00CD2FF2"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WRSAfTWD","properties":{"formattedCitation":"[47]","plainCitation":"[47]","noteIndex":0},"citationItems":[{"id":"968HXJ10/b6OMBKdq","uris":["http://www.mendeley.com/documents/?uuid=aead5023-3acc-42c1-b534-7e1e3ee19373"],"uri":["http://www.mendeley.com/documents/?uuid=aead5023-3acc-42c1-b534-7e1e3ee19373"],"itemData":{"DOI":"10.1016/j.egypro.2014.11.1142","ISSN":"18766102","abstract":"The high-quality bio-jet fuel derived from biomass resources can directly replace commercial fossil fuels for aviation due to the similar composition and properties. However, conventional technologies on hydrodeoxygenation of plant oil can't produce renewable aromatics, which is the key component in the jet fuel. In this paper, the bio-jet fuels were produced by aqueous-phase processing of plant sugar/polyol. Liquid fuel yield of 31.8% with sorbitol conversion of 98% was obtained under the conditions of 280 °C, WHSV of 1.25 h-1, GHSV of 2500 h;-1; and 4.0 MPa hydrogen pressure. The content of aromatics and napthenes was above 72wt.% in the produced liquid fuels. This process uses a wide variety of both cellulosic and conventional plant sugars, providing an economic route to sustainable bio-based jet fuel production, which includes normal and iso-paraffins, naphthenes, and aromatics required for aviation.","author":[{"dropping-particle":"","family":"Wang","given":"Tiejun","non-dropping-particle":"","parse-names":false,"suffix":""},{"dropping-particle":"","family":"Tan","given":"Jin","non-dropping-particle":"","parse-names":false,"suffix":""},{"dropping-particle":"","family":"Qiu","given":"Songbai","non-dropping-particle":"","parse-names":false,"suffix":""},{"dropping-particle":"","family":"Zhang","given":"Qing","non-dropping-particle":"","parse-names":false,"suffix":""},{"dropping-particle":"","family":"Long","given":"Jinxing","non-dropping-particle":"","parse-names":false,"suffix":""},{"dropping-particle":"","family":"Chen","given":"Lungang","non-dropping-particle":"","parse-names":false,"suffix":""},{"dropping-particle":"","family":"Ma","given":"Longlong","non-dropping-particle":"","parse-names":false,"suffix":""},{"dropping-particle":"","family":"Li","given":"Kai","non-dropping-particle":"","parse-names":false,"suffix":""},{"dropping-particle":"","family":"Liu","given":"Qiying","non-dropping-particle":"","parse-names":false,"suffix":""},{"dropping-particle":"","family":"Zheng","given":"Qi","non-dropping-particle":"","parse-names":false,"suffix":""}],"container-title":"Energy Procedia","id":"ITEM-1","issued":{"date-parts":[["2014"]]},"page":"432-435","publisher":"Elsevier B.V.","title":"Liquid fuel production by aqueous phase catalytic transformation of biomass for aviation","type":"article-journal","volume":"61"}}],"schema":"https://github.com/citation-style-language/schema/raw/master/csl-citation.json"} </w:instrText>
      </w:r>
      <w:r w:rsidR="00CD2FF2" w:rsidRPr="00C06DB0">
        <w:rPr>
          <w:rFonts w:ascii="Times New Roman" w:hAnsi="Times New Roman"/>
          <w:sz w:val="20"/>
          <w:szCs w:val="20"/>
        </w:rPr>
        <w:fldChar w:fldCharType="separate"/>
      </w:r>
      <w:r w:rsidR="00CA240D" w:rsidRPr="00CA240D">
        <w:rPr>
          <w:rFonts w:ascii="Times New Roman" w:hAnsi="Times New Roman" w:cs="Times New Roman"/>
          <w:sz w:val="20"/>
        </w:rPr>
        <w:t>[47]</w:t>
      </w:r>
      <w:r w:rsidR="00CD2FF2" w:rsidRPr="00C06DB0">
        <w:rPr>
          <w:rFonts w:ascii="Times New Roman" w:hAnsi="Times New Roman"/>
          <w:sz w:val="20"/>
          <w:szCs w:val="20"/>
        </w:rPr>
        <w:fldChar w:fldCharType="end"/>
      </w:r>
      <w:r w:rsidR="00D16618" w:rsidRPr="00C06DB0">
        <w:rPr>
          <w:rFonts w:ascii="Times New Roman" w:hAnsi="Times New Roman"/>
          <w:sz w:val="20"/>
          <w:szCs w:val="20"/>
        </w:rPr>
        <w:t xml:space="preserve"> as illustrated in Fig. 2</w:t>
      </w:r>
      <w:r w:rsidR="00C54AF4" w:rsidRPr="00C06DB0">
        <w:rPr>
          <w:rFonts w:ascii="Times New Roman" w:hAnsi="Times New Roman"/>
          <w:sz w:val="20"/>
          <w:szCs w:val="20"/>
        </w:rPr>
        <w:t xml:space="preserve">. </w:t>
      </w:r>
      <w:r w:rsidR="004650B6" w:rsidRPr="00C06DB0">
        <w:rPr>
          <w:rFonts w:ascii="Times New Roman" w:hAnsi="Times New Roman"/>
          <w:sz w:val="20"/>
          <w:szCs w:val="20"/>
        </w:rPr>
        <w:t>A gas phase</w:t>
      </w:r>
      <w:r w:rsidR="00B853D4" w:rsidRPr="00C06DB0">
        <w:rPr>
          <w:rFonts w:ascii="Times New Roman" w:hAnsi="Times New Roman"/>
          <w:sz w:val="20"/>
          <w:szCs w:val="20"/>
        </w:rPr>
        <w:t xml:space="preserve"> </w:t>
      </w:r>
      <w:r w:rsidR="00300D2A" w:rsidRPr="00C06DB0">
        <w:rPr>
          <w:rFonts w:ascii="Times New Roman" w:hAnsi="Times New Roman"/>
          <w:sz w:val="20"/>
          <w:szCs w:val="20"/>
        </w:rPr>
        <w:t>rich in</w:t>
      </w:r>
      <w:r w:rsidR="004650B6" w:rsidRPr="00C06DB0">
        <w:rPr>
          <w:rFonts w:ascii="Times New Roman" w:hAnsi="Times New Roman"/>
          <w:sz w:val="20"/>
          <w:szCs w:val="20"/>
        </w:rPr>
        <w:t xml:space="preserve"> H</w:t>
      </w:r>
      <w:r w:rsidR="004650B6" w:rsidRPr="00C06DB0">
        <w:rPr>
          <w:rFonts w:ascii="Times New Roman" w:hAnsi="Times New Roman"/>
          <w:sz w:val="20"/>
          <w:szCs w:val="20"/>
          <w:vertAlign w:val="subscript"/>
        </w:rPr>
        <w:t>2</w:t>
      </w:r>
      <w:r w:rsidR="004650B6" w:rsidRPr="00C06DB0">
        <w:rPr>
          <w:rFonts w:ascii="Times New Roman" w:hAnsi="Times New Roman"/>
          <w:sz w:val="20"/>
          <w:szCs w:val="20"/>
        </w:rPr>
        <w:t>, CO</w:t>
      </w:r>
      <w:r w:rsidR="004650B6" w:rsidRPr="00C06DB0">
        <w:rPr>
          <w:rFonts w:ascii="Times New Roman" w:hAnsi="Times New Roman"/>
          <w:sz w:val="20"/>
          <w:szCs w:val="20"/>
          <w:vertAlign w:val="subscript"/>
        </w:rPr>
        <w:t>2</w:t>
      </w:r>
      <w:r w:rsidR="001A1911" w:rsidRPr="00C06DB0">
        <w:rPr>
          <w:rFonts w:ascii="Times New Roman" w:hAnsi="Times New Roman"/>
          <w:sz w:val="20"/>
          <w:szCs w:val="20"/>
        </w:rPr>
        <w:t xml:space="preserve">, CO </w:t>
      </w:r>
      <w:r w:rsidR="00EA5966" w:rsidRPr="00C06DB0">
        <w:rPr>
          <w:rFonts w:ascii="Times New Roman" w:hAnsi="Times New Roman"/>
          <w:sz w:val="20"/>
          <w:szCs w:val="20"/>
        </w:rPr>
        <w:t>and</w:t>
      </w:r>
      <w:r w:rsidR="001A1911" w:rsidRPr="00C06DB0">
        <w:rPr>
          <w:rFonts w:ascii="Times New Roman" w:hAnsi="Times New Roman"/>
          <w:sz w:val="20"/>
          <w:szCs w:val="20"/>
        </w:rPr>
        <w:t xml:space="preserve"> </w:t>
      </w:r>
      <w:r w:rsidR="00EA5966" w:rsidRPr="00C06DB0">
        <w:rPr>
          <w:rFonts w:ascii="Times New Roman" w:hAnsi="Times New Roman"/>
          <w:sz w:val="20"/>
          <w:szCs w:val="20"/>
        </w:rPr>
        <w:t xml:space="preserve">light alkanes is also produced (Fig. 2), which can be directly used for heat and power production </w:t>
      </w:r>
      <w:r w:rsidR="00CD2FF2"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A6e13FY9","properties":{"formattedCitation":"[41]","plainCitation":"[41]","noteIndex":0},"citationItems":[{"id":"968HXJ10/x0bkQlTQ","uris":["http://www.mendeley.com/documents/?uuid=6f644593-3489-4a67-bcca-3787ae5a567e"],"uri":["http://www.mendeley.com/documents/?uuid=6f644593-3489-4a67-bcca-3787ae5a567e"],"itemData":{"abstract":"This techno-economic analysis models a production cost for cellulosic hydrocarbon biofuels that\\r\\ncan be considered as a baseline to assess the competitiveness and market potential for the\\r\\ntechnology. It can also be used to quantify the economic impact of individual conversion\\r\\nperformance targets and prioritize them in terms of their potential to reduce cost. The analysis\\r\\npresented here also includes consideration of the life-cycle implications of the process model by\\r\\ntracking sustainability metrics for the modeled biorefinery, including greenhouse gas emissions,\\r\\nfossil energy demand, and water consumption.\\r\\nBuilding on prior design report practices, NREL, together with Harris Group, performed a\\r\\nfeasibility-level analysis for a plausible catalytic conversion process to meet an intermediate\\r\\nDOE cost goal of $5/gallon gasoline equivalent (GGE) in a timeframe prior to 2022. The\\r\\nmodeled biorefinery processes 2,205 dry tons biomass/day and achieves a fuel selling price of\\r\\n$4.05/GGE in 2011-year dollars as determined by modeled conversion targets and “n\\r\\nth-plant”\\r\\nproject costs and financing, associated with a total fuel yield of 78.3 GGE/dry ton when\\r\\nassuming hydrogen is purchased from off-site production. Alternatively, if hydrogen is instead\\r\\nproduced in situ by diverting a fraction (41%) of hydrolysate carbon towards reforming reactions, fuel yield drops to 45.3 GGE/dry ton and selling price increases to $5.48/GGE. If\\r\\ninstead hydrogen is produced by diverting a fraction of biomass to a gasification process to\\r\\nproduce and subsequently refine syngas to hydrogen, such a scenario would require 36% of the\\r\\navailable biomass and would translate to a fuel yield of 50.1 GGE/dry ton and selling price of\\r\\n$4.95/GGE. Preliminary assessment of sustainability metrics associated with these three\\r\\nhydrogen scenarios indicates a more favorable greenhouse gas profile for the in situ and\\r\\ngasification cases as it avoids the use of natural gas for off-site hydrogen production. However,\\r\\nadditional benefits are likely to be seen for a case including on-site hydrogen production via\\r\\nsteam methane reforming (rather than off-site as in the base case evaluated here), given\\r\\nadditional integration advantages that may be brought about through heat/power integration and\\r\\ncarbon recycles which were beyond the scope of this effort; in any case, a full well-to-wheel lifecycle\\r\\nanalysis is required to better understand gre…","author":[{"dropping-particle":"","family":"Davis","given":"R","non-dropping-particle":"","parse-names":false,"suffix":""},{"dropping-particle":"","family":"Tao","given":"L","non-dropping-particle":"","parse-names":false,"suffix":""},{"dropping-particle":"","family":"Scarlata","given":"C","non-dropping-particle":"","parse-names":false,"suffix":""},{"dropping-particle":"","family":"Tan","given":"E C D","non-dropping-particle":"","parse-names":false,"suffix":""},{"dropping-particle":"","family":"Ross","given":"J","non-dropping-particle":"","parse-names":false,"suffix":""},{"dropping-particle":"","family":"Lukas","given":"J","non-dropping-particle":"","parse-names":false,"suffix":""},{"dropping-particle":"","family":"Sexton","given":"D","non-dropping-particle":"","parse-names":false,"suffix":""}],"id":"ITEM-1","issued":{"date-parts":[["2015"]]},"number-of-pages":"133","title":"Process Design and Economics for the Conversion of Lignocellulosic Biomass to Hydrocarbons: Dilute-Acid and Enzymatic Deconstruction of Biomass to Sugars and Catalytic Conversion of Sugars to Hydrocarbons","type":"report"}}],"schema":"https://github.com/citation-style-language/schema/raw/master/csl-citation.json"} </w:instrText>
      </w:r>
      <w:r w:rsidR="00CD2FF2" w:rsidRPr="00C06DB0">
        <w:rPr>
          <w:rFonts w:ascii="Times New Roman" w:hAnsi="Times New Roman"/>
          <w:sz w:val="20"/>
          <w:szCs w:val="20"/>
        </w:rPr>
        <w:fldChar w:fldCharType="separate"/>
      </w:r>
      <w:r w:rsidR="00CA240D" w:rsidRPr="00CA240D">
        <w:rPr>
          <w:rFonts w:ascii="Times New Roman" w:hAnsi="Times New Roman" w:cs="Times New Roman"/>
          <w:sz w:val="20"/>
        </w:rPr>
        <w:t>[41]</w:t>
      </w:r>
      <w:r w:rsidR="00CD2FF2" w:rsidRPr="00C06DB0">
        <w:rPr>
          <w:rFonts w:ascii="Times New Roman" w:hAnsi="Times New Roman"/>
          <w:sz w:val="20"/>
          <w:szCs w:val="20"/>
        </w:rPr>
        <w:fldChar w:fldCharType="end"/>
      </w:r>
      <w:r w:rsidR="00EF6252" w:rsidRPr="00C06DB0">
        <w:rPr>
          <w:rFonts w:ascii="Times New Roman" w:hAnsi="Times New Roman"/>
          <w:sz w:val="20"/>
          <w:szCs w:val="20"/>
        </w:rPr>
        <w:t>.</w:t>
      </w:r>
      <w:r w:rsidR="004650B6" w:rsidRPr="00C06DB0">
        <w:rPr>
          <w:rFonts w:ascii="Times New Roman" w:hAnsi="Times New Roman"/>
          <w:sz w:val="20"/>
          <w:szCs w:val="20"/>
        </w:rPr>
        <w:t xml:space="preserve"> </w:t>
      </w:r>
      <w:r w:rsidR="009F718D" w:rsidRPr="00C06DB0">
        <w:rPr>
          <w:rFonts w:ascii="Times New Roman" w:hAnsi="Times New Roman"/>
          <w:sz w:val="20"/>
          <w:szCs w:val="20"/>
        </w:rPr>
        <w:t>Alternatively, the</w:t>
      </w:r>
      <w:r w:rsidR="004650B6" w:rsidRPr="00C06DB0">
        <w:rPr>
          <w:rFonts w:ascii="Times New Roman" w:hAnsi="Times New Roman"/>
          <w:sz w:val="20"/>
          <w:szCs w:val="20"/>
        </w:rPr>
        <w:t xml:space="preserve"> H</w:t>
      </w:r>
      <w:r w:rsidR="004650B6" w:rsidRPr="00C06DB0">
        <w:rPr>
          <w:rFonts w:ascii="Times New Roman" w:hAnsi="Times New Roman"/>
          <w:sz w:val="20"/>
          <w:szCs w:val="20"/>
          <w:vertAlign w:val="subscript"/>
        </w:rPr>
        <w:t>2</w:t>
      </w:r>
      <w:r w:rsidR="004650B6" w:rsidRPr="00C06DB0">
        <w:rPr>
          <w:rFonts w:ascii="Times New Roman" w:hAnsi="Times New Roman"/>
          <w:sz w:val="20"/>
          <w:szCs w:val="20"/>
        </w:rPr>
        <w:t xml:space="preserve"> produced in </w:t>
      </w:r>
      <w:r w:rsidR="009F718D" w:rsidRPr="00C06DB0">
        <w:rPr>
          <w:rFonts w:ascii="Times New Roman" w:hAnsi="Times New Roman"/>
          <w:sz w:val="20"/>
          <w:szCs w:val="20"/>
        </w:rPr>
        <w:t xml:space="preserve">the </w:t>
      </w:r>
      <w:r w:rsidR="004650B6" w:rsidRPr="00C06DB0">
        <w:rPr>
          <w:rFonts w:ascii="Times New Roman" w:hAnsi="Times New Roman"/>
          <w:sz w:val="20"/>
          <w:szCs w:val="20"/>
        </w:rPr>
        <w:t xml:space="preserve">gas stream could be </w:t>
      </w:r>
      <w:r w:rsidR="009F718D" w:rsidRPr="00C06DB0">
        <w:rPr>
          <w:rFonts w:ascii="Times New Roman" w:hAnsi="Times New Roman"/>
          <w:sz w:val="20"/>
          <w:szCs w:val="20"/>
        </w:rPr>
        <w:t xml:space="preserve">separated and </w:t>
      </w:r>
      <w:r w:rsidR="004650B6" w:rsidRPr="00C06DB0">
        <w:rPr>
          <w:rFonts w:ascii="Times New Roman" w:hAnsi="Times New Roman"/>
          <w:sz w:val="20"/>
          <w:szCs w:val="20"/>
        </w:rPr>
        <w:t>recirculated to the process</w:t>
      </w:r>
      <w:r w:rsidR="009F718D" w:rsidRPr="00C06DB0">
        <w:rPr>
          <w:rFonts w:ascii="Times New Roman" w:hAnsi="Times New Roman"/>
          <w:sz w:val="20"/>
          <w:szCs w:val="20"/>
        </w:rPr>
        <w:t xml:space="preserve"> </w:t>
      </w:r>
      <w:r w:rsidR="00A06287"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OYXUTyDp","properties":{"formattedCitation":"[41,48]","plainCitation":"[41,48]","noteIndex":0},"citationItems":[{"id":"968HXJ10/aL1kTCEU","uris":["http://www.mendeley.com/documents/?uuid=72d6ef52-5a8f-4cc0-a310-7d93adb84848"],"uri":["http://www.mendeley.com/documents/?uuid=72d6ef52-5a8f-4cc0-a310-7d93adb84848"],"itemData":{"author":[{"dropping-particle":"","family":"Qiao","given":"M.","non-dropping-particle":"","parse-names":false,"suffix":""},{"dropping-particle":"","family":"Woods","given":"E.","non-dropping-particle":"","parse-names":false,"suffix":""},{"dropping-particle":"","family":"Myren","given":"P.","non-dropping-particle":"","parse-names":false,"suffix":""},{"dropping-particle":"","family":"Cortright","given":"R.","non-dropping-particle":"","parse-names":false,"suffix":""}],"id":"ITEM-1","issued":{"date-parts":[["2013"]]},"number":"US 2013/0019859 A1","publisher-place":"Madison, WI (US)","title":"Solvolysis of biomass and stabilization of biomass hydrolysate","type":"patent"}},{"id":"968HXJ10/x0bkQlTQ","uris":["http://www.mendeley.com/documents/?uuid=6f644593-3489-4a67-bcca-3787ae5a567e"],"uri":["http://www.mendeley.com/documents/?uuid=6f644593-3489-4a67-bcca-3787ae5a567e"],"itemData":{"abstract":"This techno-economic analysis models a production cost for cellulosic hydrocarbon biofuels that\\r\\ncan be considered as a baseline to assess the competitiveness and market potential for the\\r\\ntechnology. It can also be used to quantify the economic impact of individual conversion\\r\\nperformance targets and prioritize them in terms of their potential to reduce cost. The analysis\\r\\npresented here also includes consideration of the life-cycle implications of the process model by\\r\\ntracking sustainability metrics for the modeled biorefinery, including greenhouse gas emissions,\\r\\nfossil energy demand, and water consumption.\\r\\nBuilding on prior design report practices, NREL, together with Harris Group, performed a\\r\\nfeasibility-level analysis for a plausible catalytic conversion process to meet an intermediate\\r\\nDOE cost goal of $5/gallon gasoline equivalent (GGE) in a timeframe prior to 2022. The\\r\\nmodeled biorefinery processes 2,205 dry tons biomass/day and achieves a fuel selling price of\\r\\n$4.05/GGE in 2011-year dollars as determined by modeled conversion targets and “n\\r\\nth-plant”\\r\\nproject costs and financing, associated with a total fuel yield of 78.3 GGE/dry ton when\\r\\nassuming hydrogen is purchased from off-site production. Alternatively, if hydrogen is instead\\r\\nproduced in situ by diverting a fraction (41%) of hydrolysate carbon towards reforming reactions, fuel yield drops to 45.3 GGE/dry ton and selling price increases to $5.48/GGE. If\\r\\ninstead hydrogen is produced by diverting a fraction of biomass to a gasification process to\\r\\nproduce and subsequently refine syngas to hydrogen, such a scenario would require 36% of the\\r\\navailable biomass and would translate to a fuel yield of 50.1 GGE/dry ton and selling price of\\r\\n$4.95/GGE. Preliminary assessment of sustainability metrics associated with these three\\r\\nhydrogen scenarios indicates a more favorable greenhouse gas profile for the in situ and\\r\\ngasification cases as it avoids the use of natural gas for off-site hydrogen production. However,\\r\\nadditional benefits are likely to be seen for a case including on-site hydrogen production via\\r\\nsteam methane reforming (rather than off-site as in the base case evaluated here), given\\r\\nadditional integration advantages that may be brought about through heat/power integration and\\r\\ncarbon recycles which were beyond the scope of this effort; in any case, a full well-to-wheel lifecycle\\r\\nanalysis is required to better understand gre…","author":[{"dropping-particle":"","family":"Davis","given":"R","non-dropping-particle":"","parse-names":false,"suffix":""},{"dropping-particle":"","family":"Tao","given":"L","non-dropping-particle":"","parse-names":false,"suffix":""},{"dropping-particle":"","family":"Scarlata","given":"C","non-dropping-particle":"","parse-names":false,"suffix":""},{"dropping-particle":"","family":"Tan","given":"E C D","non-dropping-particle":"","parse-names":false,"suffix":""},{"dropping-particle":"","family":"Ross","given":"J","non-dropping-particle":"","parse-names":false,"suffix":""},{"dropping-particle":"","family":"Lukas","given":"J","non-dropping-particle":"","parse-names":false,"suffix":""},{"dropping-particle":"","family":"Sexton","given":"D","non-dropping-particle":"","parse-names":false,"suffix":""}],"id":"ITEM-2","issued":{"date-parts":[["2015"]]},"number-of-pages":"133","title":"Process Design and Economics for the Conversion of Lignocellulosic Biomass to Hydrocarbons: Dilute-Acid and Enzymatic Deconstruction of Biomass to Sugars and Catalytic Conversion of Sugars to Hydrocarbons","type":"report"}}],"schema":"https://github.com/citation-style-language/schema/raw/master/csl-citation.json"} </w:instrText>
      </w:r>
      <w:r w:rsidR="00A06287" w:rsidRPr="00C06DB0">
        <w:rPr>
          <w:rFonts w:ascii="Times New Roman" w:hAnsi="Times New Roman"/>
          <w:sz w:val="20"/>
          <w:szCs w:val="20"/>
        </w:rPr>
        <w:fldChar w:fldCharType="separate"/>
      </w:r>
      <w:r w:rsidR="00CA240D" w:rsidRPr="00CA240D">
        <w:rPr>
          <w:rFonts w:ascii="Times New Roman" w:hAnsi="Times New Roman" w:cs="Times New Roman"/>
          <w:sz w:val="20"/>
        </w:rPr>
        <w:t>[41,48]</w:t>
      </w:r>
      <w:r w:rsidR="00A06287" w:rsidRPr="00C06DB0">
        <w:rPr>
          <w:rFonts w:ascii="Times New Roman" w:hAnsi="Times New Roman"/>
          <w:sz w:val="20"/>
          <w:szCs w:val="20"/>
        </w:rPr>
        <w:fldChar w:fldCharType="end"/>
      </w:r>
      <w:r w:rsidR="00EF6252" w:rsidRPr="00C06DB0">
        <w:rPr>
          <w:rFonts w:ascii="Times New Roman" w:hAnsi="Times New Roman"/>
          <w:sz w:val="20"/>
          <w:szCs w:val="20"/>
        </w:rPr>
        <w:t>,</w:t>
      </w:r>
      <w:r w:rsidR="004650B6" w:rsidRPr="00C06DB0">
        <w:rPr>
          <w:rFonts w:ascii="Times New Roman" w:hAnsi="Times New Roman"/>
          <w:sz w:val="20"/>
          <w:szCs w:val="20"/>
        </w:rPr>
        <w:t xml:space="preserve"> </w:t>
      </w:r>
      <w:r w:rsidR="00770B01" w:rsidRPr="00C06DB0">
        <w:rPr>
          <w:rFonts w:ascii="Times New Roman" w:hAnsi="Times New Roman"/>
          <w:sz w:val="20"/>
          <w:szCs w:val="20"/>
        </w:rPr>
        <w:t>prior to burning the light alkanes (C</w:t>
      </w:r>
      <w:r w:rsidR="00770B01" w:rsidRPr="00C06DB0">
        <w:rPr>
          <w:rFonts w:ascii="Times New Roman" w:hAnsi="Times New Roman"/>
          <w:sz w:val="20"/>
          <w:szCs w:val="20"/>
          <w:vertAlign w:val="subscript"/>
        </w:rPr>
        <w:t>1</w:t>
      </w:r>
      <w:r w:rsidR="00770B01" w:rsidRPr="00C06DB0">
        <w:rPr>
          <w:rFonts w:ascii="Times New Roman" w:hAnsi="Times New Roman"/>
          <w:sz w:val="20"/>
          <w:szCs w:val="20"/>
        </w:rPr>
        <w:t>-C</w:t>
      </w:r>
      <w:r w:rsidR="00770B01" w:rsidRPr="00C06DB0">
        <w:rPr>
          <w:rFonts w:ascii="Times New Roman" w:hAnsi="Times New Roman"/>
          <w:sz w:val="20"/>
          <w:szCs w:val="20"/>
          <w:vertAlign w:val="subscript"/>
        </w:rPr>
        <w:t>4</w:t>
      </w:r>
      <w:r w:rsidR="00770B01" w:rsidRPr="00C06DB0">
        <w:rPr>
          <w:rFonts w:ascii="Times New Roman" w:hAnsi="Times New Roman"/>
          <w:sz w:val="20"/>
          <w:szCs w:val="20"/>
        </w:rPr>
        <w:t xml:space="preserve">) for heat and electricity </w:t>
      </w:r>
      <w:r w:rsidR="00A06287"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4Eh8uNa","properties":{"formattedCitation":"[41,46,48]","plainCitation":"[41,46,48]","noteIndex":0},"citationItems":[{"id":"968HXJ10/aL1kTCEU","uris":["http://www.mendeley.com/documents/?uuid=72d6ef52-5a8f-4cc0-a310-7d93adb84848"],"uri":["http://www.mendeley.com/documents/?uuid=72d6ef52-5a8f-4cc0-a310-7d93adb84848"],"itemData":{"author":[{"dropping-particle":"","family":"Qiao","given":"M.","non-dropping-particle":"","parse-names":false,"suffix":""},{"dropping-particle":"","family":"Woods","given":"E.","non-dropping-particle":"","parse-names":false,"suffix":""},{"dropping-particle":"","family":"Myren","given":"P.","non-dropping-particle":"","parse-names":false,"suffix":""},{"dropping-particle":"","family":"Cortright","given":"R.","non-dropping-particle":"","parse-names":false,"suffix":""}],"id":"ITEM-1","issued":{"date-parts":[["2013"]]},"number":"US 2013/0019859 A1","publisher-place":"Madison, WI (US)","title":"Solvolysis of biomass and stabilization of biomass hydrolysate","type":"patent"}},{"id":"968HXJ10/x0bkQlTQ","uris":["http://www.mendeley.com/documents/?uuid=6f644593-3489-4a67-bcca-3787ae5a567e"],"uri":["http://www.mendeley.com/documents/?uuid=6f644593-3489-4a67-bcca-3787ae5a567e"],"itemData":{"abstract":"This techno-economic analysis models a production cost for cellulosic hydrocarbon biofuels that\\r\\ncan be considered as a baseline to assess the competitiveness and market potential for the\\r\\ntechnology. It can also be used to quantify the economic impact of individual conversion\\r\\nperformance targets and prioritize them in terms of their potential to reduce cost. The analysis\\r\\npresented here also includes consideration of the life-cycle implications of the process model by\\r\\ntracking sustainability metrics for the modeled biorefinery, including greenhouse gas emissions,\\r\\nfossil energy demand, and water consumption.\\r\\nBuilding on prior design report practices, NREL, together with Harris Group, performed a\\r\\nfeasibility-level analysis for a plausible catalytic conversion process to meet an intermediate\\r\\nDOE cost goal of $5/gallon gasoline equivalent (GGE) in a timeframe prior to 2022. The\\r\\nmodeled biorefinery processes 2,205 dry tons biomass/day and achieves a fuel selling price of\\r\\n$4.05/GGE in 2011-year dollars as determined by modeled conversion targets and “n\\r\\nth-plant”\\r\\nproject costs and financing, associated with a total fuel yield of 78.3 GGE/dry ton when\\r\\nassuming hydrogen is purchased from off-site production. Alternatively, if hydrogen is instead\\r\\nproduced in situ by diverting a fraction (41%) of hydrolysate carbon towards reforming reactions, fuel yield drops to 45.3 GGE/dry ton and selling price increases to $5.48/GGE. If\\r\\ninstead hydrogen is produced by diverting a fraction of biomass to a gasification process to\\r\\nproduce and subsequently refine syngas to hydrogen, such a scenario would require 36% of the\\r\\navailable biomass and would translate to a fuel yield of 50.1 GGE/dry ton and selling price of\\r\\n$4.95/GGE. Preliminary assessment of sustainability metrics associated with these three\\r\\nhydrogen scenarios indicates a more favorable greenhouse gas profile for the in situ and\\r\\ngasification cases as it avoids the use of natural gas for off-site hydrogen production. However,\\r\\nadditional benefits are likely to be seen for a case including on-site hydrogen production via\\r\\nsteam methane reforming (rather than off-site as in the base case evaluated here), given\\r\\nadditional integration advantages that may be brought about through heat/power integration and\\r\\ncarbon recycles which were beyond the scope of this effort; in any case, a full well-to-wheel lifecycle\\r\\nanalysis is required to better understand gre…","author":[{"dropping-particle":"","family":"Davis","given":"R","non-dropping-particle":"","parse-names":false,"suffix":""},{"dropping-particle":"","family":"Tao","given":"L","non-dropping-particle":"","parse-names":false,"suffix":""},{"dropping-particle":"","family":"Scarlata","given":"C","non-dropping-particle":"","parse-names":false,"suffix":""},{"dropping-particle":"","family":"Tan","given":"E C D","non-dropping-particle":"","parse-names":false,"suffix":""},{"dropping-particle":"","family":"Ross","given":"J","non-dropping-particle":"","parse-names":false,"suffix":""},{"dropping-particle":"","family":"Lukas","given":"J","non-dropping-particle":"","parse-names":false,"suffix":""},{"dropping-particle":"","family":"Sexton","given":"D","non-dropping-particle":"","parse-names":false,"suffix":""}],"id":"ITEM-2","issued":{"date-parts":[["2015"]]},"number-of-pages":"133","title":"Process Design and Economics for the Conversion of Lignocellulosic Biomass to Hydrocarbons: Dilute-Acid and Enzymatic Deconstruction of Biomass to Sugars and Catalytic Conversion of Sugars to Hydrocarbons","type":"report"}},{"id":"968HXJ10/lAR45Dq5","uris":["http://www.mendeley.com/documents/?uuid=ec70adae-aaed-4678-9c68-7be941ca448d"],"uri":["http://www.mendeley.com/documents/?uuid=ec70adae-aaed-4678-9c68-7be941ca448d"],"itemData":{"abstract":"A method comprises providing a bio-based feedstock; con tacting the bio-based feedstock with a solvent in a hydrolysis reaction to form an intermediate stream comprising carbohy drates; contacting the intermediate stream with an apr catalyst to form a plurality of oxygenated intermediates, wherein a first portion of the oxygenated intermediates are recycled to form the solvent; and processing at least a second portion of the oxygenated intermediates to form a fuel blend.","author":[{"dropping-particle":"","family":"Chheda","given":"Juben Nemchand","non-dropping-particle":"","parse-names":false,"suffix":""},{"dropping-particle":"","family":"Powell","given":"Joseph Broun","non-dropping-particle":"","parse-names":false,"suffix":""}],"id":"ITEM-3","issue":"12","issued":{"date-parts":[["2011"]]},"number":"US 9,303,226 B2","title":"Direct aqueous phase reforming of biobased feedstocks","type":"patent","volume":"2"}}],"schema":"https://github.com/citation-style-language/schema/raw/master/csl-citation.json"} </w:instrText>
      </w:r>
      <w:r w:rsidR="00A06287" w:rsidRPr="00C06DB0">
        <w:rPr>
          <w:rFonts w:ascii="Times New Roman" w:hAnsi="Times New Roman"/>
          <w:sz w:val="20"/>
          <w:szCs w:val="20"/>
        </w:rPr>
        <w:fldChar w:fldCharType="separate"/>
      </w:r>
      <w:r w:rsidR="00CA240D" w:rsidRPr="00CA240D">
        <w:rPr>
          <w:rFonts w:ascii="Times New Roman" w:hAnsi="Times New Roman" w:cs="Times New Roman"/>
          <w:sz w:val="20"/>
        </w:rPr>
        <w:t>[41,46,48]</w:t>
      </w:r>
      <w:r w:rsidR="00A06287" w:rsidRPr="00C06DB0">
        <w:rPr>
          <w:rFonts w:ascii="Times New Roman" w:hAnsi="Times New Roman"/>
          <w:sz w:val="20"/>
          <w:szCs w:val="20"/>
        </w:rPr>
        <w:fldChar w:fldCharType="end"/>
      </w:r>
      <w:r w:rsidR="00EF6252" w:rsidRPr="00C06DB0">
        <w:rPr>
          <w:rFonts w:ascii="Times New Roman" w:hAnsi="Times New Roman"/>
          <w:sz w:val="20"/>
          <w:szCs w:val="20"/>
        </w:rPr>
        <w:t>.</w:t>
      </w:r>
      <w:r w:rsidR="008A5AFD" w:rsidRPr="00C06DB0">
        <w:rPr>
          <w:rFonts w:ascii="Times New Roman" w:hAnsi="Times New Roman"/>
          <w:sz w:val="20"/>
          <w:szCs w:val="20"/>
        </w:rPr>
        <w:t xml:space="preserve"> </w:t>
      </w:r>
      <w:r w:rsidR="00B853D4" w:rsidRPr="00C06DB0">
        <w:rPr>
          <w:rFonts w:ascii="Times New Roman" w:hAnsi="Times New Roman"/>
          <w:sz w:val="20"/>
          <w:szCs w:val="20"/>
        </w:rPr>
        <w:t xml:space="preserve">The exact mixture of </w:t>
      </w:r>
      <w:r w:rsidR="00AD144C" w:rsidRPr="00C06DB0">
        <w:rPr>
          <w:rFonts w:ascii="Times New Roman" w:hAnsi="Times New Roman"/>
          <w:sz w:val="20"/>
          <w:szCs w:val="20"/>
        </w:rPr>
        <w:t xml:space="preserve">both gas and </w:t>
      </w:r>
      <w:r w:rsidR="00B853D4" w:rsidRPr="00C06DB0">
        <w:rPr>
          <w:rFonts w:ascii="Times New Roman" w:hAnsi="Times New Roman"/>
          <w:sz w:val="20"/>
          <w:szCs w:val="20"/>
        </w:rPr>
        <w:t xml:space="preserve">liquid output is rather difficult to predict </w:t>
      </w:r>
      <w:r w:rsidR="00D77B1E">
        <w:rPr>
          <w:rFonts w:ascii="Times New Roman" w:hAnsi="Times New Roman"/>
          <w:sz w:val="20"/>
          <w:szCs w:val="20"/>
        </w:rPr>
        <w:t>given</w:t>
      </w:r>
      <w:r w:rsidR="00B853D4" w:rsidRPr="00C06DB0">
        <w:rPr>
          <w:rFonts w:ascii="Times New Roman" w:hAnsi="Times New Roman"/>
          <w:sz w:val="20"/>
          <w:szCs w:val="20"/>
        </w:rPr>
        <w:t xml:space="preserve"> the complex mixture of hydrocarbons and oxygena</w:t>
      </w:r>
      <w:r w:rsidR="00CE3C46" w:rsidRPr="00C06DB0">
        <w:rPr>
          <w:rFonts w:ascii="Times New Roman" w:hAnsi="Times New Roman"/>
          <w:sz w:val="20"/>
          <w:szCs w:val="20"/>
        </w:rPr>
        <w:t>ted hydrocarbons</w:t>
      </w:r>
      <w:r w:rsidR="00D77B1E">
        <w:rPr>
          <w:rFonts w:ascii="Times New Roman" w:hAnsi="Times New Roman"/>
          <w:sz w:val="20"/>
          <w:szCs w:val="20"/>
        </w:rPr>
        <w:t xml:space="preserve"> involved</w:t>
      </w:r>
      <w:r w:rsidR="00CE3C46" w:rsidRPr="00C06DB0">
        <w:rPr>
          <w:rFonts w:ascii="Times New Roman" w:hAnsi="Times New Roman"/>
          <w:sz w:val="20"/>
          <w:szCs w:val="20"/>
        </w:rPr>
        <w:t xml:space="preserve"> </w:t>
      </w:r>
      <w:r w:rsidR="0092194B"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3kN1srG","properties":{"formattedCitation":"[49]","plainCitation":"[49]","noteIndex":0},"citationItems":[{"id":"968HXJ10/Y7lVRMHg","uris":["http://www.mendeley.com/documents/?uuid=c5a7aa83-0f9b-4f37-b1c3-c80afdebf9ef"],"uri":["http://www.mendeley.com/documents/?uuid=c5a7aa83-0f9b-4f37-b1c3-c80afdebf9ef"],"itemData":{"DOI":"10.1016/j.ijhydene.2016.05.032","ISSN":"03603199","abstract":"Aqueous-phase reforming (APR) of oxygenated hydrocarbons is a process for the production of hydrogen and light alkanes. The reactants of APR remain in liquid phase during the reaction avoiding an energetically demanding vaporization-step compared to processes such as steam reforming (SR). Furthermore, low reaction temperatures thermodynamically favour the formation of hydrogen with low carbon monoxide content. Therefore, APR has been recently considered as a promising route to upgrade organic compounds found in biorefinery water fractions. Aqueous oxygenated hydrocarbons are reformed at low temperatures (200-250 °C) and high pressures (15-50 bar), typically with platinum- and nickel-based catalyst. In addition, metal combinations of these and other metals have been applied to enhance the catalyst performance. Alumina has been extensively used as catalyst support in APR. Nonetheless, other oxides and carbonaceous materials have been applied to improve the stability of catalysts. Hydrothermal conditions and high pressure present operational challenges that hinder the development of aqueous-phase reforming. However, low yields of desired products and fast catalyst deactivation constitute the main barriers. To maximize the APR effectiveness, the optimization of operation conditions and more active and durable catalysts are required.","author":[{"dropping-particle":"","family":"Coronado","given":"I.","non-dropping-particle":"","parse-names":false,"suffix":""},{"dropping-particle":"","family":"Stekrova","given":"M.","non-dropping-particle":"","parse-names":false,"suffix":""},{"dropping-particle":"","family":"Reinikainen","given":"M.","non-dropping-particle":"","parse-names":false,"suffix":""},{"dropping-particle":"","family":"Simell","given":"P.","non-dropping-particle":"","parse-names":false,"suffix":""},{"dropping-particle":"","family":"Lefferts","given":"L.","non-dropping-particle":"","parse-names":false,"suffix":""},{"dropping-particle":"","family":"Lehtonen","given":"J.","non-dropping-particle":"","parse-names":false,"suffix":""}],"container-title":"International Journal of Hydrogen Energy","id":"ITEM-1","issue":"26","issued":{"date-parts":[["2016"]]},"page":"11003-11032","publisher":"Elsevier Ltd","title":"A review of catalytic aqueous-phase reforming of oxygenated hydrocarbons derived from biorefinery water fractions","type":"article-journal","volume":"41"}}],"schema":"https://github.com/citation-style-language/schema/raw/master/csl-citation.json"} </w:instrText>
      </w:r>
      <w:r w:rsidR="0092194B" w:rsidRPr="00C06DB0">
        <w:rPr>
          <w:rFonts w:ascii="Times New Roman" w:hAnsi="Times New Roman"/>
          <w:sz w:val="20"/>
          <w:szCs w:val="20"/>
        </w:rPr>
        <w:fldChar w:fldCharType="separate"/>
      </w:r>
      <w:r w:rsidR="00CA240D" w:rsidRPr="00CA240D">
        <w:rPr>
          <w:rFonts w:ascii="Times New Roman" w:hAnsi="Times New Roman" w:cs="Times New Roman"/>
          <w:sz w:val="20"/>
        </w:rPr>
        <w:t>[49]</w:t>
      </w:r>
      <w:r w:rsidR="0092194B" w:rsidRPr="00C06DB0">
        <w:rPr>
          <w:rFonts w:ascii="Times New Roman" w:hAnsi="Times New Roman"/>
          <w:sz w:val="20"/>
          <w:szCs w:val="20"/>
        </w:rPr>
        <w:fldChar w:fldCharType="end"/>
      </w:r>
      <w:r w:rsidR="00EF6252" w:rsidRPr="00C06DB0">
        <w:rPr>
          <w:rFonts w:ascii="Times New Roman" w:hAnsi="Times New Roman"/>
          <w:sz w:val="20"/>
          <w:szCs w:val="20"/>
        </w:rPr>
        <w:t>.</w:t>
      </w:r>
      <w:r w:rsidR="00AD144C" w:rsidRPr="00C06DB0">
        <w:rPr>
          <w:rFonts w:ascii="Times New Roman" w:hAnsi="Times New Roman"/>
          <w:sz w:val="20"/>
          <w:szCs w:val="20"/>
        </w:rPr>
        <w:t xml:space="preserve"> </w:t>
      </w:r>
    </w:p>
    <w:p w14:paraId="132C69A3" w14:textId="5DAE7F50" w:rsidR="00BF266A" w:rsidRPr="00C06DB0" w:rsidRDefault="004B2C48" w:rsidP="00290530">
      <w:pPr>
        <w:spacing w:after="120" w:line="276" w:lineRule="auto"/>
        <w:jc w:val="thaiDistribute"/>
        <w:rPr>
          <w:rFonts w:ascii="Times New Roman" w:hAnsi="Times New Roman"/>
          <w:sz w:val="20"/>
          <w:szCs w:val="20"/>
        </w:rPr>
      </w:pPr>
      <w:r w:rsidRPr="00C06DB0">
        <w:rPr>
          <w:rFonts w:ascii="Times New Roman" w:hAnsi="Times New Roman"/>
          <w:sz w:val="20"/>
          <w:szCs w:val="20"/>
        </w:rPr>
        <w:t>Through condensation</w:t>
      </w:r>
      <w:r w:rsidR="005B4703" w:rsidRPr="00C06DB0">
        <w:rPr>
          <w:rFonts w:ascii="Times New Roman" w:hAnsi="Times New Roman"/>
          <w:sz w:val="20"/>
          <w:szCs w:val="20"/>
        </w:rPr>
        <w:t xml:space="preserve"> reactions, the liquid mixture </w:t>
      </w:r>
      <w:r w:rsidRPr="00C06DB0">
        <w:rPr>
          <w:rFonts w:ascii="Times New Roman" w:hAnsi="Times New Roman"/>
          <w:sz w:val="20"/>
          <w:szCs w:val="20"/>
        </w:rPr>
        <w:t>from the APR process is upgraded to longer-chain hydrocarbons. For example, base condensation is applied for the production of gasoline and</w:t>
      </w:r>
      <w:r w:rsidR="00167AA5" w:rsidRPr="00C06DB0">
        <w:rPr>
          <w:rFonts w:ascii="Times New Roman" w:hAnsi="Times New Roman"/>
          <w:sz w:val="20"/>
          <w:szCs w:val="20"/>
        </w:rPr>
        <w:t xml:space="preserve"> </w:t>
      </w:r>
      <w:r w:rsidR="009405AE" w:rsidRPr="00C06DB0">
        <w:rPr>
          <w:rFonts w:ascii="Times New Roman" w:hAnsi="Times New Roman"/>
          <w:sz w:val="20"/>
          <w:szCs w:val="20"/>
        </w:rPr>
        <w:t>kerosene</w:t>
      </w:r>
      <w:r w:rsidR="00167AA5" w:rsidRPr="00C06DB0">
        <w:rPr>
          <w:rFonts w:ascii="Times New Roman" w:hAnsi="Times New Roman"/>
          <w:sz w:val="20"/>
          <w:szCs w:val="20"/>
        </w:rPr>
        <w:t xml:space="preserve">. The liquid condensate may, prior to distillation, undergo hydrotreating according to the desired hydrocarbon fuels output. The resulting products are polyhydric alcohols or shorter-chain compounds depending on the hydrotreating approaches used. Dehydration of alcohols into </w:t>
      </w:r>
      <w:r w:rsidRPr="00C06DB0">
        <w:rPr>
          <w:rFonts w:ascii="Times New Roman" w:hAnsi="Times New Roman"/>
          <w:sz w:val="20"/>
          <w:szCs w:val="20"/>
        </w:rPr>
        <w:t xml:space="preserve">alkanes and oligomerization </w:t>
      </w:r>
      <w:r w:rsidR="00167AA5" w:rsidRPr="00C06DB0">
        <w:rPr>
          <w:rFonts w:ascii="Times New Roman" w:hAnsi="Times New Roman"/>
          <w:sz w:val="20"/>
          <w:szCs w:val="20"/>
        </w:rPr>
        <w:t>(</w:t>
      </w:r>
      <w:r w:rsidRPr="00C06DB0">
        <w:rPr>
          <w:rFonts w:ascii="Times New Roman" w:hAnsi="Times New Roman"/>
          <w:sz w:val="20"/>
          <w:szCs w:val="20"/>
        </w:rPr>
        <w:t>using solid phosphoric acid or zeolite as catalyst</w:t>
      </w:r>
      <w:r w:rsidR="00167AA5" w:rsidRPr="00C06DB0">
        <w:rPr>
          <w:rFonts w:ascii="Times New Roman" w:hAnsi="Times New Roman"/>
          <w:sz w:val="20"/>
          <w:szCs w:val="20"/>
        </w:rPr>
        <w:t>) is used for kerosene production</w:t>
      </w:r>
      <w:r w:rsidRPr="00C06DB0">
        <w:rPr>
          <w:rFonts w:ascii="Times New Roman" w:hAnsi="Times New Roman"/>
          <w:sz w:val="20"/>
          <w:szCs w:val="20"/>
        </w:rPr>
        <w:t xml:space="preserve"> </w:t>
      </w:r>
      <w:r w:rsidR="00A323A2"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x8BsIgx6","properties":{"formattedCitation":"[42]","plainCitation":"[42]","noteIndex":0},"citationItems":[{"id":"968HXJ10/s7Q8bDBj","uris":["http://www.mendeley.com/documents/?uuid=8b31b759-13c8-46f1-953a-b489f8eb9074"],"uri":["http://www.mendeley.com/documents/?uuid=8b31b759-13c8-46f1-953a-b489f8eb9074"],"itemData":{"abstract":"Virent Energy Systems, Inc. has discovered and is now developing innovative and novel catalytic methods to convert plant sugars into high-energy hydrocarbons mixtures that can be used directly or blended seamlessly to make conventional liquid fuels. The methods utilize Virent's patented Bio- Forming® technology to produce renewable gasoline, diesel, and jet fuel from a wide range of bio- mass feedstocks, including non-food varieties. The BioForming platform expands the utility of the aqueous phase reforming (APR) process by combining APR with catalysts and reactor systems simi- lar to those found in standard petroleum oil refineries to convert sugar-based compounds into non- oxygenated hydrocarbons mixtures. The hydrocarbon mixtures have significantly higher volumetric energy content than ethanol, do not require the energy intensive dewatering steps associated with ethanol production, and can be brought to market using the current petroleum infrastructure and pipelines, which are not available to the ethanol industry. Preliminary economic analysis suggests that converting sugars to conventional liquid fuels using Virent’s BioForming process can economi- cally compete with petroleum fuels at crude oil prices greater than $60/bbl.","author":[{"dropping-particle":"","family":"Blommel","given":"Paul G","non-dropping-particle":"","parse-names":false,"suffix":""},{"dropping-particle":"","family":"Cortright","given":"Randy D","non-dropping-particle":"","parse-names":false,"suffix":""}],"container-title":"Energy","id":"ITEM-1","issue":"1319","issued":{"date-parts":[["2008"]]},"page":"1-14","title":"Production of Conventional Liquid Fuels from Sugars","type":"article","volume":"August 25"}}],"schema":"https://github.com/citation-style-language/schema/raw/master/csl-citation.json"} </w:instrText>
      </w:r>
      <w:r w:rsidR="00A323A2" w:rsidRPr="00C06DB0">
        <w:rPr>
          <w:rFonts w:ascii="Times New Roman" w:hAnsi="Times New Roman"/>
          <w:sz w:val="20"/>
          <w:szCs w:val="20"/>
        </w:rPr>
        <w:fldChar w:fldCharType="separate"/>
      </w:r>
      <w:r w:rsidR="00CA240D" w:rsidRPr="00CA240D">
        <w:rPr>
          <w:rFonts w:ascii="Times New Roman" w:hAnsi="Times New Roman" w:cs="Times New Roman"/>
          <w:sz w:val="20"/>
        </w:rPr>
        <w:t>[42]</w:t>
      </w:r>
      <w:r w:rsidR="00A323A2" w:rsidRPr="00C06DB0">
        <w:rPr>
          <w:rFonts w:ascii="Times New Roman" w:hAnsi="Times New Roman"/>
          <w:sz w:val="20"/>
          <w:szCs w:val="20"/>
        </w:rPr>
        <w:fldChar w:fldCharType="end"/>
      </w:r>
      <w:r w:rsidR="00EF6252" w:rsidRPr="00C06DB0">
        <w:rPr>
          <w:rFonts w:ascii="Times New Roman" w:hAnsi="Times New Roman"/>
          <w:sz w:val="20"/>
          <w:szCs w:val="20"/>
        </w:rPr>
        <w:t>.</w:t>
      </w:r>
      <w:r w:rsidRPr="00C06DB0">
        <w:rPr>
          <w:rFonts w:ascii="Times New Roman" w:hAnsi="Times New Roman"/>
          <w:sz w:val="20"/>
          <w:szCs w:val="20"/>
        </w:rPr>
        <w:t xml:space="preserve"> Hydrogenation and/or isomerization might also be </w:t>
      </w:r>
      <w:r w:rsidR="00D77B1E">
        <w:rPr>
          <w:rFonts w:ascii="Times New Roman" w:hAnsi="Times New Roman"/>
          <w:sz w:val="20"/>
          <w:szCs w:val="20"/>
        </w:rPr>
        <w:t>required</w:t>
      </w:r>
      <w:r w:rsidRPr="00C06DB0">
        <w:rPr>
          <w:rFonts w:ascii="Times New Roman" w:hAnsi="Times New Roman"/>
          <w:sz w:val="20"/>
          <w:szCs w:val="20"/>
        </w:rPr>
        <w:t xml:space="preserve"> to ensure conformity with the specific </w:t>
      </w:r>
      <w:r w:rsidR="00D77B1E">
        <w:rPr>
          <w:rFonts w:ascii="Times New Roman" w:hAnsi="Times New Roman"/>
          <w:sz w:val="20"/>
          <w:szCs w:val="20"/>
        </w:rPr>
        <w:t>market</w:t>
      </w:r>
      <w:r w:rsidRPr="00C06DB0">
        <w:rPr>
          <w:rFonts w:ascii="Times New Roman" w:hAnsi="Times New Roman"/>
          <w:sz w:val="20"/>
          <w:szCs w:val="20"/>
        </w:rPr>
        <w:t xml:space="preserve"> requirements </w:t>
      </w:r>
      <w:r w:rsidR="006442FF" w:rsidRPr="00C06DB0">
        <w:rPr>
          <w:rFonts w:ascii="Times New Roman" w:hAnsi="Times New Roman"/>
          <w:sz w:val="20"/>
          <w:szCs w:val="20"/>
        </w:rPr>
        <w:t xml:space="preserve">(e.g. </w:t>
      </w:r>
      <w:r w:rsidRPr="00C06DB0">
        <w:rPr>
          <w:rFonts w:ascii="Times New Roman" w:hAnsi="Times New Roman"/>
          <w:sz w:val="20"/>
          <w:szCs w:val="20"/>
        </w:rPr>
        <w:t>the mandatory ASTM D1655 for aviation fuel blends to be used in commercial aviation</w:t>
      </w:r>
      <w:r w:rsidR="006442FF" w:rsidRPr="00C06DB0">
        <w:rPr>
          <w:rFonts w:ascii="Times New Roman" w:hAnsi="Times New Roman"/>
          <w:sz w:val="20"/>
          <w:szCs w:val="20"/>
        </w:rPr>
        <w:t>)</w:t>
      </w:r>
      <w:r w:rsidRPr="00C06DB0">
        <w:rPr>
          <w:rFonts w:ascii="Times New Roman" w:hAnsi="Times New Roman"/>
          <w:sz w:val="20"/>
          <w:szCs w:val="20"/>
        </w:rPr>
        <w:t xml:space="preserve"> </w:t>
      </w:r>
      <w:r w:rsidR="00A323A2"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CDYs5jPW","properties":{"formattedCitation":"[46]","plainCitation":"[46]","noteIndex":0},"citationItems":[{"id":"968HXJ10/lAR45Dq5","uris":["http://www.mendeley.com/documents/?uuid=ec70adae-aaed-4678-9c68-7be941ca448d"],"uri":["http://www.mendeley.com/documents/?uuid=ec70adae-aaed-4678-9c68-7be941ca448d"],"itemData":{"abstract":"A method comprises providing a bio-based feedstock; con tacting the bio-based feedstock with a solvent in a hydrolysis reaction to form an intermediate stream comprising carbohy drates; contacting the intermediate stream with an apr catalyst to form a plurality of oxygenated intermediates, wherein a first portion of the oxygenated intermediates are recycled to form the solvent; and processing at least a second portion of the oxygenated intermediates to form a fuel blend.","author":[{"dropping-particle":"","family":"Chheda","given":"Juben Nemchand","non-dropping-particle":"","parse-names":false,"suffix":""},{"dropping-particle":"","family":"Powell","given":"Joseph Broun","non-dropping-particle":"","parse-names":false,"suffix":""}],"id":"ITEM-1","issue":"12","issued":{"date-parts":[["2011"]]},"number":"US 9,303,226 B2","title":"Direct aqueous phase reforming of biobased feedstocks","type":"patent","volume":"2"}}],"schema":"https://github.com/citation-style-language/schema/raw/master/csl-citation.json"} </w:instrText>
      </w:r>
      <w:r w:rsidR="00A323A2" w:rsidRPr="00C06DB0">
        <w:rPr>
          <w:rFonts w:ascii="Times New Roman" w:hAnsi="Times New Roman"/>
          <w:sz w:val="20"/>
          <w:szCs w:val="20"/>
        </w:rPr>
        <w:fldChar w:fldCharType="separate"/>
      </w:r>
      <w:r w:rsidR="00CA240D" w:rsidRPr="00CA240D">
        <w:rPr>
          <w:rFonts w:ascii="Times New Roman" w:hAnsi="Times New Roman" w:cs="Times New Roman"/>
          <w:sz w:val="20"/>
        </w:rPr>
        <w:t>[46]</w:t>
      </w:r>
      <w:r w:rsidR="00A323A2" w:rsidRPr="00C06DB0">
        <w:rPr>
          <w:rFonts w:ascii="Times New Roman" w:hAnsi="Times New Roman"/>
          <w:sz w:val="20"/>
          <w:szCs w:val="20"/>
        </w:rPr>
        <w:fldChar w:fldCharType="end"/>
      </w:r>
      <w:r w:rsidR="00EF6252" w:rsidRPr="00C06DB0">
        <w:rPr>
          <w:rFonts w:ascii="Times New Roman" w:hAnsi="Times New Roman"/>
          <w:sz w:val="20"/>
          <w:szCs w:val="20"/>
        </w:rPr>
        <w:t>.</w:t>
      </w:r>
      <w:r w:rsidRPr="00C06DB0">
        <w:rPr>
          <w:rFonts w:ascii="Times New Roman" w:hAnsi="Times New Roman"/>
          <w:sz w:val="20"/>
          <w:szCs w:val="20"/>
        </w:rPr>
        <w:t xml:space="preserve"> </w:t>
      </w:r>
      <w:r w:rsidR="003171A4" w:rsidRPr="00C06DB0">
        <w:rPr>
          <w:rFonts w:ascii="Times New Roman" w:hAnsi="Times New Roman"/>
          <w:sz w:val="20"/>
          <w:szCs w:val="20"/>
        </w:rPr>
        <w:t>As illustrated in Fig. 2, these processes</w:t>
      </w:r>
      <w:r w:rsidR="00A14459" w:rsidRPr="00C06DB0">
        <w:rPr>
          <w:rFonts w:ascii="Times New Roman" w:hAnsi="Times New Roman"/>
          <w:sz w:val="20"/>
          <w:szCs w:val="20"/>
        </w:rPr>
        <w:t xml:space="preserve"> can be combined in different configurations and with different operating conditions to fit with the desired final product. </w:t>
      </w:r>
      <w:r w:rsidR="00BF266A" w:rsidRPr="00C06DB0">
        <w:rPr>
          <w:rFonts w:ascii="Times New Roman" w:hAnsi="Times New Roman"/>
          <w:sz w:val="20"/>
          <w:szCs w:val="20"/>
        </w:rPr>
        <w:t>Finally, the generated products are subsequently condensed and distil</w:t>
      </w:r>
      <w:r w:rsidR="00D9718C" w:rsidRPr="00C06DB0">
        <w:rPr>
          <w:rFonts w:ascii="Times New Roman" w:hAnsi="Times New Roman"/>
          <w:sz w:val="20"/>
          <w:szCs w:val="20"/>
        </w:rPr>
        <w:t>lated to produce the desired aviation</w:t>
      </w:r>
      <w:r w:rsidR="00BF266A" w:rsidRPr="00C06DB0">
        <w:rPr>
          <w:rFonts w:ascii="Times New Roman" w:hAnsi="Times New Roman"/>
          <w:sz w:val="20"/>
          <w:szCs w:val="20"/>
        </w:rPr>
        <w:t xml:space="preserve"> fuels, here as synthetic paraffinic kerosene (SPK) or as synthetic aromatic </w:t>
      </w:r>
      <w:r w:rsidR="00D9718C" w:rsidRPr="00C06DB0">
        <w:rPr>
          <w:rFonts w:ascii="Times New Roman" w:hAnsi="Times New Roman"/>
          <w:sz w:val="20"/>
          <w:szCs w:val="20"/>
        </w:rPr>
        <w:t xml:space="preserve">kerosene </w:t>
      </w:r>
      <w:r w:rsidR="00BF266A" w:rsidRPr="00C06DB0">
        <w:rPr>
          <w:rFonts w:ascii="Times New Roman" w:hAnsi="Times New Roman"/>
          <w:sz w:val="20"/>
          <w:szCs w:val="20"/>
        </w:rPr>
        <w:t xml:space="preserve">(SAK), along with hydrocarbons co-products including </w:t>
      </w:r>
      <w:r w:rsidR="00134D15" w:rsidRPr="00C06DB0">
        <w:rPr>
          <w:rFonts w:ascii="Times New Roman" w:hAnsi="Times New Roman"/>
          <w:sz w:val="20"/>
          <w:szCs w:val="20"/>
        </w:rPr>
        <w:t>naphtha</w:t>
      </w:r>
      <w:r w:rsidR="00BF266A" w:rsidRPr="00C06DB0">
        <w:rPr>
          <w:rFonts w:ascii="Times New Roman" w:hAnsi="Times New Roman"/>
          <w:sz w:val="20"/>
          <w:szCs w:val="20"/>
        </w:rPr>
        <w:t xml:space="preserve">, and diesel </w:t>
      </w:r>
      <w:r w:rsidR="00A323A2"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zVJbbJ0Q","properties":{"formattedCitation":"[41,42]","plainCitation":"[41,42]","noteIndex":0},"citationItems":[{"id":"968HXJ10/s7Q8bDBj","uris":["http://www.mendeley.com/documents/?uuid=8b31b759-13c8-46f1-953a-b489f8eb9074"],"uri":["http://www.mendeley.com/documents/?uuid=8b31b759-13c8-46f1-953a-b489f8eb9074"],"itemData":{"abstract":"Virent Energy Systems, Inc. has discovered and is now developing innovative and novel catalytic methods to convert plant sugars into high-energy hydrocarbons mixtures that can be used directly or blended seamlessly to make conventional liquid fuels. The methods utilize Virent's patented Bio- Forming® technology to produce renewable gasoline, diesel, and jet fuel from a wide range of bio- mass feedstocks, including non-food varieties. The BioForming platform expands the utility of the aqueous phase reforming (APR) process by combining APR with catalysts and reactor systems simi- lar to those found in standard petroleum oil refineries to convert sugar-based compounds into non- oxygenated hydrocarbons mixtures. The hydrocarbon mixtures have significantly higher volumetric energy content than ethanol, do not require the energy intensive dewatering steps associated with ethanol production, and can be brought to market using the current petroleum infrastructure and pipelines, which are not available to the ethanol industry. Preliminary economic analysis suggests that converting sugars to conventional liquid fuels using Virent’s BioForming process can economi- cally compete with petroleum fuels at crude oil prices greater than $60/bbl.","author":[{"dropping-particle":"","family":"Blommel","given":"Paul G","non-dropping-particle":"","parse-names":false,"suffix":""},{"dropping-particle":"","family":"Cortright","given":"Randy D","non-dropping-particle":"","parse-names":false,"suffix":""}],"container-title":"Energy","id":"ITEM-1","issue":"1319","issued":{"date-parts":[["2008"]]},"page":"1-14","title":"Production of Conventional Liquid Fuels from Sugars","type":"article","volume":"August 25"}},{"id":"968HXJ10/x0bkQlTQ","uris":["http://www.mendeley.com/documents/?uuid=6f644593-3489-4a67-bcca-3787ae5a567e"],"uri":["http://www.mendeley.com/documents/?uuid=6f644593-3489-4a67-bcca-3787ae5a567e"],"itemData":{"abstract":"This techno-economic analysis models a production cost for cellulosic hydrocarbon biofuels that\\r\\ncan be considered as a baseline to assess the competitiveness and market potential for the\\r\\ntechnology. It can also be used to quantify the economic impact of individual conversion\\r\\nperformance targets and prioritize them in terms of their potential to reduce cost. The analysis\\r\\npresented here also includes consideration of the life-cycle implications of the process model by\\r\\ntracking sustainability metrics for the modeled biorefinery, including greenhouse gas emissions,\\r\\nfossil energy demand, and water consumption.\\r\\nBuilding on prior design report practices, NREL, together with Harris Group, performed a\\r\\nfeasibility-level analysis for a plausible catalytic conversion process to meet an intermediate\\r\\nDOE cost goal of $5/gallon gasoline equivalent (GGE) in a timeframe prior to 2022. The\\r\\nmodeled biorefinery processes 2,205 dry tons biomass/day and achieves a fuel selling price of\\r\\n$4.05/GGE in 2011-year dollars as determined by modeled conversion targets and “n\\r\\nth-plant”\\r\\nproject costs and financing, associated with a total fuel yield of 78.3 GGE/dry ton when\\r\\nassuming hydrogen is purchased from off-site production. Alternatively, if hydrogen is instead\\r\\nproduced in situ by diverting a fraction (41%) of hydrolysate carbon towards reforming reactions, fuel yield drops to 45.3 GGE/dry ton and selling price increases to $5.48/GGE. If\\r\\ninstead hydrogen is produced by diverting a fraction of biomass to a gasification process to\\r\\nproduce and subsequently refine syngas to hydrogen, such a scenario would require 36% of the\\r\\navailable biomass and would translate to a fuel yield of 50.1 GGE/dry ton and selling price of\\r\\n$4.95/GGE. Preliminary assessment of sustainability metrics associated with these three\\r\\nhydrogen scenarios indicates a more favorable greenhouse gas profile for the in situ and\\r\\ngasification cases as it avoids the use of natural gas for off-site hydrogen production. However,\\r\\nadditional benefits are likely to be seen for a case including on-site hydrogen production via\\r\\nsteam methane reforming (rather than off-site as in the base case evaluated here), given\\r\\nadditional integration advantages that may be brought about through heat/power integration and\\r\\ncarbon recycles which were beyond the scope of this effort; in any case, a full well-to-wheel lifecycle\\r\\nanalysis is required to better understand gre…","author":[{"dropping-particle":"","family":"Davis","given":"R","non-dropping-particle":"","parse-names":false,"suffix":""},{"dropping-particle":"","family":"Tao","given":"L","non-dropping-particle":"","parse-names":false,"suffix":""},{"dropping-particle":"","family":"Scarlata","given":"C","non-dropping-particle":"","parse-names":false,"suffix":""},{"dropping-particle":"","family":"Tan","given":"E C D","non-dropping-particle":"","parse-names":false,"suffix":""},{"dropping-particle":"","family":"Ross","given":"J","non-dropping-particle":"","parse-names":false,"suffix":""},{"dropping-particle":"","family":"Lukas","given":"J","non-dropping-particle":"","parse-names":false,"suffix":""},{"dropping-particle":"","family":"Sexton","given":"D","non-dropping-particle":"","parse-names":false,"suffix":""}],"id":"ITEM-2","issued":{"date-parts":[["2015"]]},"number-of-pages":"133","title":"Process Design and Economics for the Conversion of Lignocellulosic Biomass to Hydrocarbons: Dilute-Acid and Enzymatic Deconstruction of Biomass to Sugars and Catalytic Conversion of Sugars to Hydrocarbons","type":"report"}}],"schema":"https://github.com/citation-style-language/schema/raw/master/csl-citation.json"} </w:instrText>
      </w:r>
      <w:r w:rsidR="00A323A2" w:rsidRPr="00C06DB0">
        <w:rPr>
          <w:rFonts w:ascii="Times New Roman" w:hAnsi="Times New Roman"/>
          <w:sz w:val="20"/>
          <w:szCs w:val="20"/>
        </w:rPr>
        <w:fldChar w:fldCharType="separate"/>
      </w:r>
      <w:r w:rsidR="00CA240D" w:rsidRPr="00CA240D">
        <w:rPr>
          <w:rFonts w:ascii="Times New Roman" w:hAnsi="Times New Roman" w:cs="Times New Roman"/>
          <w:sz w:val="20"/>
        </w:rPr>
        <w:t>[41,42]</w:t>
      </w:r>
      <w:r w:rsidR="00A323A2" w:rsidRPr="00C06DB0">
        <w:rPr>
          <w:rFonts w:ascii="Times New Roman" w:hAnsi="Times New Roman"/>
          <w:sz w:val="20"/>
          <w:szCs w:val="20"/>
        </w:rPr>
        <w:fldChar w:fldCharType="end"/>
      </w:r>
      <w:r w:rsidR="00EF6252" w:rsidRPr="00C06DB0">
        <w:rPr>
          <w:rFonts w:ascii="Times New Roman" w:hAnsi="Times New Roman"/>
          <w:sz w:val="20"/>
          <w:szCs w:val="20"/>
        </w:rPr>
        <w:t>.</w:t>
      </w:r>
      <w:r w:rsidR="00BF266A" w:rsidRPr="00C06DB0">
        <w:rPr>
          <w:rFonts w:ascii="Times New Roman" w:hAnsi="Times New Roman"/>
          <w:sz w:val="20"/>
          <w:szCs w:val="20"/>
        </w:rPr>
        <w:t xml:space="preserve"> </w:t>
      </w:r>
    </w:p>
    <w:p w14:paraId="29DD5EF1" w14:textId="77777777" w:rsidR="00953073" w:rsidRPr="00C06DB0" w:rsidRDefault="00557F5B" w:rsidP="00290530">
      <w:pPr>
        <w:spacing w:after="120" w:line="276" w:lineRule="auto"/>
        <w:jc w:val="thaiDistribute"/>
        <w:rPr>
          <w:rFonts w:ascii="Times New Roman" w:hAnsi="Times New Roman"/>
          <w:i/>
          <w:iCs/>
          <w:sz w:val="20"/>
          <w:szCs w:val="20"/>
        </w:rPr>
      </w:pPr>
      <w:r w:rsidRPr="00C06DB0">
        <w:rPr>
          <w:rFonts w:ascii="Times New Roman" w:hAnsi="Times New Roman"/>
          <w:i/>
          <w:iCs/>
          <w:sz w:val="20"/>
          <w:szCs w:val="20"/>
        </w:rPr>
        <w:t>2</w:t>
      </w:r>
      <w:r w:rsidR="00953073" w:rsidRPr="00C06DB0">
        <w:rPr>
          <w:rFonts w:ascii="Times New Roman" w:hAnsi="Times New Roman"/>
          <w:i/>
          <w:iCs/>
          <w:sz w:val="20"/>
          <w:szCs w:val="20"/>
        </w:rPr>
        <w:t>.1.2 Direct sugar to hydrocarbon (DSHC)</w:t>
      </w:r>
    </w:p>
    <w:p w14:paraId="2C901D64" w14:textId="58B831EF" w:rsidR="00973A89" w:rsidRPr="00C06DB0" w:rsidRDefault="00D9718C" w:rsidP="00290530">
      <w:pPr>
        <w:spacing w:after="120" w:line="276" w:lineRule="auto"/>
        <w:jc w:val="thaiDistribute"/>
        <w:rPr>
          <w:rFonts w:ascii="Times New Roman" w:hAnsi="Times New Roman"/>
          <w:sz w:val="20"/>
          <w:szCs w:val="20"/>
        </w:rPr>
      </w:pPr>
      <w:r w:rsidRPr="00C06DB0">
        <w:rPr>
          <w:rFonts w:ascii="Times New Roman" w:hAnsi="Times New Roman"/>
          <w:sz w:val="20"/>
          <w:szCs w:val="20"/>
        </w:rPr>
        <w:t xml:space="preserve">The </w:t>
      </w:r>
      <w:r w:rsidR="00EB6098" w:rsidRPr="00C06DB0">
        <w:rPr>
          <w:rFonts w:ascii="Times New Roman" w:hAnsi="Times New Roman"/>
          <w:sz w:val="20"/>
          <w:szCs w:val="20"/>
        </w:rPr>
        <w:t xml:space="preserve">DSHC </w:t>
      </w:r>
      <w:r w:rsidR="00D77B1E">
        <w:rPr>
          <w:rFonts w:ascii="Times New Roman" w:hAnsi="Times New Roman"/>
          <w:sz w:val="20"/>
          <w:szCs w:val="20"/>
        </w:rPr>
        <w:t>pathway</w:t>
      </w:r>
      <w:r w:rsidR="00EB6098" w:rsidRPr="00C06DB0">
        <w:rPr>
          <w:rFonts w:ascii="Times New Roman" w:hAnsi="Times New Roman"/>
          <w:sz w:val="20"/>
          <w:szCs w:val="20"/>
        </w:rPr>
        <w:t xml:space="preserve"> </w:t>
      </w:r>
      <w:r w:rsidRPr="00C06DB0">
        <w:rPr>
          <w:rFonts w:ascii="Times New Roman" w:hAnsi="Times New Roman"/>
          <w:sz w:val="20"/>
          <w:szCs w:val="20"/>
        </w:rPr>
        <w:t>allows</w:t>
      </w:r>
      <w:r w:rsidR="00EB6098" w:rsidRPr="00C06DB0">
        <w:rPr>
          <w:rFonts w:ascii="Times New Roman" w:hAnsi="Times New Roman"/>
          <w:sz w:val="20"/>
          <w:szCs w:val="20"/>
        </w:rPr>
        <w:t xml:space="preserve"> to produce</w:t>
      </w:r>
      <w:r w:rsidR="00296F40" w:rsidRPr="00C06DB0">
        <w:rPr>
          <w:rFonts w:ascii="Times New Roman" w:hAnsi="Times New Roman"/>
          <w:sz w:val="20"/>
          <w:szCs w:val="20"/>
        </w:rPr>
        <w:t xml:space="preserve"> </w:t>
      </w:r>
      <w:r w:rsidR="00146144" w:rsidRPr="00C06DB0">
        <w:rPr>
          <w:rFonts w:ascii="Times New Roman" w:hAnsi="Times New Roman"/>
          <w:sz w:val="20"/>
          <w:szCs w:val="20"/>
        </w:rPr>
        <w:t>aviation biofuels</w:t>
      </w:r>
      <w:r w:rsidR="00103775" w:rsidRPr="00C06DB0">
        <w:rPr>
          <w:rFonts w:ascii="Times New Roman" w:hAnsi="Times New Roman"/>
          <w:sz w:val="20"/>
          <w:szCs w:val="20"/>
        </w:rPr>
        <w:t xml:space="preserve"> without an alcohol intermediate</w:t>
      </w:r>
      <w:r w:rsidR="00522462" w:rsidRPr="00C06DB0">
        <w:rPr>
          <w:rFonts w:ascii="Times New Roman" w:hAnsi="Times New Roman"/>
          <w:sz w:val="20"/>
          <w:szCs w:val="20"/>
        </w:rPr>
        <w:t xml:space="preserve"> (</w:t>
      </w:r>
      <w:r w:rsidR="00BB3847" w:rsidRPr="00C06DB0">
        <w:rPr>
          <w:rFonts w:ascii="Times New Roman" w:hAnsi="Times New Roman"/>
          <w:sz w:val="20"/>
          <w:szCs w:val="20"/>
        </w:rPr>
        <w:t xml:space="preserve">Fig. </w:t>
      </w:r>
      <w:r w:rsidR="00B1485A" w:rsidRPr="00C06DB0">
        <w:rPr>
          <w:rFonts w:ascii="Times New Roman" w:hAnsi="Times New Roman"/>
          <w:sz w:val="20"/>
          <w:szCs w:val="20"/>
        </w:rPr>
        <w:t>3</w:t>
      </w:r>
      <w:r w:rsidR="00522462" w:rsidRPr="00C06DB0">
        <w:rPr>
          <w:rFonts w:ascii="Times New Roman" w:hAnsi="Times New Roman"/>
          <w:sz w:val="20"/>
          <w:szCs w:val="20"/>
        </w:rPr>
        <w:t>)</w:t>
      </w:r>
      <w:r w:rsidR="00103775" w:rsidRPr="00C06DB0">
        <w:rPr>
          <w:rFonts w:ascii="Times New Roman" w:hAnsi="Times New Roman"/>
          <w:sz w:val="20"/>
          <w:szCs w:val="20"/>
        </w:rPr>
        <w:t xml:space="preserve">. </w:t>
      </w:r>
      <w:r w:rsidR="00BB0C60" w:rsidRPr="00C06DB0">
        <w:rPr>
          <w:rFonts w:ascii="Times New Roman" w:hAnsi="Times New Roman"/>
          <w:sz w:val="20"/>
          <w:szCs w:val="20"/>
        </w:rPr>
        <w:t xml:space="preserve">The sugars derived from </w:t>
      </w:r>
      <w:r w:rsidRPr="00C06DB0">
        <w:rPr>
          <w:rFonts w:ascii="Times New Roman" w:hAnsi="Times New Roman"/>
          <w:sz w:val="20"/>
          <w:szCs w:val="20"/>
        </w:rPr>
        <w:t>the</w:t>
      </w:r>
      <w:r w:rsidR="00FA327E" w:rsidRPr="00C06DB0">
        <w:rPr>
          <w:rFonts w:ascii="Times New Roman" w:hAnsi="Times New Roman"/>
          <w:sz w:val="20"/>
          <w:szCs w:val="20"/>
        </w:rPr>
        <w:t xml:space="preserve"> biomass </w:t>
      </w:r>
      <w:r w:rsidRPr="00C06DB0">
        <w:rPr>
          <w:rFonts w:ascii="Times New Roman" w:hAnsi="Times New Roman"/>
          <w:sz w:val="20"/>
          <w:szCs w:val="20"/>
        </w:rPr>
        <w:t xml:space="preserve">feedstock input </w:t>
      </w:r>
      <w:r w:rsidR="00FA327E" w:rsidRPr="00C06DB0">
        <w:rPr>
          <w:rFonts w:ascii="Times New Roman" w:hAnsi="Times New Roman"/>
          <w:sz w:val="20"/>
          <w:szCs w:val="20"/>
        </w:rPr>
        <w:t xml:space="preserve">are converted </w:t>
      </w:r>
      <w:r w:rsidR="00B44584" w:rsidRPr="00C06DB0">
        <w:rPr>
          <w:rFonts w:ascii="Times New Roman" w:hAnsi="Times New Roman"/>
          <w:sz w:val="20"/>
          <w:szCs w:val="20"/>
        </w:rPr>
        <w:t xml:space="preserve">to </w:t>
      </w:r>
      <w:r w:rsidR="00FA327E" w:rsidRPr="00C06DB0">
        <w:rPr>
          <w:rFonts w:ascii="Times New Roman" w:hAnsi="Times New Roman"/>
          <w:sz w:val="20"/>
          <w:szCs w:val="20"/>
        </w:rPr>
        <w:t>C</w:t>
      </w:r>
      <w:r w:rsidR="00FA327E" w:rsidRPr="00C06DB0">
        <w:rPr>
          <w:rFonts w:ascii="Times New Roman" w:hAnsi="Times New Roman"/>
          <w:sz w:val="20"/>
          <w:szCs w:val="20"/>
          <w:vertAlign w:val="subscript"/>
        </w:rPr>
        <w:t>15</w:t>
      </w:r>
      <w:r w:rsidR="00FA327E" w:rsidRPr="00C06DB0">
        <w:rPr>
          <w:rFonts w:ascii="Times New Roman" w:hAnsi="Times New Roman"/>
          <w:sz w:val="20"/>
          <w:szCs w:val="20"/>
        </w:rPr>
        <w:t>H</w:t>
      </w:r>
      <w:r w:rsidR="00FA327E" w:rsidRPr="00C06DB0">
        <w:rPr>
          <w:rFonts w:ascii="Times New Roman" w:hAnsi="Times New Roman"/>
          <w:sz w:val="20"/>
          <w:szCs w:val="20"/>
          <w:vertAlign w:val="subscript"/>
        </w:rPr>
        <w:t>24</w:t>
      </w:r>
      <w:r w:rsidR="00FA327E" w:rsidRPr="00C06DB0">
        <w:rPr>
          <w:rFonts w:ascii="Times New Roman" w:hAnsi="Times New Roman"/>
          <w:sz w:val="20"/>
          <w:szCs w:val="20"/>
        </w:rPr>
        <w:t xml:space="preserve"> (denoted as </w:t>
      </w:r>
      <w:r w:rsidR="00103775" w:rsidRPr="00C06DB0">
        <w:rPr>
          <w:rFonts w:ascii="Times New Roman" w:hAnsi="Times New Roman"/>
          <w:sz w:val="20"/>
          <w:szCs w:val="20"/>
        </w:rPr>
        <w:t xml:space="preserve">isoprenoid </w:t>
      </w:r>
      <w:r w:rsidR="0057177B" w:rsidRPr="00C06DB0">
        <w:rPr>
          <w:rFonts w:ascii="Times New Roman" w:hAnsi="Times New Roman"/>
          <w:sz w:val="20"/>
          <w:szCs w:val="20"/>
        </w:rPr>
        <w:t>farnese</w:t>
      </w:r>
      <w:r w:rsidR="00A012BA" w:rsidRPr="00C06DB0">
        <w:rPr>
          <w:rFonts w:ascii="Times New Roman" w:hAnsi="Times New Roman"/>
          <w:sz w:val="20"/>
          <w:szCs w:val="20"/>
        </w:rPr>
        <w:t>ne)</w:t>
      </w:r>
      <w:r w:rsidR="00B44584" w:rsidRPr="00C06DB0">
        <w:rPr>
          <w:rFonts w:ascii="Times New Roman" w:hAnsi="Times New Roman"/>
          <w:sz w:val="20"/>
          <w:szCs w:val="20"/>
        </w:rPr>
        <w:t xml:space="preserve"> through fermentation</w:t>
      </w:r>
      <w:r w:rsidR="00A012BA" w:rsidRPr="00C06DB0">
        <w:rPr>
          <w:rFonts w:ascii="Times New Roman" w:hAnsi="Times New Roman"/>
          <w:sz w:val="20"/>
          <w:szCs w:val="20"/>
        </w:rPr>
        <w:t xml:space="preserve">, </w:t>
      </w:r>
      <w:r w:rsidR="003D37B6" w:rsidRPr="00C06DB0">
        <w:rPr>
          <w:rFonts w:ascii="Times New Roman" w:hAnsi="Times New Roman"/>
          <w:sz w:val="20"/>
          <w:szCs w:val="20"/>
        </w:rPr>
        <w:t>subs</w:t>
      </w:r>
      <w:r w:rsidR="0057177B" w:rsidRPr="00C06DB0">
        <w:rPr>
          <w:rFonts w:ascii="Times New Roman" w:hAnsi="Times New Roman"/>
          <w:sz w:val="20"/>
          <w:szCs w:val="20"/>
        </w:rPr>
        <w:t>equently hydrogenated to farnesa</w:t>
      </w:r>
      <w:r w:rsidR="003D37B6" w:rsidRPr="00C06DB0">
        <w:rPr>
          <w:rFonts w:ascii="Times New Roman" w:hAnsi="Times New Roman"/>
          <w:sz w:val="20"/>
          <w:szCs w:val="20"/>
        </w:rPr>
        <w:t>ne (C</w:t>
      </w:r>
      <w:r w:rsidR="003D37B6" w:rsidRPr="00C06DB0">
        <w:rPr>
          <w:rFonts w:ascii="Times New Roman" w:hAnsi="Times New Roman"/>
          <w:sz w:val="20"/>
          <w:szCs w:val="20"/>
          <w:vertAlign w:val="subscript"/>
        </w:rPr>
        <w:t>15</w:t>
      </w:r>
      <w:r w:rsidR="003D37B6" w:rsidRPr="00C06DB0">
        <w:rPr>
          <w:rFonts w:ascii="Times New Roman" w:hAnsi="Times New Roman"/>
          <w:sz w:val="20"/>
          <w:szCs w:val="20"/>
        </w:rPr>
        <w:t>H</w:t>
      </w:r>
      <w:r w:rsidR="003D37B6" w:rsidRPr="00C06DB0">
        <w:rPr>
          <w:rFonts w:ascii="Times New Roman" w:hAnsi="Times New Roman"/>
          <w:sz w:val="20"/>
          <w:szCs w:val="20"/>
          <w:vertAlign w:val="subscript"/>
        </w:rPr>
        <w:t>32</w:t>
      </w:r>
      <w:r w:rsidR="00EB6098" w:rsidRPr="00C06DB0">
        <w:rPr>
          <w:rFonts w:ascii="Times New Roman" w:hAnsi="Times New Roman"/>
          <w:sz w:val="20"/>
          <w:szCs w:val="20"/>
        </w:rPr>
        <w:t xml:space="preserve">), which can be used as aviation fuel </w:t>
      </w:r>
      <w:r w:rsidR="006676CE"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pEmGHoMz","properties":{"formattedCitation":"[50,51]","plainCitation":"[50,51]","noteIndex":0},"citationItems":[{"id":"968HXJ10/NXAZ6PgL","uris":["http://www.mendeley.com/documents/?uuid=48bf1403-7fb1-417d-9ddc-53898bc53b10"],"uri":["http://www.mendeley.com/documents/?uuid=48bf1403-7fb1-417d-9ddc-53898bc53b10"],"itemData":{"author":[{"dropping-particle":"","family":"Davis","given":"Ryan","non-dropping-particle":"","parse-names":false,"suffix":""},{"dropping-particle":"","family":"Biddy","given":"Mary","non-dropping-particle":"","parse-names":false,"suffix":""},{"dropping-particle":"","family":"Tan","given":"Eric","non-dropping-particle":"","parse-names":false,"suffix":""},{"dropping-particle":"","family":"Tao","given":"Ling","non-dropping-particle":"","parse-names":false,"suffix":""},{"dropping-particle":"","family":"Jones","given":"Susanne","non-dropping-particle":"","parse-names":false,"suffix":""}],"container-title":"National Renewable Energy Laboratory","id":"ITEM-1","issue":"March 2013","issued":{"date-parts":[["2013"]]},"page":"14","title":"Biological conversion of sugars to hydrocarbons technology pathway","type":"article-journal"}},{"id":"968HXJ10/pA8oL6E1","uris":["http://www.mendeley.com/documents/?uuid=77c0b4b6-aa79-475a-8c6a-ba77c9e822a3"],"uri":["http://www.mendeley.com/documents/?uuid=77c0b4b6-aa79-475a-8c6a-ba77c9e822a3"],"itemData":{"DOI":"10.1002/bbb.1644","ISSN":"19321031","abstract":"Aviation is responsible for an increasing share of anthropogenic CO2 emissions. Decarbonization to 2050 is expected to rely on renewable jet fuel (RJF) derived from biomass, but this represents a radical departure from the existing regime of petroleum-based fuels. Increased market deployment will require significant cost reductions, alongside adaptation of existing supply chains and infrastructure. This paper maps development and manufacturing efforts for six RJF production pathways expected to reach commercialization in the next 5–10 years. A Rapid Evidence Assessment was conducted to evaluate the technological and commercial maturity of each pathway and progress toward international certification, using the Commercial Aviation Alternative Fuels Initiative's Fuel Readiness Level (FRL) framework. Planned and operational facilities have been cataloged alongside partnerships with the aviation industry. Policy and economic factors likely to affect future development and deployment are considered. Hydroprocessed Esters and Fatty Acids (FRL 9) is the most developed pathway. It is ASTM certified, has fuelled the majority of RJF flights to date, and is produced at three commercial-scale facilities. Fischer-Tropsch derived fuels are moving toward the start-up of first commercial facilities (FRL 7 and 8), although widespread deployment seems unlikely under current market conditions. The Direct Sugars to Hydrocarbons conversion pathway (FRL 5–7) is being championed by Amyris and Total in Brazil, but has yet to be demonstrated at scale. Other pathways are in the demonstration and pilot phases (FRL 4–6). Despite growing interest in RJF, demand and production volumes remain negligible. Development of supportive policy is likely to be critical to future deployment. © 2016 Society of Chemical Industry and John Wiley &amp; Sons, Ltd.","author":[{"dropping-particle":"","family":"Mawhood","given":"Rebecca","non-dropping-particle":"","parse-names":false,"suffix":""},{"dropping-particle":"","family":"Gazis","given":"Evangelos","non-dropping-particle":"","parse-names":false,"suffix":""},{"dropping-particle":"","family":"Jong","given":"Sierk","non-dropping-particle":"de","parse-names":false,"suffix":""},{"dropping-particle":"","family":"Hoefnagels","given":"Ric","non-dropping-particle":"","parse-names":false,"suffix":""},{"dropping-particle":"","family":"Slade","given":"Raphael","non-dropping-particle":"","parse-names":false,"suffix":""}],"container-title":"Biofuels, Bioproducts and Biorefining","id":"ITEM-2","issue":"4","issued":{"date-parts":[["2016"]]},"page":"462-484","title":"Production pathways for renewable jet fuel: a review of commercialization status and future prospects","type":"article-journal","volume":"10"}}],"schema":"https://github.com/citation-style-language/schema/raw/master/csl-citation.json"} </w:instrText>
      </w:r>
      <w:r w:rsidR="006676CE" w:rsidRPr="00C06DB0">
        <w:rPr>
          <w:rFonts w:ascii="Times New Roman" w:hAnsi="Times New Roman"/>
          <w:sz w:val="20"/>
          <w:szCs w:val="20"/>
        </w:rPr>
        <w:fldChar w:fldCharType="separate"/>
      </w:r>
      <w:r w:rsidR="00CA240D" w:rsidRPr="00CA240D">
        <w:rPr>
          <w:rFonts w:ascii="Times New Roman" w:hAnsi="Times New Roman" w:cs="Times New Roman"/>
          <w:sz w:val="20"/>
        </w:rPr>
        <w:t>[50,51]</w:t>
      </w:r>
      <w:r w:rsidR="006676CE" w:rsidRPr="00C06DB0">
        <w:rPr>
          <w:rFonts w:ascii="Times New Roman" w:hAnsi="Times New Roman"/>
          <w:sz w:val="20"/>
          <w:szCs w:val="20"/>
        </w:rPr>
        <w:fldChar w:fldCharType="end"/>
      </w:r>
      <w:r w:rsidR="00EF6252" w:rsidRPr="00C06DB0">
        <w:rPr>
          <w:rFonts w:ascii="Times New Roman" w:hAnsi="Times New Roman"/>
          <w:sz w:val="20"/>
          <w:szCs w:val="20"/>
        </w:rPr>
        <w:t>.</w:t>
      </w:r>
      <w:r w:rsidR="003D37B6" w:rsidRPr="00C06DB0">
        <w:rPr>
          <w:rFonts w:ascii="Times New Roman" w:hAnsi="Times New Roman"/>
          <w:sz w:val="20"/>
          <w:szCs w:val="20"/>
        </w:rPr>
        <w:t xml:space="preserve"> </w:t>
      </w:r>
      <w:r w:rsidR="00EB6098" w:rsidRPr="00C06DB0">
        <w:rPr>
          <w:rFonts w:ascii="Times New Roman" w:hAnsi="Times New Roman"/>
          <w:sz w:val="20"/>
          <w:szCs w:val="20"/>
        </w:rPr>
        <w:t>The joint venture</w:t>
      </w:r>
      <w:r w:rsidR="003676A5" w:rsidRPr="00C06DB0">
        <w:rPr>
          <w:rFonts w:ascii="Times New Roman" w:hAnsi="Times New Roman"/>
          <w:sz w:val="20"/>
          <w:szCs w:val="20"/>
        </w:rPr>
        <w:t xml:space="preserve"> between Amyris and Total </w:t>
      </w:r>
      <w:r w:rsidRPr="00C06DB0">
        <w:rPr>
          <w:rFonts w:ascii="Times New Roman" w:hAnsi="Times New Roman"/>
          <w:sz w:val="20"/>
          <w:szCs w:val="20"/>
        </w:rPr>
        <w:t>is the main global developer</w:t>
      </w:r>
      <w:r w:rsidR="003676A5" w:rsidRPr="00C06DB0">
        <w:rPr>
          <w:rFonts w:ascii="Times New Roman" w:hAnsi="Times New Roman"/>
          <w:sz w:val="20"/>
          <w:szCs w:val="20"/>
        </w:rPr>
        <w:t xml:space="preserve"> of the DSHC </w:t>
      </w:r>
      <w:r w:rsidR="00D77B1E">
        <w:rPr>
          <w:rFonts w:ascii="Times New Roman" w:hAnsi="Times New Roman"/>
          <w:sz w:val="20"/>
          <w:szCs w:val="20"/>
        </w:rPr>
        <w:t>pathway</w:t>
      </w:r>
      <w:r w:rsidR="003676A5" w:rsidRPr="00C06DB0">
        <w:rPr>
          <w:rFonts w:ascii="Times New Roman" w:hAnsi="Times New Roman"/>
          <w:sz w:val="20"/>
          <w:szCs w:val="20"/>
        </w:rPr>
        <w:t xml:space="preserve"> with </w:t>
      </w:r>
      <w:r w:rsidR="00F74ED0" w:rsidRPr="00C06DB0">
        <w:rPr>
          <w:rFonts w:ascii="Times New Roman" w:hAnsi="Times New Roman"/>
          <w:sz w:val="20"/>
          <w:szCs w:val="20"/>
        </w:rPr>
        <w:t>carbohydrate-</w:t>
      </w:r>
      <w:r w:rsidR="00D77B1E">
        <w:rPr>
          <w:rFonts w:ascii="Times New Roman" w:hAnsi="Times New Roman"/>
          <w:sz w:val="20"/>
          <w:szCs w:val="20"/>
        </w:rPr>
        <w:t>rich</w:t>
      </w:r>
      <w:r w:rsidR="00F74ED0" w:rsidRPr="00C06DB0">
        <w:rPr>
          <w:rFonts w:ascii="Times New Roman" w:hAnsi="Times New Roman"/>
          <w:sz w:val="20"/>
          <w:szCs w:val="20"/>
        </w:rPr>
        <w:t xml:space="preserve"> feedstock such as </w:t>
      </w:r>
      <w:r w:rsidR="00760D4C">
        <w:rPr>
          <w:rFonts w:ascii="Times New Roman" w:hAnsi="Times New Roman"/>
          <w:sz w:val="20"/>
          <w:szCs w:val="20"/>
        </w:rPr>
        <w:t>maize</w:t>
      </w:r>
      <w:r w:rsidR="00F74ED0" w:rsidRPr="00C06DB0">
        <w:rPr>
          <w:rFonts w:ascii="Times New Roman" w:hAnsi="Times New Roman"/>
          <w:sz w:val="20"/>
          <w:szCs w:val="20"/>
        </w:rPr>
        <w:t>, sugar beet, sugarcane</w:t>
      </w:r>
      <w:r w:rsidR="003A3550" w:rsidRPr="00C06DB0">
        <w:rPr>
          <w:rFonts w:ascii="Times New Roman" w:hAnsi="Times New Roman"/>
          <w:sz w:val="20"/>
          <w:szCs w:val="20"/>
        </w:rPr>
        <w:t xml:space="preserve"> </w:t>
      </w:r>
      <w:r w:rsidR="00A323A2"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yDDp4j9M","properties":{"formattedCitation":"[52]","plainCitation":"[52]","noteIndex":0},"citationItems":[{"id":"968HXJ10/JtVa6EvL","uris":["http://www.mendeley.com/documents/?uuid=8a3df215-3161-38a0-8f5e-51cbff620394"],"uri":["http://www.mendeley.com/documents/?uuid=8a3df215-3161-38a0-8f5e-51cbff620394"],"itemData":{"URL":"https://www.biofuelsdigest.com/bdigest/2015/06/30/amyris-total-to-commercialize-renewable-low-carbon-jet-fuel-technology/","accessed":{"date-parts":[["2020","2","27"]]},"author":[{"dropping-particle":"","family":"Lane","given":"Jim","non-dropping-particle":"","parse-names":false,"suffix":""}],"container-title":"Biofuels Digest","id":"ITEM-1","issued":{"date-parts":[["2015"]]},"title":"Amyris, Total to commercialize renewable, low-carbon jet fuel technology; Total takes 75% stake in JV","type":"webpage"}}],"schema":"https://github.com/citation-style-language/schema/raw/master/csl-citation.json"} </w:instrText>
      </w:r>
      <w:r w:rsidR="00A323A2" w:rsidRPr="00C06DB0">
        <w:rPr>
          <w:rFonts w:ascii="Times New Roman" w:hAnsi="Times New Roman"/>
          <w:sz w:val="20"/>
          <w:szCs w:val="20"/>
        </w:rPr>
        <w:fldChar w:fldCharType="separate"/>
      </w:r>
      <w:r w:rsidR="00CA240D" w:rsidRPr="00CA240D">
        <w:rPr>
          <w:rFonts w:ascii="Times New Roman" w:hAnsi="Times New Roman" w:cs="Times New Roman"/>
          <w:sz w:val="20"/>
        </w:rPr>
        <w:t>[52]</w:t>
      </w:r>
      <w:r w:rsidR="00A323A2" w:rsidRPr="00C06DB0">
        <w:rPr>
          <w:rFonts w:ascii="Times New Roman" w:hAnsi="Times New Roman"/>
          <w:sz w:val="20"/>
          <w:szCs w:val="20"/>
        </w:rPr>
        <w:fldChar w:fldCharType="end"/>
      </w:r>
      <w:r w:rsidR="00C06DB0" w:rsidRPr="00C06DB0">
        <w:rPr>
          <w:rFonts w:ascii="Times New Roman" w:hAnsi="Times New Roman"/>
          <w:sz w:val="20"/>
          <w:szCs w:val="20"/>
        </w:rPr>
        <w:t>.</w:t>
      </w:r>
      <w:r w:rsidR="003676A5" w:rsidRPr="00C06DB0">
        <w:rPr>
          <w:rFonts w:ascii="Times New Roman" w:hAnsi="Times New Roman"/>
          <w:sz w:val="20"/>
          <w:szCs w:val="20"/>
        </w:rPr>
        <w:t xml:space="preserve"> </w:t>
      </w:r>
      <w:r w:rsidR="00E80B28" w:rsidRPr="00C06DB0">
        <w:rPr>
          <w:rFonts w:ascii="Times New Roman" w:hAnsi="Times New Roman"/>
          <w:sz w:val="20"/>
          <w:szCs w:val="20"/>
        </w:rPr>
        <w:t xml:space="preserve">These </w:t>
      </w:r>
      <w:r w:rsidR="000F724E" w:rsidRPr="00C06DB0">
        <w:rPr>
          <w:rFonts w:ascii="Times New Roman" w:hAnsi="Times New Roman"/>
          <w:sz w:val="20"/>
          <w:szCs w:val="20"/>
        </w:rPr>
        <w:t>companies engineered microorganisms</w:t>
      </w:r>
      <w:r w:rsidR="00200C41" w:rsidRPr="00C06DB0">
        <w:rPr>
          <w:rFonts w:ascii="Times New Roman" w:hAnsi="Times New Roman"/>
          <w:sz w:val="20"/>
          <w:szCs w:val="20"/>
        </w:rPr>
        <w:t xml:space="preserve"> capable of fermenting </w:t>
      </w:r>
      <w:r w:rsidRPr="00C06DB0">
        <w:rPr>
          <w:rFonts w:ascii="Times New Roman" w:hAnsi="Times New Roman"/>
          <w:sz w:val="20"/>
          <w:szCs w:val="20"/>
        </w:rPr>
        <w:t xml:space="preserve">both </w:t>
      </w:r>
      <w:r w:rsidR="00200C41" w:rsidRPr="00C06DB0">
        <w:rPr>
          <w:rFonts w:ascii="Times New Roman" w:hAnsi="Times New Roman"/>
          <w:sz w:val="20"/>
          <w:szCs w:val="20"/>
        </w:rPr>
        <w:t>C</w:t>
      </w:r>
      <w:r w:rsidR="00200C41" w:rsidRPr="00C06DB0">
        <w:rPr>
          <w:rFonts w:ascii="Times New Roman" w:hAnsi="Times New Roman"/>
          <w:sz w:val="20"/>
          <w:szCs w:val="20"/>
          <w:vertAlign w:val="subscript"/>
        </w:rPr>
        <w:t>5</w:t>
      </w:r>
      <w:r w:rsidR="00200C41" w:rsidRPr="00C06DB0">
        <w:rPr>
          <w:rFonts w:ascii="Times New Roman" w:hAnsi="Times New Roman"/>
          <w:sz w:val="20"/>
          <w:szCs w:val="20"/>
        </w:rPr>
        <w:t xml:space="preserve"> </w:t>
      </w:r>
      <w:r w:rsidRPr="00C06DB0">
        <w:rPr>
          <w:rFonts w:ascii="Times New Roman" w:hAnsi="Times New Roman"/>
          <w:sz w:val="20"/>
          <w:szCs w:val="20"/>
        </w:rPr>
        <w:t>and</w:t>
      </w:r>
      <w:r w:rsidR="00200C41" w:rsidRPr="00C06DB0">
        <w:rPr>
          <w:rFonts w:ascii="Times New Roman" w:hAnsi="Times New Roman"/>
          <w:sz w:val="20"/>
          <w:szCs w:val="20"/>
        </w:rPr>
        <w:t xml:space="preserve"> </w:t>
      </w:r>
      <w:r w:rsidR="00E80B28" w:rsidRPr="00C06DB0">
        <w:rPr>
          <w:rFonts w:ascii="Times New Roman" w:hAnsi="Times New Roman"/>
          <w:sz w:val="20"/>
          <w:szCs w:val="20"/>
        </w:rPr>
        <w:t>C</w:t>
      </w:r>
      <w:r w:rsidR="00E80B28" w:rsidRPr="00C06DB0">
        <w:rPr>
          <w:rFonts w:ascii="Times New Roman" w:hAnsi="Times New Roman"/>
          <w:sz w:val="20"/>
          <w:szCs w:val="20"/>
          <w:vertAlign w:val="subscript"/>
        </w:rPr>
        <w:t>6</w:t>
      </w:r>
      <w:r w:rsidR="00E80B28" w:rsidRPr="00C06DB0">
        <w:rPr>
          <w:rFonts w:ascii="Times New Roman" w:hAnsi="Times New Roman"/>
          <w:sz w:val="20"/>
          <w:szCs w:val="20"/>
        </w:rPr>
        <w:t xml:space="preserve"> </w:t>
      </w:r>
      <w:r w:rsidR="00200C41" w:rsidRPr="00C06DB0">
        <w:rPr>
          <w:rFonts w:ascii="Times New Roman" w:hAnsi="Times New Roman"/>
          <w:sz w:val="20"/>
          <w:szCs w:val="20"/>
        </w:rPr>
        <w:t xml:space="preserve">sugars </w:t>
      </w:r>
      <w:r w:rsidR="006676CE"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al1B7G3j","properties":{"formattedCitation":"[53,54]","plainCitation":"[53,54]","noteIndex":0},"citationItems":[{"id":"968HXJ10/B4O2hiOo","uris":["http://www.mendeley.com/documents/?uuid=a9708c74-4bb1-4def-99f1-f15f0598afa1"],"uri":["http://www.mendeley.com/documents/?uuid=a9708c74-4bb1-4def-99f1-f15f0598afa1"],"itemData":{"abstract":"A fuel composition comprises farnesane and/or farnesane derivatives and a conventional fuel component selected from diesel fuel, jet fuel, kerosene or gasoline. The farnesane or farnesane derivative can be used as a fuel component or as a fuel additive in the fuel composition. The fuel composition may further comprise a conventional fuel additive. Methods of making and using the fuel composition are also disclosed.","author":[{"dropping-particle":"","family":"Renninger, Neil Stephen; Mcphee","given":"Derek J","non-dropping-particle":"","parse-names":false,"suffix":""}],"id":"ITEM-1","issue":"12","issued":{"date-parts":[["2011"]]},"title":"Fuel compositions comprising farnesane and farnesane derivatives and method of making and using same","type":"patent","volume":"2"}},{"id":"968HXJ10/66PcLVrq","uris":["http://www.mendeley.com/documents/?uuid=1d012405-d793-4c37-ad74-91ef78db0155"],"uri":["http://www.mendeley.com/documents/?uuid=1d012405-d793-4c37-ad74-91ef78db0155"],"itemData":{"author":[{"dropping-particle":"","family":"Amyris","given":"","non-dropping-particle":"","parse-names":false,"suffix":""}],"id":"ITEM-2","issued":{"date-parts":[["2013"]]},"title":"Integrated Biorefinery Project Summary","type":"report"}}],"schema":"https://github.com/citation-style-language/schema/raw/master/csl-citation.json"} </w:instrText>
      </w:r>
      <w:r w:rsidR="006676CE" w:rsidRPr="00C06DB0">
        <w:rPr>
          <w:rFonts w:ascii="Times New Roman" w:hAnsi="Times New Roman"/>
          <w:sz w:val="20"/>
          <w:szCs w:val="20"/>
        </w:rPr>
        <w:fldChar w:fldCharType="separate"/>
      </w:r>
      <w:r w:rsidR="00CA240D" w:rsidRPr="00CA240D">
        <w:rPr>
          <w:rFonts w:ascii="Times New Roman" w:hAnsi="Times New Roman" w:cs="Times New Roman"/>
          <w:sz w:val="20"/>
        </w:rPr>
        <w:t>[53,54]</w:t>
      </w:r>
      <w:r w:rsidR="006676CE" w:rsidRPr="00C06DB0">
        <w:rPr>
          <w:rFonts w:ascii="Times New Roman" w:hAnsi="Times New Roman"/>
          <w:sz w:val="20"/>
          <w:szCs w:val="20"/>
        </w:rPr>
        <w:fldChar w:fldCharType="end"/>
      </w:r>
      <w:r w:rsidR="00C06DB0" w:rsidRPr="00C06DB0">
        <w:rPr>
          <w:rFonts w:ascii="Times New Roman" w:hAnsi="Times New Roman"/>
          <w:sz w:val="20"/>
          <w:szCs w:val="20"/>
        </w:rPr>
        <w:t>.</w:t>
      </w:r>
      <w:r w:rsidR="00E80B28" w:rsidRPr="00C06DB0">
        <w:rPr>
          <w:rFonts w:ascii="Times New Roman" w:hAnsi="Times New Roman"/>
          <w:sz w:val="20"/>
          <w:szCs w:val="20"/>
        </w:rPr>
        <w:t xml:space="preserve"> </w:t>
      </w:r>
      <w:r w:rsidR="00DF5A71" w:rsidRPr="00C06DB0">
        <w:rPr>
          <w:rFonts w:ascii="Times New Roman" w:hAnsi="Times New Roman"/>
          <w:sz w:val="20"/>
          <w:szCs w:val="20"/>
        </w:rPr>
        <w:t xml:space="preserve">Accordingly, lignocellulosic-rich substrates can also be used as a feedstock in this pathway. </w:t>
      </w:r>
      <w:r w:rsidR="00656DCB" w:rsidRPr="00C06DB0">
        <w:rPr>
          <w:rFonts w:ascii="Times New Roman" w:hAnsi="Times New Roman"/>
          <w:sz w:val="20"/>
          <w:szCs w:val="20"/>
        </w:rPr>
        <w:t>Additional example</w:t>
      </w:r>
      <w:r w:rsidR="00DF5A71" w:rsidRPr="00C06DB0">
        <w:rPr>
          <w:rFonts w:ascii="Times New Roman" w:hAnsi="Times New Roman"/>
          <w:sz w:val="20"/>
          <w:szCs w:val="20"/>
        </w:rPr>
        <w:t>s</w:t>
      </w:r>
      <w:r w:rsidR="00656DCB" w:rsidRPr="00C06DB0">
        <w:rPr>
          <w:rFonts w:ascii="Times New Roman" w:hAnsi="Times New Roman"/>
          <w:sz w:val="20"/>
          <w:szCs w:val="20"/>
        </w:rPr>
        <w:t xml:space="preserve"> of industrial partnership</w:t>
      </w:r>
      <w:r w:rsidR="00DF5A71" w:rsidRPr="00C06DB0">
        <w:rPr>
          <w:rFonts w:ascii="Times New Roman" w:hAnsi="Times New Roman"/>
          <w:sz w:val="20"/>
          <w:szCs w:val="20"/>
        </w:rPr>
        <w:t>s</w:t>
      </w:r>
      <w:r w:rsidR="00656DCB" w:rsidRPr="00C06DB0">
        <w:rPr>
          <w:rFonts w:ascii="Times New Roman" w:hAnsi="Times New Roman"/>
          <w:sz w:val="20"/>
          <w:szCs w:val="20"/>
        </w:rPr>
        <w:t xml:space="preserve"> developed to produce aviation </w:t>
      </w:r>
      <w:r w:rsidR="00D77B1E">
        <w:rPr>
          <w:rFonts w:ascii="Times New Roman" w:hAnsi="Times New Roman"/>
          <w:sz w:val="20"/>
          <w:szCs w:val="20"/>
        </w:rPr>
        <w:t>bio</w:t>
      </w:r>
      <w:r w:rsidR="00656DCB" w:rsidRPr="00C06DB0">
        <w:rPr>
          <w:rFonts w:ascii="Times New Roman" w:hAnsi="Times New Roman"/>
          <w:sz w:val="20"/>
          <w:szCs w:val="20"/>
        </w:rPr>
        <w:t xml:space="preserve">fuels via the DSHC </w:t>
      </w:r>
      <w:r w:rsidR="00DF5A71" w:rsidRPr="00C06DB0">
        <w:rPr>
          <w:rFonts w:ascii="Times New Roman" w:hAnsi="Times New Roman"/>
          <w:sz w:val="20"/>
          <w:szCs w:val="20"/>
        </w:rPr>
        <w:t>pathway are</w:t>
      </w:r>
      <w:r w:rsidR="00656DCB" w:rsidRPr="00C06DB0">
        <w:rPr>
          <w:rFonts w:ascii="Times New Roman" w:hAnsi="Times New Roman"/>
          <w:sz w:val="20"/>
          <w:szCs w:val="20"/>
        </w:rPr>
        <w:t xml:space="preserve"> described in the SM</w:t>
      </w:r>
      <w:r w:rsidR="00C90113">
        <w:rPr>
          <w:rFonts w:ascii="Times New Roman" w:hAnsi="Times New Roman"/>
          <w:sz w:val="20"/>
          <w:szCs w:val="20"/>
        </w:rPr>
        <w:t>1</w:t>
      </w:r>
      <w:r w:rsidR="00656DCB" w:rsidRPr="00C06DB0">
        <w:rPr>
          <w:rFonts w:ascii="Times New Roman" w:hAnsi="Times New Roman"/>
          <w:sz w:val="20"/>
          <w:szCs w:val="20"/>
        </w:rPr>
        <w:t xml:space="preserve">. </w:t>
      </w:r>
    </w:p>
    <w:p w14:paraId="2FC45700" w14:textId="54DC0B95" w:rsidR="009460F0" w:rsidRPr="004D19FF" w:rsidRDefault="008717D1" w:rsidP="00290530">
      <w:pPr>
        <w:spacing w:after="120" w:line="276" w:lineRule="auto"/>
        <w:jc w:val="thaiDistribute"/>
        <w:rPr>
          <w:rFonts w:ascii="Times New Roman" w:hAnsi="Times New Roman"/>
          <w:sz w:val="20"/>
          <w:szCs w:val="20"/>
        </w:rPr>
      </w:pPr>
      <w:r w:rsidRPr="00C06DB0">
        <w:rPr>
          <w:rFonts w:ascii="Times New Roman" w:hAnsi="Times New Roman"/>
          <w:sz w:val="20"/>
          <w:szCs w:val="20"/>
        </w:rPr>
        <w:t>The</w:t>
      </w:r>
      <w:r w:rsidR="00A504C4" w:rsidRPr="00C06DB0">
        <w:rPr>
          <w:rFonts w:ascii="Times New Roman" w:hAnsi="Times New Roman"/>
          <w:sz w:val="20"/>
          <w:szCs w:val="20"/>
        </w:rPr>
        <w:t xml:space="preserve"> fermentation p</w:t>
      </w:r>
      <w:r w:rsidR="00DF5A71" w:rsidRPr="00C06DB0">
        <w:rPr>
          <w:rFonts w:ascii="Times New Roman" w:hAnsi="Times New Roman"/>
          <w:sz w:val="20"/>
          <w:szCs w:val="20"/>
        </w:rPr>
        <w:t>rocess with</w:t>
      </w:r>
      <w:r w:rsidR="00332B2C" w:rsidRPr="00C06DB0">
        <w:rPr>
          <w:rFonts w:ascii="Times New Roman" w:hAnsi="Times New Roman"/>
          <w:sz w:val="20"/>
          <w:szCs w:val="20"/>
        </w:rPr>
        <w:t xml:space="preserve"> </w:t>
      </w:r>
      <w:r w:rsidR="00A504C4" w:rsidRPr="00C06DB0">
        <w:rPr>
          <w:rFonts w:ascii="Times New Roman" w:hAnsi="Times New Roman"/>
          <w:sz w:val="20"/>
          <w:szCs w:val="20"/>
        </w:rPr>
        <w:t xml:space="preserve">the engineered yeasts </w:t>
      </w:r>
      <w:r w:rsidRPr="00C06DB0">
        <w:rPr>
          <w:rFonts w:ascii="Times New Roman" w:hAnsi="Times New Roman"/>
          <w:sz w:val="20"/>
          <w:szCs w:val="20"/>
        </w:rPr>
        <w:t>take</w:t>
      </w:r>
      <w:r w:rsidR="001E015B">
        <w:rPr>
          <w:rFonts w:ascii="Times New Roman" w:hAnsi="Times New Roman"/>
          <w:sz w:val="20"/>
          <w:szCs w:val="20"/>
        </w:rPr>
        <w:t>s</w:t>
      </w:r>
      <w:r w:rsidRPr="00C06DB0">
        <w:rPr>
          <w:rFonts w:ascii="Times New Roman" w:hAnsi="Times New Roman"/>
          <w:sz w:val="20"/>
          <w:szCs w:val="20"/>
        </w:rPr>
        <w:t xml:space="preserve"> place </w:t>
      </w:r>
      <w:r w:rsidR="00DF5A71" w:rsidRPr="00C06DB0">
        <w:rPr>
          <w:rFonts w:ascii="Times New Roman" w:hAnsi="Times New Roman"/>
          <w:sz w:val="20"/>
          <w:szCs w:val="20"/>
        </w:rPr>
        <w:t xml:space="preserve">at </w:t>
      </w:r>
      <w:r w:rsidR="003D1B73" w:rsidRPr="00C06DB0">
        <w:rPr>
          <w:rFonts w:ascii="Times New Roman" w:hAnsi="Times New Roman"/>
          <w:sz w:val="20"/>
          <w:szCs w:val="20"/>
        </w:rPr>
        <w:t>operating temperature</w:t>
      </w:r>
      <w:r w:rsidR="00DF5A71" w:rsidRPr="00C06DB0">
        <w:rPr>
          <w:rFonts w:ascii="Times New Roman" w:hAnsi="Times New Roman"/>
          <w:sz w:val="20"/>
          <w:szCs w:val="20"/>
        </w:rPr>
        <w:t>s of</w:t>
      </w:r>
      <w:r w:rsidR="003D1B73" w:rsidRPr="00C06DB0">
        <w:rPr>
          <w:rFonts w:ascii="Times New Roman" w:hAnsi="Times New Roman"/>
          <w:sz w:val="20"/>
          <w:szCs w:val="20"/>
        </w:rPr>
        <w:t xml:space="preserve"> 30-34 </w:t>
      </w:r>
      <w:r w:rsidR="003D1B73" w:rsidRPr="00C06DB0">
        <w:rPr>
          <w:rFonts w:ascii="Times New Roman" w:hAnsi="Times New Roman" w:cs="Times New Roman"/>
          <w:sz w:val="20"/>
          <w:szCs w:val="20"/>
        </w:rPr>
        <w:t>°</w:t>
      </w:r>
      <w:r w:rsidR="003D1B73" w:rsidRPr="00C06DB0">
        <w:rPr>
          <w:rFonts w:ascii="Times New Roman" w:hAnsi="Times New Roman"/>
          <w:sz w:val="20"/>
          <w:szCs w:val="20"/>
        </w:rPr>
        <w:t>C</w:t>
      </w:r>
      <w:r w:rsidR="00DC44E1" w:rsidRPr="00C06DB0">
        <w:rPr>
          <w:rFonts w:ascii="Times New Roman" w:hAnsi="Times New Roman"/>
          <w:sz w:val="20"/>
          <w:szCs w:val="20"/>
        </w:rPr>
        <w:t xml:space="preserve"> </w:t>
      </w:r>
      <w:r w:rsidR="00A323A2"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nz45wKm","properties":{"formattedCitation":"[53]","plainCitation":"[53]","noteIndex":0},"citationItems":[{"id":"968HXJ10/B4O2hiOo","uris":["http://www.mendeley.com/documents/?uuid=a9708c74-4bb1-4def-99f1-f15f0598afa1"],"uri":["http://www.mendeley.com/documents/?uuid=a9708c74-4bb1-4def-99f1-f15f0598afa1"],"itemData":{"abstract":"A fuel composition comprises farnesane and/or farnesane derivatives and a conventional fuel component selected from diesel fuel, jet fuel, kerosene or gasoline. The farnesane or farnesane derivative can be used as a fuel component or as a fuel additive in the fuel composition. The fuel composition may further comprise a conventional fuel additive. Methods of making and using the fuel composition are also disclosed.","author":[{"dropping-particle":"","family":"Renninger, Neil Stephen; Mcphee","given":"Derek J","non-dropping-particle":"","parse-names":false,"suffix":""}],"id":"ITEM-1","issue":"12","issued":{"date-parts":[["2011"]]},"title":"Fuel compositions comprising farnesane and farnesane derivatives and method of making and using same","type":"patent","volume":"2"}}],"schema":"https://github.com/citation-style-language/schema/raw/master/csl-citation.json"} </w:instrText>
      </w:r>
      <w:r w:rsidR="00A323A2" w:rsidRPr="00C06DB0">
        <w:rPr>
          <w:rFonts w:ascii="Times New Roman" w:hAnsi="Times New Roman"/>
          <w:sz w:val="20"/>
          <w:szCs w:val="20"/>
        </w:rPr>
        <w:fldChar w:fldCharType="separate"/>
      </w:r>
      <w:r w:rsidR="00CA240D" w:rsidRPr="00CA240D">
        <w:rPr>
          <w:rFonts w:ascii="Times New Roman" w:hAnsi="Times New Roman" w:cs="Times New Roman"/>
          <w:sz w:val="20"/>
        </w:rPr>
        <w:t>[53]</w:t>
      </w:r>
      <w:r w:rsidR="00A323A2" w:rsidRPr="00C06DB0">
        <w:rPr>
          <w:rFonts w:ascii="Times New Roman" w:hAnsi="Times New Roman"/>
          <w:sz w:val="20"/>
          <w:szCs w:val="20"/>
        </w:rPr>
        <w:fldChar w:fldCharType="end"/>
      </w:r>
      <w:r w:rsidR="00C06DB0" w:rsidRPr="00C06DB0">
        <w:rPr>
          <w:rFonts w:ascii="Times New Roman" w:hAnsi="Times New Roman"/>
          <w:sz w:val="20"/>
          <w:szCs w:val="20"/>
        </w:rPr>
        <w:t>.</w:t>
      </w:r>
      <w:r w:rsidR="00A504C4" w:rsidRPr="00C06DB0">
        <w:rPr>
          <w:rFonts w:ascii="Times New Roman" w:hAnsi="Times New Roman"/>
          <w:sz w:val="20"/>
          <w:szCs w:val="20"/>
        </w:rPr>
        <w:t xml:space="preserve"> </w:t>
      </w:r>
      <w:r w:rsidR="00656DCB" w:rsidRPr="00C06DB0">
        <w:rPr>
          <w:rFonts w:ascii="Times New Roman" w:hAnsi="Times New Roman"/>
          <w:sz w:val="20"/>
          <w:szCs w:val="20"/>
        </w:rPr>
        <w:t>A</w:t>
      </w:r>
      <w:r w:rsidR="003D1B73" w:rsidRPr="00C06DB0">
        <w:rPr>
          <w:rFonts w:ascii="Times New Roman" w:hAnsi="Times New Roman"/>
          <w:sz w:val="20"/>
          <w:szCs w:val="20"/>
        </w:rPr>
        <w:t xml:space="preserve"> liquid/solid centrifugation process separates the yeast cells and ferm</w:t>
      </w:r>
      <w:r w:rsidR="00656DCB" w:rsidRPr="00C06DB0">
        <w:rPr>
          <w:rFonts w:ascii="Times New Roman" w:hAnsi="Times New Roman"/>
          <w:sz w:val="20"/>
          <w:szCs w:val="20"/>
        </w:rPr>
        <w:t>entation broth. The supernatant, consisting of</w:t>
      </w:r>
      <w:r w:rsidR="003D1B73" w:rsidRPr="00C06DB0">
        <w:rPr>
          <w:rFonts w:ascii="Times New Roman" w:hAnsi="Times New Roman"/>
          <w:sz w:val="20"/>
          <w:szCs w:val="20"/>
        </w:rPr>
        <w:t xml:space="preserve"> farnesene oil, farnesene emulsion and fermentation broth</w:t>
      </w:r>
      <w:r w:rsidR="00F36091" w:rsidRPr="00C06DB0">
        <w:rPr>
          <w:rFonts w:ascii="Times New Roman" w:hAnsi="Times New Roman"/>
          <w:sz w:val="20"/>
          <w:szCs w:val="20"/>
        </w:rPr>
        <w:t>,</w:t>
      </w:r>
      <w:r w:rsidR="003D1B73" w:rsidRPr="00C06DB0">
        <w:rPr>
          <w:rFonts w:ascii="Times New Roman" w:hAnsi="Times New Roman"/>
          <w:sz w:val="20"/>
          <w:szCs w:val="20"/>
        </w:rPr>
        <w:t xml:space="preserve"> is collected</w:t>
      </w:r>
      <w:r w:rsidR="00656DCB" w:rsidRPr="00C06DB0">
        <w:rPr>
          <w:rFonts w:ascii="Times New Roman" w:hAnsi="Times New Roman"/>
          <w:sz w:val="20"/>
          <w:szCs w:val="20"/>
        </w:rPr>
        <w:t xml:space="preserve"> for further purification</w:t>
      </w:r>
      <w:r w:rsidR="003D1B73" w:rsidRPr="00C06DB0">
        <w:rPr>
          <w:rFonts w:ascii="Times New Roman" w:hAnsi="Times New Roman"/>
          <w:sz w:val="20"/>
          <w:szCs w:val="20"/>
        </w:rPr>
        <w:t xml:space="preserve">. </w:t>
      </w:r>
      <w:r w:rsidR="008B42AA" w:rsidRPr="00C06DB0">
        <w:rPr>
          <w:rFonts w:ascii="Times New Roman" w:hAnsi="Times New Roman"/>
          <w:sz w:val="20"/>
          <w:szCs w:val="20"/>
        </w:rPr>
        <w:t>Within the purification</w:t>
      </w:r>
      <w:r w:rsidR="00656DCB" w:rsidRPr="00C06DB0">
        <w:rPr>
          <w:rFonts w:ascii="Times New Roman" w:hAnsi="Times New Roman"/>
          <w:sz w:val="20"/>
          <w:szCs w:val="20"/>
        </w:rPr>
        <w:t xml:space="preserve"> process</w:t>
      </w:r>
      <w:r w:rsidR="008B42AA" w:rsidRPr="00C06DB0">
        <w:rPr>
          <w:rFonts w:ascii="Times New Roman" w:hAnsi="Times New Roman"/>
          <w:sz w:val="20"/>
          <w:szCs w:val="20"/>
        </w:rPr>
        <w:t>, t</w:t>
      </w:r>
      <w:r w:rsidR="003D1B73" w:rsidRPr="00C06DB0">
        <w:rPr>
          <w:rFonts w:ascii="Times New Roman" w:hAnsi="Times New Roman"/>
          <w:sz w:val="20"/>
          <w:szCs w:val="20"/>
        </w:rPr>
        <w:t xml:space="preserve">he collected supernatant is </w:t>
      </w:r>
      <w:r w:rsidR="008B42AA" w:rsidRPr="00C06DB0">
        <w:rPr>
          <w:rFonts w:ascii="Times New Roman" w:hAnsi="Times New Roman"/>
          <w:sz w:val="20"/>
          <w:szCs w:val="20"/>
        </w:rPr>
        <w:t>heated</w:t>
      </w:r>
      <w:r w:rsidR="003D1B73" w:rsidRPr="00C06DB0">
        <w:rPr>
          <w:rFonts w:ascii="Times New Roman" w:hAnsi="Times New Roman"/>
          <w:sz w:val="20"/>
          <w:szCs w:val="20"/>
        </w:rPr>
        <w:t xml:space="preserve"> in the de-emulsification unit (65-70 </w:t>
      </w:r>
      <w:r w:rsidR="003D1B73" w:rsidRPr="00C06DB0">
        <w:rPr>
          <w:rFonts w:ascii="Times New Roman" w:hAnsi="Times New Roman" w:cs="Times New Roman"/>
          <w:sz w:val="20"/>
          <w:szCs w:val="20"/>
        </w:rPr>
        <w:t>°</w:t>
      </w:r>
      <w:r w:rsidR="004C6D4B" w:rsidRPr="00C06DB0">
        <w:rPr>
          <w:rFonts w:ascii="Times New Roman" w:hAnsi="Times New Roman"/>
          <w:sz w:val="20"/>
          <w:szCs w:val="20"/>
        </w:rPr>
        <w:t xml:space="preserve">C) with </w:t>
      </w:r>
      <w:r w:rsidR="00656DCB" w:rsidRPr="00C06DB0">
        <w:rPr>
          <w:rFonts w:ascii="Times New Roman" w:hAnsi="Times New Roman"/>
          <w:sz w:val="20"/>
          <w:szCs w:val="20"/>
        </w:rPr>
        <w:t xml:space="preserve">the addition of surfactant </w:t>
      </w:r>
      <w:r w:rsidR="003D1B73" w:rsidRPr="00C06DB0">
        <w:rPr>
          <w:rFonts w:ascii="Times New Roman" w:hAnsi="Times New Roman"/>
          <w:sz w:val="20"/>
          <w:szCs w:val="20"/>
        </w:rPr>
        <w:t>and</w:t>
      </w:r>
      <w:r w:rsidR="00656DCB" w:rsidRPr="00C06DB0">
        <w:rPr>
          <w:rFonts w:ascii="Times New Roman" w:hAnsi="Times New Roman"/>
          <w:sz w:val="20"/>
          <w:szCs w:val="20"/>
        </w:rPr>
        <w:t xml:space="preserve"> is</w:t>
      </w:r>
      <w:r w:rsidR="003D1B73" w:rsidRPr="00C06DB0">
        <w:rPr>
          <w:rFonts w:ascii="Times New Roman" w:hAnsi="Times New Roman"/>
          <w:sz w:val="20"/>
          <w:szCs w:val="20"/>
        </w:rPr>
        <w:t xml:space="preserve"> transferred to liquid/liquid centrifugation in order to separate the oil and aqueous phases</w:t>
      </w:r>
      <w:r w:rsidR="005213AD" w:rsidRPr="00C06DB0">
        <w:rPr>
          <w:rFonts w:ascii="Times New Roman" w:hAnsi="Times New Roman"/>
          <w:sz w:val="20"/>
          <w:szCs w:val="20"/>
        </w:rPr>
        <w:t xml:space="preserve"> </w:t>
      </w:r>
      <w:r w:rsidR="00A323A2" w:rsidRPr="00C06DB0">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OcpvV7Gu","properties":{"formattedCitation":"[53]","plainCitation":"[53]","noteIndex":0},"citationItems":[{"id":"968HXJ10/B4O2hiOo","uris":["http://www.mendeley.com/documents/?uuid=a9708c74-4bb1-4def-99f1-f15f0598afa1"],"uri":["http://www.mendeley.com/documents/?uuid=a9708c74-4bb1-4def-99f1-f15f0598afa1"],"itemData":{"abstract":"A fuel composition comprises farnesane and/or farnesane derivatives and a conventional fuel component selected from diesel fuel, jet fuel, kerosene or gasoline. The farnesane or farnesane derivative can be used as a fuel component or as a fuel additive in the fuel composition. The fuel composition may further comprise a conventional fuel additive. Methods of making and using the fuel composition are also disclosed.","author":[{"dropping-particle":"","family":"Renninger, Neil Stephen; Mcphee","given":"Derek J","non-dropping-particle":"","parse-names":false,"suffix":""}],"id":"ITEM-1","issue":"12","issued":{"date-parts":[["2011"]]},"title":"Fuel compositions comprising farnesane and farnesane derivatives and method of making and using same","type":"patent","volume":"2"}}],"schema":"https://github.com/citation-style-language/schema/raw/master/csl-citation.json"} </w:instrText>
      </w:r>
      <w:r w:rsidR="00A323A2" w:rsidRPr="00C06DB0">
        <w:rPr>
          <w:rFonts w:ascii="Times New Roman" w:hAnsi="Times New Roman"/>
          <w:sz w:val="20"/>
          <w:szCs w:val="20"/>
        </w:rPr>
        <w:fldChar w:fldCharType="separate"/>
      </w:r>
      <w:r w:rsidR="00CA240D" w:rsidRPr="00CA240D">
        <w:rPr>
          <w:rFonts w:ascii="Times New Roman" w:hAnsi="Times New Roman" w:cs="Times New Roman"/>
          <w:sz w:val="20"/>
        </w:rPr>
        <w:t>[53]</w:t>
      </w:r>
      <w:r w:rsidR="00A323A2" w:rsidRPr="00C06DB0">
        <w:rPr>
          <w:rFonts w:ascii="Times New Roman" w:hAnsi="Times New Roman"/>
          <w:sz w:val="20"/>
          <w:szCs w:val="20"/>
        </w:rPr>
        <w:fldChar w:fldCharType="end"/>
      </w:r>
      <w:r w:rsidR="00C06DB0" w:rsidRPr="00C06DB0">
        <w:rPr>
          <w:rFonts w:ascii="Times New Roman" w:hAnsi="Times New Roman"/>
          <w:sz w:val="20"/>
          <w:szCs w:val="20"/>
        </w:rPr>
        <w:t>.</w:t>
      </w:r>
      <w:r w:rsidR="003D1B73" w:rsidRPr="00C06DB0">
        <w:rPr>
          <w:rFonts w:ascii="Times New Roman" w:hAnsi="Times New Roman"/>
          <w:sz w:val="20"/>
          <w:szCs w:val="20"/>
        </w:rPr>
        <w:t xml:space="preserve"> </w:t>
      </w:r>
      <w:r w:rsidR="0032533A" w:rsidRPr="00C06DB0">
        <w:rPr>
          <w:rFonts w:ascii="Times New Roman" w:hAnsi="Times New Roman"/>
          <w:sz w:val="20"/>
          <w:szCs w:val="20"/>
        </w:rPr>
        <w:t>The distillation stage separates the con</w:t>
      </w:r>
      <w:r w:rsidR="0032533A" w:rsidRPr="004D19FF">
        <w:rPr>
          <w:rFonts w:ascii="Times New Roman" w:hAnsi="Times New Roman"/>
          <w:sz w:val="20"/>
          <w:szCs w:val="20"/>
        </w:rPr>
        <w:t xml:space="preserve">taminants </w:t>
      </w:r>
      <w:r w:rsidR="00656DCB" w:rsidRPr="004D19FF">
        <w:rPr>
          <w:rFonts w:ascii="Times New Roman" w:hAnsi="Times New Roman"/>
          <w:sz w:val="20"/>
          <w:szCs w:val="20"/>
        </w:rPr>
        <w:t xml:space="preserve">into a </w:t>
      </w:r>
      <w:r w:rsidR="00957066" w:rsidRPr="004D19FF">
        <w:rPr>
          <w:rFonts w:ascii="Times New Roman" w:hAnsi="Times New Roman"/>
          <w:sz w:val="20"/>
          <w:szCs w:val="20"/>
        </w:rPr>
        <w:t xml:space="preserve">heavy fraction containing triglyceride, monoglyceride and salts, and </w:t>
      </w:r>
      <w:r w:rsidR="00656DCB" w:rsidRPr="004D19FF">
        <w:rPr>
          <w:rFonts w:ascii="Times New Roman" w:hAnsi="Times New Roman"/>
          <w:sz w:val="20"/>
          <w:szCs w:val="20"/>
        </w:rPr>
        <w:t xml:space="preserve">a </w:t>
      </w:r>
      <w:r w:rsidR="00957066" w:rsidRPr="004D19FF">
        <w:rPr>
          <w:rFonts w:ascii="Times New Roman" w:hAnsi="Times New Roman"/>
          <w:sz w:val="20"/>
          <w:szCs w:val="20"/>
        </w:rPr>
        <w:t xml:space="preserve">light fraction of the </w:t>
      </w:r>
      <w:r w:rsidR="007B2690" w:rsidRPr="004D19FF">
        <w:rPr>
          <w:rFonts w:ascii="Times New Roman" w:hAnsi="Times New Roman"/>
          <w:sz w:val="20"/>
          <w:szCs w:val="20"/>
        </w:rPr>
        <w:t>distill</w:t>
      </w:r>
      <w:r w:rsidR="00957066" w:rsidRPr="004D19FF">
        <w:rPr>
          <w:rFonts w:ascii="Times New Roman" w:hAnsi="Times New Roman"/>
          <w:sz w:val="20"/>
          <w:szCs w:val="20"/>
        </w:rPr>
        <w:t xml:space="preserve">ed farnesene. </w:t>
      </w:r>
      <w:r w:rsidR="007B2690" w:rsidRPr="004D19FF">
        <w:rPr>
          <w:rFonts w:ascii="Times New Roman" w:hAnsi="Times New Roman"/>
          <w:sz w:val="20"/>
          <w:szCs w:val="20"/>
        </w:rPr>
        <w:t xml:space="preserve">Distilled farnesene </w:t>
      </w:r>
      <w:r w:rsidR="00656DCB" w:rsidRPr="004D19FF">
        <w:rPr>
          <w:rFonts w:ascii="Times New Roman" w:hAnsi="Times New Roman"/>
          <w:sz w:val="20"/>
          <w:szCs w:val="20"/>
        </w:rPr>
        <w:t>then undergoes</w:t>
      </w:r>
      <w:r w:rsidR="007B2690" w:rsidRPr="004D19FF">
        <w:rPr>
          <w:rFonts w:ascii="Times New Roman" w:hAnsi="Times New Roman"/>
          <w:sz w:val="20"/>
          <w:szCs w:val="20"/>
        </w:rPr>
        <w:t xml:space="preserve"> hydrogenation</w:t>
      </w:r>
      <w:r w:rsidR="001A56C5" w:rsidRPr="004D19FF">
        <w:rPr>
          <w:rFonts w:ascii="Times New Roman" w:hAnsi="Times New Roman"/>
          <w:sz w:val="20"/>
          <w:szCs w:val="20"/>
        </w:rPr>
        <w:t xml:space="preserve"> </w:t>
      </w:r>
      <w:r w:rsidR="000700FF" w:rsidRPr="004D19FF">
        <w:rPr>
          <w:rFonts w:ascii="Times New Roman" w:hAnsi="Times New Roman"/>
          <w:sz w:val="20"/>
          <w:szCs w:val="20"/>
        </w:rPr>
        <w:t>in the presence of catalysts</w:t>
      </w:r>
      <w:r w:rsidR="004E6393" w:rsidRPr="004D19FF">
        <w:rPr>
          <w:rFonts w:ascii="Times New Roman" w:hAnsi="Times New Roman"/>
          <w:sz w:val="20"/>
          <w:szCs w:val="20"/>
        </w:rPr>
        <w:t xml:space="preserve"> such as </w:t>
      </w:r>
      <w:r w:rsidR="00050057" w:rsidRPr="004D19FF">
        <w:rPr>
          <w:rFonts w:ascii="Times New Roman" w:hAnsi="Times New Roman"/>
          <w:sz w:val="20"/>
          <w:szCs w:val="20"/>
        </w:rPr>
        <w:t xml:space="preserve">Ni, Pd, Ru, Pt, </w:t>
      </w:r>
      <w:r w:rsidR="00187F9E" w:rsidRPr="004D19FF">
        <w:rPr>
          <w:rFonts w:ascii="Times New Roman" w:hAnsi="Times New Roman"/>
          <w:sz w:val="20"/>
          <w:szCs w:val="20"/>
        </w:rPr>
        <w:t>Mo, Zn, etc.</w:t>
      </w:r>
      <w:r w:rsidR="007B6F06" w:rsidRPr="004D19FF">
        <w:rPr>
          <w:rFonts w:ascii="Times New Roman" w:hAnsi="Times New Roman"/>
          <w:sz w:val="20"/>
          <w:szCs w:val="20"/>
        </w:rPr>
        <w:t xml:space="preserve"> </w:t>
      </w:r>
      <w:r w:rsidR="00A323A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d2fQpqg","properties":{"formattedCitation":"[55]","plainCitation":"[55]","noteIndex":0},"citationItems":[{"id":"968HXJ10/IhOdphpQ","uris":["http://www.mendeley.com/documents/?uuid=cafd3db7-72ec-4ec8-8b45-c57f09566fd8"],"uri":["http://www.mendeley.com/documents/?uuid=cafd3db7-72ec-4ec8-8b45-c57f09566fd8"],"itemData":{"abstract":"Methods and compositions for stabilization and Subsequent hydrogenation of a microbial-derived immiscible olefin are described. The methods comprise providing a feed stream to the inlet of a reactor, wherein the feed stream comprises a microbial-derived immiscible olefin composition stabilized with a phenolic antioxidant which is a phenol derivative containing an unfused phenyl ring with one or more hydroxyl substituents. The methods further comprise con tacting the feed stream with hydrogen in the presence of a hydrogenation catalyst at a temperature of about 20° C. or greater, and generating a product stream comprising a hydrogenated immiscible olefin composition. The micro bial-derived immiscible olefin composition stabilized with the phenolic antioxidant remains stable over time, and its hydrogenation reaction time and process are improved.","author":[{"dropping-particle":"","family":"Ohler, Nicholas L., Vazquez","given":"Roberto","non-dropping-particle":"","parse-names":false,"suffix":""}],"id":"ITEM-1","issued":{"date-parts":[["2017"]]},"number":"US 9,611,189 B2","title":"Stabilization and hydrogenation methods for microbial-derived olefins","type":"patent"}}],"schema":"https://github.com/citation-style-language/schema/raw/master/csl-citation.json"} </w:instrText>
      </w:r>
      <w:r w:rsidR="00A323A2" w:rsidRPr="004D19FF">
        <w:rPr>
          <w:rFonts w:ascii="Times New Roman" w:hAnsi="Times New Roman"/>
          <w:sz w:val="20"/>
          <w:szCs w:val="20"/>
        </w:rPr>
        <w:fldChar w:fldCharType="separate"/>
      </w:r>
      <w:r w:rsidR="00CA240D" w:rsidRPr="00CA240D">
        <w:rPr>
          <w:rFonts w:ascii="Times New Roman" w:hAnsi="Times New Roman" w:cs="Times New Roman"/>
          <w:sz w:val="20"/>
        </w:rPr>
        <w:t>[55]</w:t>
      </w:r>
      <w:r w:rsidR="00A323A2" w:rsidRPr="004D19FF">
        <w:rPr>
          <w:rFonts w:ascii="Times New Roman" w:hAnsi="Times New Roman"/>
          <w:sz w:val="20"/>
          <w:szCs w:val="20"/>
        </w:rPr>
        <w:fldChar w:fldCharType="end"/>
      </w:r>
      <w:r w:rsidR="00C06DB0" w:rsidRPr="004D19FF">
        <w:rPr>
          <w:rFonts w:ascii="Times New Roman" w:hAnsi="Times New Roman"/>
          <w:sz w:val="20"/>
          <w:szCs w:val="20"/>
        </w:rPr>
        <w:t>.</w:t>
      </w:r>
      <w:r w:rsidR="007B2690" w:rsidRPr="004D19FF">
        <w:rPr>
          <w:rFonts w:ascii="Times New Roman" w:hAnsi="Times New Roman"/>
          <w:sz w:val="20"/>
          <w:szCs w:val="20"/>
        </w:rPr>
        <w:t xml:space="preserve"> </w:t>
      </w:r>
      <w:r w:rsidR="00806FC4" w:rsidRPr="004D19FF">
        <w:rPr>
          <w:rFonts w:ascii="Times New Roman" w:hAnsi="Times New Roman"/>
          <w:sz w:val="20"/>
          <w:szCs w:val="20"/>
        </w:rPr>
        <w:t>The purification</w:t>
      </w:r>
      <w:r w:rsidR="00656DCB" w:rsidRPr="004D19FF">
        <w:rPr>
          <w:rFonts w:ascii="Times New Roman" w:hAnsi="Times New Roman"/>
          <w:sz w:val="20"/>
          <w:szCs w:val="20"/>
        </w:rPr>
        <w:t xml:space="preserve"> step</w:t>
      </w:r>
      <w:r w:rsidR="00806FC4" w:rsidRPr="004D19FF">
        <w:rPr>
          <w:rFonts w:ascii="Times New Roman" w:hAnsi="Times New Roman"/>
          <w:sz w:val="20"/>
          <w:szCs w:val="20"/>
        </w:rPr>
        <w:t xml:space="preserve"> </w:t>
      </w:r>
      <w:r w:rsidR="00656DCB" w:rsidRPr="004D19FF">
        <w:rPr>
          <w:rFonts w:ascii="Times New Roman" w:hAnsi="Times New Roman"/>
          <w:sz w:val="20"/>
          <w:szCs w:val="20"/>
        </w:rPr>
        <w:t>may be combined with hydroprocessing</w:t>
      </w:r>
      <w:r w:rsidR="00806FC4" w:rsidRPr="004D19FF">
        <w:rPr>
          <w:rFonts w:ascii="Times New Roman" w:hAnsi="Times New Roman"/>
          <w:sz w:val="20"/>
          <w:szCs w:val="20"/>
        </w:rPr>
        <w:t xml:space="preserve"> in downstream operations</w:t>
      </w:r>
      <w:r w:rsidR="00720319" w:rsidRPr="004D19FF">
        <w:rPr>
          <w:rFonts w:ascii="Times New Roman" w:hAnsi="Times New Roman"/>
          <w:sz w:val="20"/>
          <w:szCs w:val="20"/>
        </w:rPr>
        <w:t xml:space="preserve"> </w:t>
      </w:r>
      <w:r w:rsidR="00522462" w:rsidRPr="004D19FF">
        <w:rPr>
          <w:rFonts w:ascii="Times New Roman" w:hAnsi="Times New Roman"/>
          <w:sz w:val="20"/>
          <w:szCs w:val="20"/>
        </w:rPr>
        <w:t xml:space="preserve">for </w:t>
      </w:r>
      <w:r w:rsidR="00656DCB" w:rsidRPr="004D19FF">
        <w:rPr>
          <w:rFonts w:ascii="Times New Roman" w:hAnsi="Times New Roman"/>
          <w:sz w:val="20"/>
          <w:szCs w:val="20"/>
        </w:rPr>
        <w:t xml:space="preserve">achieving high </w:t>
      </w:r>
      <w:r w:rsidR="00720319" w:rsidRPr="004D19FF">
        <w:rPr>
          <w:rFonts w:ascii="Times New Roman" w:hAnsi="Times New Roman"/>
          <w:sz w:val="20"/>
          <w:szCs w:val="20"/>
        </w:rPr>
        <w:t xml:space="preserve"> recovery efficiency</w:t>
      </w:r>
      <w:r w:rsidR="00A323A2" w:rsidRPr="004D19FF">
        <w:rPr>
          <w:rFonts w:ascii="Times New Roman" w:hAnsi="Times New Roman"/>
          <w:sz w:val="20"/>
          <w:szCs w:val="20"/>
        </w:rPr>
        <w:t xml:space="preserve"> (97% reported</w:t>
      </w:r>
      <w:r w:rsidR="00656DCB" w:rsidRPr="004D19FF">
        <w:rPr>
          <w:rFonts w:ascii="Times New Roman" w:hAnsi="Times New Roman"/>
          <w:sz w:val="20"/>
          <w:szCs w:val="20"/>
        </w:rPr>
        <w:t>)</w:t>
      </w:r>
      <w:r w:rsidR="00A323A2" w:rsidRPr="004D19FF">
        <w:rPr>
          <w:rFonts w:ascii="Times New Roman" w:hAnsi="Times New Roman"/>
          <w:sz w:val="20"/>
          <w:szCs w:val="20"/>
        </w:rPr>
        <w:t xml:space="preserve"> </w:t>
      </w:r>
      <w:r w:rsidR="00A323A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g3iNMFEE","properties":{"formattedCitation":"[53]","plainCitation":"[53]","noteIndex":0},"citationItems":[{"id":"968HXJ10/B4O2hiOo","uris":["http://www.mendeley.com/documents/?uuid=a9708c74-4bb1-4def-99f1-f15f0598afa1"],"uri":["http://www.mendeley.com/documents/?uuid=a9708c74-4bb1-4def-99f1-f15f0598afa1"],"itemData":{"abstract":"A fuel composition comprises farnesane and/or farnesane derivatives and a conventional fuel component selected from diesel fuel, jet fuel, kerosene or gasoline. The farnesane or farnesane derivative can be used as a fuel component or as a fuel additive in the fuel composition. The fuel composition may further comprise a conventional fuel additive. Methods of making and using the fuel composition are also disclosed.","author":[{"dropping-particle":"","family":"Renninger, Neil Stephen; Mcphee","given":"Derek J","non-dropping-particle":"","parse-names":false,"suffix":""}],"id":"ITEM-1","issue":"12","issued":{"date-parts":[["2011"]]},"title":"Fuel compositions comprising farnesane and farnesane derivatives and method of making and using same","type":"patent","volume":"2"}}],"schema":"https://github.com/citation-style-language/schema/raw/master/csl-citation.json"} </w:instrText>
      </w:r>
      <w:r w:rsidR="00A323A2" w:rsidRPr="004D19FF">
        <w:rPr>
          <w:rFonts w:ascii="Times New Roman" w:hAnsi="Times New Roman"/>
          <w:sz w:val="20"/>
          <w:szCs w:val="20"/>
        </w:rPr>
        <w:fldChar w:fldCharType="separate"/>
      </w:r>
      <w:r w:rsidR="00CA240D" w:rsidRPr="00CA240D">
        <w:rPr>
          <w:rFonts w:ascii="Times New Roman" w:hAnsi="Times New Roman" w:cs="Times New Roman"/>
          <w:sz w:val="20"/>
        </w:rPr>
        <w:t>[53]</w:t>
      </w:r>
      <w:r w:rsidR="00A323A2" w:rsidRPr="004D19FF">
        <w:rPr>
          <w:rFonts w:ascii="Times New Roman" w:hAnsi="Times New Roman"/>
          <w:sz w:val="20"/>
          <w:szCs w:val="20"/>
        </w:rPr>
        <w:fldChar w:fldCharType="end"/>
      </w:r>
      <w:r w:rsidR="00720319" w:rsidRPr="004D19FF">
        <w:rPr>
          <w:rFonts w:ascii="Times New Roman" w:hAnsi="Times New Roman"/>
          <w:sz w:val="20"/>
          <w:szCs w:val="20"/>
        </w:rPr>
        <w:t xml:space="preserve"> </w:t>
      </w:r>
      <w:r w:rsidR="007E59AF" w:rsidRPr="004D19FF">
        <w:rPr>
          <w:rFonts w:ascii="Times New Roman" w:hAnsi="Times New Roman"/>
          <w:sz w:val="20"/>
          <w:szCs w:val="20"/>
        </w:rPr>
        <w:t>(</w:t>
      </w:r>
      <w:r w:rsidR="00BB3847" w:rsidRPr="004D19FF">
        <w:rPr>
          <w:rFonts w:ascii="Times New Roman" w:hAnsi="Times New Roman"/>
          <w:sz w:val="20"/>
          <w:szCs w:val="20"/>
        </w:rPr>
        <w:t>not shown in Fig.</w:t>
      </w:r>
      <w:r w:rsidR="007E59AF" w:rsidRPr="004D19FF">
        <w:rPr>
          <w:rFonts w:ascii="Times New Roman" w:hAnsi="Times New Roman"/>
          <w:sz w:val="20"/>
          <w:szCs w:val="20"/>
        </w:rPr>
        <w:t xml:space="preserve"> 3)</w:t>
      </w:r>
      <w:r w:rsidR="00656DCB" w:rsidRPr="004D19FF">
        <w:rPr>
          <w:rFonts w:ascii="Times New Roman" w:hAnsi="Times New Roman"/>
          <w:sz w:val="20"/>
          <w:szCs w:val="20"/>
        </w:rPr>
        <w:t xml:space="preserve">. </w:t>
      </w:r>
      <w:r w:rsidR="00F74ED0" w:rsidRPr="004D19FF">
        <w:rPr>
          <w:rFonts w:ascii="Times New Roman" w:hAnsi="Times New Roman"/>
          <w:sz w:val="20"/>
          <w:szCs w:val="20"/>
        </w:rPr>
        <w:t>The farnesane produced can be used as diesel</w:t>
      </w:r>
      <w:r w:rsidR="009460F0" w:rsidRPr="004D19FF">
        <w:rPr>
          <w:rFonts w:ascii="Times New Roman" w:hAnsi="Times New Roman"/>
          <w:sz w:val="20"/>
          <w:szCs w:val="20"/>
        </w:rPr>
        <w:t xml:space="preserve"> fuel for terrestrial transport or as aviation</w:t>
      </w:r>
      <w:r w:rsidR="00F74ED0" w:rsidRPr="004D19FF">
        <w:rPr>
          <w:rFonts w:ascii="Times New Roman" w:hAnsi="Times New Roman"/>
          <w:sz w:val="20"/>
          <w:szCs w:val="20"/>
        </w:rPr>
        <w:t xml:space="preserve"> kerosene, </w:t>
      </w:r>
      <w:r w:rsidR="009460F0" w:rsidRPr="004D19FF">
        <w:rPr>
          <w:rFonts w:ascii="Times New Roman" w:hAnsi="Times New Roman"/>
          <w:sz w:val="20"/>
          <w:szCs w:val="20"/>
        </w:rPr>
        <w:t xml:space="preserve">although the former tends to be preferred due to the low blending ratio allowed for the kerosene obtained from this pathway (10% by volume; Table S1). Alternatively, the farnesene can be </w:t>
      </w:r>
      <w:r w:rsidR="00F74ED0" w:rsidRPr="004D19FF">
        <w:rPr>
          <w:rFonts w:ascii="Times New Roman" w:hAnsi="Times New Roman"/>
          <w:sz w:val="20"/>
          <w:szCs w:val="20"/>
        </w:rPr>
        <w:t xml:space="preserve">chemically converted to produce </w:t>
      </w:r>
      <w:r w:rsidR="00C934B4" w:rsidRPr="004D19FF">
        <w:rPr>
          <w:rFonts w:ascii="Times New Roman" w:hAnsi="Times New Roman"/>
          <w:sz w:val="20"/>
          <w:szCs w:val="20"/>
        </w:rPr>
        <w:t>a variety of</w:t>
      </w:r>
      <w:r w:rsidR="00F74ED0" w:rsidRPr="004D19FF">
        <w:rPr>
          <w:rFonts w:ascii="Times New Roman" w:hAnsi="Times New Roman"/>
          <w:sz w:val="20"/>
          <w:szCs w:val="20"/>
        </w:rPr>
        <w:t xml:space="preserve"> products including </w:t>
      </w:r>
      <w:r w:rsidR="001E6BED" w:rsidRPr="004D19FF">
        <w:rPr>
          <w:rFonts w:ascii="Times New Roman" w:hAnsi="Times New Roman"/>
          <w:sz w:val="20"/>
          <w:szCs w:val="20"/>
        </w:rPr>
        <w:t xml:space="preserve">fragrances, flavors, cosmetics, lubricants, etc. </w:t>
      </w:r>
      <w:r w:rsidR="00C934B4" w:rsidRPr="004D19FF">
        <w:rPr>
          <w:rFonts w:ascii="Times New Roman" w:hAnsi="Times New Roman"/>
          <w:sz w:val="20"/>
          <w:szCs w:val="20"/>
        </w:rPr>
        <w:t>The co-products</w:t>
      </w:r>
      <w:r w:rsidR="007E59AF" w:rsidRPr="004D19FF">
        <w:rPr>
          <w:rFonts w:ascii="Times New Roman" w:hAnsi="Times New Roman"/>
          <w:sz w:val="20"/>
          <w:szCs w:val="20"/>
        </w:rPr>
        <w:t xml:space="preserve"> derived from </w:t>
      </w:r>
      <w:r w:rsidR="009460F0" w:rsidRPr="004D19FF">
        <w:rPr>
          <w:rFonts w:ascii="Times New Roman" w:hAnsi="Times New Roman"/>
          <w:sz w:val="20"/>
          <w:szCs w:val="20"/>
        </w:rPr>
        <w:t xml:space="preserve">the </w:t>
      </w:r>
      <w:r w:rsidR="00C934B4" w:rsidRPr="004D19FF">
        <w:rPr>
          <w:rFonts w:ascii="Times New Roman" w:hAnsi="Times New Roman"/>
          <w:sz w:val="20"/>
          <w:szCs w:val="20"/>
        </w:rPr>
        <w:t>separation</w:t>
      </w:r>
      <w:r w:rsidR="007E59AF" w:rsidRPr="004D19FF">
        <w:rPr>
          <w:rFonts w:ascii="Times New Roman" w:hAnsi="Times New Roman"/>
          <w:sz w:val="20"/>
          <w:szCs w:val="20"/>
        </w:rPr>
        <w:t xml:space="preserve"> and purification</w:t>
      </w:r>
      <w:r w:rsidR="00C934B4" w:rsidRPr="004D19FF">
        <w:rPr>
          <w:rFonts w:ascii="Times New Roman" w:hAnsi="Times New Roman"/>
          <w:sz w:val="20"/>
          <w:szCs w:val="20"/>
        </w:rPr>
        <w:t xml:space="preserve"> </w:t>
      </w:r>
      <w:r w:rsidR="009460F0" w:rsidRPr="004D19FF">
        <w:rPr>
          <w:rFonts w:ascii="Times New Roman" w:hAnsi="Times New Roman"/>
          <w:sz w:val="20"/>
          <w:szCs w:val="20"/>
        </w:rPr>
        <w:t xml:space="preserve">step </w:t>
      </w:r>
      <w:r w:rsidR="00C934B4" w:rsidRPr="004D19FF">
        <w:rPr>
          <w:rFonts w:ascii="Times New Roman" w:hAnsi="Times New Roman"/>
          <w:sz w:val="20"/>
          <w:szCs w:val="20"/>
        </w:rPr>
        <w:t>(</w:t>
      </w:r>
      <w:r w:rsidR="00B1485A" w:rsidRPr="004D19FF">
        <w:rPr>
          <w:rFonts w:ascii="Times New Roman" w:hAnsi="Times New Roman"/>
          <w:sz w:val="20"/>
          <w:szCs w:val="20"/>
        </w:rPr>
        <w:t>Fig. 3</w:t>
      </w:r>
      <w:r w:rsidR="00C934B4" w:rsidRPr="004D19FF">
        <w:rPr>
          <w:rFonts w:ascii="Times New Roman" w:hAnsi="Times New Roman"/>
          <w:sz w:val="20"/>
          <w:szCs w:val="20"/>
        </w:rPr>
        <w:t>)</w:t>
      </w:r>
      <w:r w:rsidR="007E59AF" w:rsidRPr="004D19FF">
        <w:rPr>
          <w:rFonts w:ascii="Times New Roman" w:hAnsi="Times New Roman"/>
          <w:sz w:val="20"/>
          <w:szCs w:val="20"/>
        </w:rPr>
        <w:t xml:space="preserve"> </w:t>
      </w:r>
      <w:r w:rsidR="009B0E46" w:rsidRPr="004D19FF">
        <w:rPr>
          <w:rFonts w:ascii="Times New Roman" w:hAnsi="Times New Roman"/>
          <w:sz w:val="20"/>
          <w:szCs w:val="20"/>
        </w:rPr>
        <w:t>are</w:t>
      </w:r>
      <w:r w:rsidR="00487197" w:rsidRPr="004D19FF">
        <w:rPr>
          <w:rFonts w:ascii="Times New Roman" w:hAnsi="Times New Roman"/>
          <w:sz w:val="20"/>
          <w:szCs w:val="20"/>
        </w:rPr>
        <w:t xml:space="preserve"> </w:t>
      </w:r>
      <w:r w:rsidR="009460F0" w:rsidRPr="004D19FF">
        <w:rPr>
          <w:rFonts w:ascii="Times New Roman" w:hAnsi="Times New Roman"/>
          <w:sz w:val="20"/>
          <w:szCs w:val="20"/>
        </w:rPr>
        <w:t>reported to be used in</w:t>
      </w:r>
      <w:r w:rsidR="00487197" w:rsidRPr="004D19FF">
        <w:rPr>
          <w:rFonts w:ascii="Times New Roman" w:hAnsi="Times New Roman"/>
          <w:sz w:val="20"/>
          <w:szCs w:val="20"/>
        </w:rPr>
        <w:t xml:space="preserve"> </w:t>
      </w:r>
      <w:r w:rsidR="00487197" w:rsidRPr="004D19FF">
        <w:rPr>
          <w:rFonts w:ascii="Times New Roman" w:hAnsi="Times New Roman"/>
          <w:sz w:val="20"/>
          <w:szCs w:val="20"/>
        </w:rPr>
        <w:lastRenderedPageBreak/>
        <w:t>anaerobic digestion for biogas production</w:t>
      </w:r>
      <w:r w:rsidR="00C934B4" w:rsidRPr="004D19FF">
        <w:rPr>
          <w:rFonts w:ascii="Times New Roman" w:hAnsi="Times New Roman"/>
          <w:sz w:val="20"/>
          <w:szCs w:val="20"/>
        </w:rPr>
        <w:t xml:space="preserve"> </w:t>
      </w:r>
      <w:r w:rsidR="00A323A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LPZf2uIr","properties":{"formattedCitation":"[54]","plainCitation":"[54]","noteIndex":0},"citationItems":[{"id":"968HXJ10/66PcLVrq","uris":["http://www.mendeley.com/documents/?uuid=1d012405-d793-4c37-ad74-91ef78db0155"],"uri":["http://www.mendeley.com/documents/?uuid=1d012405-d793-4c37-ad74-91ef78db0155"],"itemData":{"author":[{"dropping-particle":"","family":"Amyris","given":"","non-dropping-particle":"","parse-names":false,"suffix":""}],"id":"ITEM-1","issued":{"date-parts":[["2013"]]},"title":"Integrated Biorefinery Project Summary","type":"report"}}],"schema":"https://github.com/citation-style-language/schema/raw/master/csl-citation.json"} </w:instrText>
      </w:r>
      <w:r w:rsidR="00A323A2" w:rsidRPr="004D19FF">
        <w:rPr>
          <w:rFonts w:ascii="Times New Roman" w:hAnsi="Times New Roman"/>
          <w:sz w:val="20"/>
          <w:szCs w:val="20"/>
        </w:rPr>
        <w:fldChar w:fldCharType="separate"/>
      </w:r>
      <w:r w:rsidR="00CA240D" w:rsidRPr="00CA240D">
        <w:rPr>
          <w:rFonts w:ascii="Times New Roman" w:hAnsi="Times New Roman" w:cs="Times New Roman"/>
          <w:sz w:val="20"/>
        </w:rPr>
        <w:t>[54]</w:t>
      </w:r>
      <w:r w:rsidR="00A323A2" w:rsidRPr="004D19FF">
        <w:rPr>
          <w:rFonts w:ascii="Times New Roman" w:hAnsi="Times New Roman"/>
          <w:sz w:val="20"/>
          <w:szCs w:val="20"/>
        </w:rPr>
        <w:fldChar w:fldCharType="end"/>
      </w:r>
      <w:r w:rsidR="009460F0" w:rsidRPr="004D19FF">
        <w:rPr>
          <w:rFonts w:ascii="Times New Roman" w:hAnsi="Times New Roman"/>
          <w:sz w:val="20"/>
          <w:szCs w:val="20"/>
        </w:rPr>
        <w:t xml:space="preserve">, where the biogas is subsequently led to a steam methane </w:t>
      </w:r>
      <w:r w:rsidR="00487197" w:rsidRPr="004D19FF">
        <w:rPr>
          <w:rFonts w:ascii="Times New Roman" w:hAnsi="Times New Roman"/>
          <w:sz w:val="20"/>
          <w:szCs w:val="20"/>
        </w:rPr>
        <w:t xml:space="preserve">reforming (SMR) </w:t>
      </w:r>
      <w:r w:rsidR="009460F0" w:rsidRPr="004D19FF">
        <w:rPr>
          <w:rFonts w:ascii="Times New Roman" w:hAnsi="Times New Roman"/>
          <w:sz w:val="20"/>
          <w:szCs w:val="20"/>
        </w:rPr>
        <w:t xml:space="preserve">process </w:t>
      </w:r>
      <w:r w:rsidR="00F7525F" w:rsidRPr="004D19FF">
        <w:rPr>
          <w:rFonts w:ascii="Times New Roman" w:hAnsi="Times New Roman"/>
          <w:sz w:val="20"/>
          <w:szCs w:val="20"/>
        </w:rPr>
        <w:t xml:space="preserve">in order to produce part of the hydrogen needed for the hydrogenation </w:t>
      </w:r>
      <w:r w:rsidR="00F34D7C" w:rsidRPr="004D19FF">
        <w:rPr>
          <w:rFonts w:ascii="Times New Roman" w:hAnsi="Times New Roman"/>
          <w:sz w:val="20"/>
          <w:szCs w:val="20"/>
        </w:rPr>
        <w:t>step</w:t>
      </w:r>
      <w:r w:rsidR="009460F0" w:rsidRPr="004D19FF">
        <w:rPr>
          <w:rFonts w:ascii="Times New Roman" w:hAnsi="Times New Roman"/>
          <w:sz w:val="20"/>
          <w:szCs w:val="20"/>
        </w:rPr>
        <w:t>.</w:t>
      </w:r>
    </w:p>
    <w:p w14:paraId="1A4A7464" w14:textId="77777777" w:rsidR="008B44AB" w:rsidRPr="004D19FF" w:rsidRDefault="00557F5B" w:rsidP="00290530">
      <w:pPr>
        <w:spacing w:after="120" w:line="276" w:lineRule="auto"/>
        <w:jc w:val="thaiDistribute"/>
        <w:rPr>
          <w:rFonts w:ascii="Times New Roman" w:hAnsi="Times New Roman"/>
          <w:i/>
          <w:iCs/>
          <w:sz w:val="20"/>
          <w:szCs w:val="20"/>
        </w:rPr>
      </w:pPr>
      <w:r w:rsidRPr="004D19FF">
        <w:rPr>
          <w:rFonts w:ascii="Times New Roman" w:hAnsi="Times New Roman"/>
          <w:i/>
          <w:iCs/>
          <w:sz w:val="20"/>
          <w:szCs w:val="20"/>
        </w:rPr>
        <w:t>2</w:t>
      </w:r>
      <w:r w:rsidR="00953073" w:rsidRPr="004D19FF">
        <w:rPr>
          <w:rFonts w:ascii="Times New Roman" w:hAnsi="Times New Roman"/>
          <w:i/>
          <w:iCs/>
          <w:sz w:val="20"/>
          <w:szCs w:val="20"/>
        </w:rPr>
        <w:t>.1.3</w:t>
      </w:r>
      <w:r w:rsidR="00CB5187" w:rsidRPr="004D19FF">
        <w:rPr>
          <w:rFonts w:ascii="Times New Roman" w:hAnsi="Times New Roman"/>
          <w:i/>
          <w:iCs/>
          <w:sz w:val="20"/>
          <w:szCs w:val="20"/>
        </w:rPr>
        <w:t xml:space="preserve"> Alcoholic fermentation</w:t>
      </w:r>
      <w:r w:rsidR="00434F54" w:rsidRPr="004D19FF">
        <w:rPr>
          <w:rFonts w:ascii="Times New Roman" w:hAnsi="Times New Roman"/>
          <w:i/>
          <w:iCs/>
          <w:sz w:val="20"/>
          <w:szCs w:val="20"/>
        </w:rPr>
        <w:t xml:space="preserve"> (AF)</w:t>
      </w:r>
    </w:p>
    <w:p w14:paraId="355FEE8E" w14:textId="0B962051" w:rsidR="00D60D93" w:rsidRPr="004D19FF" w:rsidRDefault="007B2B4D"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This pathway is based upon the fermentation of the hydrolysate </w:t>
      </w:r>
      <w:r w:rsidR="002E50B6" w:rsidRPr="004D19FF">
        <w:rPr>
          <w:rFonts w:ascii="Times New Roman" w:hAnsi="Times New Roman"/>
          <w:sz w:val="20"/>
          <w:szCs w:val="20"/>
        </w:rPr>
        <w:t xml:space="preserve">derived from </w:t>
      </w:r>
      <w:r w:rsidRPr="004D19FF">
        <w:rPr>
          <w:rFonts w:ascii="Times New Roman" w:hAnsi="Times New Roman"/>
          <w:sz w:val="20"/>
          <w:szCs w:val="20"/>
        </w:rPr>
        <w:t>carbohydrate-rich biomass (e.g. molasses, sugarcane, sweet sorghum, sugar beets</w:t>
      </w:r>
      <w:r w:rsidR="002A0A23" w:rsidRPr="004D19FF">
        <w:rPr>
          <w:rFonts w:ascii="Times New Roman" w:hAnsi="Times New Roman"/>
          <w:sz w:val="20"/>
          <w:szCs w:val="20"/>
        </w:rPr>
        <w:t xml:space="preserve">, food waste, inedible </w:t>
      </w:r>
      <w:r w:rsidR="00D60D93" w:rsidRPr="004D19FF">
        <w:rPr>
          <w:rFonts w:ascii="Times New Roman" w:hAnsi="Times New Roman"/>
          <w:sz w:val="20"/>
          <w:szCs w:val="20"/>
        </w:rPr>
        <w:t xml:space="preserve">fodder </w:t>
      </w:r>
      <w:r w:rsidR="00952CD2" w:rsidRPr="004D19FF">
        <w:rPr>
          <w:rFonts w:ascii="Times New Roman" w:hAnsi="Times New Roman"/>
          <w:sz w:val="20"/>
          <w:szCs w:val="20"/>
        </w:rPr>
        <w:t>maize</w:t>
      </w:r>
      <w:r w:rsidRPr="004D19FF">
        <w:rPr>
          <w:rFonts w:ascii="Times New Roman" w:hAnsi="Times New Roman"/>
          <w:sz w:val="20"/>
          <w:szCs w:val="20"/>
        </w:rPr>
        <w:t xml:space="preserve">) </w:t>
      </w:r>
      <w:r w:rsidR="002E50B6" w:rsidRPr="004D19FF">
        <w:rPr>
          <w:rFonts w:ascii="Times New Roman" w:hAnsi="Times New Roman"/>
          <w:sz w:val="20"/>
          <w:szCs w:val="20"/>
        </w:rPr>
        <w:t xml:space="preserve">and lignocellulosic-based biomass (e.g. wheat/rice straw) </w:t>
      </w:r>
      <w:r w:rsidRPr="004D19FF">
        <w:rPr>
          <w:rFonts w:ascii="Times New Roman" w:hAnsi="Times New Roman"/>
          <w:sz w:val="20"/>
          <w:szCs w:val="20"/>
        </w:rPr>
        <w:t>to produce alcohol</w:t>
      </w:r>
      <w:r w:rsidR="00F47897" w:rsidRPr="004D19FF">
        <w:rPr>
          <w:rFonts w:ascii="Times New Roman" w:hAnsi="Times New Roman"/>
          <w:sz w:val="20"/>
          <w:szCs w:val="20"/>
        </w:rPr>
        <w:t>s</w:t>
      </w:r>
      <w:r w:rsidR="002A0A23" w:rsidRPr="004D19FF">
        <w:rPr>
          <w:rFonts w:ascii="Times New Roman" w:hAnsi="Times New Roman"/>
          <w:sz w:val="20"/>
          <w:szCs w:val="20"/>
        </w:rPr>
        <w:t xml:space="preserve"> </w:t>
      </w:r>
      <w:r w:rsidR="00DE0678"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V7m5Md0b","properties":{"formattedCitation":"[56\\uc0\\u8211{}58]","plainCitation":"[56–58]","noteIndex":0},"citationItems":[{"id":"968HXJ10/oCdrXDRI","uris":["http://www.mendeley.com/documents/?uuid=6374449c-9717-4c47-88d5-db2c2324debe"],"uri":["http://www.mendeley.com/documents/?uuid=6374449c-9717-4c47-88d5-db2c2324debe"],"itemData":{"DOI":"10.1038/sj.jim.7000131","ISSN":"13675435","abstract":"Spray-dried soy molasses (SDSM) contains the sugars dextrose, sucrose, fructose, pinitol, raffinose, verbascose, melibiose, and stachyose. Of the 746 g kg-1 total sugars in SDSM, 434 g kg-1 is fermentable using Clostridium beijerinckii BA101. SDSM was used to produce acetone, butanol, and ethanol (ABE) by C. beijerinckii BA101 in batch cultures. Using 80 g l-1 SDSM, 10.7 g l-1 ABE was produced in P2 medium. Higher concentrations of SDSM resulted in poor solvent production due to the presence of excessive salt and inhibitory components. C. beijerinckii BA101 in SDSM at 80 g l-1 concentration produced 22.8 g l-1 ABE when supplemented with 25.3 g l-1 glucose. SDSM contains 57.4 g kg-1 mineral ash and 2% tri-calcium phosphate. Tri-calcium phosphate up to 43.1 g l-1 was not inhibitory and at a tri-calcium phosphate concentration of 28.8 g l-1, the culture produced more solvents (30.1 g l-1) than the control experiment (23.8 g l-1). In contrast, sodium chloride was a strong inhibitor of C. beijerinckii BA101 cell growth. At a concentration of 10 g l-1 sodium chloride, a maximum cell concentration of 0.6 g l-1 was achieved compared to 1.7 g l-1 in the control experiment. The effects of two salts on specific growth rate constant (μ) and specific rate of ABE production (ν) for C. beijerinckii BA101 were examined.","author":[{"dropping-particle":"","family":"Qureshi","given":"N.","non-dropping-particle":"","parse-names":false,"suffix":""},{"dropping-particle":"","family":"Lolas","given":"A.","non-dropping-particle":"","parse-names":false,"suffix":""},{"dropping-particle":"","family":"Blaschek","given":"H. P.","non-dropping-particle":"","parse-names":false,"suffix":""}],"container-title":"Journal of Industrial Microbiology and Biotechnology","id":"ITEM-1","issue":"5","issued":{"date-parts":[["2001"]]},"page":"290-295","title":"Soy molasses as fermentation substrate for production of butanol using Clostridium beijerinckii BA101","type":"article-journal","volume":"26"}},{"id":"968HXJ10/4ogmcdeq","uris":["http://www.mendeley.com/documents/?uuid=71a3dbf7-49ab-48cf-8942-c5a2054a09bb"],"uri":["http://www.mendeley.com/documents/?uuid=71a3dbf7-49ab-48cf-8942-c5a2054a09bb"],"itemData":{"abstract":"The present invention in its various embodiments is directed to methods for preparing a renewable jet fuel blendstock, and blendstocks prepared by Such methods, comprising ferment ing a biomass-derived feedstock to form one or more C-C, alcohols such as isobutanol, catalytically dehydrate and oli gomerize the alcohols to form higher molecular weight ole fins (e.g., Cs-Colefins), hydrogenating at least a portion of the higher molecular weight olefins to form a renewable jet fuel blendstock comprising C2 and C alkanes which meet or exceed the requirements of ASTM D7566-10a for hydro processed synthesized paraffinic kerosene (SPK).","author":[{"dropping-particle":"","family":"Peters","given":"Matthew W.","non-dropping-particle":"","parse-names":false,"suffix":""},{"dropping-particle":"","family":"Taylor","given":"Joshua D.","non-dropping-particle":"","parse-names":false,"suffix":""}],"id":"ITEM-2","issued":{"date-parts":[["2015"]]},"number":"US8,975,461 B2","page":"1-26","title":"Renewable jet fuel blendstock from isobutanol","type":"patent"}},{"id":"968HXJ10/WiOfZrza","uris":["http://www.mendeley.com/documents/?uuid=bb80c9c9-e808-44c7-bef8-d53b9d10bf88"],"uri":["http://www.mendeley.com/documents/?uuid=bb80c9c9-e808-44c7-bef8-d53b9d10bf88"],"itemData":{"DOI":"10.1016/j.biortech.2015.12.054","ISSN":"18732976","abstract":"The aim of present study was to develop a process for open ethanol fermentation from food waste using an acid-tolerant mutant of Zymomonas mobilis (ZMA7-2). The mutant showed strong tolerance to acid condition of food waste hydrolysate and high ethanol production performance. By optimizing fermentation parameters, ethanol fermentation with initial glucose concentration of 200. g/L, pH value around 4.0, inoculum size of 10% and without nutrient addition was considered as best conditions. Moreover, the potential of bench scales fermentation and cell reusability was also examined. The fermentation in bench scales (44. h) was faster than flask scale (48. h), and the maximum ethanol concentration and ethanol yield (99.78. g/L, 0.50. g/g) higher than that of flask scale (98.31. g/L, 0.49. g/g). In addition, the stable cell growth and ethanol production profile in five cycles successive fermentation was observed, indicating the mutant was suitable for industrial ethanol production.","author":[{"dropping-particle":"","family":"Ma","given":"Kedong","non-dropping-particle":"","parse-names":false,"suffix":""},{"dropping-particle":"","family":"Ruan","given":"Zhiyong","non-dropping-particle":"","parse-names":false,"suffix":""},{"dropping-particle":"","family":"Shui","given":"Zongxia","non-dropping-particle":"","parse-names":false,"suffix":""},{"dropping-particle":"","family":"Wang","given":"Yanwei","non-dropping-particle":"","parse-names":false,"suffix":""},{"dropping-particle":"","family":"Hu","given":"Guoquan","non-dropping-particle":"","parse-names":false,"suffix":""},{"dropping-particle":"","family":"He","given":"Mingxiong","non-dropping-particle":"","parse-names":false,"suffix":""}],"container-title":"Bioresource Technology","id":"ITEM-3","issued":{"date-parts":[["2016"]]},"page":"295-302","publisher":"Elsevier Ltd","title":"Open fermentative production of fuel ethanol from food waste by an acid-tolerant mutant strain of Zymomonas mobilis","type":"article-journal","volume":"203"}}],"schema":"https://github.com/citation-style-language/schema/raw/master/csl-citation.json"} </w:instrText>
      </w:r>
      <w:r w:rsidR="00DE0678" w:rsidRPr="004D19FF">
        <w:rPr>
          <w:rFonts w:ascii="Times New Roman" w:hAnsi="Times New Roman"/>
          <w:sz w:val="20"/>
          <w:szCs w:val="20"/>
        </w:rPr>
        <w:fldChar w:fldCharType="separate"/>
      </w:r>
      <w:r w:rsidR="00CA240D" w:rsidRPr="00CA240D">
        <w:rPr>
          <w:rFonts w:ascii="Times New Roman" w:hAnsi="Times New Roman" w:cs="Times New Roman"/>
          <w:sz w:val="20"/>
          <w:szCs w:val="24"/>
        </w:rPr>
        <w:t>[56–58]</w:t>
      </w:r>
      <w:r w:rsidR="00DE0678" w:rsidRPr="004D19FF">
        <w:rPr>
          <w:rFonts w:ascii="Times New Roman" w:hAnsi="Times New Roman"/>
          <w:sz w:val="20"/>
          <w:szCs w:val="20"/>
        </w:rPr>
        <w:fldChar w:fldCharType="end"/>
      </w:r>
      <w:r w:rsidR="00C06DB0" w:rsidRPr="004D19FF">
        <w:rPr>
          <w:rFonts w:ascii="Times New Roman" w:hAnsi="Times New Roman"/>
          <w:sz w:val="20"/>
          <w:szCs w:val="20"/>
        </w:rPr>
        <w:t>.</w:t>
      </w:r>
      <w:r w:rsidR="00D60D93" w:rsidRPr="004D19FF">
        <w:rPr>
          <w:rFonts w:ascii="Times New Roman" w:hAnsi="Times New Roman"/>
          <w:sz w:val="20"/>
          <w:szCs w:val="20"/>
        </w:rPr>
        <w:t xml:space="preserve"> The generated alcohol, typically isobutanol, is then further upgraded to aviation</w:t>
      </w:r>
      <w:r w:rsidRPr="004D19FF">
        <w:rPr>
          <w:rFonts w:ascii="Times New Roman" w:hAnsi="Times New Roman"/>
          <w:sz w:val="20"/>
          <w:szCs w:val="20"/>
        </w:rPr>
        <w:t xml:space="preserve"> </w:t>
      </w:r>
      <w:r w:rsidR="001E015B">
        <w:rPr>
          <w:rFonts w:ascii="Times New Roman" w:hAnsi="Times New Roman"/>
          <w:sz w:val="20"/>
          <w:szCs w:val="20"/>
        </w:rPr>
        <w:t>bio</w:t>
      </w:r>
      <w:r w:rsidRPr="004D19FF">
        <w:rPr>
          <w:rFonts w:ascii="Times New Roman" w:hAnsi="Times New Roman"/>
          <w:sz w:val="20"/>
          <w:szCs w:val="20"/>
        </w:rPr>
        <w:t>fuel through a series of four key processes (</w:t>
      </w:r>
      <w:r w:rsidR="00B1485A" w:rsidRPr="004D19FF">
        <w:rPr>
          <w:rFonts w:ascii="Times New Roman" w:hAnsi="Times New Roman"/>
          <w:sz w:val="20"/>
          <w:szCs w:val="20"/>
        </w:rPr>
        <w:t>Fig. 4</w:t>
      </w:r>
      <w:r w:rsidR="00F47897" w:rsidRPr="004D19FF">
        <w:rPr>
          <w:rFonts w:ascii="Times New Roman" w:hAnsi="Times New Roman"/>
          <w:sz w:val="20"/>
          <w:szCs w:val="20"/>
        </w:rPr>
        <w:t xml:space="preserve">) </w:t>
      </w:r>
      <w:r w:rsidRPr="004D19FF">
        <w:rPr>
          <w:rFonts w:ascii="Times New Roman" w:hAnsi="Times New Roman"/>
          <w:sz w:val="20"/>
          <w:szCs w:val="20"/>
        </w:rPr>
        <w:t xml:space="preserve">described below. The </w:t>
      </w:r>
      <w:r w:rsidR="005339F1" w:rsidRPr="004D19FF">
        <w:rPr>
          <w:rFonts w:ascii="Times New Roman" w:hAnsi="Times New Roman"/>
          <w:sz w:val="20"/>
          <w:szCs w:val="20"/>
        </w:rPr>
        <w:t xml:space="preserve">solid </w:t>
      </w:r>
      <w:r w:rsidRPr="004D19FF">
        <w:rPr>
          <w:rFonts w:ascii="Times New Roman" w:hAnsi="Times New Roman"/>
          <w:sz w:val="20"/>
          <w:szCs w:val="20"/>
        </w:rPr>
        <w:t>residue</w:t>
      </w:r>
      <w:r w:rsidR="005E4DCC">
        <w:rPr>
          <w:rFonts w:ascii="Times New Roman" w:hAnsi="Times New Roman"/>
          <w:sz w:val="20"/>
          <w:szCs w:val="20"/>
        </w:rPr>
        <w:t xml:space="preserve"> </w:t>
      </w:r>
      <w:r w:rsidR="00130F5A" w:rsidRPr="004D19FF">
        <w:rPr>
          <w:rFonts w:ascii="Times New Roman" w:hAnsi="Times New Roman"/>
          <w:sz w:val="20"/>
          <w:szCs w:val="20"/>
        </w:rPr>
        <w:t>(often referred to as distiller</w:t>
      </w:r>
      <w:r w:rsidR="000B1123" w:rsidRPr="004D19FF">
        <w:rPr>
          <w:rFonts w:ascii="Times New Roman" w:hAnsi="Times New Roman"/>
          <w:sz w:val="20"/>
          <w:szCs w:val="20"/>
        </w:rPr>
        <w:t xml:space="preserve"> </w:t>
      </w:r>
      <w:r w:rsidRPr="004D19FF">
        <w:rPr>
          <w:rFonts w:ascii="Times New Roman" w:hAnsi="Times New Roman"/>
          <w:sz w:val="20"/>
          <w:szCs w:val="20"/>
        </w:rPr>
        <w:t xml:space="preserve">grains) not converted to alcohol is generally dried and sold as a protein-rich ingredient for animal feed </w:t>
      </w:r>
      <w:r w:rsidR="006E766C"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bhS5kAFt","properties":{"formattedCitation":"[59\\uc0\\u8211{}61]","plainCitation":"[59–61]","noteIndex":0},"citationItems":[{"id":"968HXJ10/apoA1pDa","uris":["http://www.mendeley.com/documents/?uuid=b53c6826-5aa9-4f1c-9c9e-479e711b845a"],"uri":["http://www.mendeley.com/documents/?uuid=b53c6826-5aa9-4f1c-9c9e-479e711b845a"],"itemData":{"author":[{"dropping-particle":"","family":"David","given":"P.R.","non-dropping-particle":"","parse-names":false,"suffix":""},{"dropping-particle":"","family":"Alto","given":"P.","non-dropping-particle":"","parse-names":false,"suffix":""}],"id":"ITEM-1","issued":{"date-parts":[["2007"]]},"number":"US 7,309,602 B2","publisher-place":"California, US","title":"Compositions and methods for producing fermentation products and residuals","type":"patent"}},{"id":"968HXJ10/ZNoMDfB3","uris":["http://www.mendeley.com/documents/?uuid=43df3a02-381c-41d0-8507-7e9b011d2187"],"uri":["http://www.mendeley.com/documents/?uuid=43df3a02-381c-41d0-8507-7e9b011d2187"],"itemData":{"abstract":"This invention is directed to methods for recovery of C3-C6 alcohols from dilute aqueous solutions, such as fermentation broths. Such methods provide improved volumetric produc tivity for the fermentation and allows recovery of the alcohol. Such methods also allow for reduced energy use in the pro duction and drying of spent fermentation broth due to increased effective concentration of the alcohol product by the simultaneous fermentation and recovery process which increases the quantity of alcohol produced and recovered per quantity of fermentation broth dried. Thus, the invention allows for production and recovery of C3-C6 alcohols at low capital and reduced operating costs.","author":[{"dropping-particle":"","family":"Evanko","given":"W. A.","non-dropping-particle":"","parse-names":false,"suffix":""},{"dropping-particle":"","family":"Eyal","given":"A.M.","non-dropping-particle":"","parse-names":false,"suffix":""},{"dropping-particle":"","family":"Glassner","given":"D. A.","non-dropping-particle":"","parse-names":false,"suffix":""},{"dropping-particle":"","family":"Miao","given":"F.","non-dropping-particle":"","parse-names":false,"suffix":""},{"dropping-particle":"","family":"Aristidou","given":"A. A.","non-dropping-particle":"","parse-names":false,"suffix":""},{"dropping-particle":"","family":"Evans","given":"K.","non-dropping-particle":"","parse-names":false,"suffix":""},{"dropping-particle":"","family":"Gruber","given":"P. R.","non-dropping-particle":"","parse-names":false,"suffix":""},{"dropping-particle":"","family":"Hawkins","given":"A. C.","non-dropping-particle":"","parse-names":false,"suffix":""}],"id":"ITEM-2","issued":{"date-parts":[["2012"]]},"number":"US 8,101,808 B2","publisher-place":"Englewood, CO (US)","title":"Recovery of higher alcohols from dilute aqueous solutions","type":"patent"}},{"id":"968HXJ10/PyEEA0yX","uris":["http://www.mendeley.com/documents/?uuid=f383686c-f930-3ad3-a48d-e76a71dd466a"],"uri":["http://www.mendeley.com/documents/?uuid=f383686c-f930-3ad3-a48d-e76a71dd466a"],"itemData":{"URL":"https://gevo.com/biofuels-reduce-greenhouse-gas-emissions/","accessed":{"date-parts":[["2019","11","17"]]},"author":[{"dropping-particle":"","family":"Gevo","given":"","non-dropping-particle":"","parse-names":false,"suffix":""}],"id":"ITEM-3","issued":{"date-parts":[["2019"]]},"title":"Gevo's Biofuels","type":"webpage"}}],"schema":"https://github.com/citation-style-language/schema/raw/master/csl-citation.json"} </w:instrText>
      </w:r>
      <w:r w:rsidR="006E766C" w:rsidRPr="004D19FF">
        <w:rPr>
          <w:rFonts w:ascii="Times New Roman" w:hAnsi="Times New Roman"/>
          <w:sz w:val="20"/>
          <w:szCs w:val="20"/>
        </w:rPr>
        <w:fldChar w:fldCharType="separate"/>
      </w:r>
      <w:r w:rsidR="00CA240D" w:rsidRPr="00CA240D">
        <w:rPr>
          <w:rFonts w:ascii="Times New Roman" w:hAnsi="Times New Roman" w:cs="Times New Roman"/>
          <w:sz w:val="20"/>
          <w:szCs w:val="24"/>
        </w:rPr>
        <w:t>[59–61]</w:t>
      </w:r>
      <w:r w:rsidR="006E766C" w:rsidRPr="004D19FF">
        <w:rPr>
          <w:rFonts w:ascii="Times New Roman" w:hAnsi="Times New Roman"/>
          <w:sz w:val="20"/>
          <w:szCs w:val="20"/>
        </w:rPr>
        <w:fldChar w:fldCharType="end"/>
      </w:r>
      <w:r w:rsidR="00307630" w:rsidRPr="004D19FF">
        <w:rPr>
          <w:rFonts w:ascii="Times New Roman" w:hAnsi="Times New Roman"/>
          <w:sz w:val="20"/>
          <w:szCs w:val="20"/>
        </w:rPr>
        <w:t>.</w:t>
      </w:r>
      <w:r w:rsidRPr="004D19FF">
        <w:rPr>
          <w:rFonts w:ascii="Times New Roman" w:hAnsi="Times New Roman"/>
          <w:sz w:val="20"/>
          <w:szCs w:val="20"/>
        </w:rPr>
        <w:t xml:space="preserve"> </w:t>
      </w:r>
    </w:p>
    <w:p w14:paraId="3C4F8957" w14:textId="42050FA6" w:rsidR="00560212" w:rsidRPr="004D19FF" w:rsidRDefault="00952E74" w:rsidP="00290530">
      <w:pPr>
        <w:spacing w:after="120" w:line="276" w:lineRule="auto"/>
        <w:jc w:val="thaiDistribute"/>
        <w:rPr>
          <w:rFonts w:ascii="Times New Roman" w:hAnsi="Times New Roman" w:cs="Times New Roman"/>
          <w:sz w:val="20"/>
          <w:szCs w:val="20"/>
        </w:rPr>
      </w:pPr>
      <w:r w:rsidRPr="004D19FF">
        <w:rPr>
          <w:rFonts w:ascii="Times New Roman" w:hAnsi="Times New Roman"/>
          <w:sz w:val="20"/>
          <w:szCs w:val="20"/>
        </w:rPr>
        <w:t>In the fermentation step,</w:t>
      </w:r>
      <w:r w:rsidR="00777471" w:rsidRPr="004D19FF">
        <w:rPr>
          <w:rFonts w:ascii="Times New Roman" w:hAnsi="Times New Roman"/>
          <w:sz w:val="20"/>
          <w:szCs w:val="20"/>
        </w:rPr>
        <w:t xml:space="preserve"> </w:t>
      </w:r>
      <w:r w:rsidRPr="004D19FF">
        <w:rPr>
          <w:rFonts w:ascii="Times New Roman" w:hAnsi="Times New Roman"/>
          <w:sz w:val="20"/>
          <w:szCs w:val="20"/>
        </w:rPr>
        <w:t xml:space="preserve">bacteria, in particular </w:t>
      </w:r>
      <w:r w:rsidR="003372EF" w:rsidRPr="004D19FF">
        <w:rPr>
          <w:rFonts w:ascii="Times New Roman" w:hAnsi="Times New Roman"/>
          <w:sz w:val="20"/>
          <w:szCs w:val="20"/>
        </w:rPr>
        <w:t xml:space="preserve">Clostridia and a modified strain of </w:t>
      </w:r>
      <w:r w:rsidR="003372EF" w:rsidRPr="004D19FF">
        <w:rPr>
          <w:rFonts w:ascii="Times New Roman" w:hAnsi="Times New Roman"/>
          <w:i/>
          <w:sz w:val="20"/>
          <w:szCs w:val="20"/>
        </w:rPr>
        <w:t>E. coli</w:t>
      </w:r>
      <w:r w:rsidR="009F424C" w:rsidRPr="004D19FF">
        <w:rPr>
          <w:rFonts w:ascii="Times New Roman" w:hAnsi="Times New Roman"/>
          <w:sz w:val="20"/>
          <w:szCs w:val="20"/>
        </w:rPr>
        <w:t xml:space="preserve">, </w:t>
      </w:r>
      <w:r w:rsidR="003372EF" w:rsidRPr="004D19FF">
        <w:rPr>
          <w:rFonts w:ascii="Times New Roman" w:hAnsi="Times New Roman"/>
          <w:sz w:val="20"/>
          <w:szCs w:val="20"/>
        </w:rPr>
        <w:t xml:space="preserve">are commonly used for </w:t>
      </w:r>
      <w:r w:rsidRPr="004D19FF">
        <w:rPr>
          <w:rFonts w:ascii="Times New Roman" w:hAnsi="Times New Roman"/>
          <w:sz w:val="20"/>
          <w:szCs w:val="20"/>
        </w:rPr>
        <w:t>iso</w:t>
      </w:r>
      <w:r w:rsidR="003372EF" w:rsidRPr="004D19FF">
        <w:rPr>
          <w:rFonts w:ascii="Times New Roman" w:hAnsi="Times New Roman"/>
          <w:sz w:val="20"/>
          <w:szCs w:val="20"/>
        </w:rPr>
        <w:t xml:space="preserve">butanol production through </w:t>
      </w:r>
      <w:r w:rsidR="001E015B">
        <w:rPr>
          <w:rFonts w:ascii="Times New Roman" w:hAnsi="Times New Roman"/>
          <w:sz w:val="20"/>
          <w:szCs w:val="20"/>
        </w:rPr>
        <w:t xml:space="preserve">the </w:t>
      </w:r>
      <w:r w:rsidR="003372EF" w:rsidRPr="004D19FF">
        <w:rPr>
          <w:rFonts w:ascii="Times New Roman" w:hAnsi="Times New Roman"/>
          <w:sz w:val="20"/>
          <w:szCs w:val="20"/>
        </w:rPr>
        <w:t>acetone-butanol-ethanol (ABE)</w:t>
      </w:r>
      <w:r w:rsidR="001E015B">
        <w:rPr>
          <w:rFonts w:ascii="Times New Roman" w:hAnsi="Times New Roman"/>
          <w:sz w:val="20"/>
          <w:szCs w:val="20"/>
        </w:rPr>
        <w:t xml:space="preserve"> fermentation</w:t>
      </w:r>
      <w:r w:rsidR="003372EF" w:rsidRPr="004D19FF">
        <w:rPr>
          <w:rFonts w:ascii="Times New Roman" w:hAnsi="Times New Roman"/>
          <w:sz w:val="20"/>
          <w:szCs w:val="20"/>
        </w:rPr>
        <w:t xml:space="preserve"> p</w:t>
      </w:r>
      <w:r w:rsidR="001E015B">
        <w:rPr>
          <w:rFonts w:ascii="Times New Roman" w:hAnsi="Times New Roman"/>
          <w:sz w:val="20"/>
          <w:szCs w:val="20"/>
        </w:rPr>
        <w:t>rocess</w:t>
      </w:r>
      <w:r w:rsidR="003372EF" w:rsidRPr="004D19FF">
        <w:rPr>
          <w:rFonts w:ascii="Times New Roman" w:hAnsi="Times New Roman"/>
          <w:sz w:val="20"/>
          <w:szCs w:val="20"/>
        </w:rPr>
        <w:t xml:space="preserve"> </w:t>
      </w:r>
      <w:r w:rsidR="003372E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Z3ymupTa","properties":{"formattedCitation":"[62]","plainCitation":"[62]","noteIndex":0},"citationItems":[{"id":"968HXJ10/lgoVQzN8","uris":["http://www.mendeley.com/documents/?uuid=0129cfd5-dbdb-4d05-986b-b6887b3af4d8"],"uri":["http://www.mendeley.com/documents/?uuid=0129cfd5-dbdb-4d05-986b-b6887b3af4d8"],"itemData":{"DOI":"10.1002/btpr.1733","ISSN":"87567938","abstract":"Butanol is considered as a superior biofuel, which is conventionally produced by clostridial acetone-butanol-ethanol (ABE) fermentation. Among ABE, only butanol and ethanol can be used as fuel alternatives. Coproduction of acetone thus causes lower yield of fuel alcohols. Thus, this study aimed at developing an improved Clostridium acetobutylicum strain possessing enhanced fuel alcohol production capability. For this, we previously developed a hyper ABE producing BKM19 strain was further engineered to convert acetone into isopropanol. The BKM19 strain was transformed with the plasmid pIPA100 containing the sadh (primary/secondary alcohol dehydrogenase) and hydG (putative electron transfer protein) genes from the Clostridium beijerinckii NRRL B593 cloned under the control of the thiolase promoter. The resulting BKM19 (pIPA100) strain produced 27.9 g/l isopropanol-butanol-ethanol (IBE) as a fuel alcohols with negligible amount of acetone (0.4 g/l) from 97.8 g/l glucose in lab-scale (2 l) batch fermentation. Thus, this metabolically engineered strain was able to produce 99% of total solvent produced as fuel alcohols. The scalability and stability of BKM19 (pIPA100) were evaluated at 200 l pilot-scale fermentation, which showed that the fuel alcohol yield could be improved to 0.37 g/g as compared to 0.29 g/g obtained at lab-scale fermentation, while attaining a similar titer. To the best of our knowledge, this is the highest titer of IBE achieved and the first report on the large scale fermentation of C. acetobutylicum for IBE production. © 2013 American Institute of Chemical Engineers.","author":[{"dropping-particle":"","family":"Jang","given":"Yu Sin","non-dropping-particle":"","parse-names":false,"suffix":""},{"dropping-particle":"","family":"Malaviya","given":"Alok","non-dropping-particle":"","parse-names":false,"suffix":""},{"dropping-particle":"","family":"Lee","given":"Joungmin","non-dropping-particle":"","parse-names":false,"suffix":""},{"dropping-particle":"","family":"Im","given":"Jung Ae","non-dropping-particle":"","parse-names":false,"suffix":""},{"dropping-particle":"","family":"Lee","given":"Sang Yup","non-dropping-particle":"","parse-names":false,"suffix":""},{"dropping-particle":"","family":"Lee","given":"Julia","non-dropping-particle":"","parse-names":false,"suffix":""},{"dropping-particle":"","family":"Eom","given":"Moon Ho","non-dropping-particle":"","parse-names":false,"suffix":""},{"dropping-particle":"","family":"Cho","given":"Jung Hee","non-dropping-particle":"","parse-names":false,"suffix":""},{"dropping-particle":"","family":"Seung","given":"Do Young","non-dropping-particle":"","parse-names":false,"suffix":""}],"container-title":"Biotechnology Progress","id":"ITEM-1","issue":"4","issued":{"date-parts":[["2013"]]},"page":"1083-1088","title":"Metabolic engineering of Clostridium acetobutylicum for the enhanced production of isopropanol-butanol-ethanol fuel mixture","type":"article-journal","volume":"29"}}],"schema":"https://github.com/citation-style-language/schema/raw/master/csl-citation.json"} </w:instrText>
      </w:r>
      <w:r w:rsidR="003372EF" w:rsidRPr="004D19FF">
        <w:rPr>
          <w:rFonts w:ascii="Times New Roman" w:hAnsi="Times New Roman"/>
          <w:sz w:val="20"/>
          <w:szCs w:val="20"/>
        </w:rPr>
        <w:fldChar w:fldCharType="separate"/>
      </w:r>
      <w:r w:rsidR="00CA240D" w:rsidRPr="00CA240D">
        <w:rPr>
          <w:rFonts w:ascii="Times New Roman" w:hAnsi="Times New Roman" w:cs="Times New Roman"/>
          <w:sz w:val="20"/>
        </w:rPr>
        <w:t>[62]</w:t>
      </w:r>
      <w:r w:rsidR="003372EF" w:rsidRPr="004D19FF">
        <w:rPr>
          <w:rFonts w:ascii="Times New Roman" w:hAnsi="Times New Roman"/>
          <w:sz w:val="20"/>
          <w:szCs w:val="20"/>
        </w:rPr>
        <w:fldChar w:fldCharType="end"/>
      </w:r>
      <w:r w:rsidRPr="004D19FF">
        <w:rPr>
          <w:rFonts w:ascii="Times New Roman" w:hAnsi="Times New Roman"/>
          <w:sz w:val="20"/>
          <w:szCs w:val="20"/>
        </w:rPr>
        <w:t xml:space="preserve">, albeit other </w:t>
      </w:r>
      <w:r w:rsidR="00325DD9">
        <w:rPr>
          <w:rFonts w:ascii="Times New Roman" w:hAnsi="Times New Roman"/>
          <w:sz w:val="20"/>
          <w:szCs w:val="20"/>
        </w:rPr>
        <w:t>microorganisms</w:t>
      </w:r>
      <w:r w:rsidRPr="004D19FF">
        <w:rPr>
          <w:rFonts w:ascii="Times New Roman" w:hAnsi="Times New Roman"/>
          <w:sz w:val="20"/>
          <w:szCs w:val="20"/>
        </w:rPr>
        <w:t xml:space="preserve"> are also possible </w:t>
      </w:r>
      <w:r w:rsidR="00444646" w:rsidRPr="004D19FF">
        <w:rPr>
          <w:rFonts w:ascii="Times New Roman" w:hAnsi="Times New Roman"/>
          <w:sz w:val="20"/>
          <w:szCs w:val="20"/>
        </w:rPr>
        <w:t>in</w:t>
      </w:r>
      <w:r w:rsidR="00414F8C" w:rsidRPr="004D19FF">
        <w:rPr>
          <w:rFonts w:ascii="Times New Roman" w:hAnsi="Times New Roman"/>
          <w:sz w:val="20"/>
          <w:szCs w:val="20"/>
        </w:rPr>
        <w:t xml:space="preserve"> the presence of yeast</w:t>
      </w:r>
      <w:r w:rsidR="009F424C" w:rsidRPr="004D19FF">
        <w:rPr>
          <w:rFonts w:ascii="Times New Roman" w:hAnsi="Times New Roman"/>
          <w:sz w:val="20"/>
          <w:szCs w:val="20"/>
        </w:rPr>
        <w:t xml:space="preserve"> </w:t>
      </w:r>
      <w:r w:rsidR="009F424C" w:rsidRPr="004D19FF">
        <w:rPr>
          <w:rFonts w:ascii="Times New Roman" w:hAnsi="Times New Roman"/>
          <w:i/>
          <w:sz w:val="20"/>
          <w:szCs w:val="20"/>
        </w:rPr>
        <w:t>S. cerevisiae</w:t>
      </w:r>
      <w:r w:rsidR="009F424C" w:rsidRPr="004D19FF">
        <w:rPr>
          <w:rFonts w:ascii="Times New Roman" w:hAnsi="Times New Roman"/>
          <w:sz w:val="20"/>
          <w:szCs w:val="20"/>
        </w:rPr>
        <w:t xml:space="preserve"> </w:t>
      </w:r>
      <w:r w:rsidR="009D73C0"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K7AT2Hhs","properties":{"formattedCitation":"[63]","plainCitation":"[63]","noteIndex":0},"citationItems":[{"id":"968HXJ10/2JkrZEFf","uris":["http://www.mendeley.com/documents/?uuid=5388fd0b-8be2-4048-b0a6-0c9261a0e452"],"uri":["http://www.mendeley.com/documents/?uuid=5388fd0b-8be2-4048-b0a6-0c9261a0e452"],"itemData":{"DOI":"10.1016/j.cbpa.2013.03.036","ISSN":"13675931","abstract":"Replacement of conventional transportation fuels with biofuels will require production of compounds that can cover the complete fuel spectrum, ranging from gasoline to kerosene. Advanced biofuels are expected to play an important role in replacing fossil fuels because they have improved properties compared with ethanol and some of these may have the energy density required for use in heavy duty vehicles, ships, and aviation. Moreover, advanced biofuels can be used as drop-in fuels in existing internal combustion engines. The yeast cell factory Saccharomyces cerevisiae can be turned into a producer of higher alcohols (1-butanol and isobutanol), sesquiterpenes (farnesene and bisabolene), and fatty acid ethyl esters (biodiesel), and here we discusses progress in metabolic engineering of S. cerevisiae for production of these advanced biofuels. © 2013 Elsevier Ltd.","author":[{"dropping-particle":"","family":"Buijs","given":"Nicolaas A.","non-dropping-particle":"","parse-names":false,"suffix":""},{"dropping-particle":"","family":"Siewers","given":"Verena","non-dropping-particle":"","parse-names":false,"suffix":""},{"dropping-particle":"","family":"Nielsen","given":"Jens","non-dropping-particle":"","parse-names":false,"suffix":""}],"container-title":"Current Opinion in Chemical Biology","id":"ITEM-1","issue":"3","issued":{"date-parts":[["2013"]]},"page":"480-488","publisher":"Elsevier Ltd","title":"Advanced biofuel production by the yeast saccharomyces cerevisiae","type":"article-journal","volume":"17"}}],"schema":"https://github.com/citation-style-language/schema/raw/master/csl-citation.json"} </w:instrText>
      </w:r>
      <w:r w:rsidR="009D73C0" w:rsidRPr="004D19FF">
        <w:rPr>
          <w:rFonts w:ascii="Times New Roman" w:hAnsi="Times New Roman"/>
          <w:sz w:val="20"/>
          <w:szCs w:val="20"/>
        </w:rPr>
        <w:fldChar w:fldCharType="separate"/>
      </w:r>
      <w:r w:rsidR="00CA240D" w:rsidRPr="00CA240D">
        <w:rPr>
          <w:rFonts w:ascii="Times New Roman" w:hAnsi="Times New Roman" w:cs="Times New Roman"/>
          <w:sz w:val="20"/>
        </w:rPr>
        <w:t>[63]</w:t>
      </w:r>
      <w:r w:rsidR="009D73C0" w:rsidRPr="004D19FF">
        <w:rPr>
          <w:rFonts w:ascii="Times New Roman" w:hAnsi="Times New Roman"/>
          <w:sz w:val="20"/>
          <w:szCs w:val="20"/>
        </w:rPr>
        <w:fldChar w:fldCharType="end"/>
      </w:r>
      <w:r w:rsidR="00307630" w:rsidRPr="004D19FF">
        <w:rPr>
          <w:rFonts w:ascii="Times New Roman" w:hAnsi="Times New Roman"/>
          <w:sz w:val="20"/>
          <w:szCs w:val="20"/>
        </w:rPr>
        <w:t xml:space="preserve"> </w:t>
      </w:r>
      <w:r w:rsidR="00D97B5D" w:rsidRPr="004D19FF">
        <w:rPr>
          <w:rFonts w:ascii="Times New Roman" w:hAnsi="Times New Roman"/>
          <w:sz w:val="20"/>
          <w:szCs w:val="20"/>
        </w:rPr>
        <w:t>or engineered yeast (details in SM</w:t>
      </w:r>
      <w:r w:rsidR="00320E9F">
        <w:rPr>
          <w:rFonts w:ascii="Times New Roman" w:hAnsi="Times New Roman"/>
          <w:sz w:val="20"/>
          <w:szCs w:val="20"/>
        </w:rPr>
        <w:t>1</w:t>
      </w:r>
      <w:r w:rsidR="00D97B5D" w:rsidRPr="004D19FF">
        <w:rPr>
          <w:rFonts w:ascii="Times New Roman" w:hAnsi="Times New Roman"/>
          <w:sz w:val="20"/>
          <w:szCs w:val="20"/>
        </w:rPr>
        <w:t>)</w:t>
      </w:r>
      <w:r w:rsidR="009F424C" w:rsidRPr="004D19FF">
        <w:rPr>
          <w:rFonts w:ascii="Times New Roman" w:hAnsi="Times New Roman"/>
          <w:sz w:val="20"/>
          <w:szCs w:val="20"/>
        </w:rPr>
        <w:t xml:space="preserve">. </w:t>
      </w:r>
      <w:r w:rsidR="00976A06" w:rsidRPr="004D19FF">
        <w:rPr>
          <w:rFonts w:ascii="Times New Roman" w:hAnsi="Times New Roman"/>
          <w:sz w:val="20"/>
          <w:szCs w:val="20"/>
        </w:rPr>
        <w:t>F</w:t>
      </w:r>
      <w:r w:rsidR="00E91A7F" w:rsidRPr="004D19FF">
        <w:rPr>
          <w:rFonts w:ascii="Times New Roman" w:hAnsi="Times New Roman"/>
          <w:sz w:val="20"/>
          <w:szCs w:val="20"/>
        </w:rPr>
        <w:t xml:space="preserve">ermentation temperatures </w:t>
      </w:r>
      <w:r w:rsidR="00976A06" w:rsidRPr="004D19FF">
        <w:rPr>
          <w:rFonts w:ascii="Times New Roman" w:hAnsi="Times New Roman"/>
          <w:sz w:val="20"/>
          <w:szCs w:val="20"/>
        </w:rPr>
        <w:t>from</w:t>
      </w:r>
      <w:r w:rsidR="00E91A7F" w:rsidRPr="004D19FF">
        <w:rPr>
          <w:rFonts w:ascii="Times New Roman" w:hAnsi="Times New Roman"/>
          <w:sz w:val="20"/>
          <w:szCs w:val="20"/>
        </w:rPr>
        <w:t xml:space="preserve"> 20 </w:t>
      </w:r>
      <w:r w:rsidR="00E91A7F" w:rsidRPr="004D19FF">
        <w:rPr>
          <w:rFonts w:ascii="Times New Roman" w:hAnsi="Times New Roman" w:cs="Times New Roman"/>
          <w:sz w:val="20"/>
          <w:szCs w:val="20"/>
        </w:rPr>
        <w:t>°</w:t>
      </w:r>
      <w:r w:rsidR="00E91A7F" w:rsidRPr="004D19FF">
        <w:rPr>
          <w:rFonts w:ascii="Times New Roman" w:hAnsi="Times New Roman"/>
          <w:sz w:val="20"/>
          <w:szCs w:val="20"/>
        </w:rPr>
        <w:t xml:space="preserve">C to 95 </w:t>
      </w:r>
      <w:r w:rsidR="00E91A7F" w:rsidRPr="004D19FF">
        <w:rPr>
          <w:rFonts w:ascii="Times New Roman" w:hAnsi="Times New Roman" w:cs="Times New Roman"/>
          <w:sz w:val="20"/>
          <w:szCs w:val="20"/>
        </w:rPr>
        <w:t>°</w:t>
      </w:r>
      <w:r w:rsidR="00E91A7F" w:rsidRPr="004D19FF">
        <w:rPr>
          <w:rFonts w:ascii="Times New Roman" w:hAnsi="Times New Roman"/>
          <w:sz w:val="20"/>
          <w:szCs w:val="20"/>
        </w:rPr>
        <w:t xml:space="preserve">C </w:t>
      </w:r>
      <w:r w:rsidR="00976A06" w:rsidRPr="004D19FF">
        <w:rPr>
          <w:rFonts w:ascii="Times New Roman" w:hAnsi="Times New Roman"/>
          <w:sz w:val="20"/>
          <w:szCs w:val="20"/>
        </w:rPr>
        <w:t xml:space="preserve">are reported, </w:t>
      </w:r>
      <w:r w:rsidR="00E91A7F" w:rsidRPr="004D19FF">
        <w:rPr>
          <w:rFonts w:ascii="Times New Roman" w:hAnsi="Times New Roman"/>
          <w:sz w:val="20"/>
          <w:szCs w:val="20"/>
        </w:rPr>
        <w:t xml:space="preserve">depending upon </w:t>
      </w:r>
      <w:r w:rsidR="00587753" w:rsidRPr="004D19FF">
        <w:rPr>
          <w:rFonts w:ascii="Times New Roman" w:hAnsi="Times New Roman"/>
          <w:sz w:val="20"/>
          <w:szCs w:val="20"/>
        </w:rPr>
        <w:t xml:space="preserve">the </w:t>
      </w:r>
      <w:r w:rsidR="00EE2A41" w:rsidRPr="004D19FF">
        <w:rPr>
          <w:rFonts w:ascii="Times New Roman" w:hAnsi="Times New Roman"/>
          <w:sz w:val="20"/>
          <w:szCs w:val="20"/>
        </w:rPr>
        <w:t>microorganisms used</w:t>
      </w:r>
      <w:r w:rsidR="00E91A7F" w:rsidRPr="004D19FF">
        <w:rPr>
          <w:rFonts w:ascii="Times New Roman" w:hAnsi="Times New Roman"/>
          <w:sz w:val="20"/>
          <w:szCs w:val="20"/>
        </w:rPr>
        <w:t xml:space="preserve"> </w:t>
      </w:r>
      <w:r w:rsidR="00F029ED"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1fjYsS8","properties":{"formattedCitation":"[60,63\\uc0\\u8211{}65]","plainCitation":"[60,63–65]","noteIndex":0},"citationItems":[{"id":"968HXJ10/ZNoMDfB3","uris":["http://www.mendeley.com/documents/?uuid=43df3a02-381c-41d0-8507-7e9b011d2187"],"uri":["http://www.mendeley.com/documents/?uuid=43df3a02-381c-41d0-8507-7e9b011d2187"],"itemData":{"abstract":"This invention is directed to methods for recovery of C3-C6 alcohols from dilute aqueous solutions, such as fermentation broths. Such methods provide improved volumetric produc tivity for the fermentation and allows recovery of the alcohol. Such methods also allow for reduced energy use in the pro duction and drying of spent fermentation broth due to increased effective concentration of the alcohol product by the simultaneous fermentation and recovery process which increases the quantity of alcohol produced and recovered per quantity of fermentation broth dried. Thus, the invention allows for production and recovery of C3-C6 alcohols at low capital and reduced operating costs.","author":[{"dropping-particle":"","family":"Evanko","given":"W. A.","non-dropping-particle":"","parse-names":false,"suffix":""},{"dropping-particle":"","family":"Eyal","given":"A.M.","non-dropping-particle":"","parse-names":false,"suffix":""},{"dropping-particle":"","family":"Glassner","given":"D. A.","non-dropping-particle":"","parse-names":false,"suffix":""},{"dropping-particle":"","family":"Miao","given":"F.","non-dropping-particle":"","parse-names":false,"suffix":""},{"dropping-particle":"","family":"Aristidou","given":"A. A.","non-dropping-particle":"","parse-names":false,"suffix":""},{"dropping-particle":"","family":"Evans","given":"K.","non-dropping-particle":"","parse-names":false,"suffix":""},{"dropping-particle":"","family":"Gruber","given":"P. R.","non-dropping-particle":"","parse-names":false,"suffix":""},{"dropping-particle":"","family":"Hawkins","given":"A. C.","non-dropping-particle":"","parse-names":false,"suffix":""}],"id":"ITEM-1","issued":{"date-parts":[["2012"]]},"number":"US 8,101,808 B2","publisher-place":"Englewood, CO (US)","title":"Recovery of higher alcohols from dilute aqueous solutions","type":"patent"}},{"id":"968HXJ10/2JkrZEFf","uris":["http://www.mendeley.com/documents/?uuid=5388fd0b-8be2-4048-b0a6-0c9261a0e452"],"uri":["http://www.mendeley.com/documents/?uuid=5388fd0b-8be2-4048-b0a6-0c9261a0e452"],"itemData":{"DOI":"10.1016/j.cbpa.2013.03.036","ISSN":"13675931","abstract":"Replacement of conventional transportation fuels with biofuels will require production of compounds that can cover the complete fuel spectrum, ranging from gasoline to kerosene. Advanced biofuels are expected to play an important role in replacing fossil fuels because they have improved properties compared with ethanol and some of these may have the energy density required for use in heavy duty vehicles, ships, and aviation. Moreover, advanced biofuels can be used as drop-in fuels in existing internal combustion engines. The yeast cell factory Saccharomyces cerevisiae can be turned into a producer of higher alcohols (1-butanol and isobutanol), sesquiterpenes (farnesene and bisabolene), and fatty acid ethyl esters (biodiesel), and here we discusses progress in metabolic engineering of S. cerevisiae for production of these advanced biofuels. © 2013 Elsevier Ltd.","author":[{"dropping-particle":"","family":"Buijs","given":"Nicolaas A.","non-dropping-particle":"","parse-names":false,"suffix":""},{"dropping-particle":"","family":"Siewers","given":"Verena","non-dropping-particle":"","parse-names":false,"suffix":""},{"dropping-particle":"","family":"Nielsen","given":"Jens","non-dropping-particle":"","parse-names":false,"suffix":""}],"container-title":"Current Opinion in Chemical Biology","id":"ITEM-2","issue":"3","issued":{"date-parts":[["2013"]]},"page":"480-488","publisher":"Elsevier Ltd","title":"Advanced biofuel production by the yeast saccharomyces cerevisiae","type":"article-journal","volume":"17"}},{"id":"968HXJ10/T0tM2XPD","uris":["http://www.mendeley.com/documents/?uuid=834874d9-4788-4a40-a33c-8912511bcaa8"],"uri":["http://www.mendeley.com/documents/?uuid=834874d9-4788-4a40-a33c-8912511bcaa8"],"itemData":{"DOI":"10.1016/j.apenergy.2014.06.035","ISSN":"03062619","abstract":"This paper presents a new route for biomass derived aviation fuel synthesis by catalytic conversion in aqueous phase. Furfural with the yield of 71% was produced by acid hydrolysis of raw corncob, and hydrogenated to 2-methylfuran with obtaining the yield of 89% over Raney Ni catalyst, both of which were implemented under mild reaction conditions. The hydroxyalkylation/alkylation condensation of 2-methylfuran and furfural to C15 intermediate was conducted by using organic and inorganic acid as the catalyst under the reaction condition of 328K and atmospheric pressure. The maximal 95% of the C15 intermediate was gained when using sulfuric acid as the catalyst. 83% of liquid alkanes (C8C15) yield and more than 90% of C14/C15 selectivity were produced by hydrodeoxygenation of the C15 intermediate over 10wt%Ni/ZrO2-SiO2 catalyst. During the hydrodeoxygenation process, the catalyst showed excellent stability depended on the 110h of time-on-stream test, due to its significantly decreased carbon deposition.","author":[{"dropping-particle":"","family":"Wang","given":"Tiejun","non-dropping-particle":"","parse-names":false,"suffix":""},{"dropping-particle":"","family":"Li","given":"Kai","non-dropping-particle":"","parse-names":false,"suffix":""},{"dropping-particle":"","family":"Liu","given":"Qiying","non-dropping-particle":"","parse-names":false,"suffix":""},{"dropping-particle":"","family":"Zhang","given":"Qing","non-dropping-particle":"","parse-names":false,"suffix":""},{"dropping-particle":"","family":"Qiu","given":"Songbai","non-dropping-particle":"","parse-names":false,"suffix":""},{"dropping-particle":"","family":"Long","given":"Jinxing","non-dropping-particle":"","parse-names":false,"suffix":""},{"dropping-particle":"","family":"Chen","given":"Lungang","non-dropping-particle":"","parse-names":false,"suffix":""},{"dropping-particle":"","family":"Ma","given":"Longlong","non-dropping-particle":"","parse-names":false,"suffix":""},{"dropping-particle":"","family":"Zhang","given":"Qi","non-dropping-particle":"","parse-names":false,"suffix":""}],"container-title":"Applied Energy","id":"ITEM-3","issued":{"date-parts":[["2014"]]},"page":"775-780","publisher":"Elsevier Ltd","title":"Aviation fuel synthesis by catalytic conversion of biomass hydrolysate in aqueous phase","type":"article-journal","volume":"136"}},{"id":"968HXJ10/nPT6zXyr","uris":["http://www.mendeley.com/documents/?uuid=5cb7bac7-51d0-4f2b-afab-b6883b276569"],"uri":["http://www.mendeley.com/documents/?uuid=5cb7bac7-51d0-4f2b-afab-b6883b276569"],"itemData":{"DOI":"10.1016/j.biortech.2013.11.015","ISSN":"18732976","abstract":"Higher alcohols such as n-butanol and n-hexanol have higher energy density than ethanol, are more compatible with current fuel infrastructure, and can be upgraded to jet and diesel fuels. Several organisms are known to convert syngas to ethanol, but very few can produce higher alcohols alone. As a potential solution, mixed culture fermentation between the syngas fermenting Alkalibaculum bacchi strain CP15 and propionic acid producer Clostridium propionicum was studied. The monoculture of CP15 produced only ethanol from syngas without initial addition of organic acids to the fermentation medium. However, the mixed culture produced ethanol, n-propanol and n-butanol from syngas. The addition of propionic acid, butyric acid and hexanoic acid to the mixed culture resulted in a 50% higher conversion efficiency of these acids to their respective alcohols compared to CP15 monoculture. These findings illustrate the great potential of mixed culture syngas fermentation in production of higher alcohols. © 2013 Elsevier Ltd.","author":[{"dropping-particle":"","family":"Liu","given":"Kan","non-dropping-particle":"","parse-names":false,"suffix":""},{"dropping-particle":"","family":"Atiyeh","given":"Hasan K.","non-dropping-particle":"","parse-names":false,"suffix":""},{"dropping-particle":"","family":"Stevenson","given":"Bradley S.","non-dropping-particle":"","parse-names":false,"suffix":""},{"dropping-particle":"","family":"Tanner","given":"Ralph S.","non-dropping-particle":"","parse-names":false,"suffix":""},{"dropping-particle":"","family":"Wilkins","given":"Mark R.","non-dropping-particle":"","parse-names":false,"suffix":""},{"dropping-particle":"","family":"Huhnke","given":"Raymond L.","non-dropping-particle":"","parse-names":false,"suffix":""}],"container-title":"Bioresource Technology","id":"ITEM-4","issued":{"date-parts":[["2014"]]},"page":"337-346","publisher":"Elsevier Ltd","title":"Mixed culture syngas fermentation and conversion of carboxylic acids into alcohols","type":"article-journal","volume":"152"}}],"schema":"https://github.com/citation-style-language/schema/raw/master/csl-citation.json"} </w:instrText>
      </w:r>
      <w:r w:rsidR="00F029ED" w:rsidRPr="004D19FF">
        <w:rPr>
          <w:rFonts w:ascii="Times New Roman" w:hAnsi="Times New Roman"/>
          <w:sz w:val="20"/>
          <w:szCs w:val="20"/>
        </w:rPr>
        <w:fldChar w:fldCharType="separate"/>
      </w:r>
      <w:r w:rsidR="00CA240D" w:rsidRPr="00CA240D">
        <w:rPr>
          <w:rFonts w:ascii="Times New Roman" w:hAnsi="Times New Roman" w:cs="Times New Roman"/>
          <w:sz w:val="20"/>
          <w:szCs w:val="24"/>
        </w:rPr>
        <w:t>[60,63–65]</w:t>
      </w:r>
      <w:r w:rsidR="00F029ED" w:rsidRPr="004D19FF">
        <w:rPr>
          <w:rFonts w:ascii="Times New Roman" w:hAnsi="Times New Roman"/>
          <w:sz w:val="20"/>
          <w:szCs w:val="20"/>
        </w:rPr>
        <w:fldChar w:fldCharType="end"/>
      </w:r>
      <w:r w:rsidR="00307630" w:rsidRPr="004D19FF">
        <w:rPr>
          <w:rFonts w:ascii="Times New Roman" w:hAnsi="Times New Roman"/>
          <w:sz w:val="20"/>
          <w:szCs w:val="20"/>
        </w:rPr>
        <w:t>.</w:t>
      </w:r>
      <w:r w:rsidR="00E91A7F" w:rsidRPr="004D19FF">
        <w:rPr>
          <w:rFonts w:ascii="Times New Roman" w:hAnsi="Times New Roman"/>
          <w:sz w:val="20"/>
          <w:szCs w:val="20"/>
        </w:rPr>
        <w:t xml:space="preserve"> </w:t>
      </w:r>
      <w:r w:rsidR="006B3B52" w:rsidRPr="004D19FF">
        <w:rPr>
          <w:rFonts w:ascii="Times New Roman" w:hAnsi="Times New Roman"/>
          <w:sz w:val="20"/>
          <w:szCs w:val="20"/>
        </w:rPr>
        <w:t>After the fermentation</w:t>
      </w:r>
      <w:r w:rsidR="006D4B39" w:rsidRPr="004D19FF">
        <w:rPr>
          <w:rFonts w:ascii="Times New Roman" w:hAnsi="Times New Roman"/>
          <w:sz w:val="20"/>
          <w:szCs w:val="20"/>
        </w:rPr>
        <w:t xml:space="preserve">, the broth </w:t>
      </w:r>
      <w:r w:rsidR="00587753" w:rsidRPr="004D19FF">
        <w:rPr>
          <w:rFonts w:ascii="Times New Roman" w:hAnsi="Times New Roman"/>
          <w:sz w:val="20"/>
          <w:szCs w:val="20"/>
        </w:rPr>
        <w:t>containing</w:t>
      </w:r>
      <w:r w:rsidR="007D03D8" w:rsidRPr="004D19FF">
        <w:rPr>
          <w:rFonts w:ascii="Times New Roman" w:hAnsi="Times New Roman"/>
          <w:sz w:val="20"/>
          <w:szCs w:val="20"/>
        </w:rPr>
        <w:t xml:space="preserve"> the </w:t>
      </w:r>
      <w:r w:rsidR="00F76F86" w:rsidRPr="004D19FF">
        <w:rPr>
          <w:rFonts w:ascii="Times New Roman" w:hAnsi="Times New Roman"/>
          <w:sz w:val="20"/>
          <w:szCs w:val="20"/>
        </w:rPr>
        <w:t>desired alcohols, microorganis</w:t>
      </w:r>
      <w:r w:rsidR="00796B9D" w:rsidRPr="004D19FF">
        <w:rPr>
          <w:rFonts w:ascii="Times New Roman" w:hAnsi="Times New Roman"/>
          <w:sz w:val="20"/>
          <w:szCs w:val="20"/>
        </w:rPr>
        <w:t xml:space="preserve">ms </w:t>
      </w:r>
      <w:r w:rsidR="00E91A7F" w:rsidRPr="004D19FF">
        <w:rPr>
          <w:rFonts w:ascii="Times New Roman" w:hAnsi="Times New Roman"/>
          <w:sz w:val="20"/>
          <w:szCs w:val="20"/>
        </w:rPr>
        <w:t xml:space="preserve">and </w:t>
      </w:r>
      <w:r w:rsidR="00AA0837" w:rsidRPr="004D19FF">
        <w:rPr>
          <w:rFonts w:ascii="Times New Roman" w:hAnsi="Times New Roman"/>
          <w:sz w:val="20"/>
          <w:szCs w:val="20"/>
        </w:rPr>
        <w:t xml:space="preserve">other organic </w:t>
      </w:r>
      <w:r w:rsidR="007D03D8" w:rsidRPr="004D19FF">
        <w:rPr>
          <w:rFonts w:ascii="Times New Roman" w:hAnsi="Times New Roman"/>
          <w:sz w:val="20"/>
          <w:szCs w:val="20"/>
        </w:rPr>
        <w:t>compounds</w:t>
      </w:r>
      <w:r w:rsidR="00E91A7F" w:rsidRPr="004D19FF">
        <w:rPr>
          <w:rFonts w:ascii="Times New Roman" w:hAnsi="Times New Roman"/>
          <w:sz w:val="20"/>
          <w:szCs w:val="20"/>
        </w:rPr>
        <w:t xml:space="preserve"> </w:t>
      </w:r>
      <w:r w:rsidR="00EE2A41" w:rsidRPr="004D19FF">
        <w:rPr>
          <w:rFonts w:ascii="Times New Roman" w:hAnsi="Times New Roman"/>
          <w:sz w:val="20"/>
          <w:szCs w:val="20"/>
        </w:rPr>
        <w:t xml:space="preserve">is </w:t>
      </w:r>
      <w:r w:rsidR="00296462" w:rsidRPr="004D19FF">
        <w:rPr>
          <w:rFonts w:ascii="Times New Roman" w:hAnsi="Times New Roman"/>
          <w:sz w:val="20"/>
          <w:szCs w:val="20"/>
        </w:rPr>
        <w:t>separated int</w:t>
      </w:r>
      <w:r w:rsidR="00587753" w:rsidRPr="004D19FF">
        <w:rPr>
          <w:rFonts w:ascii="Times New Roman" w:hAnsi="Times New Roman"/>
          <w:sz w:val="20"/>
          <w:szCs w:val="20"/>
        </w:rPr>
        <w:t xml:space="preserve">o an alcoholic fraction and </w:t>
      </w:r>
      <w:r w:rsidR="00296462" w:rsidRPr="004D19FF">
        <w:rPr>
          <w:rFonts w:ascii="Times New Roman" w:hAnsi="Times New Roman"/>
          <w:sz w:val="20"/>
          <w:szCs w:val="20"/>
        </w:rPr>
        <w:t>distiller grain</w:t>
      </w:r>
      <w:r w:rsidR="00587753" w:rsidRPr="004D19FF">
        <w:rPr>
          <w:rFonts w:ascii="Times New Roman" w:hAnsi="Times New Roman"/>
          <w:sz w:val="20"/>
          <w:szCs w:val="20"/>
        </w:rPr>
        <w:t>s</w:t>
      </w:r>
      <w:r w:rsidR="00296462" w:rsidRPr="004D19FF">
        <w:rPr>
          <w:rFonts w:ascii="Times New Roman" w:hAnsi="Times New Roman"/>
          <w:sz w:val="20"/>
          <w:szCs w:val="20"/>
        </w:rPr>
        <w:t xml:space="preserve"> (by e.g. memb</w:t>
      </w:r>
      <w:r w:rsidR="00A45F13" w:rsidRPr="004D19FF">
        <w:rPr>
          <w:rFonts w:ascii="Times New Roman" w:hAnsi="Times New Roman"/>
          <w:sz w:val="20"/>
          <w:szCs w:val="20"/>
        </w:rPr>
        <w:t xml:space="preserve">rane separations, distillation, </w:t>
      </w:r>
      <w:r w:rsidR="00296462" w:rsidRPr="004D19FF">
        <w:rPr>
          <w:rFonts w:ascii="Times New Roman" w:hAnsi="Times New Roman"/>
          <w:sz w:val="20"/>
          <w:szCs w:val="20"/>
        </w:rPr>
        <w:t>solid/liquid separation, etc.)</w:t>
      </w:r>
      <w:r w:rsidR="003D24F0" w:rsidRPr="004D19FF">
        <w:rPr>
          <w:rFonts w:ascii="Times New Roman" w:hAnsi="Times New Roman"/>
          <w:sz w:val="20"/>
          <w:szCs w:val="20"/>
        </w:rPr>
        <w:t xml:space="preserve"> </w:t>
      </w:r>
      <w:r w:rsidR="00FD2A6B"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Eu25Q9ap","properties":{"formattedCitation":"[60]","plainCitation":"[60]","noteIndex":0},"citationItems":[{"id":"968HXJ10/ZNoMDfB3","uris":["http://www.mendeley.com/documents/?uuid=43df3a02-381c-41d0-8507-7e9b011d2187"],"uri":["http://www.mendeley.com/documents/?uuid=43df3a02-381c-41d0-8507-7e9b011d2187"],"itemData":{"abstract":"This invention is directed to methods for recovery of C3-C6 alcohols from dilute aqueous solutions, such as fermentation broths. Such methods provide improved volumetric produc tivity for the fermentation and allows recovery of the alcohol. Such methods also allow for reduced energy use in the pro duction and drying of spent fermentation broth due to increased effective concentration of the alcohol product by the simultaneous fermentation and recovery process which increases the quantity of alcohol produced and recovered per quantity of fermentation broth dried. Thus, the invention allows for production and recovery of C3-C6 alcohols at low capital and reduced operating costs.","author":[{"dropping-particle":"","family":"Evanko","given":"W. A.","non-dropping-particle":"","parse-names":false,"suffix":""},{"dropping-particle":"","family":"Eyal","given":"A.M.","non-dropping-particle":"","parse-names":false,"suffix":""},{"dropping-particle":"","family":"Glassner","given":"D. A.","non-dropping-particle":"","parse-names":false,"suffix":""},{"dropping-particle":"","family":"Miao","given":"F.","non-dropping-particle":"","parse-names":false,"suffix":""},{"dropping-particle":"","family":"Aristidou","given":"A. A.","non-dropping-particle":"","parse-names":false,"suffix":""},{"dropping-particle":"","family":"Evans","given":"K.","non-dropping-particle":"","parse-names":false,"suffix":""},{"dropping-particle":"","family":"Gruber","given":"P. R.","non-dropping-particle":"","parse-names":false,"suffix":""},{"dropping-particle":"","family":"Hawkins","given":"A. C.","non-dropping-particle":"","parse-names":false,"suffix":""}],"id":"ITEM-1","issued":{"date-parts":[["2012"]]},"number":"US 8,101,808 B2","publisher-place":"Englewood, CO (US)","title":"Recovery of higher alcohols from dilute aqueous solutions","type":"patent"}}],"schema":"https://github.com/citation-style-language/schema/raw/master/csl-citation.json"} </w:instrText>
      </w:r>
      <w:r w:rsidR="00FD2A6B" w:rsidRPr="004D19FF">
        <w:rPr>
          <w:rFonts w:ascii="Times New Roman" w:hAnsi="Times New Roman"/>
          <w:sz w:val="20"/>
          <w:szCs w:val="20"/>
        </w:rPr>
        <w:fldChar w:fldCharType="separate"/>
      </w:r>
      <w:r w:rsidR="00CA240D" w:rsidRPr="00CA240D">
        <w:rPr>
          <w:rFonts w:ascii="Times New Roman" w:hAnsi="Times New Roman" w:cs="Times New Roman"/>
          <w:sz w:val="20"/>
        </w:rPr>
        <w:t>[60]</w:t>
      </w:r>
      <w:r w:rsidR="00FD2A6B" w:rsidRPr="004D19FF">
        <w:rPr>
          <w:rFonts w:ascii="Times New Roman" w:hAnsi="Times New Roman"/>
          <w:sz w:val="20"/>
          <w:szCs w:val="20"/>
        </w:rPr>
        <w:fldChar w:fldCharType="end"/>
      </w:r>
      <w:r w:rsidR="006D4B39" w:rsidRPr="004D19FF">
        <w:rPr>
          <w:rFonts w:ascii="Times New Roman" w:hAnsi="Times New Roman"/>
          <w:sz w:val="20"/>
          <w:szCs w:val="20"/>
        </w:rPr>
        <w:t xml:space="preserve">. </w:t>
      </w:r>
      <w:r w:rsidR="009F424C" w:rsidRPr="004D19FF">
        <w:rPr>
          <w:rFonts w:ascii="Times New Roman" w:hAnsi="Times New Roman"/>
          <w:sz w:val="20"/>
          <w:szCs w:val="20"/>
        </w:rPr>
        <w:t>The alcohol obtained from</w:t>
      </w:r>
      <w:r w:rsidR="00296462" w:rsidRPr="004D19FF">
        <w:rPr>
          <w:rFonts w:ascii="Times New Roman" w:hAnsi="Times New Roman"/>
          <w:sz w:val="20"/>
          <w:szCs w:val="20"/>
        </w:rPr>
        <w:t xml:space="preserve"> the</w:t>
      </w:r>
      <w:r w:rsidR="009E74DE" w:rsidRPr="004D19FF">
        <w:rPr>
          <w:rFonts w:ascii="Times New Roman" w:hAnsi="Times New Roman"/>
          <w:sz w:val="20"/>
          <w:szCs w:val="20"/>
        </w:rPr>
        <w:t xml:space="preserve"> fermentation stage will typically not be pure but consist</w:t>
      </w:r>
      <w:r w:rsidR="00296462" w:rsidRPr="004D19FF">
        <w:rPr>
          <w:rFonts w:ascii="Times New Roman" w:hAnsi="Times New Roman"/>
          <w:sz w:val="20"/>
          <w:szCs w:val="20"/>
        </w:rPr>
        <w:t>s</w:t>
      </w:r>
      <w:r w:rsidR="009C5F9D" w:rsidRPr="004D19FF">
        <w:rPr>
          <w:rFonts w:ascii="Times New Roman" w:hAnsi="Times New Roman"/>
          <w:sz w:val="20"/>
          <w:szCs w:val="20"/>
        </w:rPr>
        <w:t xml:space="preserve"> of a mixture of </w:t>
      </w:r>
      <w:r w:rsidR="009E74DE" w:rsidRPr="004D19FF">
        <w:rPr>
          <w:rFonts w:ascii="Times New Roman" w:hAnsi="Times New Roman"/>
          <w:sz w:val="20"/>
          <w:szCs w:val="20"/>
        </w:rPr>
        <w:t>C</w:t>
      </w:r>
      <w:r w:rsidR="00296462" w:rsidRPr="004D19FF">
        <w:rPr>
          <w:rFonts w:ascii="Times New Roman" w:hAnsi="Times New Roman"/>
          <w:sz w:val="20"/>
          <w:szCs w:val="20"/>
          <w:vertAlign w:val="subscript"/>
        </w:rPr>
        <w:t>2</w:t>
      </w:r>
      <w:r w:rsidR="009E74DE" w:rsidRPr="004D19FF">
        <w:rPr>
          <w:rFonts w:ascii="Times New Roman" w:hAnsi="Times New Roman"/>
          <w:sz w:val="20"/>
          <w:szCs w:val="20"/>
        </w:rPr>
        <w:t>-C</w:t>
      </w:r>
      <w:r w:rsidR="009E74DE" w:rsidRPr="004D19FF">
        <w:rPr>
          <w:rFonts w:ascii="Times New Roman" w:hAnsi="Times New Roman"/>
          <w:sz w:val="20"/>
          <w:szCs w:val="20"/>
          <w:vertAlign w:val="subscript"/>
        </w:rPr>
        <w:t>6</w:t>
      </w:r>
      <w:r w:rsidR="00EC139C" w:rsidRPr="004D19FF">
        <w:rPr>
          <w:rFonts w:ascii="Times New Roman" w:hAnsi="Times New Roman"/>
          <w:sz w:val="20"/>
          <w:szCs w:val="20"/>
        </w:rPr>
        <w:t xml:space="preserve"> alcohols including </w:t>
      </w:r>
      <w:r w:rsidR="00296462" w:rsidRPr="004D19FF">
        <w:rPr>
          <w:rFonts w:ascii="Times New Roman" w:hAnsi="Times New Roman"/>
          <w:sz w:val="20"/>
          <w:szCs w:val="20"/>
        </w:rPr>
        <w:t xml:space="preserve">ethanol, </w:t>
      </w:r>
      <w:r w:rsidR="00670E21" w:rsidRPr="004D19FF">
        <w:rPr>
          <w:rFonts w:ascii="Times New Roman" w:hAnsi="Times New Roman"/>
          <w:sz w:val="20"/>
          <w:szCs w:val="20"/>
        </w:rPr>
        <w:t xml:space="preserve">propanol, </w:t>
      </w:r>
      <w:r w:rsidR="009E74DE" w:rsidRPr="004D19FF">
        <w:rPr>
          <w:rFonts w:ascii="Times New Roman" w:hAnsi="Times New Roman"/>
          <w:sz w:val="20"/>
          <w:szCs w:val="20"/>
        </w:rPr>
        <w:t>butanol</w:t>
      </w:r>
      <w:r w:rsidR="00670E21" w:rsidRPr="004D19FF">
        <w:rPr>
          <w:rFonts w:ascii="Times New Roman" w:hAnsi="Times New Roman"/>
          <w:sz w:val="20"/>
          <w:szCs w:val="20"/>
        </w:rPr>
        <w:t>, isobutanol</w:t>
      </w:r>
      <w:r w:rsidR="00EC139C" w:rsidRPr="004D19FF">
        <w:rPr>
          <w:rFonts w:ascii="Times New Roman" w:hAnsi="Times New Roman"/>
          <w:sz w:val="20"/>
          <w:szCs w:val="20"/>
        </w:rPr>
        <w:t xml:space="preserve"> and pentanol</w:t>
      </w:r>
      <w:r w:rsidR="00F76F86" w:rsidRPr="004D19FF">
        <w:rPr>
          <w:rFonts w:ascii="Times New Roman" w:hAnsi="Times New Roman"/>
          <w:sz w:val="20"/>
          <w:szCs w:val="20"/>
        </w:rPr>
        <w:t xml:space="preserve"> </w:t>
      </w:r>
      <w:r w:rsidR="00F76F86"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gRpCdDD1","properties":{"formattedCitation":"[60]","plainCitation":"[60]","noteIndex":0},"citationItems":[{"id":"968HXJ10/ZNoMDfB3","uris":["http://www.mendeley.com/documents/?uuid=43df3a02-381c-41d0-8507-7e9b011d2187"],"uri":["http://www.mendeley.com/documents/?uuid=43df3a02-381c-41d0-8507-7e9b011d2187"],"itemData":{"abstract":"This invention is directed to methods for recovery of C3-C6 alcohols from dilute aqueous solutions, such as fermentation broths. Such methods provide improved volumetric produc tivity for the fermentation and allows recovery of the alcohol. Such methods also allow for reduced energy use in the pro duction and drying of spent fermentation broth due to increased effective concentration of the alcohol product by the simultaneous fermentation and recovery process which increases the quantity of alcohol produced and recovered per quantity of fermentation broth dried. Thus, the invention allows for production and recovery of C3-C6 alcohols at low capital and reduced operating costs.","author":[{"dropping-particle":"","family":"Evanko","given":"W. A.","non-dropping-particle":"","parse-names":false,"suffix":""},{"dropping-particle":"","family":"Eyal","given":"A.M.","non-dropping-particle":"","parse-names":false,"suffix":""},{"dropping-particle":"","family":"Glassner","given":"D. A.","non-dropping-particle":"","parse-names":false,"suffix":""},{"dropping-particle":"","family":"Miao","given":"F.","non-dropping-particle":"","parse-names":false,"suffix":""},{"dropping-particle":"","family":"Aristidou","given":"A. A.","non-dropping-particle":"","parse-names":false,"suffix":""},{"dropping-particle":"","family":"Evans","given":"K.","non-dropping-particle":"","parse-names":false,"suffix":""},{"dropping-particle":"","family":"Gruber","given":"P. R.","non-dropping-particle":"","parse-names":false,"suffix":""},{"dropping-particle":"","family":"Hawkins","given":"A. C.","non-dropping-particle":"","parse-names":false,"suffix":""}],"id":"ITEM-1","issued":{"date-parts":[["2012"]]},"number":"US 8,101,808 B2","publisher-place":"Englewood, CO (US)","title":"Recovery of higher alcohols from dilute aqueous solutions","type":"patent"}}],"schema":"https://github.com/citation-style-language/schema/raw/master/csl-citation.json"} </w:instrText>
      </w:r>
      <w:r w:rsidR="00F76F86" w:rsidRPr="004D19FF">
        <w:rPr>
          <w:rFonts w:ascii="Times New Roman" w:hAnsi="Times New Roman"/>
          <w:sz w:val="20"/>
          <w:szCs w:val="20"/>
        </w:rPr>
        <w:fldChar w:fldCharType="separate"/>
      </w:r>
      <w:r w:rsidR="00CA240D" w:rsidRPr="00CA240D">
        <w:rPr>
          <w:rFonts w:ascii="Times New Roman" w:hAnsi="Times New Roman" w:cs="Times New Roman"/>
          <w:sz w:val="20"/>
        </w:rPr>
        <w:t>[60]</w:t>
      </w:r>
      <w:r w:rsidR="00F76F86" w:rsidRPr="004D19FF">
        <w:rPr>
          <w:rFonts w:ascii="Times New Roman" w:hAnsi="Times New Roman"/>
          <w:sz w:val="20"/>
          <w:szCs w:val="20"/>
        </w:rPr>
        <w:fldChar w:fldCharType="end"/>
      </w:r>
      <w:r w:rsidR="009E74DE" w:rsidRPr="004D19FF">
        <w:rPr>
          <w:rFonts w:ascii="Times New Roman" w:hAnsi="Times New Roman"/>
          <w:sz w:val="20"/>
          <w:szCs w:val="20"/>
        </w:rPr>
        <w:t xml:space="preserve">. </w:t>
      </w:r>
    </w:p>
    <w:p w14:paraId="52549A95" w14:textId="549C3CDF" w:rsidR="004A2750" w:rsidRPr="004D19FF" w:rsidRDefault="004A2750" w:rsidP="00290530">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t xml:space="preserve">The </w:t>
      </w:r>
      <w:r w:rsidR="00F253AC" w:rsidRPr="004D19FF">
        <w:rPr>
          <w:rFonts w:ascii="Times New Roman" w:hAnsi="Times New Roman" w:cs="Times New Roman"/>
          <w:sz w:val="20"/>
          <w:szCs w:val="20"/>
        </w:rPr>
        <w:t xml:space="preserve">produced </w:t>
      </w:r>
      <w:r w:rsidRPr="004D19FF">
        <w:rPr>
          <w:rFonts w:ascii="Times New Roman" w:hAnsi="Times New Roman" w:cs="Times New Roman"/>
          <w:sz w:val="20"/>
          <w:szCs w:val="20"/>
        </w:rPr>
        <w:t xml:space="preserve">isobutanol is typically converted into </w:t>
      </w:r>
      <w:r w:rsidR="00CC7972" w:rsidRPr="004D19FF">
        <w:rPr>
          <w:rFonts w:ascii="Times New Roman" w:hAnsi="Times New Roman" w:cs="Times New Roman"/>
          <w:sz w:val="20"/>
          <w:szCs w:val="20"/>
        </w:rPr>
        <w:t>iso</w:t>
      </w:r>
      <w:r w:rsidRPr="004D19FF">
        <w:rPr>
          <w:rFonts w:ascii="Times New Roman" w:hAnsi="Times New Roman" w:cs="Times New Roman"/>
          <w:sz w:val="20"/>
          <w:szCs w:val="20"/>
        </w:rPr>
        <w:t xml:space="preserve">butenes in the presence of dehydration catalysts such as inorganic </w:t>
      </w:r>
      <w:r w:rsidR="00350D03" w:rsidRPr="004D19FF">
        <w:rPr>
          <w:rFonts w:ascii="Times New Roman" w:hAnsi="Times New Roman" w:cs="Times New Roman"/>
          <w:sz w:val="20"/>
          <w:szCs w:val="20"/>
        </w:rPr>
        <w:t xml:space="preserve">strong </w:t>
      </w:r>
      <w:r w:rsidRPr="004D19FF">
        <w:rPr>
          <w:rFonts w:ascii="Times New Roman" w:hAnsi="Times New Roman" w:cs="Times New Roman"/>
          <w:sz w:val="20"/>
          <w:szCs w:val="20"/>
        </w:rPr>
        <w:t xml:space="preserve">acids, metal oxides, zeolites, acidic resins, </w:t>
      </w:r>
      <w:r w:rsidR="00350D03" w:rsidRPr="004D19FF">
        <w:rPr>
          <w:rFonts w:ascii="Times New Roman" w:hAnsi="Times New Roman" w:cs="Times New Roman"/>
          <w:sz w:val="20"/>
          <w:szCs w:val="20"/>
        </w:rPr>
        <w:t xml:space="preserve">etc. at </w:t>
      </w:r>
      <w:r w:rsidRPr="004D19FF">
        <w:rPr>
          <w:rFonts w:ascii="Times New Roman" w:hAnsi="Times New Roman" w:cs="Times New Roman"/>
          <w:sz w:val="20"/>
          <w:szCs w:val="20"/>
        </w:rPr>
        <w:t>operating temperature</w:t>
      </w:r>
      <w:r w:rsidR="00F253AC" w:rsidRPr="004D19FF">
        <w:rPr>
          <w:rFonts w:ascii="Times New Roman" w:hAnsi="Times New Roman" w:cs="Times New Roman"/>
          <w:sz w:val="20"/>
          <w:szCs w:val="20"/>
        </w:rPr>
        <w:t>s ranging from</w:t>
      </w:r>
      <w:r w:rsidRPr="004D19FF">
        <w:rPr>
          <w:rFonts w:ascii="Times New Roman" w:hAnsi="Times New Roman" w:cs="Times New Roman"/>
          <w:sz w:val="20"/>
          <w:szCs w:val="20"/>
        </w:rPr>
        <w:t xml:space="preserve"> 250-350 °C. </w:t>
      </w:r>
      <w:r w:rsidR="00296462"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Z9nmXRum","properties":{"formattedCitation":"[57,66]","plainCitation":"[57,66]","noteIndex":0},"citationItems":[{"id":"968HXJ10/eag1qBJD","uris":["http://www.mendeley.com/documents/?uuid=a6f43419-9cfe-4fb8-9324-a63bbd9cd8be"],"uri":["http://www.mendeley.com/documents/?uuid=a6f43419-9cfe-4fb8-9324-a63bbd9cd8be"],"itemData":{"DOI":"10.1007/s11244-010-9567-8","ISSN":"10225528","abstract":"Fermented 2-methyl-1-propanol (isobutanol) can be used directly as a biofuel or can be catalytically dehydrated to 2-methylpropene (isobutylene), which serves as a platform molecule for synthesizing other fuels or chemicals. The dehydration reaction was studied over alumina catalysts to determine the impact of process conditions and model compound impurities from fermentation. No significant impurity effects were observed over short (8 h) timescales and dehydration was demonstrated at high conversion and with high selectivity to isobutylene. © Springer Science+Business Media, LLC 2010.","author":[{"dropping-particle":"","family":"Taylor","given":"Joshua D.","non-dropping-particle":"","parse-names":false,"suffix":""},{"dropping-particle":"","family":"Jenni","given":"Madeline M.","non-dropping-particle":"","parse-names":false,"suffix":""},{"dropping-particle":"","family":"Peters","given":"Matthew W.","non-dropping-particle":"","parse-names":false,"suffix":""}],"container-title":"Topics in Catalysis","id":"ITEM-1","issue":"15-18","issued":{"date-parts":[["2010"]]},"page":"1224-1230","title":"Dehydration of fermented isobutanol for the production of renewable chemicals and fuels","type":"article-journal","volume":"53"}},{"id":"968HXJ10/4ogmcdeq","uris":["http://www.mendeley.com/documents/?uuid=71a3dbf7-49ab-48cf-8942-c5a2054a09bb"],"uri":["http://www.mendeley.com/documents/?uuid=71a3dbf7-49ab-48cf-8942-c5a2054a09bb"],"itemData":{"abstract":"The present invention in its various embodiments is directed to methods for preparing a renewable jet fuel blendstock, and blendstocks prepared by Such methods, comprising ferment ing a biomass-derived feedstock to form one or more C-C, alcohols such as isobutanol, catalytically dehydrate and oli gomerize the alcohols to form higher molecular weight ole fins (e.g., Cs-Colefins), hydrogenating at least a portion of the higher molecular weight olefins to form a renewable jet fuel blendstock comprising C2 and C alkanes which meet or exceed the requirements of ASTM D7566-10a for hydro processed synthesized paraffinic kerosene (SPK).","author":[{"dropping-particle":"","family":"Peters","given":"Matthew W.","non-dropping-particle":"","parse-names":false,"suffix":""},{"dropping-particle":"","family":"Taylor","given":"Joshua D.","non-dropping-particle":"","parse-names":false,"suffix":""}],"id":"ITEM-2","issued":{"date-parts":[["2015"]]},"number":"US8,975,461 B2","page":"1-26","title":"Renewable jet fuel blendstock from isobutanol","type":"patent"}}],"schema":"https://github.com/citation-style-language/schema/raw/master/csl-citation.json"} </w:instrText>
      </w:r>
      <w:r w:rsidR="00296462" w:rsidRPr="004D19FF">
        <w:rPr>
          <w:rFonts w:ascii="Times New Roman" w:hAnsi="Times New Roman" w:cs="Times New Roman"/>
          <w:sz w:val="20"/>
          <w:szCs w:val="20"/>
        </w:rPr>
        <w:fldChar w:fldCharType="separate"/>
      </w:r>
      <w:r w:rsidR="00CA240D" w:rsidRPr="00CA240D">
        <w:rPr>
          <w:rFonts w:ascii="Times New Roman" w:hAnsi="Times New Roman" w:cs="Times New Roman"/>
          <w:sz w:val="20"/>
        </w:rPr>
        <w:t>[57,66]</w:t>
      </w:r>
      <w:r w:rsidR="00296462" w:rsidRPr="004D19FF">
        <w:rPr>
          <w:rFonts w:ascii="Times New Roman" w:hAnsi="Times New Roman" w:cs="Times New Roman"/>
          <w:sz w:val="20"/>
          <w:szCs w:val="20"/>
        </w:rPr>
        <w:fldChar w:fldCharType="end"/>
      </w:r>
      <w:r w:rsidRPr="004D19FF">
        <w:rPr>
          <w:rFonts w:ascii="Times New Roman" w:hAnsi="Times New Roman" w:cs="Times New Roman"/>
          <w:sz w:val="20"/>
          <w:szCs w:val="20"/>
        </w:rPr>
        <w:t xml:space="preserve">. </w:t>
      </w:r>
      <w:r w:rsidR="00F253AC" w:rsidRPr="004D19FF">
        <w:rPr>
          <w:rFonts w:ascii="Times New Roman" w:hAnsi="Times New Roman" w:cs="Times New Roman"/>
          <w:sz w:val="20"/>
          <w:szCs w:val="20"/>
        </w:rPr>
        <w:t>Isobutene monomers are</w:t>
      </w:r>
      <w:r w:rsidRPr="004D19FF">
        <w:rPr>
          <w:rFonts w:ascii="Times New Roman" w:hAnsi="Times New Roman" w:cs="Times New Roman"/>
          <w:sz w:val="20"/>
          <w:szCs w:val="20"/>
        </w:rPr>
        <w:t xml:space="preserve"> oligomerized </w:t>
      </w:r>
      <w:r w:rsidR="00CC7972" w:rsidRPr="004D19FF">
        <w:rPr>
          <w:rFonts w:ascii="Times New Roman" w:hAnsi="Times New Roman" w:cs="Times New Roman"/>
          <w:sz w:val="20"/>
          <w:szCs w:val="20"/>
        </w:rPr>
        <w:t>in the presence of acid</w:t>
      </w:r>
      <w:r w:rsidR="00FC5049">
        <w:rPr>
          <w:rFonts w:ascii="Times New Roman" w:hAnsi="Times New Roman" w:cs="Times New Roman"/>
          <w:sz w:val="20"/>
          <w:szCs w:val="20"/>
        </w:rPr>
        <w:t xml:space="preserve">- or </w:t>
      </w:r>
      <w:r w:rsidR="00CC7972" w:rsidRPr="004D19FF">
        <w:rPr>
          <w:rFonts w:ascii="Times New Roman" w:hAnsi="Times New Roman" w:cs="Times New Roman"/>
          <w:sz w:val="20"/>
          <w:szCs w:val="20"/>
        </w:rPr>
        <w:t>metal-based catalysts</w:t>
      </w:r>
      <w:r w:rsidR="00F253AC" w:rsidRPr="004D19FF">
        <w:rPr>
          <w:rFonts w:ascii="Times New Roman" w:hAnsi="Times New Roman" w:cs="Times New Roman"/>
          <w:sz w:val="20"/>
          <w:szCs w:val="20"/>
        </w:rPr>
        <w:t>, which results in a liquid mixture of longer chains alkenes (C</w:t>
      </w:r>
      <w:r w:rsidR="00F253AC" w:rsidRPr="004D19FF">
        <w:rPr>
          <w:rFonts w:ascii="Times New Roman" w:hAnsi="Times New Roman" w:cs="Times New Roman"/>
          <w:sz w:val="20"/>
          <w:szCs w:val="20"/>
          <w:vertAlign w:val="subscript"/>
        </w:rPr>
        <w:t>10</w:t>
      </w:r>
      <w:r w:rsidR="00F253AC" w:rsidRPr="004D19FF">
        <w:rPr>
          <w:rFonts w:ascii="Times New Roman" w:hAnsi="Times New Roman" w:cs="Times New Roman"/>
          <w:sz w:val="20"/>
          <w:szCs w:val="20"/>
        </w:rPr>
        <w:t>-C</w:t>
      </w:r>
      <w:r w:rsidR="00F253AC" w:rsidRPr="004D19FF">
        <w:rPr>
          <w:rFonts w:ascii="Times New Roman" w:hAnsi="Times New Roman" w:cs="Times New Roman"/>
          <w:sz w:val="20"/>
          <w:szCs w:val="20"/>
          <w:vertAlign w:val="subscript"/>
        </w:rPr>
        <w:t>16</w:t>
      </w:r>
      <w:r w:rsidR="00F253AC" w:rsidRPr="004D19FF">
        <w:rPr>
          <w:rFonts w:ascii="Times New Roman" w:hAnsi="Times New Roman" w:cs="Times New Roman"/>
          <w:sz w:val="20"/>
          <w:szCs w:val="20"/>
        </w:rPr>
        <w:t>) and shorter chains (C</w:t>
      </w:r>
      <w:r w:rsidR="00F253AC" w:rsidRPr="004D19FF">
        <w:rPr>
          <w:rFonts w:ascii="Times New Roman" w:hAnsi="Times New Roman" w:cs="Times New Roman"/>
          <w:sz w:val="20"/>
          <w:szCs w:val="20"/>
          <w:vertAlign w:val="subscript"/>
        </w:rPr>
        <w:t>4</w:t>
      </w:r>
      <w:r w:rsidR="00F253AC" w:rsidRPr="004D19FF">
        <w:rPr>
          <w:rFonts w:ascii="Times New Roman" w:hAnsi="Times New Roman" w:cs="Times New Roman"/>
          <w:sz w:val="20"/>
          <w:szCs w:val="20"/>
        </w:rPr>
        <w:t>-C</w:t>
      </w:r>
      <w:r w:rsidR="00F253AC" w:rsidRPr="004D19FF">
        <w:rPr>
          <w:rFonts w:ascii="Times New Roman" w:hAnsi="Times New Roman" w:cs="Times New Roman"/>
          <w:sz w:val="20"/>
          <w:szCs w:val="20"/>
          <w:vertAlign w:val="subscript"/>
        </w:rPr>
        <w:t>8</w:t>
      </w:r>
      <w:r w:rsidR="00F253AC" w:rsidRPr="004D19FF">
        <w:rPr>
          <w:rFonts w:ascii="Times New Roman" w:hAnsi="Times New Roman" w:cs="Times New Roman"/>
          <w:sz w:val="20"/>
          <w:szCs w:val="20"/>
        </w:rPr>
        <w:t>) ones</w:t>
      </w:r>
      <w:r w:rsidR="00CC7972" w:rsidRPr="004D19FF">
        <w:rPr>
          <w:rFonts w:ascii="Times New Roman" w:hAnsi="Times New Roman" w:cs="Times New Roman"/>
          <w:sz w:val="20"/>
          <w:szCs w:val="20"/>
        </w:rPr>
        <w:t xml:space="preserve">. </w:t>
      </w:r>
      <w:r w:rsidR="00F253AC" w:rsidRPr="004D19FF">
        <w:rPr>
          <w:rFonts w:ascii="Times New Roman" w:hAnsi="Times New Roman" w:cs="Times New Roman"/>
          <w:sz w:val="20"/>
          <w:szCs w:val="20"/>
        </w:rPr>
        <w:t>Shorter chains alkenes are separated and recycled to the oligomerization unit</w:t>
      </w:r>
      <w:r w:rsidRPr="004D19FF">
        <w:rPr>
          <w:rFonts w:ascii="Times New Roman" w:hAnsi="Times New Roman" w:cs="Times New Roman"/>
          <w:sz w:val="20"/>
          <w:szCs w:val="20"/>
        </w:rPr>
        <w:t xml:space="preserve"> </w:t>
      </w:r>
      <w:r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TqlQF5L9","properties":{"formattedCitation":"[57]","plainCitation":"[57]","noteIndex":0},"citationItems":[{"id":"968HXJ10/4ogmcdeq","uris":["http://www.mendeley.com/documents/?uuid=71a3dbf7-49ab-48cf-8942-c5a2054a09bb"],"uri":["http://www.mendeley.com/documents/?uuid=71a3dbf7-49ab-48cf-8942-c5a2054a09bb"],"itemData":{"abstract":"The present invention in its various embodiments is directed to methods for preparing a renewable jet fuel blendstock, and blendstocks prepared by Such methods, comprising ferment ing a biomass-derived feedstock to form one or more C-C, alcohols such as isobutanol, catalytically dehydrate and oli gomerize the alcohols to form higher molecular weight ole fins (e.g., Cs-Colefins), hydrogenating at least a portion of the higher molecular weight olefins to form a renewable jet fuel blendstock comprising C2 and C alkanes which meet or exceed the requirements of ASTM D7566-10a for hydro processed synthesized paraffinic kerosene (SPK).","author":[{"dropping-particle":"","family":"Peters","given":"Matthew W.","non-dropping-particle":"","parse-names":false,"suffix":""},{"dropping-particle":"","family":"Taylor","given":"Joshua D.","non-dropping-particle":"","parse-names":false,"suffix":""}],"id":"ITEM-1","issued":{"date-parts":[["2015"]]},"number":"US8,975,461 B2","page":"1-26","title":"Renewable jet fuel blendstock from isobutanol","type":"patent"}}],"schema":"https://github.com/citation-style-language/schema/raw/master/csl-citation.json"} </w:instrText>
      </w:r>
      <w:r w:rsidRPr="004D19FF">
        <w:rPr>
          <w:rFonts w:ascii="Times New Roman" w:hAnsi="Times New Roman" w:cs="Times New Roman"/>
          <w:sz w:val="20"/>
          <w:szCs w:val="20"/>
        </w:rPr>
        <w:fldChar w:fldCharType="separate"/>
      </w:r>
      <w:r w:rsidR="00CA240D" w:rsidRPr="00CA240D">
        <w:rPr>
          <w:rFonts w:ascii="Times New Roman" w:hAnsi="Times New Roman" w:cs="Times New Roman"/>
          <w:sz w:val="20"/>
        </w:rPr>
        <w:t>[57]</w:t>
      </w:r>
      <w:r w:rsidRPr="004D19FF">
        <w:rPr>
          <w:rFonts w:ascii="Times New Roman" w:hAnsi="Times New Roman" w:cs="Times New Roman"/>
          <w:sz w:val="20"/>
          <w:szCs w:val="20"/>
        </w:rPr>
        <w:fldChar w:fldCharType="end"/>
      </w:r>
      <w:r w:rsidR="00307630" w:rsidRPr="004D19FF">
        <w:rPr>
          <w:rFonts w:ascii="Times New Roman" w:hAnsi="Times New Roman" w:cs="Times New Roman"/>
          <w:sz w:val="20"/>
          <w:szCs w:val="20"/>
        </w:rPr>
        <w:t>.</w:t>
      </w:r>
      <w:r w:rsidRPr="004D19FF">
        <w:rPr>
          <w:rFonts w:ascii="Times New Roman" w:hAnsi="Times New Roman" w:cs="Times New Roman"/>
          <w:sz w:val="20"/>
          <w:szCs w:val="20"/>
        </w:rPr>
        <w:t xml:space="preserve"> The heavier olefin fractions (C</w:t>
      </w:r>
      <w:r w:rsidRPr="004D19FF">
        <w:rPr>
          <w:rFonts w:ascii="Times New Roman" w:hAnsi="Times New Roman" w:cs="Times New Roman"/>
          <w:sz w:val="20"/>
          <w:szCs w:val="20"/>
          <w:vertAlign w:val="subscript"/>
        </w:rPr>
        <w:t>10</w:t>
      </w:r>
      <w:r w:rsidRPr="004D19FF">
        <w:rPr>
          <w:rFonts w:ascii="Times New Roman" w:hAnsi="Times New Roman" w:cs="Times New Roman"/>
          <w:sz w:val="20"/>
          <w:szCs w:val="20"/>
        </w:rPr>
        <w:t>-C</w:t>
      </w:r>
      <w:r w:rsidRPr="004D19FF">
        <w:rPr>
          <w:rFonts w:ascii="Times New Roman" w:hAnsi="Times New Roman" w:cs="Times New Roman"/>
          <w:sz w:val="20"/>
          <w:szCs w:val="20"/>
          <w:vertAlign w:val="subscript"/>
        </w:rPr>
        <w:t>16</w:t>
      </w:r>
      <w:r w:rsidRPr="004D19FF">
        <w:rPr>
          <w:rFonts w:ascii="Times New Roman" w:hAnsi="Times New Roman" w:cs="Times New Roman"/>
          <w:sz w:val="20"/>
          <w:szCs w:val="20"/>
        </w:rPr>
        <w:t xml:space="preserve">) </w:t>
      </w:r>
      <w:r w:rsidR="005152AE" w:rsidRPr="004D19FF">
        <w:rPr>
          <w:rFonts w:ascii="Times New Roman" w:hAnsi="Times New Roman" w:cs="Times New Roman"/>
          <w:sz w:val="20"/>
          <w:szCs w:val="20"/>
        </w:rPr>
        <w:t xml:space="preserve">are </w:t>
      </w:r>
      <w:r w:rsidR="00F253AC" w:rsidRPr="004D19FF">
        <w:rPr>
          <w:rFonts w:ascii="Times New Roman" w:hAnsi="Times New Roman" w:cs="Times New Roman"/>
          <w:sz w:val="20"/>
          <w:szCs w:val="20"/>
        </w:rPr>
        <w:t>then fed to the hydrogenation process (Fig. 4)</w:t>
      </w:r>
      <w:r w:rsidR="00CC7972" w:rsidRPr="004D19FF">
        <w:rPr>
          <w:rFonts w:ascii="Times New Roman" w:hAnsi="Times New Roman" w:cs="Times New Roman"/>
          <w:sz w:val="20"/>
          <w:szCs w:val="20"/>
        </w:rPr>
        <w:t xml:space="preserve"> </w:t>
      </w:r>
      <w:r w:rsidR="00CC7972"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tNUt3DDL","properties":{"formattedCitation":"[67]","plainCitation":"[67]","noteIndex":0},"citationItems":[{"id":"968HXJ10/FzBuluba","uris":["http://www.mendeley.com/documents/?uuid=fe808715-0dfa-41f9-8f2a-957be94bb604"],"uri":["http://www.mendeley.com/documents/?uuid=fe808715-0dfa-41f9-8f2a-957be94bb604"],"itemData":{"DOI":"10.1016/S1381-1169(00)00367-8","ISBN":"6046577888","ISSN":"13811169","abstract":"Polyvinylpyrolidone stabilized Pt colloids with different polymer: Pt ratios with average particle sizes of between 1.4 and 2.9nm and narrow size distribution were found to be active for the hydrogenation of palm olein at 35°C and atmospheric pressure. The initial hydrogen consumption rate was high, corresponding to the hydrogenation of the linoleate and slowed down thereafter, corresponding to the oleate hydrogenation. The rate constants for the two competing reactions were determined and the selectivity calculated to be between 10 and 100. The particle size of the Pt clusters influences the rate of the diene much more significantly than the monoene. The smaller the average particle size, the higher is the rate for the diene and hence the higher the selectivity. The trans-isomer formation was comparative low and was found to be a consequence of the partial saturation of the diene rather than the isomerization of the monoene. © 2001 Elsevier Science B.V.","author":[{"dropping-particle":"","family":"Choo","given":"H. P.","non-dropping-particle":"","parse-names":false,"suffix":""},{"dropping-particle":"","family":"Liew","given":"K. Y.","non-dropping-particle":"","parse-names":false,"suffix":""},{"dropping-particle":"","family":"Liu","given":"H. F.","non-dropping-particle":"","parse-names":false,"suffix":""},{"dropping-particle":"","family":"Seng","given":"C. E.","non-dropping-particle":"","parse-names":false,"suffix":""}],"container-title":"Journal of Molecular Catalysis A: Chemical","id":"ITEM-1","issue":"1-2","issued":{"date-parts":[["2001"]]},"page":"127-134","title":"Hydrogenation of palm olein catalyzed by polymer stabilized Pt colloids","type":"article-journal","volume":"165"}}],"schema":"https://github.com/citation-style-language/schema/raw/master/csl-citation.json"} </w:instrText>
      </w:r>
      <w:r w:rsidR="00CC7972" w:rsidRPr="004D19FF">
        <w:rPr>
          <w:rFonts w:ascii="Times New Roman" w:hAnsi="Times New Roman" w:cs="Times New Roman"/>
          <w:sz w:val="20"/>
          <w:szCs w:val="20"/>
        </w:rPr>
        <w:fldChar w:fldCharType="separate"/>
      </w:r>
      <w:r w:rsidR="00CA240D" w:rsidRPr="00CA240D">
        <w:rPr>
          <w:rFonts w:ascii="Times New Roman" w:hAnsi="Times New Roman" w:cs="Times New Roman"/>
          <w:sz w:val="20"/>
        </w:rPr>
        <w:t>[67]</w:t>
      </w:r>
      <w:r w:rsidR="00CC7972" w:rsidRPr="004D19FF">
        <w:rPr>
          <w:rFonts w:ascii="Times New Roman" w:hAnsi="Times New Roman" w:cs="Times New Roman"/>
          <w:sz w:val="20"/>
          <w:szCs w:val="20"/>
        </w:rPr>
        <w:fldChar w:fldCharType="end"/>
      </w:r>
      <w:r w:rsidR="00307630" w:rsidRPr="004D19FF">
        <w:rPr>
          <w:rFonts w:ascii="Times New Roman" w:hAnsi="Times New Roman" w:cs="Times New Roman"/>
          <w:sz w:val="20"/>
          <w:szCs w:val="20"/>
        </w:rPr>
        <w:t xml:space="preserve">. </w:t>
      </w:r>
      <w:r w:rsidRPr="004D19FF">
        <w:rPr>
          <w:rFonts w:ascii="Times New Roman" w:hAnsi="Times New Roman" w:cs="Times New Roman"/>
          <w:sz w:val="20"/>
          <w:szCs w:val="20"/>
        </w:rPr>
        <w:t xml:space="preserve">The </w:t>
      </w:r>
      <w:r w:rsidR="00CC7972" w:rsidRPr="004D19FF">
        <w:rPr>
          <w:rFonts w:ascii="Times New Roman" w:hAnsi="Times New Roman" w:cs="Times New Roman"/>
          <w:sz w:val="20"/>
          <w:szCs w:val="20"/>
        </w:rPr>
        <w:t>hydrogenated hydrocarbons are</w:t>
      </w:r>
      <w:r w:rsidR="00750486" w:rsidRPr="004D19FF">
        <w:rPr>
          <w:rFonts w:ascii="Times New Roman" w:hAnsi="Times New Roman" w:cs="Times New Roman"/>
          <w:sz w:val="20"/>
          <w:szCs w:val="20"/>
        </w:rPr>
        <w:t xml:space="preserve"> distill</w:t>
      </w:r>
      <w:r w:rsidRPr="004D19FF">
        <w:rPr>
          <w:rFonts w:ascii="Times New Roman" w:hAnsi="Times New Roman" w:cs="Times New Roman"/>
          <w:sz w:val="20"/>
          <w:szCs w:val="20"/>
        </w:rPr>
        <w:t xml:space="preserve">ed </w:t>
      </w:r>
      <w:r w:rsidR="00750486" w:rsidRPr="004D19FF">
        <w:rPr>
          <w:rFonts w:ascii="Times New Roman" w:hAnsi="Times New Roman" w:cs="Times New Roman"/>
          <w:sz w:val="20"/>
          <w:szCs w:val="20"/>
        </w:rPr>
        <w:t xml:space="preserve">into distinct fractions, </w:t>
      </w:r>
      <w:r w:rsidR="00F253AC" w:rsidRPr="004D19FF">
        <w:rPr>
          <w:rFonts w:ascii="Times New Roman" w:hAnsi="Times New Roman"/>
          <w:sz w:val="20"/>
          <w:szCs w:val="20"/>
        </w:rPr>
        <w:t>namely</w:t>
      </w:r>
      <w:r w:rsidR="00750486" w:rsidRPr="004D19FF">
        <w:rPr>
          <w:rFonts w:ascii="Times New Roman" w:hAnsi="Times New Roman"/>
          <w:sz w:val="20"/>
          <w:szCs w:val="20"/>
        </w:rPr>
        <w:t xml:space="preserve"> the alcohol-to-jet </w:t>
      </w:r>
      <w:r w:rsidR="003B6D03" w:rsidRPr="004D19FF">
        <w:rPr>
          <w:rFonts w:ascii="Times New Roman" w:hAnsi="Times New Roman"/>
          <w:sz w:val="20"/>
          <w:szCs w:val="20"/>
        </w:rPr>
        <w:t>SPK</w:t>
      </w:r>
      <w:r w:rsidRPr="004D19FF">
        <w:rPr>
          <w:rFonts w:ascii="Times New Roman" w:hAnsi="Times New Roman"/>
          <w:sz w:val="20"/>
          <w:szCs w:val="20"/>
        </w:rPr>
        <w:t xml:space="preserve"> (ATJ-SPK) </w:t>
      </w:r>
      <w:r w:rsidR="00844B8E" w:rsidRPr="004D19FF">
        <w:rPr>
          <w:rFonts w:ascii="Times New Roman" w:hAnsi="Times New Roman"/>
          <w:sz w:val="20"/>
          <w:szCs w:val="20"/>
        </w:rPr>
        <w:t xml:space="preserve">along with </w:t>
      </w:r>
      <w:r w:rsidR="001E015B">
        <w:rPr>
          <w:rFonts w:ascii="Times New Roman" w:hAnsi="Times New Roman"/>
          <w:sz w:val="20"/>
          <w:szCs w:val="20"/>
        </w:rPr>
        <w:t xml:space="preserve">an </w:t>
      </w:r>
      <w:r w:rsidR="00844B8E" w:rsidRPr="004D19FF">
        <w:rPr>
          <w:rFonts w:ascii="Times New Roman" w:hAnsi="Times New Roman"/>
          <w:sz w:val="20"/>
          <w:szCs w:val="20"/>
        </w:rPr>
        <w:t xml:space="preserve">isooctane co-product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xOf50Qza","properties":{"formattedCitation":"[68]","plainCitation":"[68]","noteIndex":0},"citationItems":[{"id":"968HXJ10/c8vL3gv8","uris":["http://www.mendeley.com/documents/?uuid=d3170ee7-9a96-4de7-ac8e-4eb3e1417bdc"],"uri":["http://www.mendeley.com/documents/?uuid=d3170ee7-9a96-4de7-ac8e-4eb3e1417bdc"],"itemData":{"DOI":"10.1016/j.fuel.2019.06.007","ISSN":"00162361","abstract":"Due to excessive greenhouse gas emissions and high dependence on traditional petroleum jet fuel, the sustainable development of the aviation industry has drawn increasing attention worldwide. One of the most promising strategies is to develop and industrialize alternative aviation fuels produced from renewable resources, e.g. biomass. Renewable bio-jet fuel has the potential to reduce CO2 emissions over their life cycle, which make bio-jet fuels an attractive substitution for aviation fuels. This paper provided an overview on the conversion technologies, economic assessment, environmental influence and development status of bio-jet fuels. The results suggested that hydrogenated esters and fatty acids, and Fischer-Tropsch synthesis can be the most promising technologies for bio-jet fuels production in near term. Future works, such as searching for more suitable feedstock, improving competitiveness for alternative jet fuels, meeting emission reduction targets in large-scale production and making measures for the indirect impact are needed for further investigation. The large-scale deployment of bio-jet fuels could achieve significant potentials of both bio-jet fuels production and CO2 emissions reduction based on future available biomass feedstock.","author":[{"dropping-particle":"","family":"Wei","given":"Hongjian","non-dropping-particle":"","parse-names":false,"suffix":""},{"dropping-particle":"","family":"Liu","given":"Wenzhi","non-dropping-particle":"","parse-names":false,"suffix":""},{"dropping-particle":"","family":"Chen","given":"Xinyu","non-dropping-particle":"","parse-names":false,"suffix":""},{"dropping-particle":"","family":"Yang","given":"Qing","non-dropping-particle":"","parse-names":false,"suffix":""},{"dropping-particle":"","family":"Li","given":"Jiashuo","non-dropping-particle":"","parse-names":false,"suffix":""},{"dropping-particle":"","family":"Chen","given":"Hanping","non-dropping-particle":"","parse-names":false,"suffix":""}],"container-title":"Fuel","id":"ITEM-1","issue":"June","issued":{"date-parts":[["2019"]]},"title":"Renewable bio-jet fuel production for aviation: A review","type":"article-journal","volume":"254"}}],"schema":"https://github.com/citation-style-language/schema/raw/master/csl-citation.json"} </w:instrText>
      </w:r>
      <w:r w:rsidRPr="004D19FF">
        <w:rPr>
          <w:rFonts w:ascii="Times New Roman" w:hAnsi="Times New Roman"/>
          <w:sz w:val="20"/>
          <w:szCs w:val="20"/>
        </w:rPr>
        <w:fldChar w:fldCharType="separate"/>
      </w:r>
      <w:r w:rsidR="00CA240D" w:rsidRPr="00CA240D">
        <w:rPr>
          <w:rFonts w:ascii="Times New Roman" w:hAnsi="Times New Roman" w:cs="Times New Roman"/>
          <w:sz w:val="20"/>
        </w:rPr>
        <w:t>[68]</w:t>
      </w:r>
      <w:r w:rsidRPr="004D19FF">
        <w:rPr>
          <w:rFonts w:ascii="Times New Roman" w:hAnsi="Times New Roman"/>
          <w:sz w:val="20"/>
          <w:szCs w:val="20"/>
        </w:rPr>
        <w:fldChar w:fldCharType="end"/>
      </w:r>
      <w:r w:rsidR="00307630" w:rsidRPr="004D19FF">
        <w:rPr>
          <w:rFonts w:ascii="Times New Roman" w:hAnsi="Times New Roman"/>
          <w:sz w:val="20"/>
          <w:szCs w:val="20"/>
        </w:rPr>
        <w:t xml:space="preserve">. </w:t>
      </w:r>
      <w:r w:rsidR="00EA1AB4" w:rsidRPr="004D19FF">
        <w:rPr>
          <w:rFonts w:ascii="Times New Roman" w:hAnsi="Times New Roman"/>
          <w:sz w:val="20"/>
          <w:szCs w:val="20"/>
        </w:rPr>
        <w:t>Emerging</w:t>
      </w:r>
      <w:r w:rsidR="00AF2251" w:rsidRPr="004D19FF">
        <w:rPr>
          <w:rFonts w:ascii="Times New Roman" w:hAnsi="Times New Roman"/>
          <w:sz w:val="20"/>
          <w:szCs w:val="20"/>
        </w:rPr>
        <w:t xml:space="preserve"> advance</w:t>
      </w:r>
      <w:r w:rsidR="001E015B">
        <w:rPr>
          <w:rFonts w:ascii="Times New Roman" w:hAnsi="Times New Roman"/>
          <w:sz w:val="20"/>
          <w:szCs w:val="20"/>
        </w:rPr>
        <w:t>s</w:t>
      </w:r>
      <w:r w:rsidR="00AF2251" w:rsidRPr="004D19FF">
        <w:rPr>
          <w:rFonts w:ascii="Times New Roman" w:hAnsi="Times New Roman"/>
          <w:sz w:val="20"/>
          <w:szCs w:val="20"/>
        </w:rPr>
        <w:t xml:space="preserve"> of </w:t>
      </w:r>
      <w:r w:rsidR="001E015B">
        <w:rPr>
          <w:rFonts w:ascii="Times New Roman" w:hAnsi="Times New Roman"/>
          <w:sz w:val="20"/>
          <w:szCs w:val="20"/>
        </w:rPr>
        <w:t xml:space="preserve">the </w:t>
      </w:r>
      <w:r w:rsidR="00750486" w:rsidRPr="004D19FF">
        <w:rPr>
          <w:rFonts w:ascii="Times New Roman" w:hAnsi="Times New Roman"/>
          <w:sz w:val="20"/>
          <w:szCs w:val="20"/>
        </w:rPr>
        <w:t>AF process are presented in the SM</w:t>
      </w:r>
      <w:r w:rsidR="00054AF0">
        <w:rPr>
          <w:rFonts w:ascii="Times New Roman" w:hAnsi="Times New Roman"/>
          <w:sz w:val="20"/>
          <w:szCs w:val="20"/>
        </w:rPr>
        <w:t>1</w:t>
      </w:r>
      <w:r w:rsidR="00750486" w:rsidRPr="004D19FF">
        <w:rPr>
          <w:rFonts w:ascii="Times New Roman" w:hAnsi="Times New Roman"/>
          <w:sz w:val="20"/>
          <w:szCs w:val="20"/>
        </w:rPr>
        <w:t>.</w:t>
      </w:r>
    </w:p>
    <w:p w14:paraId="12BB2704" w14:textId="77777777" w:rsidR="00D33BDC" w:rsidRPr="004D19FF" w:rsidRDefault="00557F5B" w:rsidP="00290530">
      <w:pPr>
        <w:spacing w:after="120" w:line="276" w:lineRule="auto"/>
        <w:jc w:val="thaiDistribute"/>
        <w:rPr>
          <w:rFonts w:ascii="Times New Roman" w:hAnsi="Times New Roman"/>
          <w:b/>
          <w:bCs/>
          <w:sz w:val="20"/>
          <w:szCs w:val="20"/>
        </w:rPr>
      </w:pPr>
      <w:r w:rsidRPr="004D19FF">
        <w:rPr>
          <w:rFonts w:ascii="Times New Roman" w:hAnsi="Times New Roman"/>
          <w:b/>
          <w:bCs/>
          <w:sz w:val="20"/>
          <w:szCs w:val="20"/>
        </w:rPr>
        <w:t>2</w:t>
      </w:r>
      <w:r w:rsidR="00D33BDC" w:rsidRPr="004D19FF">
        <w:rPr>
          <w:rFonts w:ascii="Times New Roman" w:hAnsi="Times New Roman"/>
          <w:b/>
          <w:bCs/>
          <w:sz w:val="20"/>
          <w:szCs w:val="20"/>
        </w:rPr>
        <w:t xml:space="preserve">.2 </w:t>
      </w:r>
      <w:r w:rsidR="001E015B">
        <w:rPr>
          <w:rFonts w:ascii="Times New Roman" w:hAnsi="Times New Roman"/>
          <w:b/>
          <w:bCs/>
          <w:sz w:val="20"/>
          <w:szCs w:val="20"/>
        </w:rPr>
        <w:t>Pathways handling residual and lignocellulosic biomass feedstock</w:t>
      </w:r>
    </w:p>
    <w:p w14:paraId="30D4729C" w14:textId="249F16D4" w:rsidR="00756292" w:rsidRPr="004D19FF" w:rsidRDefault="00290CFF"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Some pathways can be considered as specifically targeting residual (often lignocellulosic) biomasses such as</w:t>
      </w:r>
      <w:r w:rsidR="002E2D66" w:rsidRPr="004D19FF">
        <w:rPr>
          <w:rFonts w:ascii="Times New Roman" w:hAnsi="Times New Roman"/>
          <w:sz w:val="20"/>
          <w:szCs w:val="20"/>
        </w:rPr>
        <w:t xml:space="preserve"> </w:t>
      </w:r>
      <w:r w:rsidR="00623E85">
        <w:rPr>
          <w:rFonts w:ascii="Times New Roman" w:hAnsi="Times New Roman"/>
          <w:sz w:val="20"/>
          <w:szCs w:val="20"/>
        </w:rPr>
        <w:t xml:space="preserve">primary </w:t>
      </w:r>
      <w:r w:rsidR="002E2D66" w:rsidRPr="004D19FF">
        <w:rPr>
          <w:rFonts w:ascii="Times New Roman" w:hAnsi="Times New Roman"/>
          <w:sz w:val="20"/>
          <w:szCs w:val="20"/>
        </w:rPr>
        <w:t xml:space="preserve">forestry residues, </w:t>
      </w:r>
      <w:r w:rsidR="009A25BD" w:rsidRPr="004D19FF">
        <w:rPr>
          <w:rFonts w:ascii="Times New Roman" w:hAnsi="Times New Roman"/>
          <w:sz w:val="20"/>
          <w:szCs w:val="20"/>
        </w:rPr>
        <w:t>crop</w:t>
      </w:r>
      <w:r w:rsidR="002E2D66" w:rsidRPr="004D19FF">
        <w:rPr>
          <w:rFonts w:ascii="Times New Roman" w:hAnsi="Times New Roman"/>
          <w:sz w:val="20"/>
          <w:szCs w:val="20"/>
        </w:rPr>
        <w:t xml:space="preserve"> residues, mu</w:t>
      </w:r>
      <w:r w:rsidRPr="004D19FF">
        <w:rPr>
          <w:rFonts w:ascii="Times New Roman" w:hAnsi="Times New Roman"/>
          <w:sz w:val="20"/>
          <w:szCs w:val="20"/>
        </w:rPr>
        <w:t>nicipal solid waste (MSW), etc., although these can also technically be used in the previously described biofuels pathways</w:t>
      </w:r>
      <w:r w:rsidR="001E015B">
        <w:rPr>
          <w:rFonts w:ascii="Times New Roman" w:hAnsi="Times New Roman"/>
          <w:sz w:val="20"/>
          <w:szCs w:val="20"/>
        </w:rPr>
        <w:t xml:space="preserve"> prior to pre-treatments</w:t>
      </w:r>
      <w:r w:rsidRPr="004D19FF">
        <w:rPr>
          <w:rFonts w:ascii="Times New Roman" w:hAnsi="Times New Roman"/>
          <w:sz w:val="20"/>
          <w:szCs w:val="20"/>
        </w:rPr>
        <w:t xml:space="preserve">. </w:t>
      </w:r>
      <w:r w:rsidR="007A406F" w:rsidRPr="004D19FF">
        <w:rPr>
          <w:rFonts w:ascii="Times New Roman" w:hAnsi="Times New Roman"/>
          <w:sz w:val="20"/>
          <w:szCs w:val="20"/>
        </w:rPr>
        <w:t>The</w:t>
      </w:r>
      <w:r w:rsidRPr="004D19FF">
        <w:rPr>
          <w:rFonts w:ascii="Times New Roman" w:hAnsi="Times New Roman"/>
          <w:sz w:val="20"/>
          <w:szCs w:val="20"/>
        </w:rPr>
        <w:t xml:space="preserve">se low-value residues </w:t>
      </w:r>
      <w:r w:rsidR="00094E97" w:rsidRPr="004D19FF">
        <w:rPr>
          <w:rFonts w:ascii="Times New Roman" w:hAnsi="Times New Roman"/>
          <w:sz w:val="20"/>
          <w:szCs w:val="20"/>
        </w:rPr>
        <w:t>have</w:t>
      </w:r>
      <w:r w:rsidR="009F0453" w:rsidRPr="004D19FF">
        <w:rPr>
          <w:rFonts w:ascii="Times New Roman" w:hAnsi="Times New Roman"/>
          <w:sz w:val="20"/>
          <w:szCs w:val="20"/>
        </w:rPr>
        <w:t xml:space="preserve"> attracted tremendous attention</w:t>
      </w:r>
      <w:r w:rsidR="002E2D66" w:rsidRPr="004D19FF">
        <w:rPr>
          <w:rFonts w:ascii="Times New Roman" w:hAnsi="Times New Roman"/>
          <w:sz w:val="20"/>
          <w:szCs w:val="20"/>
        </w:rPr>
        <w:t xml:space="preserve"> due </w:t>
      </w:r>
      <w:r w:rsidR="007A406F" w:rsidRPr="004D19FF">
        <w:rPr>
          <w:rFonts w:ascii="Times New Roman" w:hAnsi="Times New Roman"/>
          <w:sz w:val="20"/>
          <w:szCs w:val="20"/>
        </w:rPr>
        <w:t>to their</w:t>
      </w:r>
      <w:r w:rsidR="00E23DFC" w:rsidRPr="004D19FF">
        <w:rPr>
          <w:rFonts w:ascii="Times New Roman" w:hAnsi="Times New Roman"/>
          <w:sz w:val="20"/>
          <w:szCs w:val="20"/>
        </w:rPr>
        <w:t xml:space="preserve"> </w:t>
      </w:r>
      <w:r w:rsidRPr="004D19FF">
        <w:rPr>
          <w:rFonts w:ascii="Times New Roman" w:hAnsi="Times New Roman"/>
          <w:sz w:val="20"/>
          <w:szCs w:val="20"/>
        </w:rPr>
        <w:t xml:space="preserve">potential to avoid the </w:t>
      </w:r>
      <w:r w:rsidR="00976CE6" w:rsidRPr="004D19FF">
        <w:rPr>
          <w:rFonts w:ascii="Times New Roman" w:hAnsi="Times New Roman"/>
          <w:sz w:val="20"/>
          <w:szCs w:val="20"/>
        </w:rPr>
        <w:t>competition</w:t>
      </w:r>
      <w:r w:rsidR="002E2D66" w:rsidRPr="004D19FF">
        <w:rPr>
          <w:rFonts w:ascii="Times New Roman" w:hAnsi="Times New Roman"/>
          <w:sz w:val="20"/>
          <w:szCs w:val="20"/>
        </w:rPr>
        <w:t xml:space="preserve"> </w:t>
      </w:r>
      <w:r w:rsidRPr="004D19FF">
        <w:rPr>
          <w:rFonts w:ascii="Times New Roman" w:hAnsi="Times New Roman"/>
          <w:sz w:val="20"/>
          <w:szCs w:val="20"/>
        </w:rPr>
        <w:t>with</w:t>
      </w:r>
      <w:r w:rsidR="002E2D66" w:rsidRPr="004D19FF">
        <w:rPr>
          <w:rFonts w:ascii="Times New Roman" w:hAnsi="Times New Roman"/>
          <w:sz w:val="20"/>
          <w:szCs w:val="20"/>
        </w:rPr>
        <w:t xml:space="preserve"> food </w:t>
      </w:r>
      <w:r w:rsidR="00094E97" w:rsidRPr="004D19FF">
        <w:rPr>
          <w:rFonts w:ascii="Times New Roman" w:hAnsi="Times New Roman"/>
          <w:sz w:val="20"/>
          <w:szCs w:val="20"/>
        </w:rPr>
        <w:t xml:space="preserve">production </w:t>
      </w:r>
      <w:r w:rsidR="00D82218" w:rsidRPr="004D19FF">
        <w:rPr>
          <w:rFonts w:ascii="Times New Roman" w:hAnsi="Times New Roman"/>
          <w:sz w:val="20"/>
          <w:szCs w:val="20"/>
        </w:rPr>
        <w:fldChar w:fldCharType="begin" w:fldLock="1"/>
      </w:r>
      <w:r w:rsidR="0051129D">
        <w:rPr>
          <w:rFonts w:ascii="Times New Roman" w:hAnsi="Times New Roman"/>
          <w:sz w:val="20"/>
          <w:szCs w:val="20"/>
        </w:rPr>
        <w:instrText xml:space="preserve"> ADDIN ZOTERO_ITEM CSL_CITATION {"citationID":"4sbHViV8","properties":{"formattedCitation":"[69]","plainCitation":"[69]","noteIndex":0},"citationItems":[{"id":3345,"uris":["http://zotero.org/groups/2763812/items/UPUSYD3Q"],"uri":["http://zotero.org/groups/2763812/items/UPUSYD3Q"],"itemData":{"id":3345,"type":"article-journal","abstract":"Crop residues are acknowledged as a key biomass resource to feed tomorrow's sustainable bioeconomy. Yet, the quantification of these residues at large geographical scales is primarily reliant upon generic statistical estimations based on empirical functions linking the residues production to the primary crop yield. These useful yet unquestioned functions are developed either using direct evidence from experimental results or literature. In the present study, analytical evidence is presented to demonstrate that these methods generate imprecise and likely inaccurate estimates of the actual biophysical crop residue potential. In this endeavor, we applied five of the most used functions to a national case study. France was selected, being the country with the largest agricultural output in Europe. Our spatially-explicit assessment of crop residues production was performed with a spatial resolution corresponding to the level of an administrative department (96 departments in total), also the finest division of the European Union's hierarchical system of nomenclature for territorial units (NUTS), and included 16 different crop residues. The theoretical potential of crop residues for France was found to vary from 987 PJ y−1 to 1369 PJ y−1, using different estimation functions. The difference observed is more than the entire annual electricity consumption of Belgium, Latvia, and Estonia combined. Perturbation analyses revealed that some of the functions are overly sensitive to fluctuation in primary crop yield, while analytical techniques such as the null hypothesis statistical test indicated that the crop residues estimates stemming from all functions were all significantly different from one another.","container-title":"Resources, Conservation and Recycling","DOI":"10.1016/j.resconrec.2020.105211","ISSN":"0921-3449","journalAbbreviation":"Resources, Conservation and Recycling","language":"en","page":"105211","source":"ScienceDirect","title":"Crop residues may be a key feedstock to bioeconomy but how reliable are current estimation methods?","volume":"164","author":[{"family":"Karan","given":"Shivesh Kishore"},{"family":"Hamelin","given":"Lorie"}],"issued":{"date-parts":[["2021",1,1]]}}}],"schema":"https://github.com/citation-style-language/schema/raw/master/csl-citation.json"} </w:instrText>
      </w:r>
      <w:r w:rsidR="00D82218" w:rsidRPr="004D19FF">
        <w:rPr>
          <w:rFonts w:ascii="Times New Roman" w:hAnsi="Times New Roman"/>
          <w:sz w:val="20"/>
          <w:szCs w:val="20"/>
        </w:rPr>
        <w:fldChar w:fldCharType="separate"/>
      </w:r>
      <w:r w:rsidR="00657F02" w:rsidRPr="00657F02">
        <w:rPr>
          <w:rFonts w:ascii="Times New Roman" w:hAnsi="Times New Roman" w:cs="Times New Roman"/>
          <w:sz w:val="20"/>
        </w:rPr>
        <w:t>[69]</w:t>
      </w:r>
      <w:r w:rsidR="00D82218" w:rsidRPr="004D19FF">
        <w:rPr>
          <w:rFonts w:ascii="Times New Roman" w:hAnsi="Times New Roman"/>
          <w:sz w:val="20"/>
          <w:szCs w:val="20"/>
        </w:rPr>
        <w:fldChar w:fldCharType="end"/>
      </w:r>
      <w:r w:rsidR="00623E85">
        <w:rPr>
          <w:rFonts w:ascii="Times New Roman" w:hAnsi="Times New Roman"/>
          <w:sz w:val="20"/>
          <w:szCs w:val="20"/>
        </w:rPr>
        <w:t xml:space="preserve">, and their potential important bio-physical availability </w:t>
      </w:r>
      <w:r w:rsidR="00623E85">
        <w:rPr>
          <w:rFonts w:ascii="Times New Roman" w:hAnsi="Times New Roman"/>
          <w:sz w:val="20"/>
          <w:szCs w:val="20"/>
        </w:rPr>
        <w:fldChar w:fldCharType="begin"/>
      </w:r>
      <w:r w:rsidR="00752A1E">
        <w:rPr>
          <w:rFonts w:ascii="Times New Roman" w:hAnsi="Times New Roman"/>
          <w:sz w:val="20"/>
          <w:szCs w:val="20"/>
        </w:rPr>
        <w:instrText xml:space="preserve"> ADDIN ZOTERO_ITEM CSL_CITATION {"citationID":"elGDg5Cw","properties":{"formattedCitation":"[70\\uc0\\u8211{}72]","plainCitation":"[70–72]","noteIndex":0},"citationItems":[{"id":"968HXJ10/xqZOD4Pe","uris":["http://zotero.org/users/4447665/items/P2M47WG4"],"uri":["http://zotero.org/users/4447665/items/P2M47WG4"],"itemData":{"id":5301,"type":"article-journal","container-title":"Nature Climate Change","DOI":"10.1038/nclimate2097","issue":"2","language":"en","page":"99-105","title":"Global bioenergy resources","volume":"4","author":[{"family":"Slade","given":"Raphael"},{"family":"Bauen","given":"Ausilio"},{"family":"Gross","given":"Robert"}],"issued":{"date-parts":[["2014",1]]}}},{"id":3342,"uris":["http://zotero.org/groups/2763812/items/V49KNBKH"],"uri":["http://zotero.org/groups/2763812/items/V49KNBKH"],"itemData":{"id":3342,"type":"article-journal","abstract":"In the ambition of a transition from fossil carbon use, forestry residues are attracting considerable attention as a feedstock for the future bioeconomy. However, there is a limited spatially-explicit understanding of their availability. In the present study, this gap has been bridged by developing a generic framework “CamBEE”, for a transparent estimation of aboveground primary forestry residues. CamBEE further includes guidelines, based on standard uncertainty propagation techniques, to quantify the uncertainty of the generated estimates. CamBEE is a four-step procedure relying on open-access spatial data. The framework further provides insights on the appropriate spatial resolution to select. In this study, the proposed framework has been detailed and exemplified through a case study for France. In the case study, primary forestry residues have been spatially quantified at a resolution of 10 m, using spatial and statistical data on forest parameters (net annual increment, factor of basic wood density, biomass expansion factors, etc.). The results for the case study indicate a total theoretical potential of 8.4 Million Mgdry matter year−1 (4.4–13.9 Million Mgdry matter year−1) available in France, the equivalent of 161 PJ year−1. The case study validates that the CamBEE framework can be used for high-resolution spatial quantification of PFRs towards integration in local bioeconomy.","container-title":"Renewable and Sustainable Energy Reviews","DOI":"10.1016/j.rser.2020.110350","ISSN":"1364-0321","journalAbbreviation":"Renewable and Sustainable Energy Reviews","language":"en","page":"110350","source":"ScienceDirect","title":"Towards local bioeconomy: A stepwise framework for high-resolution spatial quantification of forestry residues","title-short":"Towards local bioeconomy","volume":"134","author":[{"family":"Karan","given":"S. K."},{"family":"Hamelin","given":"L."}],"issued":{"date-parts":[["2020",12,1]]}}},{"id":"968HXJ10/UcplDMo9","uris":["http://www.mendeley.com/documents/?uuid=b0bb62a4-b4c7-4562-afdc-99ac99325a2c"],"uri":["http://www.mendeley.com/documents/?uuid=b0bb62a4-b4c7-4562-afdc-99ac99325a2c"],"itemData":{"DOI":"10.1016/j.rser.2018.10.017","ISSN":"18790690","abstract":"Bioeconomy is seen as a key strategic innovation pillar in the European Union, and this involves, among other things, mobilizing biomass resources. This study presents a geo-localized methodology in order to quantify the overall (theoretical) residual biomass potential for each NUTS-3 region of the EU-27 + Switzerland (NUTS-3 is the smallest regional division in Eurostat's Nomenclature of Territorial Units for Statistics). Estimates were made for biomass residues stemming from 4 main activities: i) agriculture (straw, manure, residues from pruning permanent plantations); ii) forestry (forestry residues); iii) urban greenery management (residues from managing urban green areas and roadside vegetation); and iv) food waste (agri-industrial food process waste and municipal biodegradable waste). A review of earlier assessments using a variety of spatial coverages is also presented. Our results reveal the importance of residual biomass as a key feedstock for the European bioeconomy: we found that 8500 PJ y−1 are available for these streams (theoretical potential), which corresponds to the whole annual (2015) primary energy consumption of Italy and Belgium combined. Straw (3800 PJ y−1) and forestry residues (3200 PJ y−1) were shown as the top-two contributors. Our geo-localized approach uncovered outliers in terms of regional trends, revealing very specific opportunities for these regions. This includes the NUTS-3 region of Paris (France) where the highest biomass density was found with ca. 25 TJ km−2 (essentially food waste), and the NUTS-3 of Jaen (Spain), the main region of olive oil in the world, with great opportunities stemming from the olive oil industry.","author":[{"dropping-particle":"","family":"Hamelin","given":"Lorie","non-dropping-particle":"","parse-names":false,"suffix":""},{"dropping-particle":"","family":"Borzęcka","given":"Magdalena","non-dropping-particle":"","parse-names":false,"suffix":""},{"dropping-particle":"","family":"Kozak","given":"Małgorzata","non-dropping-particle":"","parse-names":false,"suffix":""},{"dropping-particle":"","family":"Pudełko","given":"Rafał","non-dropping-particle":"","parse-names":false,"suffix":""}],"container-title":"Renewable and Sustainable Energy Reviews","id":"b1cZl8eI/mUTkjAiU","issue":"October 2018","issued":{"date-parts":[["2019"]]},"page":"127-142","title":"A spatial approach to bioeconomy: Quantifying the residual biomass potential in the EU-27","type":"article-journal","volume":"100"}}],"schema":"https://github.com/citation-style-language/schema/raw/master/csl-citation.json"} </w:instrText>
      </w:r>
      <w:r w:rsidR="00623E85">
        <w:rPr>
          <w:rFonts w:ascii="Times New Roman" w:hAnsi="Times New Roman"/>
          <w:sz w:val="20"/>
          <w:szCs w:val="20"/>
        </w:rPr>
        <w:fldChar w:fldCharType="separate"/>
      </w:r>
      <w:r w:rsidR="00623E85" w:rsidRPr="00623E85">
        <w:rPr>
          <w:rFonts w:ascii="Times New Roman" w:hAnsi="Times New Roman" w:cs="Times New Roman"/>
          <w:sz w:val="20"/>
          <w:szCs w:val="24"/>
        </w:rPr>
        <w:t>[70–72]</w:t>
      </w:r>
      <w:r w:rsidR="00623E85">
        <w:rPr>
          <w:rFonts w:ascii="Times New Roman" w:hAnsi="Times New Roman"/>
          <w:sz w:val="20"/>
          <w:szCs w:val="20"/>
        </w:rPr>
        <w:fldChar w:fldCharType="end"/>
      </w:r>
      <w:r w:rsidR="00CF1CDB" w:rsidRPr="004D19FF">
        <w:rPr>
          <w:rFonts w:ascii="Times New Roman" w:hAnsi="Times New Roman"/>
          <w:sz w:val="20"/>
          <w:szCs w:val="20"/>
        </w:rPr>
        <w:t>.</w:t>
      </w:r>
      <w:r w:rsidR="00887BBF">
        <w:rPr>
          <w:rFonts w:ascii="Times New Roman" w:hAnsi="Times New Roman"/>
          <w:sz w:val="20"/>
          <w:szCs w:val="20"/>
        </w:rPr>
        <w:t xml:space="preserve"> The pathways described herein use thermochemical conversion processes to convert lignocellulosic biomasses into kerosene. T</w:t>
      </w:r>
      <w:r w:rsidRPr="004D19FF">
        <w:rPr>
          <w:rFonts w:ascii="Times New Roman" w:hAnsi="Times New Roman"/>
          <w:sz w:val="20"/>
          <w:szCs w:val="20"/>
        </w:rPr>
        <w:t xml:space="preserve">he vision is </w:t>
      </w:r>
      <w:r w:rsidR="00887BBF">
        <w:rPr>
          <w:rFonts w:ascii="Times New Roman" w:hAnsi="Times New Roman"/>
          <w:sz w:val="20"/>
          <w:szCs w:val="20"/>
        </w:rPr>
        <w:t xml:space="preserve">whether </w:t>
      </w:r>
      <w:r w:rsidRPr="004D19FF">
        <w:rPr>
          <w:rFonts w:ascii="Times New Roman" w:hAnsi="Times New Roman"/>
          <w:sz w:val="20"/>
          <w:szCs w:val="20"/>
        </w:rPr>
        <w:t xml:space="preserve">to first convert residual biomasses to </w:t>
      </w:r>
      <w:r w:rsidR="00887BBF">
        <w:rPr>
          <w:rFonts w:ascii="Times New Roman" w:hAnsi="Times New Roman"/>
          <w:sz w:val="20"/>
          <w:szCs w:val="20"/>
        </w:rPr>
        <w:t>gas</w:t>
      </w:r>
      <w:r w:rsidRPr="004D19FF">
        <w:rPr>
          <w:rFonts w:ascii="Times New Roman" w:hAnsi="Times New Roman"/>
          <w:sz w:val="20"/>
          <w:szCs w:val="20"/>
        </w:rPr>
        <w:t>, and then convert th</w:t>
      </w:r>
      <w:r w:rsidR="002B450E">
        <w:rPr>
          <w:rFonts w:ascii="Times New Roman" w:hAnsi="Times New Roman"/>
          <w:sz w:val="20"/>
          <w:szCs w:val="20"/>
        </w:rPr>
        <w:t xml:space="preserve">is gas </w:t>
      </w:r>
      <w:r w:rsidRPr="004D19FF">
        <w:rPr>
          <w:rFonts w:ascii="Times New Roman" w:hAnsi="Times New Roman"/>
          <w:sz w:val="20"/>
          <w:szCs w:val="20"/>
        </w:rPr>
        <w:t>into liquid fuels</w:t>
      </w:r>
      <w:r w:rsidR="002B450E">
        <w:rPr>
          <w:rFonts w:ascii="Times New Roman" w:hAnsi="Times New Roman"/>
          <w:sz w:val="20"/>
          <w:szCs w:val="20"/>
        </w:rPr>
        <w:t xml:space="preserve"> through so-called Gas-to-Liquids </w:t>
      </w:r>
      <w:r w:rsidR="00623E85">
        <w:rPr>
          <w:rFonts w:ascii="Times New Roman" w:hAnsi="Times New Roman"/>
          <w:sz w:val="20"/>
          <w:szCs w:val="20"/>
        </w:rPr>
        <w:t xml:space="preserve">(GtL) </w:t>
      </w:r>
      <w:r w:rsidR="002B450E">
        <w:rPr>
          <w:rFonts w:ascii="Times New Roman" w:hAnsi="Times New Roman"/>
          <w:sz w:val="20"/>
          <w:szCs w:val="20"/>
        </w:rPr>
        <w:t>processes</w:t>
      </w:r>
      <w:r w:rsidR="00887BBF">
        <w:rPr>
          <w:rFonts w:ascii="Times New Roman" w:hAnsi="Times New Roman"/>
          <w:sz w:val="20"/>
          <w:szCs w:val="20"/>
        </w:rPr>
        <w:t>, or to convert the biomass into a bio-oil to be further processed to kerosene.</w:t>
      </w:r>
    </w:p>
    <w:p w14:paraId="613DA050" w14:textId="77777777" w:rsidR="00FA12E5" w:rsidRPr="004D19FF" w:rsidRDefault="0055183C" w:rsidP="00290530">
      <w:pPr>
        <w:spacing w:before="120" w:after="120" w:line="276" w:lineRule="auto"/>
        <w:jc w:val="thaiDistribute"/>
        <w:rPr>
          <w:rFonts w:ascii="Times New Roman" w:hAnsi="Times New Roman"/>
          <w:i/>
          <w:sz w:val="20"/>
          <w:szCs w:val="20"/>
        </w:rPr>
      </w:pPr>
      <w:r w:rsidRPr="004D19FF">
        <w:rPr>
          <w:rFonts w:ascii="Times New Roman" w:hAnsi="Times New Roman"/>
          <w:i/>
          <w:sz w:val="20"/>
          <w:szCs w:val="20"/>
        </w:rPr>
        <w:t>2</w:t>
      </w:r>
      <w:r w:rsidR="00FA12E5" w:rsidRPr="004D19FF">
        <w:rPr>
          <w:rFonts w:ascii="Times New Roman" w:hAnsi="Times New Roman"/>
          <w:i/>
          <w:sz w:val="20"/>
          <w:szCs w:val="20"/>
        </w:rPr>
        <w:t>.2.1 Biomass</w:t>
      </w:r>
      <w:r w:rsidR="007F5B40" w:rsidRPr="004D19FF">
        <w:rPr>
          <w:rFonts w:ascii="Times New Roman" w:hAnsi="Times New Roman"/>
          <w:i/>
          <w:sz w:val="20"/>
          <w:szCs w:val="20"/>
        </w:rPr>
        <w:t>-to-gas</w:t>
      </w:r>
      <w:r w:rsidR="00FA12E5" w:rsidRPr="004D19FF">
        <w:rPr>
          <w:rFonts w:ascii="Times New Roman" w:hAnsi="Times New Roman"/>
          <w:i/>
          <w:sz w:val="20"/>
          <w:szCs w:val="20"/>
        </w:rPr>
        <w:t xml:space="preserve"> </w:t>
      </w:r>
      <w:r w:rsidR="001E015B">
        <w:rPr>
          <w:rFonts w:ascii="Times New Roman" w:hAnsi="Times New Roman"/>
          <w:i/>
          <w:sz w:val="20"/>
          <w:szCs w:val="20"/>
        </w:rPr>
        <w:t xml:space="preserve">via </w:t>
      </w:r>
      <w:r w:rsidR="00FA12E5" w:rsidRPr="004D19FF">
        <w:rPr>
          <w:rFonts w:ascii="Times New Roman" w:hAnsi="Times New Roman"/>
          <w:i/>
          <w:sz w:val="20"/>
          <w:szCs w:val="20"/>
        </w:rPr>
        <w:t>gasification</w:t>
      </w:r>
    </w:p>
    <w:p w14:paraId="691C1697" w14:textId="2375567D" w:rsidR="005C65DD" w:rsidRDefault="006C5B11" w:rsidP="005C65DD">
      <w:pPr>
        <w:spacing w:after="120" w:line="276" w:lineRule="auto"/>
        <w:jc w:val="thaiDistribute"/>
        <w:rPr>
          <w:rFonts w:ascii="Times New Roman" w:hAnsi="Times New Roman"/>
          <w:sz w:val="20"/>
          <w:szCs w:val="20"/>
        </w:rPr>
      </w:pPr>
      <w:r>
        <w:rPr>
          <w:rFonts w:ascii="Times New Roman" w:hAnsi="Times New Roman"/>
          <w:sz w:val="20"/>
          <w:szCs w:val="20"/>
        </w:rPr>
        <w:t>Gasification and anaerobic digestion are the two most known technologies to convert biomass</w:t>
      </w:r>
      <w:r w:rsidR="006E1163">
        <w:rPr>
          <w:rFonts w:ascii="Times New Roman" w:hAnsi="Times New Roman"/>
          <w:sz w:val="20"/>
          <w:szCs w:val="20"/>
        </w:rPr>
        <w:t>es</w:t>
      </w:r>
      <w:r>
        <w:rPr>
          <w:rFonts w:ascii="Times New Roman" w:hAnsi="Times New Roman"/>
          <w:sz w:val="20"/>
          <w:szCs w:val="20"/>
        </w:rPr>
        <w:t xml:space="preserve"> </w:t>
      </w:r>
      <w:r w:rsidR="00231446">
        <w:rPr>
          <w:rFonts w:ascii="Times New Roman" w:hAnsi="Times New Roman"/>
          <w:sz w:val="20"/>
          <w:szCs w:val="20"/>
        </w:rPr>
        <w:t>in</w:t>
      </w:r>
      <w:r>
        <w:rPr>
          <w:rFonts w:ascii="Times New Roman" w:hAnsi="Times New Roman"/>
          <w:sz w:val="20"/>
          <w:szCs w:val="20"/>
        </w:rPr>
        <w:t xml:space="preserve">to gas. Although the exact amount of carbon from </w:t>
      </w:r>
      <w:r w:rsidR="00231446">
        <w:rPr>
          <w:rFonts w:ascii="Times New Roman" w:hAnsi="Times New Roman"/>
          <w:sz w:val="20"/>
          <w:szCs w:val="20"/>
        </w:rPr>
        <w:t xml:space="preserve">the biomass that will convert </w:t>
      </w:r>
      <w:r>
        <w:rPr>
          <w:rFonts w:ascii="Times New Roman" w:hAnsi="Times New Roman"/>
          <w:sz w:val="20"/>
          <w:szCs w:val="20"/>
        </w:rPr>
        <w:t>to gas, as well as the gas composit</w:t>
      </w:r>
      <w:r w:rsidR="00231446">
        <w:rPr>
          <w:rFonts w:ascii="Times New Roman" w:hAnsi="Times New Roman"/>
          <w:sz w:val="20"/>
          <w:szCs w:val="20"/>
        </w:rPr>
        <w:t>ion itself, will heavily depend</w:t>
      </w:r>
      <w:r>
        <w:rPr>
          <w:rFonts w:ascii="Times New Roman" w:hAnsi="Times New Roman"/>
          <w:sz w:val="20"/>
          <w:szCs w:val="20"/>
        </w:rPr>
        <w:t xml:space="preserve"> upon the </w:t>
      </w:r>
      <w:r w:rsidR="005C65DD">
        <w:rPr>
          <w:rFonts w:ascii="Times New Roman" w:hAnsi="Times New Roman"/>
          <w:sz w:val="20"/>
          <w:szCs w:val="20"/>
        </w:rPr>
        <w:t xml:space="preserve">technology, </w:t>
      </w:r>
      <w:r>
        <w:rPr>
          <w:rFonts w:ascii="Times New Roman" w:hAnsi="Times New Roman"/>
          <w:sz w:val="20"/>
          <w:szCs w:val="20"/>
        </w:rPr>
        <w:t xml:space="preserve">process conditions and biomass composition, anaerobic digestion can be expected to convert ca. 60% of the </w:t>
      </w:r>
      <w:r w:rsidR="00FC1EE9">
        <w:rPr>
          <w:rFonts w:ascii="Times New Roman" w:hAnsi="Times New Roman"/>
          <w:sz w:val="20"/>
          <w:szCs w:val="20"/>
        </w:rPr>
        <w:t xml:space="preserve">biomass </w:t>
      </w:r>
      <w:r>
        <w:rPr>
          <w:rFonts w:ascii="Times New Roman" w:hAnsi="Times New Roman"/>
          <w:sz w:val="20"/>
          <w:szCs w:val="20"/>
        </w:rPr>
        <w:t xml:space="preserve">carbon into </w:t>
      </w:r>
      <w:r w:rsidR="00FC1EE9">
        <w:rPr>
          <w:rFonts w:ascii="Times New Roman" w:hAnsi="Times New Roman"/>
          <w:sz w:val="20"/>
          <w:szCs w:val="20"/>
        </w:rPr>
        <w:t>bio</w:t>
      </w:r>
      <w:r>
        <w:rPr>
          <w:rFonts w:ascii="Times New Roman" w:hAnsi="Times New Roman"/>
          <w:sz w:val="20"/>
          <w:szCs w:val="20"/>
        </w:rPr>
        <w:t>gas</w:t>
      </w:r>
      <w:r w:rsidR="00FC1EE9">
        <w:rPr>
          <w:rFonts w:ascii="Times New Roman" w:hAnsi="Times New Roman"/>
          <w:sz w:val="20"/>
          <w:szCs w:val="20"/>
        </w:rPr>
        <w:t xml:space="preserve"> </w:t>
      </w:r>
      <w:r w:rsidR="00FC1EE9">
        <w:rPr>
          <w:rFonts w:ascii="Times New Roman" w:hAnsi="Times New Roman"/>
          <w:sz w:val="20"/>
          <w:szCs w:val="20"/>
        </w:rPr>
        <w:fldChar w:fldCharType="begin"/>
      </w:r>
      <w:r w:rsidR="00752A1E">
        <w:rPr>
          <w:rFonts w:ascii="Times New Roman" w:hAnsi="Times New Roman"/>
          <w:sz w:val="20"/>
          <w:szCs w:val="20"/>
        </w:rPr>
        <w:instrText xml:space="preserve"> ADDIN ZOTERO_ITEM CSL_CITATION {"citationID":"N9eeBWFd","properties":{"formattedCitation":"[73]","plainCitation":"[73]","noteIndex":0},"citationItems":[{"id":"968HXJ10/6MIPfpph","uris":["http://www.mendeley.com/documents/?uuid=83caaed5-bc88-42ff-9b88-a06baf6e4ce9"],"uri":["http://www.mendeley.com/documents/?uuid=83caaed5-bc88-42ff-9b88-a06baf6e4ce9"],"itemData":{"DOI":"10.1016/j.apenergy.2013.09.033","ISSN":"03062619","abstract":"Manure-biogas is a renewable energy resource rather untapped in Europe in comparison to its full potential. Given the current and emerging renewable energy targets, considerable increases in its production can be expected. This consequential life cycle assessment (LCA) study investigated the environmental consequences of different co-substrate strategies for reaching drastic increases in manure-biogas production in Denmark. Six co-substrates not already fully used for biogas were considered: energy crops, straw, household food waste, commercial food waste, garden waste and the solid fraction deriving from source-segregation of animal urine and feces. Soil carbon changes as well as direct and indirect land use changes were included in the LCA. Source-segregated manure stood out as the environmentally best co-substrate, followed by garden waste. Co-substrates already in use for energy recovery (straw, household and commercial food wastes) displayed a more modest environmental performance while energy crops, here represented by maize silage, was the only option giving rise to net greenhouse gas emissions. This was essentially due to the indirect land use change emissions related to this scenario, which were quantified to 357tCO2eq.ha-1 displaced. © 2013 Elsevier Ltd.","author":[{"dropping-particle":"","family":"Hamelin","given":"Lorie","non-dropping-particle":"","parse-names":false,"suffix":""},{"dropping-particle":"","family":"Naroznova","given":"Irina","non-dropping-particle":"","parse-names":false,"suffix":""},{"dropping-particle":"","family":"Wenzel","given":"Henrik","non-dropping-particle":"","parse-names":false,"suffix":""}],"container-title":"Applied Energy","id":"b1cZl8eI/gW9VZBrs","issue":"2014","issued":{"date-parts":[["2014"]]},"page":"774-782","publisher":"Elsevier Ltd","title":"Environmental consequences of different carbon alternatives for increased manure-based biogas","type":"article-journal","volume":"114"}}],"schema":"https://github.com/citation-style-language/schema/raw/master/csl-citation.json"} </w:instrText>
      </w:r>
      <w:r w:rsidR="00FC1EE9">
        <w:rPr>
          <w:rFonts w:ascii="Times New Roman" w:hAnsi="Times New Roman"/>
          <w:sz w:val="20"/>
          <w:szCs w:val="20"/>
        </w:rPr>
        <w:fldChar w:fldCharType="separate"/>
      </w:r>
      <w:r w:rsidR="00623E85" w:rsidRPr="00623E85">
        <w:rPr>
          <w:rFonts w:ascii="Times New Roman" w:hAnsi="Times New Roman" w:cs="Times New Roman"/>
          <w:sz w:val="20"/>
        </w:rPr>
        <w:t>[73]</w:t>
      </w:r>
      <w:r w:rsidR="00FC1EE9">
        <w:rPr>
          <w:rFonts w:ascii="Times New Roman" w:hAnsi="Times New Roman"/>
          <w:sz w:val="20"/>
          <w:szCs w:val="20"/>
        </w:rPr>
        <w:fldChar w:fldCharType="end"/>
      </w:r>
      <w:r>
        <w:rPr>
          <w:rFonts w:ascii="Times New Roman" w:hAnsi="Times New Roman"/>
          <w:sz w:val="20"/>
          <w:szCs w:val="20"/>
        </w:rPr>
        <w:t xml:space="preserve"> while gasification </w:t>
      </w:r>
      <w:r w:rsidR="00FC1EE9">
        <w:rPr>
          <w:rFonts w:ascii="Times New Roman" w:hAnsi="Times New Roman"/>
          <w:sz w:val="20"/>
          <w:szCs w:val="20"/>
        </w:rPr>
        <w:t xml:space="preserve">is expected to convert at least 75% of the carbon into syngas </w:t>
      </w:r>
      <w:r w:rsidR="00FC1EE9">
        <w:rPr>
          <w:rFonts w:ascii="Times New Roman" w:hAnsi="Times New Roman"/>
          <w:sz w:val="20"/>
          <w:szCs w:val="20"/>
        </w:rPr>
        <w:fldChar w:fldCharType="begin"/>
      </w:r>
      <w:r w:rsidR="0051129D">
        <w:rPr>
          <w:rFonts w:ascii="Times New Roman" w:hAnsi="Times New Roman"/>
          <w:sz w:val="20"/>
          <w:szCs w:val="20"/>
        </w:rPr>
        <w:instrText xml:space="preserve"> ADDIN ZOTERO_ITEM CSL_CITATION {"citationID":"CX2q6dbl","properties":{"formattedCitation":"[74]","plainCitation":"[74]","noteIndex":0},"citationItems":[{"id":3346,"uris":["http://zotero.org/groups/2763812/items/H4CYUPQX"],"uri":["http://zotero.org/groups/2763812/items/H4CYUPQX"],"itemData":{"id":3346,"type":"article-journal","abstract":"This work consists of developing a predictive model (PM) for syngas composition obtained from biomass gasification in fixed bed gasifiers. The PM is composed of three correlations which are made for carbon conversion efficiency, gasification temperature and the correction factor for the equilibrium constant of the water-gas homogeneous reaction. Such correlations were established using results obtained from the application of an optimization method (AOM) that uses Kuhn–Tucker multipliers. Syngas compositions determined through AOM were compared with experimental compositions and those estimated by other models, resulting that the AOM always determines the best estimates with respect to the root mean square error (RMSE). For syngas compositions estimated by AOM, the RMSE interval is [0.21, 4.11]. The PM was validated with six experimental compositions. From the predicted syngas compositions it was found that the ranges for LHV, cold gas efficiency, carbon conversion efficiency and gasification temperature were [4.594, 5.116 MJ/Nm3], [55.74, 68.18%], [74.20, 88.40%] and [749, 918 °C], respectively. Additionally, for the predicted syngas compositions the RMSE interval was determined as [0.68, 2.25]. Therefore, the PM was considered to be effective in estimating syngas compositions.","container-title":"Fuel","DOI":"10.1016/j.fuel.2020.119068","ISSN":"0016-2361","journalAbbreviation":"Fuel","language":"en","page":"119068","source":"ScienceDirect","title":"Modeling of syngas composition obtained from fixed bed gasifiers using Kuhn–Tucker multipliers","volume":"287","author":[{"family":"Amaro","given":"Jordan"},{"family":"Rosado","given":"Diego Jhovanny Mariños"},{"family":"Mendiburu","given":"Andrés Z."},{"family":"Santos","given":"Leila Ribeiro","non-dropping-particle":"dos"},{"family":"Carvalho Jr.","given":"João A.","non-dropping-particle":"de"}],"issued":{"date-parts":[["2021",3,1]]}}}],"schema":"https://github.com/citation-style-language/schema/raw/master/csl-citation.json"} </w:instrText>
      </w:r>
      <w:r w:rsidR="00FC1EE9">
        <w:rPr>
          <w:rFonts w:ascii="Times New Roman" w:hAnsi="Times New Roman"/>
          <w:sz w:val="20"/>
          <w:szCs w:val="20"/>
        </w:rPr>
        <w:fldChar w:fldCharType="separate"/>
      </w:r>
      <w:r w:rsidR="00623E85" w:rsidRPr="00623E85">
        <w:rPr>
          <w:rFonts w:ascii="Times New Roman" w:hAnsi="Times New Roman" w:cs="Times New Roman"/>
          <w:sz w:val="20"/>
        </w:rPr>
        <w:t>[74]</w:t>
      </w:r>
      <w:r w:rsidR="00FC1EE9">
        <w:rPr>
          <w:rFonts w:ascii="Times New Roman" w:hAnsi="Times New Roman"/>
          <w:sz w:val="20"/>
          <w:szCs w:val="20"/>
        </w:rPr>
        <w:fldChar w:fldCharType="end"/>
      </w:r>
      <w:r w:rsidR="00FC1EE9">
        <w:rPr>
          <w:rFonts w:ascii="Times New Roman" w:hAnsi="Times New Roman"/>
          <w:sz w:val="20"/>
          <w:szCs w:val="20"/>
        </w:rPr>
        <w:t>.</w:t>
      </w:r>
      <w:r w:rsidR="007F5B40" w:rsidRPr="004D19FF">
        <w:rPr>
          <w:rFonts w:ascii="Times New Roman" w:hAnsi="Times New Roman"/>
          <w:sz w:val="20"/>
          <w:szCs w:val="20"/>
        </w:rPr>
        <w:t xml:space="preserve"> </w:t>
      </w:r>
      <w:r w:rsidR="00657F02">
        <w:rPr>
          <w:rFonts w:ascii="Times New Roman" w:hAnsi="Times New Roman"/>
          <w:sz w:val="20"/>
          <w:szCs w:val="20"/>
        </w:rPr>
        <w:t>Moreover, syngas contains a lower share of CO</w:t>
      </w:r>
      <w:r w:rsidR="00657F02" w:rsidRPr="00657F02">
        <w:rPr>
          <w:rFonts w:ascii="Times New Roman" w:hAnsi="Times New Roman"/>
          <w:sz w:val="20"/>
          <w:szCs w:val="20"/>
          <w:vertAlign w:val="subscript"/>
        </w:rPr>
        <w:t>2</w:t>
      </w:r>
      <w:r w:rsidR="00657F02">
        <w:rPr>
          <w:rFonts w:ascii="Times New Roman" w:hAnsi="Times New Roman"/>
          <w:sz w:val="20"/>
          <w:szCs w:val="20"/>
        </w:rPr>
        <w:t xml:space="preserve"> than biogas </w:t>
      </w:r>
      <w:r w:rsidR="00657F02">
        <w:rPr>
          <w:rFonts w:ascii="Times New Roman" w:hAnsi="Times New Roman"/>
          <w:sz w:val="20"/>
          <w:szCs w:val="20"/>
        </w:rPr>
        <w:fldChar w:fldCharType="begin"/>
      </w:r>
      <w:r w:rsidR="00752A1E">
        <w:rPr>
          <w:rFonts w:ascii="Times New Roman" w:hAnsi="Times New Roman"/>
          <w:sz w:val="20"/>
          <w:szCs w:val="20"/>
        </w:rPr>
        <w:instrText xml:space="preserve"> ADDIN ZOTERO_ITEM CSL_CITATION {"citationID":"F6bB8vfj","properties":{"formattedCitation":"[73,74]","plainCitation":"[73,74]","noteIndex":0},"citationItems":[{"id":"968HXJ10/6MIPfpph","uris":["http://www.mendeley.com/documents/?uuid=83caaed5-bc88-42ff-9b88-a06baf6e4ce9"],"uri":["http://www.mendeley.com/documents/?uuid=83caaed5-bc88-42ff-9b88-a06baf6e4ce9"],"itemData":{"DOI":"10.1016/j.apenergy.2013.09.033","ISSN":"03062619","abstract":"Manure-biogas is a renewable energy resource rather untapped in Europe in comparison to its full potential. Given the current and emerging renewable energy targets, considerable increases in its production can be expected. This consequential life cycle assessment (LCA) study investigated the environmental consequences of different co-substrate strategies for reaching drastic increases in manure-biogas production in Denmark. Six co-substrates not already fully used for biogas were considered: energy crops, straw, household food waste, commercial food waste, garden waste and the solid fraction deriving from source-segregation of animal urine and feces. Soil carbon changes as well as direct and indirect land use changes were included in the LCA. Source-segregated manure stood out as the environmentally best co-substrate, followed by garden waste. Co-substrates already in use for energy recovery (straw, household and commercial food wastes) displayed a more modest environmental performance while energy crops, here represented by maize silage, was the only option giving rise to net greenhouse gas emissions. This was essentially due to the indirect land use change emissions related to this scenario, which were quantified to 357tCO2eq.ha-1 displaced. © 2013 Elsevier Ltd.","author":[{"dropping-particle":"","family":"Hamelin","given":"Lorie","non-dropping-particle":"","parse-names":false,"suffix":""},{"dropping-particle":"","family":"Naroznova","given":"Irina","non-dropping-particle":"","parse-names":false,"suffix":""},{"dropping-particle":"","family":"Wenzel","given":"Henrik","non-dropping-particle":"","parse-names":false,"suffix":""}],"container-title":"Applied Energy","id":"b1cZl8eI/gW9VZBrs","issue":"2014","issued":{"date-parts":[["2014"]]},"page":"774-782","publisher":"Elsevier Ltd","title":"Environmental consequences of different carbon alternatives for increased manure-based biogas","type":"article-journal","volume":"114"}},{"id":3346,"uris":["http://zotero.org/groups/2763812/items/H4CYUPQX"],"uri":["http://zotero.org/groups/2763812/items/H4CYUPQX"],"itemData":{"id":3346,"type":"article-journal","abstract":"This work consists of developing a predictive model (PM) for syngas composition obtained from biomass gasification in fixed bed gasifiers. The PM is composed of three correlations which are made for carbon conversion efficiency, gasification temperature and the correction factor for the equilibrium constant of the water-gas homogeneous reaction. Such correlations were established using results obtained from the application of an optimization method (AOM) that uses Kuhn–Tucker multipliers. Syngas compositions determined through AOM were compared with experimental compositions and those estimated by other models, resulting that the AOM always determines the best estimates with respect to the root mean square error (RMSE). For syngas compositions estimated by AOM, the RMSE interval is [0.21, 4.11]. The PM was validated with six experimental compositions. From the predicted syngas compositions it was found that the ranges for LHV, cold gas efficiency, carbon conversion efficiency and gasification temperature were [4.594, 5.116 MJ/Nm3], [55.74, 68.18%], [74.20, 88.40%] and [749, 918 °C], respectively. Additionally, for the predicted syngas compositions the RMSE interval was determined as [0.68, 2.25]. Therefore, the PM was considered to be effective in estimating syngas compositions.","container-title":"Fuel","DOI":"10.1016/j.fuel.2020.119068","ISSN":"0016-2361","journalAbbreviation":"Fuel","language":"en","page":"119068","source":"ScienceDirect","title":"Modeling of syngas composition obtained from fixed bed gasifiers using Kuhn–Tucker multipliers","volume":"287","author":[{"family":"Amaro","given":"Jordan"},{"family":"Rosado","given":"Diego Jhovanny Mariños"},{"family":"Mendiburu","given":"Andrés Z."},{"family":"Santos","given":"Leila Ribeiro","non-dropping-particle":"dos"},{"family":"Carvalho Jr.","given":"João A.","non-dropping-particle":"de"}],"issued":{"date-parts":[["2021",3,1]]}}}],"schema":"https://github.com/citation-style-language/schema/raw/master/csl-citation.json"} </w:instrText>
      </w:r>
      <w:r w:rsidR="00657F02">
        <w:rPr>
          <w:rFonts w:ascii="Times New Roman" w:hAnsi="Times New Roman"/>
          <w:sz w:val="20"/>
          <w:szCs w:val="20"/>
        </w:rPr>
        <w:fldChar w:fldCharType="separate"/>
      </w:r>
      <w:r w:rsidR="00623E85" w:rsidRPr="00623E85">
        <w:rPr>
          <w:rFonts w:ascii="Times New Roman" w:hAnsi="Times New Roman" w:cs="Times New Roman"/>
          <w:sz w:val="20"/>
        </w:rPr>
        <w:t>[73,74]</w:t>
      </w:r>
      <w:r w:rsidR="00657F02">
        <w:rPr>
          <w:rFonts w:ascii="Times New Roman" w:hAnsi="Times New Roman"/>
          <w:sz w:val="20"/>
          <w:szCs w:val="20"/>
        </w:rPr>
        <w:fldChar w:fldCharType="end"/>
      </w:r>
      <w:r w:rsidR="00657F02">
        <w:rPr>
          <w:rFonts w:ascii="Times New Roman" w:hAnsi="Times New Roman"/>
          <w:sz w:val="20"/>
          <w:szCs w:val="20"/>
        </w:rPr>
        <w:t xml:space="preserve">, hence less carbon to be potentially recovered from this more stable </w:t>
      </w:r>
      <w:r w:rsidR="006E1163">
        <w:rPr>
          <w:rFonts w:ascii="Times New Roman" w:hAnsi="Times New Roman"/>
          <w:sz w:val="20"/>
          <w:szCs w:val="20"/>
        </w:rPr>
        <w:t xml:space="preserve">gaseous </w:t>
      </w:r>
      <w:r w:rsidR="00657F02">
        <w:rPr>
          <w:rFonts w:ascii="Times New Roman" w:hAnsi="Times New Roman"/>
          <w:sz w:val="20"/>
          <w:szCs w:val="20"/>
        </w:rPr>
        <w:t xml:space="preserve">form. </w:t>
      </w:r>
    </w:p>
    <w:p w14:paraId="143C0E82" w14:textId="2D395AE1" w:rsidR="0072174B" w:rsidRPr="004D19FF" w:rsidRDefault="007F5B40"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Prior to gasification,</w:t>
      </w:r>
      <w:r w:rsidR="004D295A" w:rsidRPr="004D19FF">
        <w:rPr>
          <w:rFonts w:ascii="Times New Roman" w:hAnsi="Times New Roman"/>
          <w:sz w:val="20"/>
          <w:szCs w:val="20"/>
        </w:rPr>
        <w:t xml:space="preserve"> </w:t>
      </w:r>
      <w:r w:rsidRPr="004D19FF">
        <w:rPr>
          <w:rFonts w:ascii="Times New Roman" w:hAnsi="Times New Roman"/>
          <w:sz w:val="20"/>
          <w:szCs w:val="20"/>
        </w:rPr>
        <w:t>b</w:t>
      </w:r>
      <w:r w:rsidR="00F13BDC" w:rsidRPr="004D19FF">
        <w:rPr>
          <w:rFonts w:ascii="Times New Roman" w:hAnsi="Times New Roman"/>
          <w:sz w:val="20"/>
          <w:szCs w:val="20"/>
        </w:rPr>
        <w:t>iomass</w:t>
      </w:r>
      <w:r w:rsidR="000C0C7D" w:rsidRPr="004D19FF">
        <w:rPr>
          <w:rFonts w:ascii="Times New Roman" w:hAnsi="Times New Roman"/>
          <w:sz w:val="20"/>
          <w:szCs w:val="20"/>
        </w:rPr>
        <w:t xml:space="preserve"> must be pretreated </w:t>
      </w:r>
      <w:r w:rsidR="00BE47A6" w:rsidRPr="004D19FF">
        <w:rPr>
          <w:rFonts w:ascii="Times New Roman" w:hAnsi="Times New Roman"/>
          <w:sz w:val="20"/>
          <w:szCs w:val="20"/>
        </w:rPr>
        <w:t>into</w:t>
      </w:r>
      <w:r w:rsidR="000C0C7D" w:rsidRPr="004D19FF">
        <w:rPr>
          <w:rFonts w:ascii="Times New Roman" w:hAnsi="Times New Roman"/>
          <w:sz w:val="20"/>
          <w:szCs w:val="20"/>
        </w:rPr>
        <w:t xml:space="preserve"> fine particles (80-100 mm) </w:t>
      </w:r>
      <w:r w:rsidR="00BE47A6" w:rsidRPr="004D19FF">
        <w:rPr>
          <w:rFonts w:ascii="Times New Roman" w:hAnsi="Times New Roman"/>
          <w:sz w:val="20"/>
          <w:szCs w:val="20"/>
        </w:rPr>
        <w:t xml:space="preserve">by </w:t>
      </w:r>
      <w:r w:rsidR="002D6287" w:rsidRPr="004D19FF">
        <w:rPr>
          <w:rFonts w:ascii="Times New Roman" w:hAnsi="Times New Roman"/>
          <w:sz w:val="20"/>
          <w:szCs w:val="20"/>
        </w:rPr>
        <w:t xml:space="preserve">mechanical techniques (including chopping, grinding) </w:t>
      </w:r>
      <w:r w:rsidRPr="004D19FF">
        <w:rPr>
          <w:rFonts w:ascii="Times New Roman" w:hAnsi="Times New Roman"/>
          <w:sz w:val="20"/>
          <w:szCs w:val="20"/>
        </w:rPr>
        <w:t xml:space="preserve">in order to </w:t>
      </w:r>
      <w:r w:rsidR="00BD2B71" w:rsidRPr="004D19FF">
        <w:rPr>
          <w:rFonts w:ascii="Times New Roman" w:hAnsi="Times New Roman"/>
          <w:sz w:val="20"/>
          <w:szCs w:val="20"/>
        </w:rPr>
        <w:t>enhance</w:t>
      </w:r>
      <w:r w:rsidR="001E015B">
        <w:rPr>
          <w:rFonts w:ascii="Times New Roman" w:hAnsi="Times New Roman"/>
          <w:sz w:val="20"/>
          <w:szCs w:val="20"/>
        </w:rPr>
        <w:t xml:space="preserve"> the efficiency of moisture removal, which in turns facilitates the </w:t>
      </w:r>
      <w:r w:rsidR="00BD2B71" w:rsidRPr="004D19FF">
        <w:rPr>
          <w:rFonts w:ascii="Times New Roman" w:hAnsi="Times New Roman"/>
          <w:sz w:val="20"/>
          <w:szCs w:val="20"/>
        </w:rPr>
        <w:t>biomass conversion</w:t>
      </w:r>
      <w:r w:rsidR="001E015B">
        <w:rPr>
          <w:rFonts w:ascii="Times New Roman" w:hAnsi="Times New Roman"/>
          <w:sz w:val="20"/>
          <w:szCs w:val="20"/>
        </w:rPr>
        <w:t xml:space="preserve"> to syngas</w:t>
      </w:r>
      <w:r w:rsidR="00BD2B71" w:rsidRPr="004D19FF">
        <w:rPr>
          <w:rFonts w:ascii="Times New Roman" w:hAnsi="Times New Roman"/>
          <w:sz w:val="20"/>
          <w:szCs w:val="20"/>
        </w:rPr>
        <w:t xml:space="preserve"> </w:t>
      </w:r>
      <w:r w:rsidR="0004178C"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jSnLJqnq","properties":{"formattedCitation":"[75\\uc0\\u8211{}77]","plainCitation":"[75–77]","noteIndex":0},"citationItems":[{"id":"968HXJ10/fZ0QIwgV","uris":["http://www.mendeley.com/documents/?uuid=8469c2c5-ed17-4013-b6f4-22a05e0af8e2"],"uri":["http://www.mendeley.com/documents/?uuid=8469c2c5-ed17-4013-b6f4-22a05e0af8e2"],"itemData":{"DOI":"10.3390/catal2020303","ISSN":"20734344","abstract":"Fischer-Tropsch synthesis is a set of catalytic processes that can be used to produce fuels and chemicals from synthesis gas (mixture of CO and H2), which can be derived from natural gas, coal, or biomass. Biomass to Liquid via Fischer-Tropsch (BTL-FT) synthesis is gaining increasing interests from academia and industry because of its ability to produce carbon neutral and environmentally friendly clean fuels; such kinds of fuels can help to meet the globally increasing energy demand and to meet the stricter environmental regulations in the future. In the BTL-FT process, biomass, such as woodchips and straw stalk, is firstly converted into biomass-derived syngas (bio-syngas) by gasification. Then, a cleaning process is applied to remove impurities from the bio-syngas to produce clean bio-syngas which meets the Fischer-Tropsch synthesis requirements. Cleaned bio-syngas is then conducted into a Fischer-Tropsch catalytic reactor to produce green gasoline, diesel and other clean biofuels. This review will analyze the three main steps of BTL-FT process, and discuss the issues related to biomass gasification, bio-syngas cleaning methods and conversion of bio-syngas into liquid hydrocarbons via Fischer-Tropsch synthesis. Some features in regard to increasing carbon utilization, enhancing catalyst activity, maximizing selectivity and avoiding catalyst deactivation in bio-syngas conversion process are also discussed.© 2012 by the authors; licensee MDPI, Basel, Switzerland.","author":[{"dropping-particle":"","family":"Hu","given":"Jin","non-dropping-particle":"","parse-names":false,"suffix":""},{"dropping-particle":"","family":"Yu","given":"Fei","non-dropping-particle":"","parse-names":false,"suffix":""},{"dropping-particle":"","family":"Lu","given":"Yongwu","non-dropping-particle":"","parse-names":false,"suffix":""}],"container-title":"Catalysts","id":"ITEM-1","issue":"2","issued":{"date-parts":[["2012"]]},"page":"303-326","title":"Application of fischer-tropsch synthesis in biomass to liquid conversion","type":"article-journal","volume":"2"}},{"id":"968HXJ10/VJZapnWN","uris":["http://www.mendeley.com/documents/?uuid=1c525981-784b-4bd8-9db6-0fcd92f7e5ad"],"uri":["http://www.mendeley.com/documents/?uuid=1c525981-784b-4bd8-9db6-0fcd92f7e5ad"],"itemData":{"DOI":"10.1016/j.biombioe.2017.08.022","ISSN":"18732909","abstract":"The Fischer-Tropsch process is one of the possible routes to produce synthetic liquid fuels and chemicals employed on large scale in Gas-to-Liquid and Coal-to-Liquid processes, after appropriate transformation of respective fossil sources into syngas. However, syngas can be produced by biomass gasification as well. One of the main problems is the need to ensure high H2/CO ratio to allow the Fischer-Tropsch reaction to occur, operation commonly achieved by resorting to a Water-gas shift step. The present work reports an experimental study on biomass gasification. The aim was to set up a more efficient Biomass-to-Liquid process, which ensures a high H2/CO ratio syngas suitable for Fischer-Tropsch synthesis directly from biomass gasification. In this way, it is possible to remove the Water-gas shift section and consequently make biofuels production more attractive, reducing costs and plant complexity. Two types of biomass have been tested: softwood from forest residues and fast growing crops. Moreover, a bubbling fluidized bed reactor and an indirect gasifier with internal circulating fluidized bed have been used. Gasification tests have been conducted by running gasifiers with both inert and catalytic bed materials. The results have shown that, using the direct gasifier with catalytic bed and a proper configuration, H2/CO molar ratio of 2 can been obtained even at low temperature and low steam/biomass ratio, whereas this is not the case in the indirect one. However, tests suggest that an inverted configuration would make it possible to obtain values near two also with indirect gasifiers, resulting in a new interesting approach.","author":[{"dropping-particle":"","family":"Chiodini","given":"Andrea","non-dropping-particle":"","parse-names":false,"suffix":""},{"dropping-particle":"","family":"Bua","given":"Letizia","non-dropping-particle":"","parse-names":false,"suffix":""},{"dropping-particle":"","family":"Carnelli","given":"Lino","non-dropping-particle":"","parse-names":false,"suffix":""},{"dropping-particle":"","family":"Zwart","given":"Robin","non-dropping-particle":"","parse-names":false,"suffix":""},{"dropping-particle":"","family":"Vreugdenhil","given":"Berend","non-dropping-particle":"","parse-names":false,"suffix":""},{"dropping-particle":"","family":"Vocciante","given":"Marco","non-dropping-particle":"","parse-names":false,"suffix":""}],"container-title":"Biomass and Bioenergy","id":"ITEM-2","issued":{"date-parts":[["2017"]]},"page":"104-114","publisher":"Elsevier Ltd","title":"Enhancements in Biomass-to-Liquid processes: Gasification aiming at high hydrogen/carbon monoxide ratios for direct Fischer-Tropsch synthesis applications","type":"article-journal","volume":"106"}},{"id":"968HXJ10/9em8LMJ7","uris":["http://www.mendeley.com/documents/?uuid=283f0c54-8e57-48c9-952f-b580b9c7a81e"],"uri":["http://www.mendeley.com/documents/?uuid=283f0c54-8e57-48c9-952f-b580b9c7a81e"],"itemData":{"DOI":"10.1016/j.rser.2017.03.112","ISSN":"18790690","abstract":"Downdraft gasifier is very attractive for biomass gasification due to its easy fabrication and operation, and also due to low tar content in producer gas. However, drawbacks such as grate blocking, channeling, and bridging are found in the downdraft gasifiers, typically for feedstock with low bulk density. Another disadvantage is the downdraft gasifiers only suitable for feedstock with low moisture content. The design of the gasifiers is an important parameter that affects their performance. Various works on design improvements have been done for enhancing the performance of the gasifiers. This paper aims to review small-scale downdraft gasifiers for biomass gasification which is focused on design improvements and their effect on the performance of the gasifiers. Many works from previous researchers have been studied and cited. The result shows that the design of the gasifiers is an important parameter in gasification, besides biomass feedstock characteristics and process parameters.","author":[{"dropping-particle":"","family":"Susastriawan","given":"A. A.P.","non-dropping-particle":"","parse-names":false,"suffix":""},{"dropping-particle":"","family":"Saptoadi","given":"Harwin","non-dropping-particle":"","parse-names":false,"suffix":""},{"dropping-particle":"","family":"Purnomo","given":"","non-dropping-particle":"","parse-names":false,"suffix":""}],"container-title":"Renewable and Sustainable Energy Reviews","id":"ITEM-3","issue":"May 2016","issued":{"date-parts":[["2017"]]},"page":"989-1003","title":"Small-scale downdraft gasifiers for biomass gasification: A review","type":"article-journal","volume":"76"}}],"schema":"https://github.com/citation-style-language/schema/raw/master/csl-citation.json"} </w:instrText>
      </w:r>
      <w:r w:rsidR="0004178C" w:rsidRPr="004D19FF">
        <w:rPr>
          <w:rFonts w:ascii="Times New Roman" w:hAnsi="Times New Roman"/>
          <w:sz w:val="20"/>
          <w:szCs w:val="20"/>
        </w:rPr>
        <w:fldChar w:fldCharType="separate"/>
      </w:r>
      <w:r w:rsidR="00623E85" w:rsidRPr="00623E85">
        <w:rPr>
          <w:rFonts w:ascii="Times New Roman" w:hAnsi="Times New Roman" w:cs="Times New Roman"/>
          <w:sz w:val="20"/>
          <w:szCs w:val="24"/>
        </w:rPr>
        <w:t>[75–77]</w:t>
      </w:r>
      <w:r w:rsidR="0004178C" w:rsidRPr="004D19FF">
        <w:rPr>
          <w:rFonts w:ascii="Times New Roman" w:hAnsi="Times New Roman"/>
          <w:sz w:val="20"/>
          <w:szCs w:val="20"/>
        </w:rPr>
        <w:fldChar w:fldCharType="end"/>
      </w:r>
      <w:r w:rsidR="00CF1CDB" w:rsidRPr="004D19FF">
        <w:rPr>
          <w:rFonts w:ascii="Times New Roman" w:hAnsi="Times New Roman"/>
          <w:sz w:val="20"/>
          <w:szCs w:val="20"/>
        </w:rPr>
        <w:t>.</w:t>
      </w:r>
      <w:r w:rsidR="000C0C7D" w:rsidRPr="004D19FF">
        <w:rPr>
          <w:rFonts w:ascii="Times New Roman" w:hAnsi="Times New Roman"/>
          <w:sz w:val="20"/>
          <w:szCs w:val="20"/>
        </w:rPr>
        <w:t xml:space="preserve"> </w:t>
      </w:r>
      <w:r w:rsidR="00276876" w:rsidRPr="004D19FF">
        <w:rPr>
          <w:rFonts w:ascii="Times New Roman" w:hAnsi="Times New Roman"/>
          <w:sz w:val="20"/>
          <w:szCs w:val="20"/>
        </w:rPr>
        <w:t>Gasification</w:t>
      </w:r>
      <w:r w:rsidR="009B05F8" w:rsidRPr="004D19FF">
        <w:rPr>
          <w:rFonts w:ascii="Times New Roman" w:hAnsi="Times New Roman"/>
          <w:sz w:val="20"/>
          <w:szCs w:val="20"/>
        </w:rPr>
        <w:t xml:space="preserve"> </w:t>
      </w:r>
      <w:r w:rsidRPr="004D19FF">
        <w:rPr>
          <w:rFonts w:ascii="Times New Roman" w:hAnsi="Times New Roman"/>
          <w:sz w:val="20"/>
          <w:szCs w:val="20"/>
        </w:rPr>
        <w:t xml:space="preserve">typically occurs at </w:t>
      </w:r>
      <w:r w:rsidR="005C53DA" w:rsidRPr="004D19FF">
        <w:rPr>
          <w:rFonts w:ascii="Times New Roman" w:hAnsi="Times New Roman"/>
          <w:sz w:val="20"/>
          <w:szCs w:val="20"/>
        </w:rPr>
        <w:t>temperature</w:t>
      </w:r>
      <w:r w:rsidR="007961C2" w:rsidRPr="004D19FF">
        <w:rPr>
          <w:rFonts w:ascii="Times New Roman" w:hAnsi="Times New Roman"/>
          <w:sz w:val="20"/>
          <w:szCs w:val="20"/>
        </w:rPr>
        <w:t>s</w:t>
      </w:r>
      <w:r w:rsidR="005C53DA" w:rsidRPr="004D19FF">
        <w:rPr>
          <w:rFonts w:ascii="Times New Roman" w:hAnsi="Times New Roman"/>
          <w:sz w:val="20"/>
          <w:szCs w:val="20"/>
        </w:rPr>
        <w:t xml:space="preserve"> </w:t>
      </w:r>
      <w:r w:rsidRPr="004D19FF">
        <w:rPr>
          <w:rFonts w:ascii="Times New Roman" w:hAnsi="Times New Roman"/>
          <w:sz w:val="20"/>
          <w:szCs w:val="20"/>
        </w:rPr>
        <w:t xml:space="preserve">of </w:t>
      </w:r>
      <w:r w:rsidR="005C53DA" w:rsidRPr="004D19FF">
        <w:rPr>
          <w:rFonts w:ascii="Times New Roman" w:hAnsi="Times New Roman"/>
          <w:sz w:val="20"/>
          <w:szCs w:val="20"/>
        </w:rPr>
        <w:t xml:space="preserve">600-1,000 </w:t>
      </w:r>
      <w:r w:rsidR="005C53DA" w:rsidRPr="004D19FF">
        <w:rPr>
          <w:rFonts w:ascii="Times New Roman" w:hAnsi="Times New Roman" w:cs="Times New Roman"/>
          <w:sz w:val="20"/>
          <w:szCs w:val="20"/>
        </w:rPr>
        <w:t>°</w:t>
      </w:r>
      <w:r w:rsidR="005C53DA" w:rsidRPr="004D19FF">
        <w:rPr>
          <w:rFonts w:ascii="Times New Roman" w:hAnsi="Times New Roman"/>
          <w:sz w:val="20"/>
          <w:szCs w:val="20"/>
        </w:rPr>
        <w:t xml:space="preserve">C or </w:t>
      </w:r>
      <w:r w:rsidRPr="004D19FF">
        <w:rPr>
          <w:rFonts w:ascii="Times New Roman" w:hAnsi="Times New Roman"/>
          <w:sz w:val="20"/>
          <w:szCs w:val="20"/>
        </w:rPr>
        <w:t xml:space="preserve">even </w:t>
      </w:r>
      <w:r w:rsidR="005C53DA" w:rsidRPr="004D19FF">
        <w:rPr>
          <w:rFonts w:ascii="Times New Roman" w:hAnsi="Times New Roman"/>
          <w:sz w:val="20"/>
          <w:szCs w:val="20"/>
        </w:rPr>
        <w:t xml:space="preserve">higher </w:t>
      </w:r>
      <w:r w:rsidR="007961C2" w:rsidRPr="004D19FF">
        <w:rPr>
          <w:rFonts w:ascii="Times New Roman" w:hAnsi="Times New Roman"/>
          <w:sz w:val="20"/>
          <w:szCs w:val="20"/>
        </w:rPr>
        <w:t xml:space="preserve">with </w:t>
      </w:r>
      <w:r w:rsidR="00136434" w:rsidRPr="004D19FF">
        <w:rPr>
          <w:rFonts w:ascii="Times New Roman" w:hAnsi="Times New Roman"/>
          <w:sz w:val="20"/>
          <w:szCs w:val="20"/>
        </w:rPr>
        <w:t xml:space="preserve">controlled amount of </w:t>
      </w:r>
      <w:r w:rsidR="005C53DA" w:rsidRPr="004D19FF">
        <w:rPr>
          <w:rFonts w:ascii="Times New Roman" w:hAnsi="Times New Roman"/>
          <w:sz w:val="20"/>
          <w:szCs w:val="20"/>
        </w:rPr>
        <w:t>oxidizing agent such as ai</w:t>
      </w:r>
      <w:r w:rsidR="001B3C4E" w:rsidRPr="004D19FF">
        <w:rPr>
          <w:rFonts w:ascii="Times New Roman" w:hAnsi="Times New Roman"/>
          <w:sz w:val="20"/>
          <w:szCs w:val="20"/>
        </w:rPr>
        <w:t xml:space="preserve">r, steam, </w:t>
      </w:r>
      <w:r w:rsidR="00145DC0" w:rsidRPr="004D19FF">
        <w:rPr>
          <w:rFonts w:ascii="Times New Roman" w:hAnsi="Times New Roman"/>
          <w:sz w:val="20"/>
          <w:szCs w:val="20"/>
        </w:rPr>
        <w:t>oxygen,</w:t>
      </w:r>
      <w:r w:rsidR="002D1124" w:rsidRPr="004D19FF">
        <w:rPr>
          <w:rFonts w:ascii="Times New Roman" w:hAnsi="Times New Roman"/>
          <w:sz w:val="20"/>
          <w:szCs w:val="20"/>
        </w:rPr>
        <w:t xml:space="preserve"> </w:t>
      </w:r>
      <w:r w:rsidR="008615C8" w:rsidRPr="004D19FF">
        <w:rPr>
          <w:rFonts w:ascii="Times New Roman" w:hAnsi="Times New Roman"/>
          <w:sz w:val="20"/>
          <w:szCs w:val="20"/>
        </w:rPr>
        <w:t>their mixture</w:t>
      </w:r>
      <w:r w:rsidR="00145DC0" w:rsidRPr="004D19FF">
        <w:rPr>
          <w:rFonts w:ascii="Times New Roman" w:hAnsi="Times New Roman"/>
          <w:sz w:val="20"/>
          <w:szCs w:val="20"/>
        </w:rPr>
        <w:t xml:space="preserve"> or supercritical water</w:t>
      </w:r>
      <w:r w:rsidR="00364900" w:rsidRPr="004D19FF">
        <w:rPr>
          <w:rFonts w:ascii="Times New Roman" w:hAnsi="Times New Roman"/>
          <w:sz w:val="20"/>
          <w:szCs w:val="20"/>
        </w:rPr>
        <w:t xml:space="preserve"> </w:t>
      </w:r>
      <w:r w:rsidR="006D3BB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Jkzf9Y1L","properties":{"formattedCitation":"[76,78]","plainCitation":"[76,78]","noteIndex":0},"citationItems":[{"id":"968HXJ10/VJZapnWN","uris":["http://www.mendeley.com/documents/?uuid=1c525981-784b-4bd8-9db6-0fcd92f7e5ad"],"uri":["http://www.mendeley.com/documents/?uuid=1c525981-784b-4bd8-9db6-0fcd92f7e5ad"],"itemData":{"DOI":"10.1016/j.biombioe.2017.08.022","ISSN":"18732909","abstract":"The Fischer-Tropsch process is one of the possible routes to produce synthetic liquid fuels and chemicals employed on large scale in Gas-to-Liquid and Coal-to-Liquid processes, after appropriate transformation of respective fossil sources into syngas. However, syngas can be produced by biomass gasification as well. One of the main problems is the need to ensure high H2/CO ratio to allow the Fischer-Tropsch reaction to occur, operation commonly achieved by resorting to a Water-gas shift step. The present work reports an experimental study on biomass gasification. The aim was to set up a more efficient Biomass-to-Liquid process, which ensures a high H2/CO ratio syngas suitable for Fischer-Tropsch synthesis directly from biomass gasification. In this way, it is possible to remove the Water-gas shift section and consequently make biofuels production more attractive, reducing costs and plant complexity. Two types of biomass have been tested: softwood from forest residues and fast growing crops. Moreover, a bubbling fluidized bed reactor and an indirect gasifier with internal circulating fluidized bed have been used. Gasification tests have been conducted by running gasifiers with both inert and catalytic bed materials. The results have shown that, using the direct gasifier with catalytic bed and a proper configuration, H2/CO molar ratio of 2 can been obtained even at low temperature and low steam/biomass ratio, whereas this is not the case in the indirect one. However, tests suggest that an inverted configuration would make it possible to obtain values near two also with indirect gasifiers, resulting in a new interesting approach.","author":[{"dropping-particle":"","family":"Chiodini","given":"Andrea","non-dropping-particle":"","parse-names":false,"suffix":""},{"dropping-particle":"","family":"Bua","given":"Letizia","non-dropping-particle":"","parse-names":false,"suffix":""},{"dropping-particle":"","family":"Carnelli","given":"Lino","non-dropping-particle":"","parse-names":false,"suffix":""},{"dropping-particle":"","family":"Zwart","given":"Robin","non-dropping-particle":"","parse-names":false,"suffix":""},{"dropping-particle":"","family":"Vreugdenhil","given":"Berend","non-dropping-particle":"","parse-names":false,"suffix":""},{"dropping-particle":"","family":"Vocciante","given":"Marco","non-dropping-particle":"","parse-names":false,"suffix":""}],"container-title":"Biomass and Bioenergy","id":"ITEM-1","issued":{"date-parts":[["2017"]]},"page":"104-114","publisher":"Elsevier Ltd","title":"Enhancements in Biomass-to-Liquid processes: Gasification aiming at high hydrogen/carbon monoxide ratios for direct Fischer-Tropsch synthesis applications","type":"article-journal","volume":"106"}},{"id":"968HXJ10/5qmhXGpq","uris":["http://www.mendeley.com/documents/?uuid=5cfabac1-4682-403a-a2ca-bdcd063ac396"],"uri":["http://www.mendeley.com/documents/?uuid=5cfabac1-4682-403a-a2ca-bdcd063ac396"],"itemData":{"DOI":"10.5772/intechopen.74191","abstract":"Biomass gasification has been regarded as a promising technology to utilize bioenergy sustainably. However, further exploitation of biomass gasification still needs to over- come a significant number of technological and logistic challenges. In this chapter, the current development status of biomass gasification, especially for the activities in China, has been presented. The biomass characters and the challenges associated with biomass collection and transportation are covered and it is believed that biomass gasification coupled with distributed power generation will be more competitive in some small com- munities with large amount of local biomass materials. The technical part of biomass gasification is detailed by introducing different types of gasifiers as well as investigating the minimization methods of tar, which have become more and more important. In fact, applying biomass gasification also needs to deal with other socio-environmental barriers, such as health concerns, environmental issues and public fears. However, an objective financial return can actually accelerate the commercialization of biomass gasification for power and heat generation, and in the meantime, it will also contribute to other technical breakthroughs.","author":[{"dropping-particle":"","family":"Luo","given":"Xiang","non-dropping-particle":"","parse-names":false,"suffix":""},{"dropping-particle":"","family":"Wu","given":"Tao","non-dropping-particle":"","parse-names":false,"suffix":""},{"dropping-particle":"","family":"Shi","given":"Kaiqi","non-dropping-particle":"","parse-names":false,"suffix":""},{"dropping-particle":"","family":"Song","given":"Mingxuan","non-dropping-particle":"","parse-names":false,"suffix":""},{"dropping-particle":"","family":"Rao","given":"Yusen","non-dropping-particle":"","parse-names":false,"suffix":""}],"chapter-number":"1","container-title":"Gasification for low-grade feedstock","editor":[{"dropping-particle":"","family":"Yun","given":"Yongseung","non-dropping-particle":"","parse-names":false,"suffix":""}],"id":"ITEM-2","issued":{"date-parts":[["2018"]]},"title":"Biomass gasification: An overview of technological barriers and socio-environmental impact","type":"chapter"}}],"schema":"https://github.com/citation-style-language/schema/raw/master/csl-citation.json"} </w:instrText>
      </w:r>
      <w:r w:rsidR="006D3BB3" w:rsidRPr="004D19FF">
        <w:rPr>
          <w:rFonts w:ascii="Times New Roman" w:hAnsi="Times New Roman"/>
          <w:sz w:val="20"/>
          <w:szCs w:val="20"/>
        </w:rPr>
        <w:fldChar w:fldCharType="separate"/>
      </w:r>
      <w:r w:rsidR="00623E85" w:rsidRPr="00623E85">
        <w:rPr>
          <w:rFonts w:ascii="Times New Roman" w:hAnsi="Times New Roman" w:cs="Times New Roman"/>
          <w:sz w:val="20"/>
        </w:rPr>
        <w:t>[76,78]</w:t>
      </w:r>
      <w:r w:rsidR="006D3BB3" w:rsidRPr="004D19FF">
        <w:rPr>
          <w:rFonts w:ascii="Times New Roman" w:hAnsi="Times New Roman"/>
          <w:sz w:val="20"/>
          <w:szCs w:val="20"/>
        </w:rPr>
        <w:fldChar w:fldCharType="end"/>
      </w:r>
      <w:r w:rsidR="00CF1CDB" w:rsidRPr="004D19FF">
        <w:rPr>
          <w:rFonts w:ascii="Times New Roman" w:hAnsi="Times New Roman"/>
          <w:sz w:val="20"/>
          <w:szCs w:val="20"/>
        </w:rPr>
        <w:t>.</w:t>
      </w:r>
      <w:r w:rsidR="002D1124" w:rsidRPr="004D19FF">
        <w:rPr>
          <w:rFonts w:ascii="Times New Roman" w:hAnsi="Times New Roman"/>
          <w:sz w:val="20"/>
          <w:szCs w:val="20"/>
        </w:rPr>
        <w:t xml:space="preserve"> </w:t>
      </w:r>
      <w:r w:rsidR="00D62B79" w:rsidRPr="004D19FF">
        <w:rPr>
          <w:rFonts w:ascii="Times New Roman" w:hAnsi="Times New Roman"/>
          <w:sz w:val="20"/>
          <w:szCs w:val="20"/>
        </w:rPr>
        <w:t xml:space="preserve">The </w:t>
      </w:r>
      <w:r w:rsidR="00D62B79" w:rsidRPr="004D19FF">
        <w:rPr>
          <w:rFonts w:ascii="Times New Roman" w:hAnsi="Times New Roman"/>
          <w:sz w:val="20"/>
          <w:szCs w:val="20"/>
        </w:rPr>
        <w:lastRenderedPageBreak/>
        <w:t xml:space="preserve">appropriate amount of </w:t>
      </w:r>
      <w:r w:rsidR="004667AA" w:rsidRPr="004D19FF">
        <w:rPr>
          <w:rFonts w:ascii="Times New Roman" w:hAnsi="Times New Roman"/>
          <w:sz w:val="20"/>
          <w:szCs w:val="20"/>
        </w:rPr>
        <w:t>oxidizer</w:t>
      </w:r>
      <w:r w:rsidR="00D62B79" w:rsidRPr="004D19FF">
        <w:rPr>
          <w:rFonts w:ascii="Times New Roman" w:hAnsi="Times New Roman"/>
          <w:sz w:val="20"/>
          <w:szCs w:val="20"/>
        </w:rPr>
        <w:t xml:space="preserve"> is </w:t>
      </w:r>
      <w:r w:rsidR="004667AA" w:rsidRPr="004D19FF">
        <w:rPr>
          <w:rFonts w:ascii="Times New Roman" w:hAnsi="Times New Roman"/>
          <w:sz w:val="20"/>
          <w:szCs w:val="20"/>
        </w:rPr>
        <w:t xml:space="preserve">an important parameter for a high syngas production and </w:t>
      </w:r>
      <w:r w:rsidR="005E3D9D" w:rsidRPr="004D19FF">
        <w:rPr>
          <w:rFonts w:ascii="Times New Roman" w:hAnsi="Times New Roman"/>
          <w:sz w:val="20"/>
          <w:szCs w:val="20"/>
        </w:rPr>
        <w:t xml:space="preserve">for </w:t>
      </w:r>
      <w:r w:rsidR="004667AA" w:rsidRPr="004D19FF">
        <w:rPr>
          <w:rFonts w:ascii="Times New Roman" w:hAnsi="Times New Roman"/>
          <w:sz w:val="20"/>
          <w:szCs w:val="20"/>
        </w:rPr>
        <w:t>limiting</w:t>
      </w:r>
      <w:r w:rsidR="00D62B79" w:rsidRPr="004D19FF">
        <w:rPr>
          <w:rFonts w:ascii="Times New Roman" w:hAnsi="Times New Roman"/>
          <w:sz w:val="20"/>
          <w:szCs w:val="20"/>
        </w:rPr>
        <w:t xml:space="preserve"> the amount of by-products generation</w:t>
      </w:r>
      <w:r w:rsidR="00D57614">
        <w:rPr>
          <w:rFonts w:ascii="Times New Roman" w:hAnsi="Times New Roman"/>
          <w:sz w:val="20"/>
          <w:szCs w:val="20"/>
        </w:rPr>
        <w:t xml:space="preserve"> (e.g. ch</w:t>
      </w:r>
      <w:r w:rsidR="00D05AFA" w:rsidRPr="004D19FF">
        <w:rPr>
          <w:rFonts w:ascii="Times New Roman" w:hAnsi="Times New Roman"/>
          <w:sz w:val="20"/>
          <w:szCs w:val="20"/>
        </w:rPr>
        <w:t>ar)</w:t>
      </w:r>
      <w:r w:rsidR="00D62B79" w:rsidRPr="004D19FF">
        <w:rPr>
          <w:rFonts w:ascii="Times New Roman" w:hAnsi="Times New Roman"/>
          <w:sz w:val="20"/>
          <w:szCs w:val="20"/>
        </w:rPr>
        <w:t xml:space="preserve"> </w:t>
      </w:r>
      <w:r w:rsidR="006D3BB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Uo97Asx","properties":{"formattedCitation":"[76]","plainCitation":"[76]","noteIndex":0},"citationItems":[{"id":"968HXJ10/VJZapnWN","uris":["http://www.mendeley.com/documents/?uuid=1c525981-784b-4bd8-9db6-0fcd92f7e5ad"],"uri":["http://www.mendeley.com/documents/?uuid=1c525981-784b-4bd8-9db6-0fcd92f7e5ad"],"itemData":{"DOI":"10.1016/j.biombioe.2017.08.022","ISSN":"18732909","abstract":"The Fischer-Tropsch process is one of the possible routes to produce synthetic liquid fuels and chemicals employed on large scale in Gas-to-Liquid and Coal-to-Liquid processes, after appropriate transformation of respective fossil sources into syngas. However, syngas can be produced by biomass gasification as well. One of the main problems is the need to ensure high H2/CO ratio to allow the Fischer-Tropsch reaction to occur, operation commonly achieved by resorting to a Water-gas shift step. The present work reports an experimental study on biomass gasification. The aim was to set up a more efficient Biomass-to-Liquid process, which ensures a high H2/CO ratio syngas suitable for Fischer-Tropsch synthesis directly from biomass gasification. In this way, it is possible to remove the Water-gas shift section and consequently make biofuels production more attractive, reducing costs and plant complexity. Two types of biomass have been tested: softwood from forest residues and fast growing crops. Moreover, a bubbling fluidized bed reactor and an indirect gasifier with internal circulating fluidized bed have been used. Gasification tests have been conducted by running gasifiers with both inert and catalytic bed materials. The results have shown that, using the direct gasifier with catalytic bed and a proper configuration, H2/CO molar ratio of 2 can been obtained even at low temperature and low steam/biomass ratio, whereas this is not the case in the indirect one. However, tests suggest that an inverted configuration would make it possible to obtain values near two also with indirect gasifiers, resulting in a new interesting approach.","author":[{"dropping-particle":"","family":"Chiodini","given":"Andrea","non-dropping-particle":"","parse-names":false,"suffix":""},{"dropping-particle":"","family":"Bua","given":"Letizia","non-dropping-particle":"","parse-names":false,"suffix":""},{"dropping-particle":"","family":"Carnelli","given":"Lino","non-dropping-particle":"","parse-names":false,"suffix":""},{"dropping-particle":"","family":"Zwart","given":"Robin","non-dropping-particle":"","parse-names":false,"suffix":""},{"dropping-particle":"","family":"Vreugdenhil","given":"Berend","non-dropping-particle":"","parse-names":false,"suffix":""},{"dropping-particle":"","family":"Vocciante","given":"Marco","non-dropping-particle":"","parse-names":false,"suffix":""}],"container-title":"Biomass and Bioenergy","id":"ITEM-1","issued":{"date-parts":[["2017"]]},"page":"104-114","publisher":"Elsevier Ltd","title":"Enhancements in Biomass-to-Liquid processes: Gasification aiming at high hydrogen/carbon monoxide ratios for direct Fischer-Tropsch synthesis applications","type":"article-journal","volume":"106"}}],"schema":"https://github.com/citation-style-language/schema/raw/master/csl-citation.json"} </w:instrText>
      </w:r>
      <w:r w:rsidR="006D3BB3" w:rsidRPr="004D19FF">
        <w:rPr>
          <w:rFonts w:ascii="Times New Roman" w:hAnsi="Times New Roman"/>
          <w:sz w:val="20"/>
          <w:szCs w:val="20"/>
        </w:rPr>
        <w:fldChar w:fldCharType="separate"/>
      </w:r>
      <w:r w:rsidR="00623E85" w:rsidRPr="00623E85">
        <w:rPr>
          <w:rFonts w:ascii="Times New Roman" w:hAnsi="Times New Roman" w:cs="Times New Roman"/>
          <w:sz w:val="20"/>
        </w:rPr>
        <w:t>[76]</w:t>
      </w:r>
      <w:r w:rsidR="006D3BB3" w:rsidRPr="004D19FF">
        <w:rPr>
          <w:rFonts w:ascii="Times New Roman" w:hAnsi="Times New Roman"/>
          <w:sz w:val="20"/>
          <w:szCs w:val="20"/>
        </w:rPr>
        <w:fldChar w:fldCharType="end"/>
      </w:r>
      <w:r w:rsidR="00CF1CDB" w:rsidRPr="004D19FF">
        <w:rPr>
          <w:rFonts w:ascii="Times New Roman" w:hAnsi="Times New Roman"/>
          <w:sz w:val="20"/>
          <w:szCs w:val="20"/>
        </w:rPr>
        <w:t>.</w:t>
      </w:r>
      <w:r w:rsidR="00D62B79" w:rsidRPr="004D19FF">
        <w:rPr>
          <w:rFonts w:ascii="Times New Roman" w:hAnsi="Times New Roman"/>
          <w:sz w:val="20"/>
          <w:szCs w:val="20"/>
        </w:rPr>
        <w:t xml:space="preserve"> </w:t>
      </w:r>
      <w:r w:rsidR="00842707" w:rsidRPr="004D19FF">
        <w:rPr>
          <w:rFonts w:ascii="Times New Roman" w:hAnsi="Times New Roman"/>
          <w:sz w:val="20"/>
          <w:szCs w:val="20"/>
        </w:rPr>
        <w:t>During the gasification</w:t>
      </w:r>
      <w:r w:rsidR="004A7598" w:rsidRPr="004D19FF">
        <w:rPr>
          <w:rFonts w:ascii="Times New Roman" w:hAnsi="Times New Roman"/>
          <w:sz w:val="20"/>
          <w:szCs w:val="20"/>
        </w:rPr>
        <w:t xml:space="preserve"> process</w:t>
      </w:r>
      <w:r w:rsidR="00842707" w:rsidRPr="004D19FF">
        <w:rPr>
          <w:rFonts w:ascii="Times New Roman" w:hAnsi="Times New Roman"/>
          <w:sz w:val="20"/>
          <w:szCs w:val="20"/>
        </w:rPr>
        <w:t>, carbonaceous materials are</w:t>
      </w:r>
      <w:r w:rsidR="005C53DA" w:rsidRPr="004D19FF">
        <w:rPr>
          <w:rFonts w:ascii="Times New Roman" w:hAnsi="Times New Roman"/>
          <w:sz w:val="20"/>
          <w:szCs w:val="20"/>
        </w:rPr>
        <w:t xml:space="preserve"> </w:t>
      </w:r>
      <w:r w:rsidR="0072174B" w:rsidRPr="004D19FF">
        <w:rPr>
          <w:rFonts w:ascii="Times New Roman" w:hAnsi="Times New Roman"/>
          <w:sz w:val="20"/>
          <w:szCs w:val="20"/>
        </w:rPr>
        <w:t>transformed</w:t>
      </w:r>
      <w:r w:rsidR="00842707" w:rsidRPr="004D19FF">
        <w:rPr>
          <w:rFonts w:ascii="Times New Roman" w:hAnsi="Times New Roman"/>
          <w:sz w:val="20"/>
          <w:szCs w:val="20"/>
        </w:rPr>
        <w:t xml:space="preserve"> through</w:t>
      </w:r>
      <w:r w:rsidR="005C53DA" w:rsidRPr="004D19FF">
        <w:rPr>
          <w:rFonts w:ascii="Times New Roman" w:hAnsi="Times New Roman"/>
          <w:sz w:val="20"/>
          <w:szCs w:val="20"/>
        </w:rPr>
        <w:t xml:space="preserve"> several </w:t>
      </w:r>
      <w:r w:rsidR="00842707" w:rsidRPr="004D19FF">
        <w:rPr>
          <w:rFonts w:ascii="Times New Roman" w:hAnsi="Times New Roman"/>
          <w:sz w:val="20"/>
          <w:szCs w:val="20"/>
        </w:rPr>
        <w:t>reactions</w:t>
      </w:r>
      <w:r w:rsidR="005C53DA" w:rsidRPr="004D19FF">
        <w:rPr>
          <w:rFonts w:ascii="Times New Roman" w:hAnsi="Times New Roman"/>
          <w:sz w:val="20"/>
          <w:szCs w:val="20"/>
        </w:rPr>
        <w:t xml:space="preserve"> </w:t>
      </w:r>
      <w:r w:rsidR="005676C8" w:rsidRPr="004D19FF">
        <w:rPr>
          <w:rFonts w:ascii="Times New Roman" w:hAnsi="Times New Roman"/>
          <w:sz w:val="20"/>
          <w:szCs w:val="20"/>
        </w:rPr>
        <w:t>including</w:t>
      </w:r>
      <w:r w:rsidR="005C53DA" w:rsidRPr="004D19FF">
        <w:rPr>
          <w:rFonts w:ascii="Times New Roman" w:hAnsi="Times New Roman"/>
          <w:sz w:val="20"/>
          <w:szCs w:val="20"/>
        </w:rPr>
        <w:t xml:space="preserve"> </w:t>
      </w:r>
      <w:r w:rsidR="00607D69" w:rsidRPr="004D19FF">
        <w:rPr>
          <w:rFonts w:ascii="Times New Roman" w:hAnsi="Times New Roman"/>
          <w:sz w:val="20"/>
          <w:szCs w:val="20"/>
        </w:rPr>
        <w:t>drying</w:t>
      </w:r>
      <w:r w:rsidR="005C53DA" w:rsidRPr="004D19FF">
        <w:rPr>
          <w:rFonts w:ascii="Times New Roman" w:hAnsi="Times New Roman"/>
          <w:sz w:val="20"/>
          <w:szCs w:val="20"/>
        </w:rPr>
        <w:t>, pyrolysis</w:t>
      </w:r>
      <w:r w:rsidR="00DE41B8" w:rsidRPr="004D19FF">
        <w:rPr>
          <w:rFonts w:ascii="Times New Roman" w:hAnsi="Times New Roman"/>
          <w:sz w:val="20"/>
          <w:szCs w:val="20"/>
        </w:rPr>
        <w:t xml:space="preserve"> (PL)</w:t>
      </w:r>
      <w:r w:rsidR="005C53DA" w:rsidRPr="004D19FF">
        <w:rPr>
          <w:rFonts w:ascii="Times New Roman" w:hAnsi="Times New Roman"/>
          <w:sz w:val="20"/>
          <w:szCs w:val="20"/>
        </w:rPr>
        <w:t>, combustion and reduction</w:t>
      </w:r>
      <w:r w:rsidR="005E3D9D" w:rsidRPr="004D19FF">
        <w:rPr>
          <w:rFonts w:ascii="Times New Roman" w:hAnsi="Times New Roman"/>
          <w:sz w:val="20"/>
          <w:szCs w:val="20"/>
        </w:rPr>
        <w:t xml:space="preserve"> of feedstock </w:t>
      </w:r>
      <w:r w:rsidR="008A2CBD" w:rsidRPr="004D19FF">
        <w:rPr>
          <w:rFonts w:ascii="Times New Roman" w:hAnsi="Times New Roman"/>
          <w:sz w:val="20"/>
          <w:szCs w:val="20"/>
        </w:rPr>
        <w:t>to produce</w:t>
      </w:r>
      <w:r w:rsidR="001C2D5C" w:rsidRPr="004D19FF">
        <w:rPr>
          <w:rFonts w:ascii="Times New Roman" w:hAnsi="Times New Roman"/>
          <w:sz w:val="20"/>
          <w:szCs w:val="20"/>
        </w:rPr>
        <w:t xml:space="preserve"> </w:t>
      </w:r>
      <w:r w:rsidR="0072174B" w:rsidRPr="004D19FF">
        <w:rPr>
          <w:rFonts w:ascii="Times New Roman" w:hAnsi="Times New Roman"/>
          <w:sz w:val="20"/>
          <w:szCs w:val="20"/>
        </w:rPr>
        <w:t>syngas,</w:t>
      </w:r>
      <w:r w:rsidR="001C2D5C" w:rsidRPr="004D19FF">
        <w:rPr>
          <w:rFonts w:ascii="Times New Roman" w:hAnsi="Times New Roman"/>
          <w:sz w:val="20"/>
          <w:szCs w:val="20"/>
        </w:rPr>
        <w:t xml:space="preserve"> </w:t>
      </w:r>
      <w:r w:rsidR="004A5E9E" w:rsidRPr="004D19FF">
        <w:rPr>
          <w:rFonts w:ascii="Times New Roman" w:hAnsi="Times New Roman"/>
          <w:sz w:val="20"/>
          <w:szCs w:val="20"/>
        </w:rPr>
        <w:t xml:space="preserve">water vapor, </w:t>
      </w:r>
      <w:r w:rsidR="00842707" w:rsidRPr="004D19FF">
        <w:rPr>
          <w:rFonts w:ascii="Times New Roman" w:hAnsi="Times New Roman"/>
          <w:sz w:val="20"/>
          <w:szCs w:val="20"/>
        </w:rPr>
        <w:t xml:space="preserve">tar, and </w:t>
      </w:r>
      <w:r w:rsidR="005E3D9D" w:rsidRPr="004D19FF">
        <w:rPr>
          <w:rFonts w:ascii="Times New Roman" w:hAnsi="Times New Roman"/>
          <w:sz w:val="20"/>
          <w:szCs w:val="20"/>
        </w:rPr>
        <w:t xml:space="preserve">a </w:t>
      </w:r>
      <w:r w:rsidR="00842707" w:rsidRPr="004D19FF">
        <w:rPr>
          <w:rFonts w:ascii="Times New Roman" w:hAnsi="Times New Roman"/>
          <w:sz w:val="20"/>
          <w:szCs w:val="20"/>
        </w:rPr>
        <w:t>solid co-product</w:t>
      </w:r>
      <w:r w:rsidR="005E3D9D" w:rsidRPr="004D19FF">
        <w:rPr>
          <w:rFonts w:ascii="Times New Roman" w:hAnsi="Times New Roman"/>
          <w:sz w:val="20"/>
          <w:szCs w:val="20"/>
        </w:rPr>
        <w:t xml:space="preserve"> denoted as char</w:t>
      </w:r>
      <w:r w:rsidR="00E64DDA" w:rsidRPr="004D19FF">
        <w:rPr>
          <w:rFonts w:ascii="Times New Roman" w:hAnsi="Times New Roman"/>
          <w:sz w:val="20"/>
          <w:szCs w:val="20"/>
        </w:rPr>
        <w:t xml:space="preserve"> </w:t>
      </w:r>
      <w:r w:rsidR="0089255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TEFWS2o","properties":{"formattedCitation":"[79]","plainCitation":"[79]","noteIndex":0},"citationItems":[{"id":"968HXJ10/60QJylRB","uris":["http://www.mendeley.com/documents/?uuid=cf3e0831-3d4d-4a0c-969b-23fa420bca69"],"uri":["http://www.mendeley.com/documents/?uuid=cf3e0831-3d4d-4a0c-969b-23fa420bca69"],"itemData":{"DOI":"10.1016/j.fuel.2015.04.036","ISSN":"00162361","abstract":"This research investigates the catalytic properties of char which was recovered directly from a biomass gasifier. Poplar wood was gasified in steam and CO&lt;inf&gt;2&lt;/inf&gt; environments in a fluidized bed reactor at temperatures ranging from 550 to 920 °C. Char was composed of 85% carbon with concentrations of N, H, and S between 0.3% and 3%, depending on gasification conditions. The inorganics (Ca, K, Na, P, Si, Mg) were quantified, revealing that Ca was present in the highest concentration (0.5-1%), followed by K, ranging from 0.1% to 0.8%. The char had catalytic activity for decomposition of methane, which was used as a model molecule. The quantity of inorganics in the char was modified by acid washing in 16% aqueous HCl, which removed &gt;95% of Ca, K, P, and Mg from the char. This resulted in an 18% decrease in the quantity of methane reacted compared to the original char sample, demonstrating that inorganics, which only make up approximately 2% of the char, play a significant role in its catalytic activity for methane cracking reactions. In addition, carbon was found to play an important role in the catalytic activity of the char, both as a catalyst and a support on which the inorganics were dispersed. The activity of carbon free ash was approximately 90% lower than that of char, and deactivated to have no measurable activity after 45 min on stream, demonstrating the importance of carbon and dispersed inorganics for catalytic activity. When char was heated to 1000 C in N&lt;inf&gt;2&lt;/inf&gt;, inorganics and oxygen migrated to the surface of the char, covering the carbon surface in a metal oxide layer. This decreased the catalytic activity by approximately 40%. Acidic (e.g. carboxylic, lactones) and basic (e.g. carbonyl, pyrone) oxygen functional groups were identified on the char surface. However, acidic oxygen groups desorbed at reaction temperatures, so these groups likely do not participate in cracking reactions.","author":[{"dropping-particle":"","family":"Klinghoffer","given":"Naomi B.","non-dropping-particle":"","parse-names":false,"suffix":""},{"dropping-particle":"","family":"Castaldi","given":"Marco J.","non-dropping-particle":"","parse-names":false,"suffix":""},{"dropping-particle":"","family":"Nzihou","given":"Ange","non-dropping-particle":"","parse-names":false,"suffix":""}],"container-title":"Fuel","id":"ITEM-1","issued":{"date-parts":[["2015"]]},"page":"37-47","publisher":"Elsevier Ltd","title":"Influence of char composition and inorganics on catalytic activity of char from biomass gasification","type":"article-journal","volume":"157"}}],"schema":"https://github.com/citation-style-language/schema/raw/master/csl-citation.json"} </w:instrText>
      </w:r>
      <w:r w:rsidR="00892552" w:rsidRPr="004D19FF">
        <w:rPr>
          <w:rFonts w:ascii="Times New Roman" w:hAnsi="Times New Roman"/>
          <w:sz w:val="20"/>
          <w:szCs w:val="20"/>
        </w:rPr>
        <w:fldChar w:fldCharType="separate"/>
      </w:r>
      <w:r w:rsidR="00623E85" w:rsidRPr="00623E85">
        <w:rPr>
          <w:rFonts w:ascii="Times New Roman" w:hAnsi="Times New Roman" w:cs="Times New Roman"/>
          <w:sz w:val="20"/>
        </w:rPr>
        <w:t>[79]</w:t>
      </w:r>
      <w:r w:rsidR="00892552" w:rsidRPr="004D19FF">
        <w:rPr>
          <w:rFonts w:ascii="Times New Roman" w:hAnsi="Times New Roman"/>
          <w:sz w:val="20"/>
          <w:szCs w:val="20"/>
        </w:rPr>
        <w:fldChar w:fldCharType="end"/>
      </w:r>
      <w:r w:rsidR="00CF1CDB" w:rsidRPr="004D19FF">
        <w:rPr>
          <w:rFonts w:ascii="Times New Roman" w:hAnsi="Times New Roman"/>
          <w:sz w:val="20"/>
          <w:szCs w:val="20"/>
        </w:rPr>
        <w:t>.</w:t>
      </w:r>
      <w:r w:rsidR="00233AD1" w:rsidRPr="004D19FF">
        <w:rPr>
          <w:rFonts w:ascii="Times New Roman" w:hAnsi="Times New Roman"/>
          <w:sz w:val="20"/>
          <w:szCs w:val="20"/>
        </w:rPr>
        <w:t xml:space="preserve"> </w:t>
      </w:r>
    </w:p>
    <w:p w14:paraId="5F0544DA" w14:textId="245FB809" w:rsidR="00BE661D" w:rsidRPr="004D19FF" w:rsidRDefault="00231446" w:rsidP="00290530">
      <w:pPr>
        <w:spacing w:after="120" w:line="276" w:lineRule="auto"/>
        <w:jc w:val="thaiDistribute"/>
        <w:rPr>
          <w:rFonts w:ascii="Times New Roman" w:hAnsi="Times New Roman"/>
          <w:sz w:val="20"/>
          <w:szCs w:val="20"/>
        </w:rPr>
      </w:pPr>
      <w:r>
        <w:rPr>
          <w:rFonts w:ascii="Times New Roman" w:hAnsi="Times New Roman"/>
          <w:sz w:val="20"/>
          <w:szCs w:val="20"/>
        </w:rPr>
        <w:t>Syngas</w:t>
      </w:r>
      <w:r w:rsidR="00D57614">
        <w:rPr>
          <w:rFonts w:ascii="Times New Roman" w:hAnsi="Times New Roman"/>
          <w:sz w:val="20"/>
          <w:szCs w:val="20"/>
        </w:rPr>
        <w:t xml:space="preserve">, based on the experimental data compiled by </w:t>
      </w:r>
      <w:r w:rsidR="00D57614">
        <w:rPr>
          <w:rFonts w:ascii="Times New Roman" w:hAnsi="Times New Roman"/>
          <w:sz w:val="20"/>
          <w:szCs w:val="20"/>
        </w:rPr>
        <w:fldChar w:fldCharType="begin"/>
      </w:r>
      <w:r w:rsidR="0051129D">
        <w:rPr>
          <w:rFonts w:ascii="Times New Roman" w:hAnsi="Times New Roman"/>
          <w:sz w:val="20"/>
          <w:szCs w:val="20"/>
        </w:rPr>
        <w:instrText xml:space="preserve"> ADDIN ZOTERO_ITEM CSL_CITATION {"citationID":"lF7oAqQr","properties":{"formattedCitation":"[74]","plainCitation":"[74]","noteIndex":0},"citationItems":[{"id":3346,"uris":["http://zotero.org/groups/2763812/items/H4CYUPQX"],"uri":["http://zotero.org/groups/2763812/items/H4CYUPQX"],"itemData":{"id":3346,"type":"article-journal","abstract":"This work consists of developing a predictive model (PM) for syngas composition obtained from biomass gasification in fixed bed gasifiers. The PM is composed of three correlations which are made for carbon conversion efficiency, gasification temperature and the correction factor for the equilibrium constant of the water-gas homogeneous reaction. Such correlations were established using results obtained from the application of an optimization method (AOM) that uses Kuhn–Tucker multipliers. Syngas compositions determined through AOM were compared with experimental compositions and those estimated by other models, resulting that the AOM always determines the best estimates with respect to the root mean square error (RMSE). For syngas compositions estimated by AOM, the RMSE interval is [0.21, 4.11]. The PM was validated with six experimental compositions. From the predicted syngas compositions it was found that the ranges for LHV, cold gas efficiency, carbon conversion efficiency and gasification temperature were [4.594, 5.116 MJ/Nm3], [55.74, 68.18%], [74.20, 88.40%] and [749, 918 °C], respectively. Additionally, for the predicted syngas compositions the RMSE interval was determined as [0.68, 2.25]. Therefore, the PM was considered to be effective in estimating syngas compositions.","container-title":"Fuel","DOI":"10.1016/j.fuel.2020.119068","ISSN":"0016-2361","journalAbbreviation":"Fuel","language":"en","page":"119068","source":"ScienceDirect","title":"Modeling of syngas composition obtained from fixed bed gasifiers using Kuhn–Tucker multipliers","volume":"287","author":[{"family":"Amaro","given":"Jordan"},{"family":"Rosado","given":"Diego Jhovanny Mariños"},{"family":"Mendiburu","given":"Andrés Z."},{"family":"Santos","given":"Leila Ribeiro","non-dropping-particle":"dos"},{"family":"Carvalho Jr.","given":"João A.","non-dropping-particle":"de"}],"issued":{"date-parts":[["2021",3,1]]}}}],"schema":"https://github.com/citation-style-language/schema/raw/master/csl-citation.json"} </w:instrText>
      </w:r>
      <w:r w:rsidR="00D57614">
        <w:rPr>
          <w:rFonts w:ascii="Times New Roman" w:hAnsi="Times New Roman"/>
          <w:sz w:val="20"/>
          <w:szCs w:val="20"/>
        </w:rPr>
        <w:fldChar w:fldCharType="separate"/>
      </w:r>
      <w:r w:rsidR="00623E85" w:rsidRPr="00623E85">
        <w:rPr>
          <w:rFonts w:ascii="Times New Roman" w:hAnsi="Times New Roman" w:cs="Times New Roman"/>
          <w:sz w:val="20"/>
        </w:rPr>
        <w:t>[74]</w:t>
      </w:r>
      <w:r w:rsidR="00D57614">
        <w:rPr>
          <w:rFonts w:ascii="Times New Roman" w:hAnsi="Times New Roman"/>
          <w:sz w:val="20"/>
          <w:szCs w:val="20"/>
        </w:rPr>
        <w:fldChar w:fldCharType="end"/>
      </w:r>
      <w:r w:rsidR="00FD44C5">
        <w:rPr>
          <w:rFonts w:ascii="Times New Roman" w:hAnsi="Times New Roman"/>
          <w:sz w:val="20"/>
          <w:szCs w:val="20"/>
        </w:rPr>
        <w:t xml:space="preserve"> for</w:t>
      </w:r>
      <w:r w:rsidR="00D57614">
        <w:rPr>
          <w:rFonts w:ascii="Times New Roman" w:hAnsi="Times New Roman"/>
          <w:sz w:val="20"/>
          <w:szCs w:val="20"/>
        </w:rPr>
        <w:t xml:space="preserve"> fixed bed </w:t>
      </w:r>
      <w:r w:rsidR="00F847F2">
        <w:rPr>
          <w:rFonts w:ascii="Times New Roman" w:hAnsi="Times New Roman"/>
          <w:sz w:val="20"/>
          <w:szCs w:val="20"/>
        </w:rPr>
        <w:t>gasifiers</w:t>
      </w:r>
      <w:r w:rsidR="00D57614">
        <w:rPr>
          <w:rFonts w:ascii="Times New Roman" w:hAnsi="Times New Roman"/>
          <w:sz w:val="20"/>
          <w:szCs w:val="20"/>
        </w:rPr>
        <w:t>,</w:t>
      </w:r>
      <w:r>
        <w:rPr>
          <w:rFonts w:ascii="Times New Roman" w:hAnsi="Times New Roman"/>
          <w:sz w:val="20"/>
          <w:szCs w:val="20"/>
        </w:rPr>
        <w:t xml:space="preserve"> is a</w:t>
      </w:r>
      <w:r w:rsidR="00D57614">
        <w:rPr>
          <w:rFonts w:ascii="Times New Roman" w:hAnsi="Times New Roman"/>
          <w:sz w:val="20"/>
          <w:szCs w:val="20"/>
        </w:rPr>
        <w:t xml:space="preserve"> gaseous</w:t>
      </w:r>
      <w:r>
        <w:rPr>
          <w:rFonts w:ascii="Times New Roman" w:hAnsi="Times New Roman"/>
          <w:sz w:val="20"/>
          <w:szCs w:val="20"/>
        </w:rPr>
        <w:t xml:space="preserve"> mixture of H</w:t>
      </w:r>
      <w:r w:rsidRPr="00D57614">
        <w:rPr>
          <w:rFonts w:ascii="Times New Roman" w:hAnsi="Times New Roman"/>
          <w:sz w:val="20"/>
          <w:szCs w:val="20"/>
          <w:vertAlign w:val="subscript"/>
        </w:rPr>
        <w:t>2</w:t>
      </w:r>
      <w:r>
        <w:rPr>
          <w:rFonts w:ascii="Times New Roman" w:hAnsi="Times New Roman"/>
          <w:sz w:val="20"/>
          <w:szCs w:val="20"/>
        </w:rPr>
        <w:t xml:space="preserve"> (1</w:t>
      </w:r>
      <w:r w:rsidR="00D57614">
        <w:rPr>
          <w:rFonts w:ascii="Times New Roman" w:hAnsi="Times New Roman"/>
          <w:sz w:val="20"/>
          <w:szCs w:val="20"/>
        </w:rPr>
        <w:t>0</w:t>
      </w:r>
      <w:r>
        <w:rPr>
          <w:rFonts w:ascii="Times New Roman" w:hAnsi="Times New Roman"/>
          <w:sz w:val="20"/>
          <w:szCs w:val="20"/>
        </w:rPr>
        <w:t>-20%), CO (</w:t>
      </w:r>
      <w:r w:rsidR="00D57614">
        <w:rPr>
          <w:rFonts w:ascii="Times New Roman" w:hAnsi="Times New Roman"/>
          <w:sz w:val="20"/>
          <w:szCs w:val="20"/>
        </w:rPr>
        <w:t>15-23%), CO</w:t>
      </w:r>
      <w:r w:rsidR="00D57614" w:rsidRPr="00D57614">
        <w:rPr>
          <w:rFonts w:ascii="Times New Roman" w:hAnsi="Times New Roman"/>
          <w:sz w:val="20"/>
          <w:szCs w:val="20"/>
          <w:vertAlign w:val="subscript"/>
        </w:rPr>
        <w:t>2</w:t>
      </w:r>
      <w:r w:rsidR="00D57614">
        <w:rPr>
          <w:rFonts w:ascii="Times New Roman" w:hAnsi="Times New Roman"/>
          <w:sz w:val="20"/>
          <w:szCs w:val="20"/>
        </w:rPr>
        <w:t xml:space="preserve"> (8-18%), CH</w:t>
      </w:r>
      <w:r w:rsidR="00D57614" w:rsidRPr="00D57614">
        <w:rPr>
          <w:rFonts w:ascii="Times New Roman" w:hAnsi="Times New Roman"/>
          <w:sz w:val="20"/>
          <w:szCs w:val="20"/>
          <w:vertAlign w:val="subscript"/>
        </w:rPr>
        <w:t>4</w:t>
      </w:r>
      <w:r w:rsidR="00D57614">
        <w:rPr>
          <w:rFonts w:ascii="Times New Roman" w:hAnsi="Times New Roman"/>
          <w:sz w:val="20"/>
          <w:szCs w:val="20"/>
        </w:rPr>
        <w:t xml:space="preserve"> (1-4%) and N</w:t>
      </w:r>
      <w:r w:rsidR="00D57614" w:rsidRPr="00D57614">
        <w:rPr>
          <w:rFonts w:ascii="Times New Roman" w:hAnsi="Times New Roman"/>
          <w:sz w:val="20"/>
          <w:szCs w:val="20"/>
          <w:vertAlign w:val="subscript"/>
        </w:rPr>
        <w:t>2</w:t>
      </w:r>
      <w:r w:rsidR="00D57614">
        <w:rPr>
          <w:rFonts w:ascii="Times New Roman" w:hAnsi="Times New Roman"/>
          <w:sz w:val="20"/>
          <w:szCs w:val="20"/>
        </w:rPr>
        <w:t xml:space="preserve"> (42-60%). </w:t>
      </w:r>
      <w:r w:rsidR="00224C38">
        <w:rPr>
          <w:rFonts w:ascii="Times New Roman" w:hAnsi="Times New Roman"/>
          <w:sz w:val="20"/>
          <w:szCs w:val="20"/>
        </w:rPr>
        <w:t>S</w:t>
      </w:r>
      <w:r w:rsidR="00797F31" w:rsidRPr="004D19FF">
        <w:rPr>
          <w:rFonts w:ascii="Times New Roman" w:hAnsi="Times New Roman"/>
          <w:sz w:val="20"/>
          <w:szCs w:val="20"/>
        </w:rPr>
        <w:t>yngas</w:t>
      </w:r>
      <w:r w:rsidR="00D923A2" w:rsidRPr="004D19FF">
        <w:rPr>
          <w:rFonts w:ascii="Times New Roman" w:hAnsi="Times New Roman"/>
          <w:sz w:val="20"/>
          <w:szCs w:val="20"/>
        </w:rPr>
        <w:t xml:space="preserve"> impurities are composed of tar</w:t>
      </w:r>
      <w:r w:rsidR="00797F31" w:rsidRPr="004D19FF">
        <w:rPr>
          <w:rFonts w:ascii="Times New Roman" w:hAnsi="Times New Roman"/>
          <w:sz w:val="20"/>
          <w:szCs w:val="20"/>
        </w:rPr>
        <w:t xml:space="preserve"> particles, nitrogenous compounds (NH</w:t>
      </w:r>
      <w:r w:rsidR="00797F31" w:rsidRPr="004D19FF">
        <w:rPr>
          <w:rFonts w:ascii="Times New Roman" w:hAnsi="Times New Roman"/>
          <w:sz w:val="20"/>
          <w:szCs w:val="20"/>
          <w:vertAlign w:val="subscript"/>
        </w:rPr>
        <w:t>3</w:t>
      </w:r>
      <w:r w:rsidR="00797F31" w:rsidRPr="004D19FF">
        <w:rPr>
          <w:rFonts w:ascii="Times New Roman" w:hAnsi="Times New Roman"/>
          <w:sz w:val="20"/>
          <w:szCs w:val="20"/>
        </w:rPr>
        <w:t>, HCN), sulfur compounds (H</w:t>
      </w:r>
      <w:r w:rsidR="00797F31" w:rsidRPr="004D19FF">
        <w:rPr>
          <w:rFonts w:ascii="Times New Roman" w:hAnsi="Times New Roman"/>
          <w:sz w:val="20"/>
          <w:szCs w:val="20"/>
          <w:vertAlign w:val="subscript"/>
        </w:rPr>
        <w:t>2</w:t>
      </w:r>
      <w:r w:rsidR="00797F31" w:rsidRPr="004D19FF">
        <w:rPr>
          <w:rFonts w:ascii="Times New Roman" w:hAnsi="Times New Roman"/>
          <w:sz w:val="20"/>
          <w:szCs w:val="20"/>
        </w:rPr>
        <w:t>S, COS, CS</w:t>
      </w:r>
      <w:r w:rsidR="00797F31" w:rsidRPr="004D19FF">
        <w:rPr>
          <w:rFonts w:ascii="Times New Roman" w:hAnsi="Times New Roman"/>
          <w:sz w:val="20"/>
          <w:szCs w:val="20"/>
          <w:vertAlign w:val="subscript"/>
        </w:rPr>
        <w:t>2</w:t>
      </w:r>
      <w:r w:rsidR="00797F31" w:rsidRPr="004D19FF">
        <w:rPr>
          <w:rFonts w:ascii="Times New Roman" w:hAnsi="Times New Roman"/>
          <w:sz w:val="20"/>
          <w:szCs w:val="20"/>
        </w:rPr>
        <w:t xml:space="preserve">), hydrogen halides (HCl, HF), and trace metals (Na, K) </w:t>
      </w:r>
      <w:r w:rsidR="00797F31"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UqkGykeA","properties":{"formattedCitation":"[80]","plainCitation":"[80]","noteIndex":0},"citationItems":[{"id":"968HXJ10/6UNJovzN","uris":["http://www.mendeley.com/documents/?uuid=1c6eedda-6a3c-4be8-a558-9cbab1f9286a"],"uri":["http://www.mendeley.com/documents/?uuid=1c6eedda-6a3c-4be8-a558-9cbab1f9286a"],"itemData":{"DOI":"10.1016/j.apenergy.2015.05.095","ISSN":"03062619","abstract":"Energy, fuel and chemical production from biomass is increasingly attracting interest in the world. Gasification of biomass can produce raw syngas which contains CO, CO2, H2 and CH4. In addition, raw syngas contains minor but significant quantities of undesirable impurities - collectively known as syngas contaminants. Syngas contaminants are composed of tars, nitrogen based compounds (NH3, HCN, etc.), sulfur based compounds (H2S, COS, etc.), hydrogen halides (HCl, HF, etc.) and trace metals (Na, K, etc.). Raw syngas cleanup is an essential step prior to syngas utilization in downstream applications. In recent years, significant research attention has been devoted to syngas cleanup to reduce contaminants below tolerable limits. The present paper is a comprehensive review of cold gas and hot gas syngas cleanup for major contaminants in syngas (tar, NH3, H2S, HCl and trace metals). This review organizes and discusses investigations on syngas for all major contaminants, critically reviews important challenges in syngas cleanup and discusses recent advancements in hot and cold gas cleanup.","author":[{"dropping-particle":"","family":"Abdoulmoumine","given":"Nourredine","non-dropping-particle":"","parse-names":false,"suffix":""},{"dropping-particle":"","family":"Adhikari","given":"Sushil","non-dropping-particle":"","parse-names":false,"suffix":""},{"dropping-particle":"","family":"Kulkarni","given":"Avanti","non-dropping-particle":"","parse-names":false,"suffix":""},{"dropping-particle":"","family":"Chattanathan","given":"Shyamsundar","non-dropping-particle":"","parse-names":false,"suffix":""}],"container-title":"Applied Energy","id":"ITEM-1","issued":{"date-parts":[["2015"]]},"page":"294-307","publisher":"Elsevier Ltd","title":"A review on biomass gasification syngas cleanup","type":"article-journal","volume":"155"}}],"schema":"https://github.com/citation-style-language/schema/raw/master/csl-citation.json"} </w:instrText>
      </w:r>
      <w:r w:rsidR="00797F31" w:rsidRPr="004D19FF">
        <w:rPr>
          <w:rFonts w:ascii="Times New Roman" w:hAnsi="Times New Roman"/>
          <w:sz w:val="20"/>
          <w:szCs w:val="20"/>
        </w:rPr>
        <w:fldChar w:fldCharType="separate"/>
      </w:r>
      <w:r w:rsidR="00623E85" w:rsidRPr="00623E85">
        <w:rPr>
          <w:rFonts w:ascii="Times New Roman" w:hAnsi="Times New Roman" w:cs="Times New Roman"/>
          <w:sz w:val="20"/>
        </w:rPr>
        <w:t>[80]</w:t>
      </w:r>
      <w:r w:rsidR="00797F31" w:rsidRPr="004D19FF">
        <w:rPr>
          <w:rFonts w:ascii="Times New Roman" w:hAnsi="Times New Roman"/>
          <w:sz w:val="20"/>
          <w:szCs w:val="20"/>
        </w:rPr>
        <w:fldChar w:fldCharType="end"/>
      </w:r>
      <w:r w:rsidR="00CF1CDB" w:rsidRPr="004D19FF">
        <w:rPr>
          <w:rFonts w:ascii="Times New Roman" w:hAnsi="Times New Roman"/>
          <w:sz w:val="20"/>
          <w:szCs w:val="20"/>
        </w:rPr>
        <w:t>.</w:t>
      </w:r>
      <w:r w:rsidR="00797F31" w:rsidRPr="004D19FF">
        <w:rPr>
          <w:rFonts w:ascii="Times New Roman" w:hAnsi="Times New Roman"/>
          <w:sz w:val="20"/>
          <w:szCs w:val="20"/>
        </w:rPr>
        <w:t xml:space="preserve"> </w:t>
      </w:r>
      <w:r w:rsidR="002D7246" w:rsidRPr="004D19FF">
        <w:rPr>
          <w:rFonts w:ascii="Times New Roman" w:hAnsi="Times New Roman"/>
          <w:sz w:val="20"/>
          <w:szCs w:val="20"/>
        </w:rPr>
        <w:t xml:space="preserve">Hence, </w:t>
      </w:r>
      <w:r w:rsidR="0078031D" w:rsidRPr="004D19FF">
        <w:rPr>
          <w:rFonts w:ascii="Times New Roman" w:hAnsi="Times New Roman"/>
          <w:sz w:val="20"/>
          <w:szCs w:val="20"/>
        </w:rPr>
        <w:t xml:space="preserve">syngas </w:t>
      </w:r>
      <w:r w:rsidR="000068E4" w:rsidRPr="004D19FF">
        <w:rPr>
          <w:rFonts w:ascii="Times New Roman" w:hAnsi="Times New Roman"/>
          <w:sz w:val="20"/>
          <w:szCs w:val="20"/>
        </w:rPr>
        <w:t>needs to</w:t>
      </w:r>
      <w:r w:rsidR="0078031D" w:rsidRPr="004D19FF">
        <w:rPr>
          <w:rFonts w:ascii="Times New Roman" w:hAnsi="Times New Roman"/>
          <w:sz w:val="20"/>
          <w:szCs w:val="20"/>
        </w:rPr>
        <w:t xml:space="preserve"> be</w:t>
      </w:r>
      <w:r w:rsidR="00D923A2" w:rsidRPr="004D19FF">
        <w:rPr>
          <w:rFonts w:ascii="Times New Roman" w:hAnsi="Times New Roman"/>
          <w:sz w:val="20"/>
          <w:szCs w:val="20"/>
        </w:rPr>
        <w:t xml:space="preserve"> further conditioned to reform tar contaminant</w:t>
      </w:r>
      <w:r w:rsidR="000068E4" w:rsidRPr="004D19FF">
        <w:rPr>
          <w:rFonts w:ascii="Times New Roman" w:hAnsi="Times New Roman"/>
          <w:sz w:val="20"/>
          <w:szCs w:val="20"/>
        </w:rPr>
        <w:t>s</w:t>
      </w:r>
      <w:r w:rsidR="00D923A2" w:rsidRPr="004D19FF">
        <w:rPr>
          <w:rFonts w:ascii="Times New Roman" w:hAnsi="Times New Roman"/>
          <w:sz w:val="20"/>
          <w:szCs w:val="20"/>
        </w:rPr>
        <w:t xml:space="preserve">, and remove </w:t>
      </w:r>
      <w:r w:rsidR="0078031D" w:rsidRPr="004D19FF">
        <w:rPr>
          <w:rFonts w:ascii="Times New Roman" w:hAnsi="Times New Roman"/>
          <w:sz w:val="20"/>
          <w:szCs w:val="20"/>
        </w:rPr>
        <w:t xml:space="preserve">particulate </w:t>
      </w:r>
      <w:r w:rsidR="00F502C4" w:rsidRPr="004D19FF">
        <w:rPr>
          <w:rFonts w:ascii="Times New Roman" w:hAnsi="Times New Roman"/>
          <w:sz w:val="20"/>
          <w:szCs w:val="20"/>
        </w:rPr>
        <w:t>matter</w:t>
      </w:r>
      <w:r w:rsidR="000068E4" w:rsidRPr="004D19FF">
        <w:rPr>
          <w:rFonts w:ascii="Times New Roman" w:hAnsi="Times New Roman"/>
          <w:sz w:val="20"/>
          <w:szCs w:val="20"/>
        </w:rPr>
        <w:t>s</w:t>
      </w:r>
      <w:r w:rsidR="00F502C4" w:rsidRPr="004D19FF">
        <w:rPr>
          <w:rFonts w:ascii="Times New Roman" w:hAnsi="Times New Roman"/>
          <w:sz w:val="20"/>
          <w:szCs w:val="20"/>
        </w:rPr>
        <w:t xml:space="preserve"> </w:t>
      </w:r>
      <w:r w:rsidR="00D923A2" w:rsidRPr="004D19FF">
        <w:rPr>
          <w:rFonts w:ascii="Times New Roman" w:hAnsi="Times New Roman"/>
          <w:sz w:val="20"/>
          <w:szCs w:val="20"/>
        </w:rPr>
        <w:t>and acid gas</w:t>
      </w:r>
      <w:r w:rsidR="000068E4" w:rsidRPr="004D19FF">
        <w:rPr>
          <w:rFonts w:ascii="Times New Roman" w:hAnsi="Times New Roman"/>
          <w:sz w:val="20"/>
          <w:szCs w:val="20"/>
        </w:rPr>
        <w:t>es</w:t>
      </w:r>
      <w:r w:rsidR="0078031D" w:rsidRPr="004D19FF">
        <w:rPr>
          <w:rFonts w:ascii="Times New Roman" w:hAnsi="Times New Roman"/>
          <w:sz w:val="20"/>
          <w:szCs w:val="20"/>
        </w:rPr>
        <w:t xml:space="preserve"> prior to </w:t>
      </w:r>
      <w:r w:rsidR="00236555" w:rsidRPr="004D19FF">
        <w:rPr>
          <w:rFonts w:ascii="Times New Roman" w:hAnsi="Times New Roman"/>
          <w:sz w:val="20"/>
          <w:szCs w:val="20"/>
        </w:rPr>
        <w:t xml:space="preserve">utilization </w:t>
      </w:r>
      <w:r w:rsidR="0078031D" w:rsidRPr="004D19FF">
        <w:rPr>
          <w:rFonts w:ascii="Times New Roman" w:hAnsi="Times New Roman"/>
          <w:sz w:val="20"/>
          <w:szCs w:val="20"/>
        </w:rPr>
        <w:t xml:space="preserve">in </w:t>
      </w:r>
      <w:r w:rsidR="003A77F7" w:rsidRPr="004D19FF">
        <w:rPr>
          <w:rFonts w:ascii="Times New Roman" w:hAnsi="Times New Roman"/>
          <w:sz w:val="20"/>
          <w:szCs w:val="20"/>
        </w:rPr>
        <w:t xml:space="preserve">downstream </w:t>
      </w:r>
      <w:r w:rsidR="000068E4" w:rsidRPr="004D19FF">
        <w:rPr>
          <w:rFonts w:ascii="Times New Roman" w:hAnsi="Times New Roman"/>
          <w:sz w:val="20"/>
          <w:szCs w:val="20"/>
        </w:rPr>
        <w:t xml:space="preserve">gas-to-liquid </w:t>
      </w:r>
      <w:r w:rsidR="003A77F7" w:rsidRPr="004D19FF">
        <w:rPr>
          <w:rFonts w:ascii="Times New Roman" w:hAnsi="Times New Roman"/>
          <w:sz w:val="20"/>
          <w:szCs w:val="20"/>
        </w:rPr>
        <w:t>process</w:t>
      </w:r>
      <w:r w:rsidR="000068E4" w:rsidRPr="004D19FF">
        <w:rPr>
          <w:rFonts w:ascii="Times New Roman" w:hAnsi="Times New Roman"/>
          <w:sz w:val="20"/>
          <w:szCs w:val="20"/>
        </w:rPr>
        <w:t>es</w:t>
      </w:r>
      <w:r w:rsidR="0078031D" w:rsidRPr="004D19FF">
        <w:rPr>
          <w:rFonts w:ascii="Times New Roman" w:hAnsi="Times New Roman"/>
          <w:sz w:val="20"/>
          <w:szCs w:val="20"/>
        </w:rPr>
        <w:t xml:space="preserve"> </w:t>
      </w:r>
      <w:r w:rsidR="00B1485A" w:rsidRPr="004D19FF">
        <w:rPr>
          <w:rFonts w:ascii="Times New Roman" w:hAnsi="Times New Roman"/>
          <w:sz w:val="20"/>
          <w:szCs w:val="20"/>
        </w:rPr>
        <w:t>(Figs. 5 and 6</w:t>
      </w:r>
      <w:r w:rsidR="00F502C4" w:rsidRPr="004D19FF">
        <w:rPr>
          <w:rFonts w:ascii="Times New Roman" w:hAnsi="Times New Roman"/>
          <w:sz w:val="20"/>
          <w:szCs w:val="20"/>
        </w:rPr>
        <w:t>)</w:t>
      </w:r>
      <w:r w:rsidR="007A71C6" w:rsidRPr="004D19FF">
        <w:rPr>
          <w:rFonts w:ascii="Times New Roman" w:hAnsi="Times New Roman"/>
          <w:sz w:val="20"/>
          <w:szCs w:val="20"/>
        </w:rPr>
        <w:t xml:space="preserve">. </w:t>
      </w:r>
      <w:r w:rsidR="002878DD" w:rsidRPr="004D19FF">
        <w:rPr>
          <w:rFonts w:ascii="Times New Roman" w:hAnsi="Times New Roman"/>
          <w:sz w:val="20"/>
          <w:szCs w:val="20"/>
        </w:rPr>
        <w:t>Depending on the gas-to-liquid process to be used, additional steps to adjust for the</w:t>
      </w:r>
      <w:r w:rsidR="00DF234E" w:rsidRPr="004D19FF">
        <w:rPr>
          <w:rFonts w:ascii="Times New Roman" w:hAnsi="Times New Roman"/>
          <w:sz w:val="20"/>
          <w:szCs w:val="20"/>
        </w:rPr>
        <w:t xml:space="preserve"> H</w:t>
      </w:r>
      <w:r w:rsidR="00DF234E" w:rsidRPr="004D19FF">
        <w:rPr>
          <w:rFonts w:ascii="Times New Roman" w:hAnsi="Times New Roman"/>
          <w:sz w:val="20"/>
          <w:szCs w:val="20"/>
          <w:vertAlign w:val="subscript"/>
        </w:rPr>
        <w:t>2</w:t>
      </w:r>
      <w:r w:rsidR="00DF234E" w:rsidRPr="004D19FF">
        <w:rPr>
          <w:rFonts w:ascii="Times New Roman" w:hAnsi="Times New Roman"/>
          <w:sz w:val="20"/>
          <w:szCs w:val="20"/>
        </w:rPr>
        <w:t>/CO ratio</w:t>
      </w:r>
      <w:r w:rsidR="002878DD" w:rsidRPr="004D19FF">
        <w:rPr>
          <w:rFonts w:ascii="Times New Roman" w:hAnsi="Times New Roman"/>
          <w:sz w:val="20"/>
          <w:szCs w:val="20"/>
        </w:rPr>
        <w:t xml:space="preserve"> of the cleaned syngas may be required</w:t>
      </w:r>
      <w:r w:rsidR="00DF234E" w:rsidRPr="004D19FF">
        <w:rPr>
          <w:rFonts w:ascii="Times New Roman" w:hAnsi="Times New Roman"/>
          <w:sz w:val="20"/>
          <w:szCs w:val="20"/>
        </w:rPr>
        <w:t xml:space="preserve">. </w:t>
      </w:r>
      <w:r w:rsidR="002878DD" w:rsidRPr="004D19FF">
        <w:rPr>
          <w:rFonts w:ascii="Times New Roman" w:hAnsi="Times New Roman"/>
          <w:sz w:val="20"/>
          <w:szCs w:val="20"/>
        </w:rPr>
        <w:t xml:space="preserve">While it could be completely avoided for the SF pathway, the FT typically requires to adjust the </w:t>
      </w:r>
      <w:r w:rsidR="00DF234E" w:rsidRPr="004D19FF">
        <w:rPr>
          <w:rFonts w:ascii="Times New Roman" w:hAnsi="Times New Roman"/>
          <w:sz w:val="20"/>
          <w:szCs w:val="20"/>
        </w:rPr>
        <w:t>H</w:t>
      </w:r>
      <w:r w:rsidR="00DF234E" w:rsidRPr="004D19FF">
        <w:rPr>
          <w:rFonts w:ascii="Times New Roman" w:hAnsi="Times New Roman"/>
          <w:sz w:val="20"/>
          <w:szCs w:val="20"/>
          <w:vertAlign w:val="subscript"/>
        </w:rPr>
        <w:t>2</w:t>
      </w:r>
      <w:r w:rsidR="006607F9" w:rsidRPr="004D19FF">
        <w:rPr>
          <w:rFonts w:ascii="Times New Roman" w:hAnsi="Times New Roman"/>
          <w:sz w:val="20"/>
          <w:szCs w:val="20"/>
        </w:rPr>
        <w:t xml:space="preserve">/CO ratio </w:t>
      </w:r>
      <w:r w:rsidR="002878DD" w:rsidRPr="004D19FF">
        <w:rPr>
          <w:rFonts w:ascii="Times New Roman" w:hAnsi="Times New Roman"/>
          <w:sz w:val="20"/>
          <w:szCs w:val="20"/>
        </w:rPr>
        <w:t xml:space="preserve">to </w:t>
      </w:r>
      <w:r w:rsidR="006607F9" w:rsidRPr="004D19FF">
        <w:rPr>
          <w:rFonts w:ascii="Times New Roman" w:hAnsi="Times New Roman" w:cs="Times New Roman"/>
          <w:sz w:val="20"/>
          <w:szCs w:val="20"/>
        </w:rPr>
        <w:t>~</w:t>
      </w:r>
      <w:r w:rsidR="002878DD" w:rsidRPr="004D19FF">
        <w:rPr>
          <w:rFonts w:ascii="Times New Roman" w:hAnsi="Times New Roman"/>
          <w:sz w:val="20"/>
          <w:szCs w:val="20"/>
        </w:rPr>
        <w:t>2.0 for</w:t>
      </w:r>
      <w:r w:rsidR="00DF234E" w:rsidRPr="004D19FF">
        <w:rPr>
          <w:rFonts w:ascii="Times New Roman" w:hAnsi="Times New Roman"/>
          <w:sz w:val="20"/>
          <w:szCs w:val="20"/>
        </w:rPr>
        <w:t xml:space="preserve"> avoiding the formation of metha</w:t>
      </w:r>
      <w:r w:rsidR="00A5488D" w:rsidRPr="004D19FF">
        <w:rPr>
          <w:rFonts w:ascii="Times New Roman" w:hAnsi="Times New Roman"/>
          <w:sz w:val="20"/>
          <w:szCs w:val="20"/>
        </w:rPr>
        <w:t>ne</w:t>
      </w:r>
      <w:r w:rsidR="00BE661D" w:rsidRPr="004D19FF">
        <w:rPr>
          <w:rFonts w:ascii="Times New Roman" w:hAnsi="Times New Roman"/>
          <w:sz w:val="20"/>
          <w:szCs w:val="20"/>
        </w:rPr>
        <w:t xml:space="preserve">. </w:t>
      </w:r>
      <w:r w:rsidR="002878DD" w:rsidRPr="004D19FF">
        <w:rPr>
          <w:rFonts w:ascii="Times New Roman" w:hAnsi="Times New Roman"/>
          <w:sz w:val="20"/>
          <w:szCs w:val="20"/>
        </w:rPr>
        <w:t xml:space="preserve">In addition, </w:t>
      </w:r>
      <w:r w:rsidR="00FD44C5">
        <w:rPr>
          <w:rFonts w:ascii="Times New Roman" w:hAnsi="Times New Roman"/>
          <w:sz w:val="20"/>
          <w:szCs w:val="20"/>
        </w:rPr>
        <w:t>syngas</w:t>
      </w:r>
      <w:r w:rsidR="00BE661D" w:rsidRPr="004D19FF">
        <w:rPr>
          <w:rFonts w:ascii="Times New Roman" w:hAnsi="Times New Roman"/>
          <w:sz w:val="20"/>
          <w:szCs w:val="20"/>
        </w:rPr>
        <w:t xml:space="preserve"> must be strictly purified from acid gas and ash to </w:t>
      </w:r>
      <w:r w:rsidR="00FD44C5">
        <w:rPr>
          <w:rFonts w:ascii="Times New Roman" w:hAnsi="Times New Roman"/>
          <w:sz w:val="20"/>
          <w:szCs w:val="20"/>
        </w:rPr>
        <w:t xml:space="preserve">avoid catalyst deactivation </w:t>
      </w:r>
      <w:r w:rsidR="00F3717F">
        <w:rPr>
          <w:rFonts w:ascii="Times New Roman" w:hAnsi="Times New Roman"/>
          <w:sz w:val="20"/>
          <w:szCs w:val="20"/>
        </w:rPr>
        <w:t>during the FT step as well as downstream</w:t>
      </w:r>
      <w:r w:rsidR="00BE661D" w:rsidRPr="004D19FF">
        <w:rPr>
          <w:rFonts w:ascii="Times New Roman" w:hAnsi="Times New Roman"/>
          <w:sz w:val="20"/>
          <w:szCs w:val="20"/>
        </w:rPr>
        <w:t xml:space="preserve"> corrosion</w:t>
      </w:r>
      <w:r w:rsidR="00FD44C5">
        <w:rPr>
          <w:rFonts w:ascii="Times New Roman" w:hAnsi="Times New Roman"/>
          <w:sz w:val="20"/>
          <w:szCs w:val="20"/>
        </w:rPr>
        <w:t xml:space="preserve"> </w:t>
      </w:r>
      <w:r w:rsidR="006D3BB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vCLt99k6","properties":{"formattedCitation":"[76]","plainCitation":"[76]","noteIndex":0},"citationItems":[{"id":"968HXJ10/VJZapnWN","uris":["http://www.mendeley.com/documents/?uuid=1c525981-784b-4bd8-9db6-0fcd92f7e5ad"],"uri":["http://www.mendeley.com/documents/?uuid=1c525981-784b-4bd8-9db6-0fcd92f7e5ad"],"itemData":{"DOI":"10.1016/j.biombioe.2017.08.022","ISSN":"18732909","abstract":"The Fischer-Tropsch process is one of the possible routes to produce synthetic liquid fuels and chemicals employed on large scale in Gas-to-Liquid and Coal-to-Liquid processes, after appropriate transformation of respective fossil sources into syngas. However, syngas can be produced by biomass gasification as well. One of the main problems is the need to ensure high H2/CO ratio to allow the Fischer-Tropsch reaction to occur, operation commonly achieved by resorting to a Water-gas shift step. The present work reports an experimental study on biomass gasification. The aim was to set up a more efficient Biomass-to-Liquid process, which ensures a high H2/CO ratio syngas suitable for Fischer-Tropsch synthesis directly from biomass gasification. In this way, it is possible to remove the Water-gas shift section and consequently make biofuels production more attractive, reducing costs and plant complexity. Two types of biomass have been tested: softwood from forest residues and fast growing crops. Moreover, a bubbling fluidized bed reactor and an indirect gasifier with internal circulating fluidized bed have been used. Gasification tests have been conducted by running gasifiers with both inert and catalytic bed materials. The results have shown that, using the direct gasifier with catalytic bed and a proper configuration, H2/CO molar ratio of 2 can been obtained even at low temperature and low steam/biomass ratio, whereas this is not the case in the indirect one. However, tests suggest that an inverted configuration would make it possible to obtain values near two also with indirect gasifiers, resulting in a new interesting approach.","author":[{"dropping-particle":"","family":"Chiodini","given":"Andrea","non-dropping-particle":"","parse-names":false,"suffix":""},{"dropping-particle":"","family":"Bua","given":"Letizia","non-dropping-particle":"","parse-names":false,"suffix":""},{"dropping-particle":"","family":"Carnelli","given":"Lino","non-dropping-particle":"","parse-names":false,"suffix":""},{"dropping-particle":"","family":"Zwart","given":"Robin","non-dropping-particle":"","parse-names":false,"suffix":""},{"dropping-particle":"","family":"Vreugdenhil","given":"Berend","non-dropping-particle":"","parse-names":false,"suffix":""},{"dropping-particle":"","family":"Vocciante","given":"Marco","non-dropping-particle":"","parse-names":false,"suffix":""}],"container-title":"Biomass and Bioenergy","id":"ITEM-1","issued":{"date-parts":[["2017"]]},"page":"104-114","publisher":"Elsevier Ltd","title":"Enhancements in Biomass-to-Liquid processes: Gasification aiming at high hydrogen/carbon monoxide ratios for direct Fischer-Tropsch synthesis applications","type":"article-journal","volume":"106"}}],"schema":"https://github.com/citation-style-language/schema/raw/master/csl-citation.json"} </w:instrText>
      </w:r>
      <w:r w:rsidR="006D3BB3" w:rsidRPr="004D19FF">
        <w:rPr>
          <w:rFonts w:ascii="Times New Roman" w:hAnsi="Times New Roman"/>
          <w:sz w:val="20"/>
          <w:szCs w:val="20"/>
        </w:rPr>
        <w:fldChar w:fldCharType="separate"/>
      </w:r>
      <w:r w:rsidR="00623E85" w:rsidRPr="00623E85">
        <w:rPr>
          <w:rFonts w:ascii="Times New Roman" w:hAnsi="Times New Roman" w:cs="Times New Roman"/>
          <w:sz w:val="20"/>
        </w:rPr>
        <w:t>[76]</w:t>
      </w:r>
      <w:r w:rsidR="006D3BB3" w:rsidRPr="004D19FF">
        <w:rPr>
          <w:rFonts w:ascii="Times New Roman" w:hAnsi="Times New Roman"/>
          <w:sz w:val="20"/>
          <w:szCs w:val="20"/>
        </w:rPr>
        <w:fldChar w:fldCharType="end"/>
      </w:r>
      <w:r w:rsidR="00C641A1" w:rsidRPr="004D19FF">
        <w:rPr>
          <w:rFonts w:ascii="Times New Roman" w:hAnsi="Times New Roman"/>
          <w:sz w:val="20"/>
          <w:szCs w:val="20"/>
        </w:rPr>
        <w:t>.</w:t>
      </w:r>
      <w:r w:rsidR="00513710" w:rsidRPr="004D19FF">
        <w:rPr>
          <w:rFonts w:ascii="Times New Roman" w:hAnsi="Times New Roman"/>
          <w:sz w:val="20"/>
          <w:szCs w:val="20"/>
        </w:rPr>
        <w:t xml:space="preserve"> </w:t>
      </w:r>
      <w:r w:rsidR="00217021" w:rsidRPr="004D19FF">
        <w:rPr>
          <w:rFonts w:ascii="Times New Roman" w:hAnsi="Times New Roman"/>
          <w:sz w:val="20"/>
          <w:szCs w:val="20"/>
        </w:rPr>
        <w:t>Details on gasification and syngas conditioning and cleanup processes are presented in the SM</w:t>
      </w:r>
      <w:r w:rsidR="00D36E2B">
        <w:rPr>
          <w:rFonts w:ascii="Times New Roman" w:hAnsi="Times New Roman"/>
          <w:sz w:val="20"/>
          <w:szCs w:val="20"/>
        </w:rPr>
        <w:t>1</w:t>
      </w:r>
      <w:r w:rsidR="00217021" w:rsidRPr="004D19FF">
        <w:rPr>
          <w:rFonts w:ascii="Times New Roman" w:hAnsi="Times New Roman"/>
          <w:sz w:val="20"/>
          <w:szCs w:val="20"/>
        </w:rPr>
        <w:t xml:space="preserve">. </w:t>
      </w:r>
    </w:p>
    <w:p w14:paraId="682F3ECD" w14:textId="77777777" w:rsidR="00953073" w:rsidRPr="004D19FF" w:rsidRDefault="0055183C" w:rsidP="00290530">
      <w:pPr>
        <w:spacing w:after="120" w:line="276" w:lineRule="auto"/>
        <w:jc w:val="thaiDistribute"/>
        <w:rPr>
          <w:rFonts w:ascii="Times New Roman" w:hAnsi="Times New Roman"/>
          <w:i/>
          <w:iCs/>
          <w:sz w:val="20"/>
          <w:szCs w:val="20"/>
        </w:rPr>
      </w:pPr>
      <w:r w:rsidRPr="004D19FF">
        <w:rPr>
          <w:rFonts w:ascii="Times New Roman" w:hAnsi="Times New Roman"/>
          <w:i/>
          <w:iCs/>
          <w:sz w:val="20"/>
          <w:szCs w:val="20"/>
        </w:rPr>
        <w:t>2</w:t>
      </w:r>
      <w:r w:rsidR="00E65A8C" w:rsidRPr="004D19FF">
        <w:rPr>
          <w:rFonts w:ascii="Times New Roman" w:hAnsi="Times New Roman"/>
          <w:i/>
          <w:iCs/>
          <w:sz w:val="20"/>
          <w:szCs w:val="20"/>
        </w:rPr>
        <w:t>.2.1.1</w:t>
      </w:r>
      <w:r w:rsidR="00B176BA" w:rsidRPr="004D19FF">
        <w:rPr>
          <w:rFonts w:ascii="Times New Roman" w:hAnsi="Times New Roman"/>
          <w:i/>
          <w:iCs/>
          <w:sz w:val="20"/>
          <w:szCs w:val="20"/>
        </w:rPr>
        <w:t xml:space="preserve"> </w:t>
      </w:r>
      <w:r w:rsidR="00825DC6" w:rsidRPr="004D19FF">
        <w:rPr>
          <w:rFonts w:ascii="Times New Roman" w:hAnsi="Times New Roman"/>
          <w:i/>
          <w:iCs/>
          <w:sz w:val="20"/>
          <w:szCs w:val="20"/>
        </w:rPr>
        <w:t xml:space="preserve">Gas-to-liquid: </w:t>
      </w:r>
      <w:r w:rsidR="00B176BA" w:rsidRPr="004D19FF">
        <w:rPr>
          <w:rFonts w:ascii="Times New Roman" w:hAnsi="Times New Roman"/>
          <w:i/>
          <w:iCs/>
          <w:sz w:val="20"/>
          <w:szCs w:val="20"/>
        </w:rPr>
        <w:t>Syngas</w:t>
      </w:r>
      <w:r w:rsidR="00953073" w:rsidRPr="004D19FF">
        <w:rPr>
          <w:rFonts w:ascii="Times New Roman" w:hAnsi="Times New Roman"/>
          <w:i/>
          <w:iCs/>
          <w:sz w:val="20"/>
          <w:szCs w:val="20"/>
        </w:rPr>
        <w:t xml:space="preserve"> </w:t>
      </w:r>
      <w:r w:rsidR="00953073" w:rsidRPr="002D1621">
        <w:rPr>
          <w:rFonts w:ascii="Times New Roman" w:hAnsi="Times New Roman"/>
          <w:i/>
          <w:iCs/>
          <w:sz w:val="20"/>
          <w:szCs w:val="20"/>
        </w:rPr>
        <w:t>fermentation</w:t>
      </w:r>
      <w:r w:rsidR="00AE5936" w:rsidRPr="002D1621">
        <w:rPr>
          <w:rFonts w:ascii="Times New Roman" w:hAnsi="Times New Roman"/>
          <w:i/>
          <w:iCs/>
          <w:sz w:val="20"/>
          <w:szCs w:val="20"/>
        </w:rPr>
        <w:t xml:space="preserve"> (SF)</w:t>
      </w:r>
    </w:p>
    <w:p w14:paraId="778935FB" w14:textId="73515218" w:rsidR="00327606" w:rsidRPr="004D19FF" w:rsidRDefault="00E34498"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The syngas </w:t>
      </w:r>
      <w:r w:rsidR="005B2F60" w:rsidRPr="004D19FF">
        <w:rPr>
          <w:rFonts w:ascii="Times New Roman" w:hAnsi="Times New Roman"/>
          <w:sz w:val="20"/>
          <w:szCs w:val="20"/>
        </w:rPr>
        <w:t>deriving</w:t>
      </w:r>
      <w:r w:rsidRPr="004D19FF">
        <w:rPr>
          <w:rFonts w:ascii="Times New Roman" w:hAnsi="Times New Roman"/>
          <w:sz w:val="20"/>
          <w:szCs w:val="20"/>
        </w:rPr>
        <w:t xml:space="preserve"> from </w:t>
      </w:r>
      <w:r w:rsidR="005B2F60" w:rsidRPr="004D19FF">
        <w:rPr>
          <w:rFonts w:ascii="Times New Roman" w:hAnsi="Times New Roman"/>
          <w:sz w:val="20"/>
          <w:szCs w:val="20"/>
        </w:rPr>
        <w:t>waste gases</w:t>
      </w:r>
      <w:r w:rsidR="00951EFA" w:rsidRPr="004D19FF">
        <w:rPr>
          <w:rFonts w:ascii="Times New Roman" w:hAnsi="Times New Roman"/>
          <w:sz w:val="20"/>
          <w:szCs w:val="20"/>
        </w:rPr>
        <w:t xml:space="preserve"> from industrial processes</w:t>
      </w:r>
      <w:r w:rsidR="005B2F60" w:rsidRPr="004D19FF">
        <w:rPr>
          <w:rFonts w:ascii="Times New Roman" w:hAnsi="Times New Roman"/>
          <w:sz w:val="20"/>
          <w:szCs w:val="20"/>
        </w:rPr>
        <w:t xml:space="preserve"> and</w:t>
      </w:r>
      <w:r w:rsidR="00951EFA" w:rsidRPr="004D19FF">
        <w:rPr>
          <w:rFonts w:ascii="Times New Roman" w:hAnsi="Times New Roman"/>
          <w:sz w:val="20"/>
          <w:szCs w:val="20"/>
        </w:rPr>
        <w:t>/or</w:t>
      </w:r>
      <w:r w:rsidR="005B2F60" w:rsidRPr="004D19FF">
        <w:rPr>
          <w:rFonts w:ascii="Times New Roman" w:hAnsi="Times New Roman"/>
          <w:sz w:val="20"/>
          <w:szCs w:val="20"/>
        </w:rPr>
        <w:t xml:space="preserve"> </w:t>
      </w:r>
      <w:r w:rsidR="00951EFA" w:rsidRPr="004D19FF">
        <w:rPr>
          <w:rFonts w:ascii="Times New Roman" w:hAnsi="Times New Roman"/>
          <w:sz w:val="20"/>
          <w:szCs w:val="20"/>
        </w:rPr>
        <w:t xml:space="preserve">gasified biomass </w:t>
      </w:r>
      <w:r w:rsidR="00917F03" w:rsidRPr="004D19FF">
        <w:rPr>
          <w:rFonts w:ascii="Times New Roman" w:hAnsi="Times New Roman"/>
          <w:sz w:val="20"/>
          <w:szCs w:val="20"/>
        </w:rPr>
        <w:t>can be converted into</w:t>
      </w:r>
      <w:r w:rsidR="007F32AB" w:rsidRPr="004D19FF">
        <w:rPr>
          <w:rFonts w:ascii="Times New Roman" w:hAnsi="Times New Roman"/>
          <w:sz w:val="20"/>
          <w:szCs w:val="20"/>
        </w:rPr>
        <w:t xml:space="preserve"> various </w:t>
      </w:r>
      <w:r w:rsidRPr="004D19FF">
        <w:rPr>
          <w:rFonts w:ascii="Times New Roman" w:hAnsi="Times New Roman"/>
          <w:sz w:val="20"/>
          <w:szCs w:val="20"/>
        </w:rPr>
        <w:t>intermediate</w:t>
      </w:r>
      <w:r w:rsidR="007F32AB" w:rsidRPr="004D19FF">
        <w:rPr>
          <w:rFonts w:ascii="Times New Roman" w:hAnsi="Times New Roman"/>
          <w:sz w:val="20"/>
          <w:szCs w:val="20"/>
        </w:rPr>
        <w:t xml:space="preserve"> products </w:t>
      </w:r>
      <w:r w:rsidR="005D5228" w:rsidRPr="004D19FF">
        <w:rPr>
          <w:rFonts w:ascii="Times New Roman" w:hAnsi="Times New Roman"/>
          <w:sz w:val="20"/>
          <w:szCs w:val="20"/>
        </w:rPr>
        <w:t xml:space="preserve">(e.g. </w:t>
      </w:r>
      <w:r w:rsidR="007F32AB" w:rsidRPr="004D19FF">
        <w:rPr>
          <w:rFonts w:ascii="Times New Roman" w:hAnsi="Times New Roman"/>
          <w:sz w:val="20"/>
          <w:szCs w:val="20"/>
        </w:rPr>
        <w:t>alcohols</w:t>
      </w:r>
      <w:r w:rsidR="005D5228" w:rsidRPr="004D19FF">
        <w:rPr>
          <w:rFonts w:ascii="Times New Roman" w:hAnsi="Times New Roman"/>
          <w:sz w:val="20"/>
          <w:szCs w:val="20"/>
        </w:rPr>
        <w:t>, organic acids)</w:t>
      </w:r>
      <w:r w:rsidR="007F32AB" w:rsidRPr="004D19FF">
        <w:rPr>
          <w:rFonts w:ascii="Times New Roman" w:hAnsi="Times New Roman"/>
          <w:sz w:val="20"/>
          <w:szCs w:val="20"/>
        </w:rPr>
        <w:t xml:space="preserve"> </w:t>
      </w:r>
      <w:r w:rsidRPr="004D19FF">
        <w:rPr>
          <w:rFonts w:ascii="Times New Roman" w:hAnsi="Times New Roman"/>
          <w:sz w:val="20"/>
          <w:szCs w:val="20"/>
        </w:rPr>
        <w:t xml:space="preserve">through </w:t>
      </w:r>
      <w:r w:rsidR="007F32AB" w:rsidRPr="004D19FF">
        <w:rPr>
          <w:rFonts w:ascii="Times New Roman" w:hAnsi="Times New Roman"/>
          <w:sz w:val="20"/>
          <w:szCs w:val="20"/>
        </w:rPr>
        <w:t>fermentation process</w:t>
      </w:r>
      <w:r w:rsidR="00327606" w:rsidRPr="004D19FF">
        <w:rPr>
          <w:rFonts w:ascii="Times New Roman" w:hAnsi="Times New Roman"/>
          <w:sz w:val="20"/>
          <w:szCs w:val="20"/>
        </w:rPr>
        <w:t xml:space="preserve"> (</w:t>
      </w:r>
      <w:r w:rsidR="00BB3847" w:rsidRPr="004D19FF">
        <w:rPr>
          <w:rFonts w:ascii="Times New Roman" w:hAnsi="Times New Roman"/>
          <w:sz w:val="20"/>
          <w:szCs w:val="20"/>
        </w:rPr>
        <w:t>Fig.</w:t>
      </w:r>
      <w:r w:rsidR="00B1485A" w:rsidRPr="004D19FF">
        <w:rPr>
          <w:rFonts w:ascii="Times New Roman" w:hAnsi="Times New Roman"/>
          <w:sz w:val="20"/>
          <w:szCs w:val="20"/>
        </w:rPr>
        <w:t xml:space="preserve"> 5</w:t>
      </w:r>
      <w:r w:rsidR="00327606" w:rsidRPr="004D19FF">
        <w:rPr>
          <w:rFonts w:ascii="Times New Roman" w:hAnsi="Times New Roman"/>
          <w:sz w:val="20"/>
          <w:szCs w:val="20"/>
        </w:rPr>
        <w:t>)</w:t>
      </w:r>
      <w:r w:rsidR="00917F03" w:rsidRPr="004D19FF">
        <w:rPr>
          <w:rFonts w:ascii="Times New Roman" w:hAnsi="Times New Roman"/>
          <w:sz w:val="20"/>
          <w:szCs w:val="20"/>
        </w:rPr>
        <w:t xml:space="preserve"> after cleanup/conditioning as </w:t>
      </w:r>
      <w:r w:rsidR="00F847F2">
        <w:rPr>
          <w:rFonts w:ascii="Times New Roman" w:hAnsi="Times New Roman"/>
          <w:sz w:val="20"/>
          <w:szCs w:val="20"/>
        </w:rPr>
        <w:t>above described</w:t>
      </w:r>
      <w:r w:rsidR="00917F03" w:rsidRPr="004D19FF">
        <w:rPr>
          <w:rFonts w:ascii="Times New Roman" w:hAnsi="Times New Roman"/>
          <w:sz w:val="20"/>
          <w:szCs w:val="20"/>
        </w:rPr>
        <w:t>.</w:t>
      </w:r>
      <w:r w:rsidR="0057298B" w:rsidRPr="004D19FF">
        <w:rPr>
          <w:rFonts w:ascii="Times New Roman" w:hAnsi="Times New Roman"/>
          <w:sz w:val="20"/>
          <w:szCs w:val="20"/>
        </w:rPr>
        <w:t xml:space="preserve"> Different microorganisms can be used to obtain a panel of co-products</w:t>
      </w:r>
      <w:r w:rsidR="007F32AB" w:rsidRPr="004D19FF">
        <w:rPr>
          <w:rFonts w:ascii="Times New Roman" w:hAnsi="Times New Roman"/>
          <w:sz w:val="20"/>
          <w:szCs w:val="20"/>
        </w:rPr>
        <w:t xml:space="preserve"> </w:t>
      </w:r>
      <w:r w:rsidR="006D3BB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k9lMDUZ","properties":{"formattedCitation":"[81]","plainCitation":"[81]","noteIndex":0},"citationItems":[{"id":"968HXJ10/9369xTYE","uris":["http://www.mendeley.com/documents/?uuid=51d8ad9f-168b-4765-b880-074cc405f101"],"uri":["http://www.mendeley.com/documents/?uuid=51d8ad9f-168b-4765-b880-074cc405f101"],"itemData":{"DOI":"10.1016/j.biteb.2019.100279","ISSN":"2589014X","abstract":"Syngas is produced by thermochemical conversion, e.g., pyrolysis and gasification, of biomass, animal waste, coal, municipal solid waste and other carbonaceous materials, or directly from CO-rich off-gases from industry, e.g. steel mills. Syngas components (mainly CO, H2 and CO2) are converted to alcohols and other chemicals by acetogenic bacteria through the Wood-Ljungdahl pathway or its derivatives. Syngas fermentation is affected by the acetogen(s), type of reactor, gas composition, medium components, operating parameters, gas-liquid mass transfer and fermentation strategies. These factors affect product distribution, titer, yield, productivity and process feasibility. In this article, syngas fermentation process development with focus on microorganisms, gas composition, medium design, gas-liquid mass transfer fermentation strategies, techno-economic analysis and commercialization efforts are critically reviewed. This review provides new insights in syngas fermentation, which can guide future research towards commercialization of renewable and sustainable biofuels and chemicals.","author":[{"dropping-particle":"","family":"Sun","given":"Xiao","non-dropping-particle":"","parse-names":false,"suffix":""},{"dropping-particle":"","family":"Atiyeh","given":"Hasan K.","non-dropping-particle":"","parse-names":false,"suffix":""},{"dropping-particle":"","family":"Huhnke","given":"Raymond L.","non-dropping-particle":"","parse-names":false,"suffix":""},{"dropping-particle":"","family":"Tanner","given":"Ralph S.","non-dropping-particle":"","parse-names":false,"suffix":""}],"container-title":"Bioresource Technology Reports","id":"ITEM-1","issue":"April","issued":{"date-parts":[["2019"]]},"page":"100279","publisher":"Elsevier","title":"Syngas fermentation process development for production of biofuels and chemicals: A review","type":"article-journal","volume":"7"}}],"schema":"https://github.com/citation-style-language/schema/raw/master/csl-citation.json"} </w:instrText>
      </w:r>
      <w:r w:rsidR="006D3BB3" w:rsidRPr="004D19FF">
        <w:rPr>
          <w:rFonts w:ascii="Times New Roman" w:hAnsi="Times New Roman"/>
          <w:sz w:val="20"/>
          <w:szCs w:val="20"/>
        </w:rPr>
        <w:fldChar w:fldCharType="separate"/>
      </w:r>
      <w:r w:rsidR="00623E85" w:rsidRPr="00623E85">
        <w:rPr>
          <w:rFonts w:ascii="Times New Roman" w:hAnsi="Times New Roman" w:cs="Times New Roman"/>
          <w:sz w:val="20"/>
        </w:rPr>
        <w:t>[81]</w:t>
      </w:r>
      <w:r w:rsidR="006D3BB3" w:rsidRPr="004D19FF">
        <w:rPr>
          <w:rFonts w:ascii="Times New Roman" w:hAnsi="Times New Roman"/>
          <w:sz w:val="20"/>
          <w:szCs w:val="20"/>
        </w:rPr>
        <w:fldChar w:fldCharType="end"/>
      </w:r>
      <w:r w:rsidR="00C641A1" w:rsidRPr="004D19FF">
        <w:rPr>
          <w:rFonts w:ascii="Times New Roman" w:hAnsi="Times New Roman"/>
          <w:sz w:val="20"/>
          <w:szCs w:val="20"/>
        </w:rPr>
        <w:t>.</w:t>
      </w:r>
      <w:r w:rsidR="00D87A94" w:rsidRPr="004D19FF">
        <w:rPr>
          <w:rFonts w:ascii="Times New Roman" w:hAnsi="Times New Roman"/>
          <w:sz w:val="20"/>
          <w:szCs w:val="20"/>
        </w:rPr>
        <w:t xml:space="preserve"> </w:t>
      </w:r>
      <w:r w:rsidR="00825DC6" w:rsidRPr="004D19FF">
        <w:rPr>
          <w:rFonts w:ascii="Times New Roman" w:hAnsi="Times New Roman"/>
          <w:sz w:val="20"/>
          <w:szCs w:val="20"/>
        </w:rPr>
        <w:t xml:space="preserve">Typically, the objective is to convert syngas into ethanol, which is subsequently upgraded into kerosene. </w:t>
      </w:r>
    </w:p>
    <w:p w14:paraId="65E8D385" w14:textId="1587C816" w:rsidR="007B574B" w:rsidRPr="004D19FF" w:rsidRDefault="00481A00"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Microorganisms</w:t>
      </w:r>
      <w:r w:rsidR="00AE5936" w:rsidRPr="004D19FF">
        <w:rPr>
          <w:rFonts w:ascii="Times New Roman" w:hAnsi="Times New Roman"/>
          <w:sz w:val="20"/>
          <w:szCs w:val="20"/>
        </w:rPr>
        <w:t xml:space="preserve"> such as</w:t>
      </w:r>
      <w:r w:rsidR="008B092E" w:rsidRPr="004D19FF">
        <w:rPr>
          <w:rFonts w:ascii="Times New Roman" w:hAnsi="Times New Roman"/>
          <w:sz w:val="20"/>
          <w:szCs w:val="20"/>
        </w:rPr>
        <w:t xml:space="preserve"> </w:t>
      </w:r>
      <w:r w:rsidR="00865CCA" w:rsidRPr="004D19FF">
        <w:rPr>
          <w:rFonts w:ascii="Times New Roman" w:hAnsi="Times New Roman"/>
          <w:sz w:val="20"/>
          <w:szCs w:val="20"/>
        </w:rPr>
        <w:t xml:space="preserve">acetogenic </w:t>
      </w:r>
      <w:r w:rsidR="00865CCA" w:rsidRPr="004D19FF">
        <w:rPr>
          <w:rFonts w:ascii="Times New Roman" w:hAnsi="Times New Roman"/>
          <w:i/>
          <w:iCs/>
          <w:sz w:val="20"/>
          <w:szCs w:val="20"/>
        </w:rPr>
        <w:t>Clostridium</w:t>
      </w:r>
      <w:r w:rsidR="00865CCA" w:rsidRPr="004D19FF">
        <w:rPr>
          <w:rFonts w:ascii="Times New Roman" w:hAnsi="Times New Roman"/>
          <w:sz w:val="20"/>
          <w:szCs w:val="20"/>
        </w:rPr>
        <w:t xml:space="preserve"> spp. </w:t>
      </w:r>
      <w:r w:rsidR="007B0329" w:rsidRPr="004D19FF">
        <w:rPr>
          <w:rFonts w:ascii="Times New Roman" w:hAnsi="Times New Roman"/>
          <w:sz w:val="20"/>
          <w:szCs w:val="20"/>
        </w:rPr>
        <w:t xml:space="preserve">convert </w:t>
      </w:r>
      <w:r w:rsidR="00865CCA" w:rsidRPr="004D19FF">
        <w:rPr>
          <w:rFonts w:ascii="Times New Roman" w:hAnsi="Times New Roman"/>
          <w:sz w:val="20"/>
          <w:szCs w:val="20"/>
        </w:rPr>
        <w:t xml:space="preserve">syngas </w:t>
      </w:r>
      <w:r w:rsidR="0078207E" w:rsidRPr="004D19FF">
        <w:rPr>
          <w:rFonts w:ascii="Times New Roman" w:hAnsi="Times New Roman"/>
          <w:sz w:val="20"/>
          <w:szCs w:val="20"/>
        </w:rPr>
        <w:t xml:space="preserve">into </w:t>
      </w:r>
      <w:r w:rsidR="00686DEF" w:rsidRPr="004D19FF">
        <w:rPr>
          <w:rFonts w:ascii="Times New Roman" w:hAnsi="Times New Roman"/>
          <w:sz w:val="20"/>
          <w:szCs w:val="20"/>
        </w:rPr>
        <w:t>several interme</w:t>
      </w:r>
      <w:r w:rsidR="0078207E" w:rsidRPr="004D19FF">
        <w:rPr>
          <w:rFonts w:ascii="Times New Roman" w:hAnsi="Times New Roman"/>
          <w:sz w:val="20"/>
          <w:szCs w:val="20"/>
        </w:rPr>
        <w:t>diates including ethanol, 2,3-butanediol</w:t>
      </w:r>
      <w:r w:rsidR="0085208F" w:rsidRPr="004D19FF">
        <w:rPr>
          <w:rFonts w:ascii="Times New Roman" w:hAnsi="Times New Roman"/>
          <w:sz w:val="20"/>
          <w:szCs w:val="20"/>
        </w:rPr>
        <w:t xml:space="preserve"> (2,3-BDO)</w:t>
      </w:r>
      <w:r w:rsidR="00686DEF" w:rsidRPr="004D19FF">
        <w:rPr>
          <w:rFonts w:ascii="Times New Roman" w:hAnsi="Times New Roman"/>
          <w:sz w:val="20"/>
          <w:szCs w:val="20"/>
        </w:rPr>
        <w:t xml:space="preserve">, </w:t>
      </w:r>
      <w:r w:rsidR="003909B8" w:rsidRPr="004D19FF">
        <w:rPr>
          <w:rFonts w:ascii="Times New Roman" w:hAnsi="Times New Roman"/>
          <w:sz w:val="20"/>
          <w:szCs w:val="20"/>
        </w:rPr>
        <w:t xml:space="preserve">and </w:t>
      </w:r>
      <w:r w:rsidR="00686DEF" w:rsidRPr="004D19FF">
        <w:rPr>
          <w:rFonts w:ascii="Times New Roman" w:hAnsi="Times New Roman"/>
          <w:sz w:val="20"/>
          <w:szCs w:val="20"/>
        </w:rPr>
        <w:t xml:space="preserve">acetic acid </w:t>
      </w:r>
      <w:r w:rsidR="00CF79B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2e095jqN","properties":{"formattedCitation":"[65,82,83]","plainCitation":"[65,82,83]","noteIndex":0},"citationItems":[{"id":"968HXJ10/f8dDAeEO","uris":["http://www.mendeley.com/documents/?uuid=d1bfcaf8-3470-4204-ae27-bf1dbcf5588d"],"uri":["http://www.mendeley.com/documents/?uuid=d1bfcaf8-3470-4204-ae27-bf1dbcf5588d"],"itemData":{"DOI":"10.1002/jctb.3712","ISSN":"02682575","abstract":"BACKGROUND: Ethanol production from synthesis gas (syngas) by Clostridium ljungdahlii was autotrophically carried out in a continuous flow stirred tank bioreactor (CSTR). A 2 L bioreactor was operated at 37 °C and constant agitation rate of 500 rpm. The experiments were conducted at various media flow rates and uncontrolled culture pH condition while the gas flow rate was kept constant at 14 mL min -1. RESULTS: Continuous fermentation of the syngas containing 55% CO, 20% H 2, 10% CO 2 and 15% argon as internal standard resulted in cell dry weight of 2.34 g L -1 and CO conversion of 93%. Maximum concentration of ethanol and acetate was 6.50 g EthOH L -1 and 5.43 g Ac L -1. CONCLUSION: High ethanol concentration was achieved in continuous fermentation using C. ljungdahlii. The ethanol producing ability of this acetogene and succesful switch of the metabolic pathway from acetogenesis to solventogenesis during the fermentation process was confirmed. © 2012 Society of Chemical Industry.","author":[{"dropping-particle":"","family":"Mohammadi","given":"Maedeh","non-dropping-particle":"","parse-names":false,"suffix":""},{"dropping-particle":"","family":"Younesi","given":"Habibollah","non-dropping-particle":"","parse-names":false,"suffix":""},{"dropping-particle":"","family":"Najafpour","given":"Ghasem","non-dropping-particle":"","parse-names":false,"suffix":""},{"dropping-particle":"","family":"Mohamed","given":"Abdul Rahman","non-dropping-particle":"","parse-names":false,"suffix":""}],"container-title":"Journal of Chemical Technology and Biotechnology","id":"ITEM-1","issue":"6","issued":{"date-parts":[["2012"]]},"page":"837-843","title":"Sustainable ethanol fermentation from synthesis gas by Clostridium ljungdahlii in a continuous stirred tank bioreactor","type":"article-journal","volume":"87"}},{"id":"968HXJ10/nPT6zXyr","uris":["http://www.mendeley.com/documents/?uuid=5cb7bac7-51d0-4f2b-afab-b6883b276569"],"uri":["http://www.mendeley.com/documents/?uuid=5cb7bac7-51d0-4f2b-afab-b6883b276569"],"itemData":{"DOI":"10.1016/j.biortech.2013.11.015","ISSN":"18732976","abstract":"Higher alcohols such as n-butanol and n-hexanol have higher energy density than ethanol, are more compatible with current fuel infrastructure, and can be upgraded to jet and diesel fuels. Several organisms are known to convert syngas to ethanol, but very few can produce higher alcohols alone. As a potential solution, mixed culture fermentation between the syngas fermenting Alkalibaculum bacchi strain CP15 and propionic acid producer Clostridium propionicum was studied. The monoculture of CP15 produced only ethanol from syngas without initial addition of organic acids to the fermentation medium. However, the mixed culture produced ethanol, n-propanol and n-butanol from syngas. The addition of propionic acid, butyric acid and hexanoic acid to the mixed culture resulted in a 50% higher conversion efficiency of these acids to their respective alcohols compared to CP15 monoculture. These findings illustrate the great potential of mixed culture syngas fermentation in production of higher alcohols. © 2013 Elsevier Ltd.","author":[{"dropping-particle":"","family":"Liu","given":"Kan","non-dropping-particle":"","parse-names":false,"suffix":""},{"dropping-particle":"","family":"Atiyeh","given":"Hasan K.","non-dropping-particle":"","parse-names":false,"suffix":""},{"dropping-particle":"","family":"Stevenson","given":"Bradley S.","non-dropping-particle":"","parse-names":false,"suffix":""},{"dropping-particle":"","family":"Tanner","given":"Ralph S.","non-dropping-particle":"","parse-names":false,"suffix":""},{"dropping-particle":"","family":"Wilkins","given":"Mark R.","non-dropping-particle":"","parse-names":false,"suffix":""},{"dropping-particle":"","family":"Huhnke","given":"Raymond L.","non-dropping-particle":"","parse-names":false,"suffix":""}],"container-title":"Bioresource Technology","id":"ITEM-2","issued":{"date-parts":[["2014"]]},"page":"337-346","publisher":"Elsevier Ltd","title":"Mixed culture syngas fermentation and conversion of carboxylic acids into alcohols","type":"article-journal","volume":"152"}},{"id":"968HXJ10/DUfwVv3U","uris":["http://www.mendeley.com/documents/?uuid=de6b0d57-2dc5-4f01-ae2d-0cb5b469df62"],"uri":["http://www.mendeley.com/documents/?uuid=de6b0d57-2dc5-4f01-ae2d-0cb5b469df62"],"itemData":{"DOI":"10.1021/acs.iecr.5b03215","ISSN":"15205045","abstract":"LanzaTech has developed novel microbial bioreactor systems capable of direct gas fermentation to produce ethanol from carbon-containing gases. In this study, a life-cycle assessment method is used to quantify the global warming potential of several scenarios for producing renewable ethanol with the LanzaTech process. Scenarios considering ethanol produced from steel mill waste gases or biomass (corn stover, forest residue, or switchgrass, via gasification) have been considered, using input data from peer-reviewed literature, government reports, life cycle inventory databases, and LanzaTech process engineering estimates. Using standardized life-cycle assessment methods, ethanol produced via LanzaTech fermentation appears to result in greenhouse gas emissions that are at least 60% lower than that of conventional fossil gasoline, with biomass-based ethanol achieving close to 90% emission reductions. Results indicate that the LanzaTech gas fermentation technology can be a viable alternative for producing next-generation biofuels that satisfy United States Renewable Fuels Standard policies concerning fuels with a reduced greenhouse gas emissions footprint.","author":[{"dropping-particle":"","family":"Handler","given":"Robert M.","non-dropping-particle":"","parse-names":false,"suffix":""},{"dropping-particle":"","family":"Shonnard","given":"David R.","non-dropping-particle":"","parse-names":false,"suffix":""},{"dropping-particle":"","family":"Griffing","given":"Evan M.","non-dropping-particle":"","parse-names":false,"suffix":""},{"dropping-particle":"","family":"Lai","given":"Andrea","non-dropping-particle":"","parse-names":false,"suffix":""},{"dropping-particle":"","family":"Palou-Rivera","given":"Ignasi","non-dropping-particle":"","parse-names":false,"suffix":""}],"container-title":"Industrial and Engineering Chemistry Research","id":"ITEM-3","issue":"12","issued":{"date-parts":[["2016"]]},"page":"3253-3261","title":"Life Cycle Assessments of Ethanol Production via Gas Fermentation: Anticipated Greenhouse Gas Emissions for Cellulosic and Waste Gas Feedstocks","type":"article-journal","volume":"55"}}],"schema":"https://github.com/citation-style-language/schema/raw/master/csl-citation.json"} </w:instrText>
      </w:r>
      <w:r w:rsidR="00CF79B2" w:rsidRPr="004D19FF">
        <w:rPr>
          <w:rFonts w:ascii="Times New Roman" w:hAnsi="Times New Roman"/>
          <w:sz w:val="20"/>
          <w:szCs w:val="20"/>
        </w:rPr>
        <w:fldChar w:fldCharType="separate"/>
      </w:r>
      <w:r w:rsidR="00623E85" w:rsidRPr="00623E85">
        <w:rPr>
          <w:rFonts w:ascii="Times New Roman" w:hAnsi="Times New Roman" w:cs="Times New Roman"/>
          <w:sz w:val="20"/>
        </w:rPr>
        <w:t>[65,82,83]</w:t>
      </w:r>
      <w:r w:rsidR="00CF79B2" w:rsidRPr="004D19FF">
        <w:rPr>
          <w:rFonts w:ascii="Times New Roman" w:hAnsi="Times New Roman"/>
          <w:sz w:val="20"/>
          <w:szCs w:val="20"/>
        </w:rPr>
        <w:fldChar w:fldCharType="end"/>
      </w:r>
      <w:r w:rsidR="00C641A1" w:rsidRPr="004D19FF">
        <w:rPr>
          <w:rFonts w:ascii="Times New Roman" w:hAnsi="Times New Roman"/>
          <w:sz w:val="20"/>
          <w:szCs w:val="20"/>
        </w:rPr>
        <w:t>.</w:t>
      </w:r>
      <w:r w:rsidR="0029296F" w:rsidRPr="004D19FF">
        <w:rPr>
          <w:rFonts w:ascii="Times New Roman" w:hAnsi="Times New Roman"/>
          <w:sz w:val="20"/>
          <w:szCs w:val="20"/>
        </w:rPr>
        <w:t xml:space="preserve"> </w:t>
      </w:r>
      <w:r w:rsidR="007B0329" w:rsidRPr="004D19FF">
        <w:rPr>
          <w:rFonts w:ascii="Times New Roman" w:hAnsi="Times New Roman"/>
          <w:sz w:val="20"/>
          <w:szCs w:val="20"/>
        </w:rPr>
        <w:t>O</w:t>
      </w:r>
      <w:r w:rsidR="00513174" w:rsidRPr="004D19FF">
        <w:rPr>
          <w:rFonts w:ascii="Times New Roman" w:hAnsi="Times New Roman"/>
          <w:sz w:val="20"/>
          <w:szCs w:val="20"/>
        </w:rPr>
        <w:t xml:space="preserve">ptimum </w:t>
      </w:r>
      <w:r w:rsidR="009D5CA4" w:rsidRPr="004D19FF">
        <w:rPr>
          <w:rFonts w:ascii="Times New Roman" w:hAnsi="Times New Roman"/>
          <w:sz w:val="20"/>
          <w:szCs w:val="20"/>
        </w:rPr>
        <w:t>fermentation conditions intensively depend</w:t>
      </w:r>
      <w:r w:rsidR="00513174" w:rsidRPr="004D19FF">
        <w:rPr>
          <w:rFonts w:ascii="Times New Roman" w:hAnsi="Times New Roman"/>
          <w:sz w:val="20"/>
          <w:szCs w:val="20"/>
        </w:rPr>
        <w:t xml:space="preserve"> </w:t>
      </w:r>
      <w:r w:rsidR="00AE5936" w:rsidRPr="004D19FF">
        <w:rPr>
          <w:rFonts w:ascii="Times New Roman" w:hAnsi="Times New Roman"/>
          <w:sz w:val="20"/>
          <w:szCs w:val="20"/>
        </w:rPr>
        <w:t>up</w:t>
      </w:r>
      <w:r w:rsidR="00513174" w:rsidRPr="004D19FF">
        <w:rPr>
          <w:rFonts w:ascii="Times New Roman" w:hAnsi="Times New Roman"/>
          <w:sz w:val="20"/>
          <w:szCs w:val="20"/>
        </w:rPr>
        <w:t>on the mi</w:t>
      </w:r>
      <w:r w:rsidR="0078207E" w:rsidRPr="004D19FF">
        <w:rPr>
          <w:rFonts w:ascii="Times New Roman" w:hAnsi="Times New Roman"/>
          <w:sz w:val="20"/>
          <w:szCs w:val="20"/>
        </w:rPr>
        <w:t>croorganisms used</w:t>
      </w:r>
      <w:r w:rsidR="004B4552" w:rsidRPr="004D19FF">
        <w:rPr>
          <w:rFonts w:ascii="Times New Roman" w:hAnsi="Times New Roman"/>
          <w:sz w:val="20"/>
          <w:szCs w:val="20"/>
        </w:rPr>
        <w:t xml:space="preserve"> </w:t>
      </w:r>
      <w:r w:rsidR="002510A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1pWDIa4","properties":{"formattedCitation":"[84]","plainCitation":"[84]","noteIndex":0},"citationItems":[{"id":"968HXJ10/8Yb9pJPN","uris":["http://www.mendeley.com/documents/?uuid=51f3bc32-974b-4cfb-8ef9-d1c1afe42719"],"uri":["http://www.mendeley.com/documents/?uuid=51f3bc32-974b-4cfb-8ef9-d1c1afe42719"],"itemData":{"DOI":"10.1016/j.jbiosc.2009.10.022","ISSN":"13891723","abstract":"Fermentation of syngas offers several advantages compared to chemical catalysts such as higher specificity of biocatalysts, lower energy costs, and higher carbon efficiency. Scale-up of syngas fermentation from a bench scale to a pilot scale fermentor is a critical step leading to commercialization. The primary objective of this research was to install and commission a pilot scale fermentor, and subsequently scale-up the Clostridium strain P11 fermentation from a 7.5-L fermentor to a pilot scale 100-L fermentor. Initial preparation and fermentations were conducted in strictly anaerobic conditions. The fermentation system was maintained in a batch mode with continuous syngas supply. The effect of anaerobic fermentation in a pilot scale fermentor was evaluated. In addition, the impact of improving the syngas mass transfer coefficient on the utilization and product formation was studied. Results indicate a six fold improvement in ethanol concentration compared to serum bottle fermentation, and formation of other compounds such as isopropyl alcohol, acetic acid and butanol, which are of commercial importance. © 2009 The Society for Biotechnology, Japan.","author":[{"dropping-particle":"","family":"Kundiyana","given":"Dimple K.","non-dropping-particle":"","parse-names":false,"suffix":""},{"dropping-particle":"","family":"Huhnke","given":"Raymond L.","non-dropping-particle":"","parse-names":false,"suffix":""},{"dropping-particle":"","family":"Wilkins","given":"Mark R.","non-dropping-particle":"","parse-names":false,"suffix":""}],"container-title":"Journal of Bioscience and Bioengineering","id":"ITEM-1","issue":"5","issued":{"date-parts":[["2010"]]},"page":"492-498","publisher":"The Society for Biotechnology, Japan","title":"Syngas fermentation in a 100-L pilot scale fermentor: Design and process considerations","type":"article-journal","volume":"109"}}],"schema":"https://github.com/citation-style-language/schema/raw/master/csl-citation.json"} </w:instrText>
      </w:r>
      <w:r w:rsidR="002510A5" w:rsidRPr="004D19FF">
        <w:rPr>
          <w:rFonts w:ascii="Times New Roman" w:hAnsi="Times New Roman"/>
          <w:sz w:val="20"/>
          <w:szCs w:val="20"/>
        </w:rPr>
        <w:fldChar w:fldCharType="separate"/>
      </w:r>
      <w:r w:rsidR="00623E85" w:rsidRPr="00623E85">
        <w:rPr>
          <w:rFonts w:ascii="Times New Roman" w:hAnsi="Times New Roman" w:cs="Times New Roman"/>
          <w:sz w:val="20"/>
        </w:rPr>
        <w:t>[84]</w:t>
      </w:r>
      <w:r w:rsidR="002510A5" w:rsidRPr="004D19FF">
        <w:rPr>
          <w:rFonts w:ascii="Times New Roman" w:hAnsi="Times New Roman"/>
          <w:sz w:val="20"/>
          <w:szCs w:val="20"/>
        </w:rPr>
        <w:fldChar w:fldCharType="end"/>
      </w:r>
      <w:r w:rsidR="008314ED" w:rsidRPr="004D19FF">
        <w:rPr>
          <w:rFonts w:ascii="Times New Roman" w:hAnsi="Times New Roman"/>
          <w:sz w:val="20"/>
          <w:szCs w:val="20"/>
        </w:rPr>
        <w:t>,</w:t>
      </w:r>
      <w:r w:rsidR="0078207E" w:rsidRPr="004D19FF">
        <w:rPr>
          <w:rFonts w:ascii="Times New Roman" w:hAnsi="Times New Roman"/>
          <w:sz w:val="20"/>
          <w:szCs w:val="20"/>
        </w:rPr>
        <w:t xml:space="preserve"> however, </w:t>
      </w:r>
      <w:r w:rsidR="00513174" w:rsidRPr="004D19FF">
        <w:rPr>
          <w:rFonts w:ascii="Times New Roman" w:hAnsi="Times New Roman"/>
          <w:sz w:val="20"/>
          <w:szCs w:val="20"/>
        </w:rPr>
        <w:t>pressure</w:t>
      </w:r>
      <w:r w:rsidR="0078207E" w:rsidRPr="004D19FF">
        <w:rPr>
          <w:rFonts w:ascii="Times New Roman" w:hAnsi="Times New Roman"/>
          <w:sz w:val="20"/>
          <w:szCs w:val="20"/>
        </w:rPr>
        <w:t>s higher than ambient pressure are</w:t>
      </w:r>
      <w:r w:rsidR="00513174" w:rsidRPr="004D19FF">
        <w:rPr>
          <w:rFonts w:ascii="Times New Roman" w:hAnsi="Times New Roman"/>
          <w:sz w:val="20"/>
          <w:szCs w:val="20"/>
        </w:rPr>
        <w:t xml:space="preserve"> </w:t>
      </w:r>
      <w:r w:rsidR="0078207E" w:rsidRPr="004D19FF">
        <w:rPr>
          <w:rFonts w:ascii="Times New Roman" w:hAnsi="Times New Roman"/>
          <w:sz w:val="20"/>
          <w:szCs w:val="20"/>
        </w:rPr>
        <w:t xml:space="preserve">preferred for </w:t>
      </w:r>
      <w:r w:rsidR="003909B8" w:rsidRPr="004D19FF">
        <w:rPr>
          <w:rFonts w:ascii="Times New Roman" w:hAnsi="Times New Roman"/>
          <w:sz w:val="20"/>
          <w:szCs w:val="20"/>
        </w:rPr>
        <w:t>enhancing the syngas transfer</w:t>
      </w:r>
      <w:r w:rsidR="009D5CA4" w:rsidRPr="004D19FF">
        <w:rPr>
          <w:rFonts w:ascii="Times New Roman" w:hAnsi="Times New Roman"/>
          <w:sz w:val="20"/>
          <w:szCs w:val="20"/>
        </w:rPr>
        <w:t xml:space="preserve"> </w:t>
      </w:r>
      <w:r w:rsidR="00513174" w:rsidRPr="004D19FF">
        <w:rPr>
          <w:rFonts w:ascii="Times New Roman" w:hAnsi="Times New Roman"/>
          <w:sz w:val="20"/>
          <w:szCs w:val="20"/>
        </w:rPr>
        <w:t xml:space="preserve">between </w:t>
      </w:r>
      <w:r w:rsidR="003909B8" w:rsidRPr="004D19FF">
        <w:rPr>
          <w:rFonts w:ascii="Times New Roman" w:hAnsi="Times New Roman"/>
          <w:sz w:val="20"/>
          <w:szCs w:val="20"/>
        </w:rPr>
        <w:t xml:space="preserve">the </w:t>
      </w:r>
      <w:r w:rsidR="00513174" w:rsidRPr="004D19FF">
        <w:rPr>
          <w:rFonts w:ascii="Times New Roman" w:hAnsi="Times New Roman"/>
          <w:sz w:val="20"/>
          <w:szCs w:val="20"/>
        </w:rPr>
        <w:t xml:space="preserve">gas and </w:t>
      </w:r>
      <w:r w:rsidR="003909B8" w:rsidRPr="004D19FF">
        <w:rPr>
          <w:rFonts w:ascii="Times New Roman" w:hAnsi="Times New Roman"/>
          <w:sz w:val="20"/>
          <w:szCs w:val="20"/>
        </w:rPr>
        <w:t xml:space="preserve">the </w:t>
      </w:r>
      <w:r w:rsidR="00513174" w:rsidRPr="004D19FF">
        <w:rPr>
          <w:rFonts w:ascii="Times New Roman" w:hAnsi="Times New Roman"/>
          <w:sz w:val="20"/>
          <w:szCs w:val="20"/>
        </w:rPr>
        <w:t xml:space="preserve">liquid phase </w:t>
      </w:r>
      <w:r w:rsidR="00050E19"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iCtxskdi","properties":{"formattedCitation":"[85]","plainCitation":"[85]","noteIndex":0},"citationItems":[{"id":"968HXJ10/AGxgjWkW","uris":["http://www.mendeley.com/documents/?uuid=0299021d-b724-4843-ab63-ced947fc1c8b"],"uri":["http://www.mendeley.com/documents/?uuid=0299021d-b724-4843-ab63-ced947fc1c8b"],"itemData":{"DOI":"10.7868/s0002337x14020092","ISSN":"0002-337X","abstract":"Methods and systems for the production of hydrocarbon products, including providing a substrate comprising CO o to a bioreactor containing a culture of one or more micro-organisms; and fermenting the culture in the bioreactor to produce one or more hydrocarbon products. The substrate comprising CO is derived from a C02 reforming process","author":[{"dropping-particle":"","family":"Schultz","given":"M.","non-dropping-particle":"","parse-names":false,"suffix":""},{"dropping-particle":"","family":"Obern","given":"J.","non-dropping-particle":"","parse-names":false,"suffix":""}],"id":"ITEM-1","issued":{"date-parts":[["2012"]]},"number":"WO 2010/058508 A2","publisher-place":"Auckland, New Zealand","title":"Methods and systems for the production of hydrocarbon products","type":"patent"}}],"schema":"https://github.com/citation-style-language/schema/raw/master/csl-citation.json"} </w:instrText>
      </w:r>
      <w:r w:rsidR="00050E19" w:rsidRPr="004D19FF">
        <w:rPr>
          <w:rFonts w:ascii="Times New Roman" w:hAnsi="Times New Roman"/>
          <w:sz w:val="20"/>
          <w:szCs w:val="20"/>
        </w:rPr>
        <w:fldChar w:fldCharType="separate"/>
      </w:r>
      <w:r w:rsidR="00623E85" w:rsidRPr="00623E85">
        <w:rPr>
          <w:rFonts w:ascii="Times New Roman" w:hAnsi="Times New Roman" w:cs="Times New Roman"/>
          <w:sz w:val="20"/>
        </w:rPr>
        <w:t>[85]</w:t>
      </w:r>
      <w:r w:rsidR="00050E19" w:rsidRPr="004D19FF">
        <w:rPr>
          <w:rFonts w:ascii="Times New Roman" w:hAnsi="Times New Roman"/>
          <w:sz w:val="20"/>
          <w:szCs w:val="20"/>
        </w:rPr>
        <w:fldChar w:fldCharType="end"/>
      </w:r>
      <w:r w:rsidR="00513174" w:rsidRPr="004D19FF">
        <w:rPr>
          <w:rFonts w:ascii="Times New Roman" w:hAnsi="Times New Roman"/>
          <w:sz w:val="20"/>
          <w:szCs w:val="20"/>
        </w:rPr>
        <w:t xml:space="preserve">. </w:t>
      </w:r>
      <w:r w:rsidR="00951EFA" w:rsidRPr="004D19FF">
        <w:rPr>
          <w:rFonts w:ascii="Times New Roman" w:hAnsi="Times New Roman"/>
          <w:sz w:val="20"/>
          <w:szCs w:val="20"/>
        </w:rPr>
        <w:t>After the fermentation</w:t>
      </w:r>
      <w:r w:rsidR="003519BD" w:rsidRPr="004D19FF">
        <w:rPr>
          <w:rFonts w:ascii="Times New Roman" w:hAnsi="Times New Roman"/>
          <w:sz w:val="20"/>
          <w:szCs w:val="20"/>
        </w:rPr>
        <w:t xml:space="preserve">, </w:t>
      </w:r>
      <w:r w:rsidR="00951EFA" w:rsidRPr="004D19FF">
        <w:rPr>
          <w:rFonts w:ascii="Times New Roman" w:hAnsi="Times New Roman"/>
          <w:sz w:val="20"/>
          <w:szCs w:val="20"/>
        </w:rPr>
        <w:t>the broth inc</w:t>
      </w:r>
      <w:r w:rsidR="00D05AFA" w:rsidRPr="004D19FF">
        <w:rPr>
          <w:rFonts w:ascii="Times New Roman" w:hAnsi="Times New Roman"/>
          <w:sz w:val="20"/>
          <w:szCs w:val="20"/>
        </w:rPr>
        <w:t xml:space="preserve">luding </w:t>
      </w:r>
      <w:r w:rsidR="007B574B" w:rsidRPr="004D19FF">
        <w:rPr>
          <w:rFonts w:ascii="Times New Roman" w:hAnsi="Times New Roman"/>
          <w:sz w:val="20"/>
          <w:szCs w:val="20"/>
        </w:rPr>
        <w:t>co-</w:t>
      </w:r>
      <w:r w:rsidR="00990A2C" w:rsidRPr="004D19FF">
        <w:rPr>
          <w:rFonts w:ascii="Times New Roman" w:hAnsi="Times New Roman"/>
          <w:sz w:val="20"/>
          <w:szCs w:val="20"/>
        </w:rPr>
        <w:t>product</w:t>
      </w:r>
      <w:r w:rsidR="007B574B" w:rsidRPr="004D19FF">
        <w:rPr>
          <w:rFonts w:ascii="Times New Roman" w:hAnsi="Times New Roman"/>
          <w:sz w:val="20"/>
          <w:szCs w:val="20"/>
        </w:rPr>
        <w:t>s</w:t>
      </w:r>
      <w:r w:rsidR="00990A2C" w:rsidRPr="004D19FF">
        <w:rPr>
          <w:rFonts w:ascii="Times New Roman" w:hAnsi="Times New Roman"/>
          <w:sz w:val="20"/>
          <w:szCs w:val="20"/>
        </w:rPr>
        <w:t xml:space="preserve"> </w:t>
      </w:r>
      <w:r w:rsidR="007B574B" w:rsidRPr="004D19FF">
        <w:rPr>
          <w:rFonts w:ascii="Times New Roman" w:hAnsi="Times New Roman"/>
          <w:sz w:val="20"/>
          <w:szCs w:val="20"/>
        </w:rPr>
        <w:t>and</w:t>
      </w:r>
      <w:r w:rsidR="00990A2C" w:rsidRPr="004D19FF">
        <w:rPr>
          <w:rFonts w:ascii="Times New Roman" w:hAnsi="Times New Roman"/>
          <w:sz w:val="20"/>
          <w:szCs w:val="20"/>
        </w:rPr>
        <w:t xml:space="preserve"> microbial bio</w:t>
      </w:r>
      <w:r w:rsidR="007B574B" w:rsidRPr="004D19FF">
        <w:rPr>
          <w:rFonts w:ascii="Times New Roman" w:hAnsi="Times New Roman"/>
          <w:sz w:val="20"/>
          <w:szCs w:val="20"/>
        </w:rPr>
        <w:t xml:space="preserve">mass </w:t>
      </w:r>
      <w:r w:rsidR="00951EFA" w:rsidRPr="004D19FF">
        <w:rPr>
          <w:rFonts w:ascii="Times New Roman" w:hAnsi="Times New Roman"/>
          <w:sz w:val="20"/>
          <w:szCs w:val="20"/>
        </w:rPr>
        <w:t xml:space="preserve">is </w:t>
      </w:r>
      <w:r w:rsidR="007B574B" w:rsidRPr="004D19FF">
        <w:rPr>
          <w:rFonts w:ascii="Times New Roman" w:hAnsi="Times New Roman"/>
          <w:sz w:val="20"/>
          <w:szCs w:val="20"/>
        </w:rPr>
        <w:t xml:space="preserve">fractionated </w:t>
      </w:r>
      <w:r w:rsidR="00951EFA" w:rsidRPr="004D19FF">
        <w:rPr>
          <w:rFonts w:ascii="Times New Roman" w:hAnsi="Times New Roman"/>
          <w:sz w:val="20"/>
          <w:szCs w:val="20"/>
        </w:rPr>
        <w:t xml:space="preserve">through </w:t>
      </w:r>
      <w:r w:rsidR="007B574B" w:rsidRPr="004D19FF">
        <w:rPr>
          <w:rFonts w:ascii="Times New Roman" w:hAnsi="Times New Roman"/>
          <w:sz w:val="20"/>
          <w:szCs w:val="20"/>
        </w:rPr>
        <w:t>several processes dependin</w:t>
      </w:r>
      <w:r w:rsidR="003909B8" w:rsidRPr="004D19FF">
        <w:rPr>
          <w:rFonts w:ascii="Times New Roman" w:hAnsi="Times New Roman"/>
          <w:sz w:val="20"/>
          <w:szCs w:val="20"/>
        </w:rPr>
        <w:t>g on the co-products formed. F</w:t>
      </w:r>
      <w:r w:rsidR="007B574B" w:rsidRPr="004D19FF">
        <w:rPr>
          <w:rFonts w:ascii="Times New Roman" w:hAnsi="Times New Roman"/>
          <w:sz w:val="20"/>
          <w:szCs w:val="20"/>
        </w:rPr>
        <w:t>or example</w:t>
      </w:r>
      <w:r w:rsidR="003909B8" w:rsidRPr="004D19FF">
        <w:rPr>
          <w:rFonts w:ascii="Times New Roman" w:hAnsi="Times New Roman"/>
          <w:sz w:val="20"/>
          <w:szCs w:val="20"/>
        </w:rPr>
        <w:t>,</w:t>
      </w:r>
      <w:r w:rsidR="007B574B" w:rsidRPr="004D19FF">
        <w:rPr>
          <w:rFonts w:ascii="Times New Roman" w:hAnsi="Times New Roman"/>
          <w:sz w:val="20"/>
          <w:szCs w:val="20"/>
        </w:rPr>
        <w:t xml:space="preserve"> distillation </w:t>
      </w:r>
      <w:r w:rsidR="003909B8" w:rsidRPr="004D19FF">
        <w:rPr>
          <w:rFonts w:ascii="Times New Roman" w:hAnsi="Times New Roman"/>
          <w:sz w:val="20"/>
          <w:szCs w:val="20"/>
        </w:rPr>
        <w:t xml:space="preserve">is typically used </w:t>
      </w:r>
      <w:r w:rsidR="007B574B" w:rsidRPr="004D19FF">
        <w:rPr>
          <w:rFonts w:ascii="Times New Roman" w:hAnsi="Times New Roman"/>
          <w:sz w:val="20"/>
          <w:szCs w:val="20"/>
        </w:rPr>
        <w:t>for ethanol</w:t>
      </w:r>
      <w:r w:rsidR="003909B8" w:rsidRPr="004D19FF">
        <w:rPr>
          <w:rFonts w:ascii="Times New Roman" w:hAnsi="Times New Roman"/>
          <w:sz w:val="20"/>
          <w:szCs w:val="20"/>
        </w:rPr>
        <w:t xml:space="preserve"> recovery</w:t>
      </w:r>
      <w:r w:rsidR="007B574B" w:rsidRPr="004D19FF">
        <w:rPr>
          <w:rFonts w:ascii="Times New Roman" w:hAnsi="Times New Roman"/>
          <w:sz w:val="20"/>
          <w:szCs w:val="20"/>
        </w:rPr>
        <w:t xml:space="preserve"> </w:t>
      </w:r>
      <w:r w:rsidR="008846D1"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rHjRjDp8","properties":{"formattedCitation":"[83]","plainCitation":"[83]","noteIndex":0},"citationItems":[{"id":"968HXJ10/DUfwVv3U","uris":["http://www.mendeley.com/documents/?uuid=de6b0d57-2dc5-4f01-ae2d-0cb5b469df62"],"uri":["http://www.mendeley.com/documents/?uuid=de6b0d57-2dc5-4f01-ae2d-0cb5b469df62"],"itemData":{"DOI":"10.1021/acs.iecr.5b03215","ISSN":"15205045","abstract":"LanzaTech has developed novel microbial bioreactor systems capable of direct gas fermentation to produce ethanol from carbon-containing gases. In this study, a life-cycle assessment method is used to quantify the global warming potential of several scenarios for producing renewable ethanol with the LanzaTech process. Scenarios considering ethanol produced from steel mill waste gases or biomass (corn stover, forest residue, or switchgrass, via gasification) have been considered, using input data from peer-reviewed literature, government reports, life cycle inventory databases, and LanzaTech process engineering estimates. Using standardized life-cycle assessment methods, ethanol produced via LanzaTech fermentation appears to result in greenhouse gas emissions that are at least 60% lower than that of conventional fossil gasoline, with biomass-based ethanol achieving close to 90% emission reductions. Results indicate that the LanzaTech gas fermentation technology can be a viable alternative for producing next-generation biofuels that satisfy United States Renewable Fuels Standard policies concerning fuels with a reduced greenhouse gas emissions footprint.","author":[{"dropping-particle":"","family":"Handler","given":"Robert M.","non-dropping-particle":"","parse-names":false,"suffix":""},{"dropping-particle":"","family":"Shonnard","given":"David R.","non-dropping-particle":"","parse-names":false,"suffix":""},{"dropping-particle":"","family":"Griffing","given":"Evan M.","non-dropping-particle":"","parse-names":false,"suffix":""},{"dropping-particle":"","family":"Lai","given":"Andrea","non-dropping-particle":"","parse-names":false,"suffix":""},{"dropping-particle":"","family":"Palou-Rivera","given":"Ignasi","non-dropping-particle":"","parse-names":false,"suffix":""}],"container-title":"Industrial and Engineering Chemistry Research","id":"ITEM-1","issue":"12","issued":{"date-parts":[["2016"]]},"page":"3253-3261","title":"Life Cycle Assessments of Ethanol Production via Gas Fermentation: Anticipated Greenhouse Gas Emissions for Cellulosic and Waste Gas Feedstocks","type":"article-journal","volume":"55"}}],"schema":"https://github.com/citation-style-language/schema/raw/master/csl-citation.json"} </w:instrText>
      </w:r>
      <w:r w:rsidR="008846D1" w:rsidRPr="004D19FF">
        <w:rPr>
          <w:rFonts w:ascii="Times New Roman" w:hAnsi="Times New Roman"/>
          <w:sz w:val="20"/>
          <w:szCs w:val="20"/>
        </w:rPr>
        <w:fldChar w:fldCharType="separate"/>
      </w:r>
      <w:r w:rsidR="00623E85" w:rsidRPr="00623E85">
        <w:rPr>
          <w:rFonts w:ascii="Times New Roman" w:hAnsi="Times New Roman" w:cs="Times New Roman"/>
          <w:sz w:val="20"/>
        </w:rPr>
        <w:t>[83]</w:t>
      </w:r>
      <w:r w:rsidR="008846D1" w:rsidRPr="004D19FF">
        <w:rPr>
          <w:rFonts w:ascii="Times New Roman" w:hAnsi="Times New Roman"/>
          <w:sz w:val="20"/>
          <w:szCs w:val="20"/>
        </w:rPr>
        <w:fldChar w:fldCharType="end"/>
      </w:r>
      <w:r w:rsidR="007B574B" w:rsidRPr="004D19FF">
        <w:rPr>
          <w:rFonts w:ascii="Times New Roman" w:hAnsi="Times New Roman"/>
          <w:sz w:val="20"/>
          <w:szCs w:val="20"/>
        </w:rPr>
        <w:t xml:space="preserve">, </w:t>
      </w:r>
      <w:r w:rsidR="003909B8" w:rsidRPr="004D19FF">
        <w:rPr>
          <w:rFonts w:ascii="Times New Roman" w:hAnsi="Times New Roman"/>
          <w:sz w:val="20"/>
          <w:szCs w:val="20"/>
        </w:rPr>
        <w:t xml:space="preserve">while simulated moving bed </w:t>
      </w:r>
      <w:r w:rsidR="007B574B" w:rsidRPr="004D19FF">
        <w:rPr>
          <w:rFonts w:ascii="Times New Roman" w:hAnsi="Times New Roman"/>
          <w:sz w:val="20"/>
          <w:szCs w:val="20"/>
        </w:rPr>
        <w:t xml:space="preserve">chromatography </w:t>
      </w:r>
      <w:r w:rsidR="003909B8" w:rsidRPr="004D19FF">
        <w:rPr>
          <w:rFonts w:ascii="Times New Roman" w:hAnsi="Times New Roman"/>
          <w:sz w:val="20"/>
          <w:szCs w:val="20"/>
        </w:rPr>
        <w:t>may be used</w:t>
      </w:r>
      <w:r w:rsidR="007B574B" w:rsidRPr="004D19FF">
        <w:rPr>
          <w:rFonts w:ascii="Times New Roman" w:hAnsi="Times New Roman"/>
          <w:sz w:val="20"/>
          <w:szCs w:val="20"/>
        </w:rPr>
        <w:t xml:space="preserve"> for 2,3-</w:t>
      </w:r>
      <w:r w:rsidR="0009238D" w:rsidRPr="004D19FF">
        <w:rPr>
          <w:rFonts w:ascii="Times New Roman" w:hAnsi="Times New Roman"/>
          <w:sz w:val="20"/>
          <w:szCs w:val="20"/>
        </w:rPr>
        <w:t>BDO</w:t>
      </w:r>
      <w:r w:rsidR="00AE5936" w:rsidRPr="004D19FF">
        <w:rPr>
          <w:rFonts w:ascii="Times New Roman" w:hAnsi="Times New Roman"/>
          <w:sz w:val="20"/>
          <w:szCs w:val="20"/>
        </w:rPr>
        <w:t xml:space="preserve"> </w:t>
      </w:r>
      <w:r w:rsidR="007B574B" w:rsidRPr="004D19FF">
        <w:rPr>
          <w:rFonts w:ascii="Times New Roman" w:hAnsi="Times New Roman"/>
          <w:sz w:val="20"/>
          <w:szCs w:val="20"/>
        </w:rPr>
        <w:t xml:space="preserve">recovery </w:t>
      </w:r>
      <w:r w:rsidR="00B95C18"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bafcfJJh","properties":{"formattedCitation":"[86]","plainCitation":"[86]","noteIndex":0},"citationItems":[{"id":"968HXJ10/JVVR7yzi","uris":["http://www.mendeley.com/documents/?uuid=354e6be6-55b3-4c61-9d41-697de461996d"],"uri":["http://www.mendeley.com/documents/?uuid=354e6be6-55b3-4c61-9d41-697de461996d"],"itemData":{"author":[{"dropping-particle":"","family":"Ave","given":"Lamon","non-dropping-particle":"","parse-names":false,"suffix":""}],"id":"ITEM-1","issued":{"date-parts":[["2017"]]},"title":"A hybrid catalytic route to fuels from biomas syngas: Final report","type":"report"}}],"schema":"https://github.com/citation-style-language/schema/raw/master/csl-citation.json"} </w:instrText>
      </w:r>
      <w:r w:rsidR="00B95C18" w:rsidRPr="004D19FF">
        <w:rPr>
          <w:rFonts w:ascii="Times New Roman" w:hAnsi="Times New Roman"/>
          <w:sz w:val="20"/>
          <w:szCs w:val="20"/>
        </w:rPr>
        <w:fldChar w:fldCharType="separate"/>
      </w:r>
      <w:r w:rsidR="00623E85" w:rsidRPr="00623E85">
        <w:rPr>
          <w:rFonts w:ascii="Times New Roman" w:hAnsi="Times New Roman" w:cs="Times New Roman"/>
          <w:sz w:val="20"/>
        </w:rPr>
        <w:t>[86]</w:t>
      </w:r>
      <w:r w:rsidR="00B95C18" w:rsidRPr="004D19FF">
        <w:rPr>
          <w:rFonts w:ascii="Times New Roman" w:hAnsi="Times New Roman"/>
          <w:sz w:val="20"/>
          <w:szCs w:val="20"/>
        </w:rPr>
        <w:fldChar w:fldCharType="end"/>
      </w:r>
      <w:r w:rsidR="00B95C18" w:rsidRPr="004D19FF">
        <w:rPr>
          <w:rFonts w:ascii="Times New Roman" w:hAnsi="Times New Roman"/>
          <w:sz w:val="20"/>
          <w:szCs w:val="20"/>
        </w:rPr>
        <w:t xml:space="preserve">. </w:t>
      </w:r>
    </w:p>
    <w:p w14:paraId="3007808A" w14:textId="09DC9FA4" w:rsidR="004A2750" w:rsidRPr="004D19FF" w:rsidRDefault="00686DEF"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The </w:t>
      </w:r>
      <w:r w:rsidR="007829FD" w:rsidRPr="004D19FF">
        <w:rPr>
          <w:rFonts w:ascii="Times New Roman" w:hAnsi="Times New Roman"/>
          <w:sz w:val="20"/>
          <w:szCs w:val="20"/>
        </w:rPr>
        <w:t xml:space="preserve">fermentation </w:t>
      </w:r>
      <w:r w:rsidR="00A73474" w:rsidRPr="004D19FF">
        <w:rPr>
          <w:rFonts w:ascii="Times New Roman" w:hAnsi="Times New Roman"/>
          <w:sz w:val="20"/>
          <w:szCs w:val="20"/>
        </w:rPr>
        <w:t xml:space="preserve">residue comprising </w:t>
      </w:r>
      <w:r w:rsidRPr="004D19FF">
        <w:rPr>
          <w:rFonts w:ascii="Times New Roman" w:hAnsi="Times New Roman"/>
          <w:sz w:val="20"/>
          <w:szCs w:val="20"/>
        </w:rPr>
        <w:t>microbial biomass</w:t>
      </w:r>
      <w:r w:rsidR="009D5CA4" w:rsidRPr="004D19FF">
        <w:rPr>
          <w:rFonts w:ascii="Times New Roman" w:hAnsi="Times New Roman"/>
          <w:sz w:val="20"/>
          <w:szCs w:val="20"/>
        </w:rPr>
        <w:t xml:space="preserve">, and </w:t>
      </w:r>
      <w:r w:rsidR="008846D1" w:rsidRPr="004D19FF">
        <w:rPr>
          <w:rFonts w:ascii="Times New Roman" w:hAnsi="Times New Roman"/>
          <w:sz w:val="20"/>
          <w:szCs w:val="20"/>
        </w:rPr>
        <w:t>other organic fractions</w:t>
      </w:r>
      <w:r w:rsidR="00A73474" w:rsidRPr="004D19FF">
        <w:rPr>
          <w:rFonts w:ascii="Times New Roman" w:hAnsi="Times New Roman"/>
          <w:sz w:val="20"/>
          <w:szCs w:val="20"/>
        </w:rPr>
        <w:t xml:space="preserve"> (also known as distillation grain</w:t>
      </w:r>
      <w:r w:rsidR="002D1621">
        <w:rPr>
          <w:rFonts w:ascii="Times New Roman" w:hAnsi="Times New Roman"/>
          <w:sz w:val="20"/>
          <w:szCs w:val="20"/>
        </w:rPr>
        <w:t>s</w:t>
      </w:r>
      <w:r w:rsidR="00A73474" w:rsidRPr="004D19FF">
        <w:rPr>
          <w:rFonts w:ascii="Times New Roman" w:hAnsi="Times New Roman"/>
          <w:sz w:val="20"/>
          <w:szCs w:val="20"/>
        </w:rPr>
        <w:t xml:space="preserve">) </w:t>
      </w:r>
      <w:r w:rsidRPr="004D19FF">
        <w:rPr>
          <w:rFonts w:ascii="Times New Roman" w:hAnsi="Times New Roman"/>
          <w:sz w:val="20"/>
          <w:szCs w:val="20"/>
        </w:rPr>
        <w:t>is filtered</w:t>
      </w:r>
      <w:r w:rsidR="008C5060" w:rsidRPr="004D19FF">
        <w:rPr>
          <w:rFonts w:ascii="Times New Roman" w:hAnsi="Times New Roman"/>
          <w:sz w:val="20"/>
          <w:szCs w:val="20"/>
        </w:rPr>
        <w:t xml:space="preserve"> </w:t>
      </w:r>
      <w:r w:rsidR="002510A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GCa2RCqL","properties":{"formattedCitation":"[87]","plainCitation":"[87]","noteIndex":0},"citationItems":[{"id":"968HXJ10/flYiLfKS","uris":["http://www.mendeley.com/documents/?uuid=16e6a5a3-7a82-3e62-b73e-5d17595eb9b8"],"uri":["http://www.mendeley.com/documents/?uuid=16e6a5a3-7a82-3e62-b73e-5d17595eb9b8"],"itemData":{"URL":"https://www.lanzatech.com/","accessed":{"date-parts":[["2019","11","15"]]},"author":[{"dropping-particle":"","family":"LanzaTech","given":"","non-dropping-particle":"","parse-names":false,"suffix":""}],"container-title":"LanzaTech","id":"ITEM-1","issued":{"date-parts":[["2019"]]},"title":"LanzaTech | Capturing carbon. Fueling growth.","type":"webpage"}}],"schema":"https://github.com/citation-style-language/schema/raw/master/csl-citation.json"} </w:instrText>
      </w:r>
      <w:r w:rsidR="002510A5" w:rsidRPr="004D19FF">
        <w:rPr>
          <w:rFonts w:ascii="Times New Roman" w:hAnsi="Times New Roman"/>
          <w:sz w:val="20"/>
          <w:szCs w:val="20"/>
        </w:rPr>
        <w:fldChar w:fldCharType="separate"/>
      </w:r>
      <w:r w:rsidR="00623E85" w:rsidRPr="00623E85">
        <w:rPr>
          <w:rFonts w:ascii="Times New Roman" w:hAnsi="Times New Roman" w:cs="Times New Roman"/>
          <w:sz w:val="20"/>
        </w:rPr>
        <w:t>[87]</w:t>
      </w:r>
      <w:r w:rsidR="002510A5" w:rsidRPr="004D19FF">
        <w:rPr>
          <w:rFonts w:ascii="Times New Roman" w:hAnsi="Times New Roman"/>
          <w:sz w:val="20"/>
          <w:szCs w:val="20"/>
        </w:rPr>
        <w:fldChar w:fldCharType="end"/>
      </w:r>
      <w:r w:rsidRPr="004D19FF">
        <w:rPr>
          <w:rFonts w:ascii="Times New Roman" w:hAnsi="Times New Roman"/>
          <w:sz w:val="20"/>
          <w:szCs w:val="20"/>
        </w:rPr>
        <w:t xml:space="preserve">. </w:t>
      </w:r>
      <w:r w:rsidR="000F73AB" w:rsidRPr="004D19FF">
        <w:rPr>
          <w:rFonts w:ascii="Times New Roman" w:hAnsi="Times New Roman"/>
          <w:sz w:val="20"/>
          <w:szCs w:val="20"/>
        </w:rPr>
        <w:t>The</w:t>
      </w:r>
      <w:r w:rsidR="001433BD" w:rsidRPr="004D19FF">
        <w:rPr>
          <w:rFonts w:ascii="Times New Roman" w:hAnsi="Times New Roman"/>
          <w:sz w:val="20"/>
          <w:szCs w:val="20"/>
        </w:rPr>
        <w:t xml:space="preserve"> filtered </w:t>
      </w:r>
      <w:r w:rsidR="00A73474" w:rsidRPr="004D19FF">
        <w:rPr>
          <w:rFonts w:ascii="Times New Roman" w:hAnsi="Times New Roman"/>
          <w:sz w:val="20"/>
          <w:szCs w:val="20"/>
        </w:rPr>
        <w:t xml:space="preserve">liquid </w:t>
      </w:r>
      <w:r w:rsidRPr="004D19FF">
        <w:rPr>
          <w:rFonts w:ascii="Times New Roman" w:hAnsi="Times New Roman"/>
          <w:sz w:val="20"/>
          <w:szCs w:val="20"/>
        </w:rPr>
        <w:t xml:space="preserve">stream </w:t>
      </w:r>
      <w:r w:rsidR="0021161E">
        <w:rPr>
          <w:rFonts w:ascii="Times New Roman" w:hAnsi="Times New Roman"/>
          <w:sz w:val="20"/>
          <w:szCs w:val="20"/>
        </w:rPr>
        <w:t xml:space="preserve">consisting of soluble </w:t>
      </w:r>
      <w:r w:rsidR="00792C08">
        <w:rPr>
          <w:rFonts w:ascii="Times New Roman" w:hAnsi="Times New Roman"/>
          <w:sz w:val="20"/>
          <w:szCs w:val="20"/>
        </w:rPr>
        <w:t>nutrient mixtures</w:t>
      </w:r>
      <w:r w:rsidR="0021570C">
        <w:rPr>
          <w:rFonts w:ascii="Times New Roman" w:hAnsi="Times New Roman"/>
          <w:sz w:val="20"/>
          <w:szCs w:val="20"/>
        </w:rPr>
        <w:t xml:space="preserve"> </w:t>
      </w:r>
      <w:r w:rsidR="001433BD" w:rsidRPr="004D19FF">
        <w:rPr>
          <w:rFonts w:ascii="Times New Roman" w:hAnsi="Times New Roman"/>
          <w:sz w:val="20"/>
          <w:szCs w:val="20"/>
        </w:rPr>
        <w:t>can be further recycled back to the fermentation reactor</w:t>
      </w:r>
      <w:r w:rsidR="000F73AB" w:rsidRPr="004D19FF">
        <w:rPr>
          <w:rFonts w:ascii="Times New Roman" w:hAnsi="Times New Roman"/>
          <w:sz w:val="20"/>
          <w:szCs w:val="20"/>
        </w:rPr>
        <w:t xml:space="preserve"> while the </w:t>
      </w:r>
      <w:r w:rsidR="00A73474" w:rsidRPr="004D19FF">
        <w:rPr>
          <w:rFonts w:ascii="Times New Roman" w:hAnsi="Times New Roman"/>
          <w:sz w:val="20"/>
          <w:szCs w:val="20"/>
        </w:rPr>
        <w:t>filtrat</w:t>
      </w:r>
      <w:r w:rsidR="0021161E">
        <w:rPr>
          <w:rFonts w:ascii="Times New Roman" w:hAnsi="Times New Roman"/>
          <w:sz w:val="20"/>
          <w:szCs w:val="20"/>
        </w:rPr>
        <w:t xml:space="preserve">ed insoluble </w:t>
      </w:r>
      <w:r w:rsidR="00A73474" w:rsidRPr="004D19FF">
        <w:rPr>
          <w:rFonts w:ascii="Times New Roman" w:hAnsi="Times New Roman"/>
          <w:sz w:val="20"/>
          <w:szCs w:val="20"/>
        </w:rPr>
        <w:t>sludge</w:t>
      </w:r>
      <w:r w:rsidR="00B673A8" w:rsidRPr="004D19FF">
        <w:rPr>
          <w:rFonts w:ascii="Times New Roman" w:hAnsi="Times New Roman"/>
          <w:sz w:val="20"/>
          <w:szCs w:val="20"/>
        </w:rPr>
        <w:t xml:space="preserve"> </w:t>
      </w:r>
      <w:r w:rsidR="000F73AB" w:rsidRPr="004D19FF">
        <w:rPr>
          <w:rFonts w:ascii="Times New Roman" w:hAnsi="Times New Roman"/>
          <w:sz w:val="20"/>
          <w:szCs w:val="20"/>
        </w:rPr>
        <w:t xml:space="preserve">is </w:t>
      </w:r>
      <w:r w:rsidR="008B5A33">
        <w:rPr>
          <w:rFonts w:ascii="Times New Roman" w:hAnsi="Times New Roman"/>
          <w:sz w:val="20"/>
          <w:szCs w:val="20"/>
        </w:rPr>
        <w:t xml:space="preserve">typically </w:t>
      </w:r>
      <w:r w:rsidR="000F73AB" w:rsidRPr="004D19FF">
        <w:rPr>
          <w:rFonts w:ascii="Times New Roman" w:hAnsi="Times New Roman"/>
          <w:sz w:val="20"/>
          <w:szCs w:val="20"/>
        </w:rPr>
        <w:t xml:space="preserve">sent to anaerobic digestion. The </w:t>
      </w:r>
      <w:r w:rsidR="007829FD" w:rsidRPr="004D19FF">
        <w:rPr>
          <w:rFonts w:ascii="Times New Roman" w:hAnsi="Times New Roman"/>
          <w:sz w:val="20"/>
          <w:szCs w:val="20"/>
        </w:rPr>
        <w:t xml:space="preserve">resulting </w:t>
      </w:r>
      <w:r w:rsidR="000F73AB" w:rsidRPr="004D19FF">
        <w:rPr>
          <w:rFonts w:ascii="Times New Roman" w:hAnsi="Times New Roman"/>
          <w:sz w:val="20"/>
          <w:szCs w:val="20"/>
        </w:rPr>
        <w:t xml:space="preserve">biogas </w:t>
      </w:r>
      <w:r w:rsidR="004F4AB2" w:rsidRPr="004D19FF">
        <w:rPr>
          <w:rFonts w:ascii="Times New Roman" w:hAnsi="Times New Roman"/>
          <w:sz w:val="20"/>
          <w:szCs w:val="20"/>
        </w:rPr>
        <w:t>can be used</w:t>
      </w:r>
      <w:r w:rsidR="00522F01" w:rsidRPr="004D19FF">
        <w:rPr>
          <w:rFonts w:ascii="Times New Roman" w:hAnsi="Times New Roman"/>
          <w:sz w:val="20"/>
          <w:szCs w:val="20"/>
        </w:rPr>
        <w:t xml:space="preserve"> for internal steam and</w:t>
      </w:r>
      <w:r w:rsidR="000F73AB" w:rsidRPr="004D19FF">
        <w:rPr>
          <w:rFonts w:ascii="Times New Roman" w:hAnsi="Times New Roman"/>
          <w:sz w:val="20"/>
          <w:szCs w:val="20"/>
        </w:rPr>
        <w:t xml:space="preserve"> power generation</w:t>
      </w:r>
      <w:r w:rsidR="001433BD" w:rsidRPr="004D19FF">
        <w:rPr>
          <w:rFonts w:ascii="Times New Roman" w:hAnsi="Times New Roman"/>
          <w:sz w:val="20"/>
          <w:szCs w:val="20"/>
        </w:rPr>
        <w:t xml:space="preserve"> </w:t>
      </w:r>
      <w:r w:rsidR="00E3261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Jcs8LcMK","properties":{"formattedCitation":"[83,86]","plainCitation":"[83,86]","noteIndex":0},"citationItems":[{"id":"968HXJ10/DUfwVv3U","uris":["http://www.mendeley.com/documents/?uuid=de6b0d57-2dc5-4f01-ae2d-0cb5b469df62"],"uri":["http://www.mendeley.com/documents/?uuid=de6b0d57-2dc5-4f01-ae2d-0cb5b469df62"],"itemData":{"DOI":"10.1021/acs.iecr.5b03215","ISSN":"15205045","abstract":"LanzaTech has developed novel microbial bioreactor systems capable of direct gas fermentation to produce ethanol from carbon-containing gases. In this study, a life-cycle assessment method is used to quantify the global warming potential of several scenarios for producing renewable ethanol with the LanzaTech process. Scenarios considering ethanol produced from steel mill waste gases or biomass (corn stover, forest residue, or switchgrass, via gasification) have been considered, using input data from peer-reviewed literature, government reports, life cycle inventory databases, and LanzaTech process engineering estimates. Using standardized life-cycle assessment methods, ethanol produced via LanzaTech fermentation appears to result in greenhouse gas emissions that are at least 60% lower than that of conventional fossil gasoline, with biomass-based ethanol achieving close to 90% emission reductions. Results indicate that the LanzaTech gas fermentation technology can be a viable alternative for producing next-generation biofuels that satisfy United States Renewable Fuels Standard policies concerning fuels with a reduced greenhouse gas emissions footprint.","author":[{"dropping-particle":"","family":"Handler","given":"Robert M.","non-dropping-particle":"","parse-names":false,"suffix":""},{"dropping-particle":"","family":"Shonnard","given":"David R.","non-dropping-particle":"","parse-names":false,"suffix":""},{"dropping-particle":"","family":"Griffing","given":"Evan M.","non-dropping-particle":"","parse-names":false,"suffix":""},{"dropping-particle":"","family":"Lai","given":"Andrea","non-dropping-particle":"","parse-names":false,"suffix":""},{"dropping-particle":"","family":"Palou-Rivera","given":"Ignasi","non-dropping-particle":"","parse-names":false,"suffix":""}],"container-title":"Industrial and Engineering Chemistry Research","id":"ITEM-1","issue":"12","issued":{"date-parts":[["2016"]]},"page":"3253-3261","title":"Life Cycle Assessments of Ethanol Production via Gas Fermentation: Anticipated Greenhouse Gas Emissions for Cellulosic and Waste Gas Feedstocks","type":"article-journal","volume":"55"}},{"id":"968HXJ10/JVVR7yzi","uris":["http://www.mendeley.com/documents/?uuid=354e6be6-55b3-4c61-9d41-697de461996d"],"uri":["http://www.mendeley.com/documents/?uuid=354e6be6-55b3-4c61-9d41-697de461996d"],"itemData":{"author":[{"dropping-particle":"","family":"Ave","given":"Lamon","non-dropping-particle":"","parse-names":false,"suffix":""}],"id":"ITEM-2","issued":{"date-parts":[["2017"]]},"title":"A hybrid catalytic route to fuels from biomas syngas: Final report","type":"report"}}],"schema":"https://github.com/citation-style-language/schema/raw/master/csl-citation.json"} </w:instrText>
      </w:r>
      <w:r w:rsidR="00E32615" w:rsidRPr="004D19FF">
        <w:rPr>
          <w:rFonts w:ascii="Times New Roman" w:hAnsi="Times New Roman"/>
          <w:sz w:val="20"/>
          <w:szCs w:val="20"/>
        </w:rPr>
        <w:fldChar w:fldCharType="separate"/>
      </w:r>
      <w:r w:rsidR="00623E85" w:rsidRPr="00623E85">
        <w:rPr>
          <w:rFonts w:ascii="Times New Roman" w:hAnsi="Times New Roman" w:cs="Times New Roman"/>
          <w:sz w:val="20"/>
        </w:rPr>
        <w:t>[83,86]</w:t>
      </w:r>
      <w:r w:rsidR="00E32615" w:rsidRPr="004D19FF">
        <w:rPr>
          <w:rFonts w:ascii="Times New Roman" w:hAnsi="Times New Roman"/>
          <w:sz w:val="20"/>
          <w:szCs w:val="20"/>
        </w:rPr>
        <w:fldChar w:fldCharType="end"/>
      </w:r>
      <w:r w:rsidR="001433BD" w:rsidRPr="004D19FF">
        <w:rPr>
          <w:rFonts w:ascii="Times New Roman" w:hAnsi="Times New Roman"/>
          <w:sz w:val="20"/>
          <w:szCs w:val="20"/>
        </w:rPr>
        <w:t>.</w:t>
      </w:r>
    </w:p>
    <w:p w14:paraId="28FA59D6" w14:textId="57CE3754" w:rsidR="00CF55FF" w:rsidRDefault="00C51ACE" w:rsidP="00290530">
      <w:pPr>
        <w:spacing w:after="120" w:line="276" w:lineRule="auto"/>
        <w:jc w:val="thaiDistribute"/>
        <w:rPr>
          <w:rFonts w:ascii="Times New Roman" w:hAnsi="Times New Roman" w:cs="Times New Roman"/>
          <w:sz w:val="20"/>
          <w:szCs w:val="20"/>
        </w:rPr>
      </w:pPr>
      <w:r w:rsidRPr="004D19FF">
        <w:rPr>
          <w:rFonts w:ascii="Times New Roman" w:hAnsi="Times New Roman"/>
          <w:sz w:val="20"/>
          <w:szCs w:val="20"/>
        </w:rPr>
        <w:t>E</w:t>
      </w:r>
      <w:r w:rsidR="004A2750" w:rsidRPr="004D19FF">
        <w:rPr>
          <w:rFonts w:ascii="Times New Roman" w:hAnsi="Times New Roman"/>
          <w:sz w:val="20"/>
          <w:szCs w:val="20"/>
        </w:rPr>
        <w:t xml:space="preserve">thanol </w:t>
      </w:r>
      <w:r w:rsidR="00A17358" w:rsidRPr="004D19FF">
        <w:rPr>
          <w:rFonts w:ascii="Times New Roman" w:hAnsi="Times New Roman"/>
          <w:sz w:val="20"/>
          <w:szCs w:val="20"/>
        </w:rPr>
        <w:t xml:space="preserve">may be upgraded to kerosene through a variety of processes. First, ethanol </w:t>
      </w:r>
      <w:r w:rsidR="004A2750" w:rsidRPr="004D19FF">
        <w:rPr>
          <w:rFonts w:ascii="Times New Roman" w:hAnsi="Times New Roman"/>
          <w:sz w:val="20"/>
          <w:szCs w:val="20"/>
        </w:rPr>
        <w:t xml:space="preserve">is </w:t>
      </w:r>
      <w:r w:rsidR="00311AC7" w:rsidRPr="004D19FF">
        <w:rPr>
          <w:rFonts w:ascii="Times New Roman" w:hAnsi="Times New Roman"/>
          <w:sz w:val="20"/>
          <w:szCs w:val="20"/>
        </w:rPr>
        <w:t>converted t</w:t>
      </w:r>
      <w:r w:rsidR="002F5AEF">
        <w:rPr>
          <w:rFonts w:ascii="Times New Roman" w:hAnsi="Times New Roman"/>
          <w:sz w:val="20"/>
          <w:szCs w:val="20"/>
        </w:rPr>
        <w:t>o</w:t>
      </w:r>
      <w:r w:rsidR="00311AC7" w:rsidRPr="004D19FF">
        <w:rPr>
          <w:rFonts w:ascii="Times New Roman" w:hAnsi="Times New Roman"/>
          <w:sz w:val="20"/>
          <w:szCs w:val="20"/>
        </w:rPr>
        <w:t xml:space="preserve"> </w:t>
      </w:r>
      <w:r w:rsidR="004A2750" w:rsidRPr="004D19FF">
        <w:rPr>
          <w:rFonts w:ascii="Times New Roman" w:hAnsi="Times New Roman"/>
          <w:sz w:val="20"/>
          <w:szCs w:val="20"/>
        </w:rPr>
        <w:t xml:space="preserve">ethylene in the presence of catalysts such as </w:t>
      </w:r>
      <w:r w:rsidR="004A2750" w:rsidRPr="004D19FF">
        <w:rPr>
          <w:rFonts w:ascii="Times New Roman" w:hAnsi="Times New Roman" w:cs="Times New Roman"/>
          <w:sz w:val="20"/>
          <w:szCs w:val="20"/>
        </w:rPr>
        <w:t>γ</w:t>
      </w:r>
      <w:r w:rsidR="004A2750" w:rsidRPr="004D19FF">
        <w:rPr>
          <w:rFonts w:ascii="Times New Roman" w:hAnsi="Times New Roman"/>
          <w:sz w:val="20"/>
          <w:szCs w:val="20"/>
        </w:rPr>
        <w:t>-alumina (Al</w:t>
      </w:r>
      <w:r w:rsidR="004A2750" w:rsidRPr="004D19FF">
        <w:rPr>
          <w:rFonts w:ascii="Times New Roman" w:hAnsi="Times New Roman"/>
          <w:sz w:val="20"/>
          <w:szCs w:val="20"/>
          <w:vertAlign w:val="subscript"/>
        </w:rPr>
        <w:t>2</w:t>
      </w:r>
      <w:r w:rsidR="004A2750" w:rsidRPr="004D19FF">
        <w:rPr>
          <w:rFonts w:ascii="Times New Roman" w:hAnsi="Times New Roman"/>
          <w:sz w:val="20"/>
          <w:szCs w:val="20"/>
        </w:rPr>
        <w:t>O</w:t>
      </w:r>
      <w:r w:rsidR="004A2750" w:rsidRPr="004D19FF">
        <w:rPr>
          <w:rFonts w:ascii="Times New Roman" w:hAnsi="Times New Roman"/>
          <w:sz w:val="20"/>
          <w:szCs w:val="20"/>
          <w:vertAlign w:val="subscript"/>
        </w:rPr>
        <w:t>3</w:t>
      </w:r>
      <w:r w:rsidR="004A2750" w:rsidRPr="004D19FF">
        <w:rPr>
          <w:rFonts w:ascii="Times New Roman" w:hAnsi="Times New Roman"/>
          <w:sz w:val="20"/>
          <w:szCs w:val="20"/>
        </w:rPr>
        <w:t>), transition metal oxide</w:t>
      </w:r>
      <w:r w:rsidR="00E223F6" w:rsidRPr="004D19FF">
        <w:rPr>
          <w:rFonts w:ascii="Times New Roman" w:hAnsi="Times New Roman"/>
          <w:sz w:val="20"/>
          <w:szCs w:val="20"/>
        </w:rPr>
        <w:t>s</w:t>
      </w:r>
      <w:r w:rsidR="004A2750" w:rsidRPr="004D19FF">
        <w:rPr>
          <w:rFonts w:ascii="Times New Roman" w:hAnsi="Times New Roman"/>
          <w:sz w:val="20"/>
          <w:szCs w:val="20"/>
        </w:rPr>
        <w:t xml:space="preserve">, </w:t>
      </w:r>
      <w:r w:rsidR="00311AC7" w:rsidRPr="004D19FF">
        <w:rPr>
          <w:rFonts w:ascii="Times New Roman" w:hAnsi="Times New Roman"/>
          <w:sz w:val="20"/>
          <w:szCs w:val="20"/>
        </w:rPr>
        <w:t xml:space="preserve">or </w:t>
      </w:r>
      <w:r w:rsidR="004A2750" w:rsidRPr="004D19FF">
        <w:rPr>
          <w:rFonts w:ascii="Times New Roman" w:hAnsi="Times New Roman"/>
          <w:sz w:val="20"/>
          <w:szCs w:val="20"/>
        </w:rPr>
        <w:t>zeolite</w:t>
      </w:r>
      <w:r w:rsidR="00E223F6" w:rsidRPr="004D19FF">
        <w:rPr>
          <w:rFonts w:ascii="Times New Roman" w:hAnsi="Times New Roman"/>
          <w:sz w:val="20"/>
          <w:szCs w:val="20"/>
        </w:rPr>
        <w:t>s</w:t>
      </w:r>
      <w:r w:rsidR="00311AC7" w:rsidRPr="004D19FF">
        <w:rPr>
          <w:rFonts w:ascii="Times New Roman" w:hAnsi="Times New Roman"/>
          <w:sz w:val="20"/>
          <w:szCs w:val="20"/>
        </w:rPr>
        <w:t xml:space="preserve"> </w:t>
      </w:r>
      <w:r w:rsidR="00E223F6" w:rsidRPr="004D19FF">
        <w:rPr>
          <w:rFonts w:ascii="Times New Roman" w:hAnsi="Times New Roman"/>
          <w:sz w:val="20"/>
          <w:szCs w:val="20"/>
        </w:rPr>
        <w:t>at</w:t>
      </w:r>
      <w:r w:rsidR="00AC5170" w:rsidRPr="004D19FF">
        <w:rPr>
          <w:rFonts w:ascii="Times New Roman" w:hAnsi="Times New Roman"/>
          <w:sz w:val="20"/>
          <w:szCs w:val="20"/>
        </w:rPr>
        <w:t xml:space="preserve"> operating temperature</w:t>
      </w:r>
      <w:r w:rsidR="00E223F6" w:rsidRPr="004D19FF">
        <w:rPr>
          <w:rFonts w:ascii="Times New Roman" w:hAnsi="Times New Roman"/>
          <w:sz w:val="20"/>
          <w:szCs w:val="20"/>
        </w:rPr>
        <w:t>s</w:t>
      </w:r>
      <w:r w:rsidR="00AC5170" w:rsidRPr="004D19FF">
        <w:rPr>
          <w:rFonts w:ascii="Times New Roman" w:hAnsi="Times New Roman"/>
          <w:sz w:val="20"/>
          <w:szCs w:val="20"/>
        </w:rPr>
        <w:t xml:space="preserve"> of 320-500 </w:t>
      </w:r>
      <w:r w:rsidR="00AC5170" w:rsidRPr="004D19FF">
        <w:rPr>
          <w:rFonts w:ascii="Times New Roman" w:hAnsi="Times New Roman" w:cs="Times New Roman"/>
          <w:sz w:val="20"/>
          <w:szCs w:val="20"/>
        </w:rPr>
        <w:t>°</w:t>
      </w:r>
      <w:r w:rsidR="00AC5170" w:rsidRPr="004D19FF">
        <w:rPr>
          <w:rFonts w:ascii="Times New Roman" w:hAnsi="Times New Roman"/>
          <w:sz w:val="20"/>
          <w:szCs w:val="20"/>
        </w:rPr>
        <w:t xml:space="preserve">C </w:t>
      </w:r>
      <w:r w:rsidR="00AC5170"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N65rCfs","properties":{"formattedCitation":"[88]","plainCitation":"[88]","noteIndex":0},"citationItems":[{"id":"968HXJ10/UWhhDsha","uris":["http://www.mendeley.com/documents/?uuid=7d415ff3-3a8e-47ca-9fe6-ac9839f677e3"],"uri":["http://www.mendeley.com/documents/?uuid=7d415ff3-3a8e-47ca-9fe6-ac9839f677e3"],"itemData":{"DOI":"10.1080/15583720902834791","ISSN":"15583724","abstract":"The use of bioethanol-based ethylene as raw material for chemical products, especially to produce polyethylene and other polymers, is being considered an effective way to capture carbon dioxide from the atmosphere and offer to the market an alternative of a commodity plastic with a wide range of applications and a low carbon footprint. The present article discloses the aspects relatives to the ethanol manufacture in Brazil using sugarcane as feedstock, the catalytic dehydration reaction, the plants operated in the past with this technology and the main characteristics of the processes.","author":[{"dropping-particle":"","family":"Morschbacker","given":"Antonio","non-dropping-particle":"","parse-names":false,"suffix":""}],"container-title":"Polymer Reviews","id":"ITEM-1","issue":"2","issued":{"date-parts":[["2009"]]},"page":"79-84","title":"Bio-ethanol based ethylene","type":"article-journal","volume":"49"}}],"schema":"https://github.com/citation-style-language/schema/raw/master/csl-citation.json"} </w:instrText>
      </w:r>
      <w:r w:rsidR="00AC5170" w:rsidRPr="004D19FF">
        <w:rPr>
          <w:rFonts w:ascii="Times New Roman" w:hAnsi="Times New Roman"/>
          <w:sz w:val="20"/>
          <w:szCs w:val="20"/>
        </w:rPr>
        <w:fldChar w:fldCharType="separate"/>
      </w:r>
      <w:r w:rsidR="00623E85" w:rsidRPr="00623E85">
        <w:rPr>
          <w:rFonts w:ascii="Times New Roman" w:hAnsi="Times New Roman" w:cs="Times New Roman"/>
          <w:sz w:val="20"/>
        </w:rPr>
        <w:t>[88]</w:t>
      </w:r>
      <w:r w:rsidR="00AC5170" w:rsidRPr="004D19FF">
        <w:rPr>
          <w:rFonts w:ascii="Times New Roman" w:hAnsi="Times New Roman"/>
          <w:sz w:val="20"/>
          <w:szCs w:val="20"/>
        </w:rPr>
        <w:fldChar w:fldCharType="end"/>
      </w:r>
      <w:r w:rsidR="00AC5170" w:rsidRPr="004D19FF">
        <w:rPr>
          <w:rFonts w:ascii="Times New Roman" w:hAnsi="Times New Roman"/>
          <w:sz w:val="20"/>
          <w:szCs w:val="20"/>
        </w:rPr>
        <w:t xml:space="preserve">. </w:t>
      </w:r>
      <w:r w:rsidR="00311AC7" w:rsidRPr="004D19FF">
        <w:rPr>
          <w:rFonts w:ascii="Times New Roman" w:hAnsi="Times New Roman"/>
          <w:sz w:val="20"/>
          <w:szCs w:val="20"/>
        </w:rPr>
        <w:t>O</w:t>
      </w:r>
      <w:r w:rsidR="007E5C79" w:rsidRPr="004D19FF">
        <w:rPr>
          <w:rFonts w:ascii="Times New Roman" w:hAnsi="Times New Roman"/>
          <w:sz w:val="20"/>
          <w:szCs w:val="20"/>
        </w:rPr>
        <w:t xml:space="preserve">ligomerization </w:t>
      </w:r>
      <w:r w:rsidR="00311AC7" w:rsidRPr="004D19FF">
        <w:rPr>
          <w:rFonts w:ascii="Times New Roman" w:hAnsi="Times New Roman"/>
          <w:sz w:val="20"/>
          <w:szCs w:val="20"/>
        </w:rPr>
        <w:t xml:space="preserve">then </w:t>
      </w:r>
      <w:r w:rsidR="007E5C79" w:rsidRPr="004D19FF">
        <w:rPr>
          <w:rFonts w:ascii="Times New Roman" w:hAnsi="Times New Roman"/>
          <w:sz w:val="20"/>
          <w:szCs w:val="20"/>
        </w:rPr>
        <w:t xml:space="preserve">converts </w:t>
      </w:r>
      <w:r w:rsidR="00311AC7" w:rsidRPr="004D19FF">
        <w:rPr>
          <w:rFonts w:ascii="Times New Roman" w:hAnsi="Times New Roman"/>
          <w:sz w:val="20"/>
          <w:szCs w:val="20"/>
        </w:rPr>
        <w:t xml:space="preserve">the </w:t>
      </w:r>
      <w:r w:rsidR="00E223F6" w:rsidRPr="004D19FF">
        <w:rPr>
          <w:rFonts w:ascii="Times New Roman" w:hAnsi="Times New Roman"/>
          <w:sz w:val="20"/>
          <w:szCs w:val="20"/>
        </w:rPr>
        <w:t>produced ethylene</w:t>
      </w:r>
      <w:r w:rsidR="007E5C79" w:rsidRPr="004D19FF">
        <w:rPr>
          <w:rFonts w:ascii="Times New Roman" w:hAnsi="Times New Roman"/>
          <w:sz w:val="20"/>
          <w:szCs w:val="20"/>
        </w:rPr>
        <w:t xml:space="preserve"> to</w:t>
      </w:r>
      <w:r w:rsidR="00E223F6" w:rsidRPr="004D19FF">
        <w:rPr>
          <w:rFonts w:ascii="Times New Roman" w:hAnsi="Times New Roman"/>
          <w:sz w:val="20"/>
          <w:szCs w:val="20"/>
        </w:rPr>
        <w:t xml:space="preserve"> linear long</w:t>
      </w:r>
      <w:r w:rsidR="004A2750" w:rsidRPr="004D19FF">
        <w:rPr>
          <w:rFonts w:ascii="Times New Roman" w:hAnsi="Times New Roman"/>
          <w:sz w:val="20"/>
          <w:szCs w:val="20"/>
        </w:rPr>
        <w:t xml:space="preserve">-chain olefins </w:t>
      </w:r>
      <w:r w:rsidR="00E223F6" w:rsidRPr="004D19FF">
        <w:rPr>
          <w:rFonts w:ascii="Times New Roman" w:hAnsi="Times New Roman"/>
          <w:sz w:val="20"/>
          <w:szCs w:val="20"/>
        </w:rPr>
        <w:t>at</w:t>
      </w:r>
      <w:r w:rsidR="004A2750" w:rsidRPr="004D19FF">
        <w:rPr>
          <w:rFonts w:ascii="Times New Roman" w:hAnsi="Times New Roman"/>
          <w:sz w:val="20"/>
          <w:szCs w:val="20"/>
        </w:rPr>
        <w:t xml:space="preserve"> operating temperature</w:t>
      </w:r>
      <w:r w:rsidR="00E223F6" w:rsidRPr="004D19FF">
        <w:rPr>
          <w:rFonts w:ascii="Times New Roman" w:hAnsi="Times New Roman"/>
          <w:sz w:val="20"/>
          <w:szCs w:val="20"/>
        </w:rPr>
        <w:t>s of</w:t>
      </w:r>
      <w:r w:rsidR="004A2750" w:rsidRPr="004D19FF">
        <w:rPr>
          <w:rFonts w:ascii="Times New Roman" w:hAnsi="Times New Roman"/>
          <w:sz w:val="20"/>
          <w:szCs w:val="20"/>
        </w:rPr>
        <w:t xml:space="preserve"> 100-300 </w:t>
      </w:r>
      <w:r w:rsidR="004A2750" w:rsidRPr="004D19FF">
        <w:rPr>
          <w:rFonts w:ascii="Times New Roman" w:hAnsi="Times New Roman" w:cs="Times New Roman"/>
          <w:sz w:val="20"/>
          <w:szCs w:val="20"/>
        </w:rPr>
        <w:t>°</w:t>
      </w:r>
      <w:r w:rsidR="004A2750" w:rsidRPr="004D19FF">
        <w:rPr>
          <w:rFonts w:ascii="Times New Roman" w:hAnsi="Times New Roman"/>
          <w:sz w:val="20"/>
          <w:szCs w:val="20"/>
        </w:rPr>
        <w:t>C</w:t>
      </w:r>
      <w:r w:rsidR="00D1225A">
        <w:rPr>
          <w:rFonts w:ascii="Times New Roman" w:hAnsi="Times New Roman"/>
          <w:sz w:val="20"/>
          <w:szCs w:val="20"/>
        </w:rPr>
        <w:t>, also</w:t>
      </w:r>
      <w:r w:rsidR="004A2750" w:rsidRPr="004D19FF">
        <w:rPr>
          <w:rFonts w:ascii="Times New Roman" w:hAnsi="Times New Roman"/>
          <w:sz w:val="20"/>
          <w:szCs w:val="20"/>
        </w:rPr>
        <w:t xml:space="preserve"> </w:t>
      </w:r>
      <w:r w:rsidR="00E223F6" w:rsidRPr="004D19FF">
        <w:rPr>
          <w:rFonts w:ascii="Times New Roman" w:hAnsi="Times New Roman"/>
          <w:sz w:val="20"/>
          <w:szCs w:val="20"/>
        </w:rPr>
        <w:t xml:space="preserve">in the presence of catalysts </w:t>
      </w:r>
      <w:r w:rsidR="008846D1"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QTFIdZD4","properties":{"formattedCitation":"[89]","plainCitation":"[89]","noteIndex":0},"citationItems":[{"id":"968HXJ10/W2T1JhxC","uris":["http://www.mendeley.com/documents/?uuid=4945eebf-de92-4499-92a6-4df718cd92fc"],"uri":["http://www.mendeley.com/documents/?uuid=4945eebf-de92-4499-92a6-4df718cd92fc"],"itemData":{"DOI":"10.1039/c4cy00305e","ISSN":"20444761","abstract":"Ni-based inorganic porous materials are the most important heterogeneous catalysts for ethylene oligomerization. In spite of extensive research carried out in previous decades on these catalysts, only a few aspects have been reviewed in the literature. We illustrate here the main properties of these materials and their catalytic performances in oligomerization reactions performed under mild conditions. The major groups of oligomerization catalysts, including NiO on various carriers and Ni-exchanged zeolites, sulfated-alumina or silica-alumina, are described in the first part of this review. The nature of the active sites and their role in the ethylene oligomerization process are pointed out. In the second part, the literature dealing with the catalyst performances under various reaction parameters is reviewed. The influence of catalyst properties (in particular the catalyst pore size) and reaction conditions (i.e. temperature and pressure) on the productivity and the product distribution in oligomerization is methodically discussed. The excellent performances of Ni-exchanged ordered mesoporous silica-alumina, which are the best oligomerization catalysts known today, are carefully emphasized. © 2014 the Partner Organisations.","author":[{"dropping-particle":"","family":"Finiels","given":"Annie","non-dropping-particle":"","parse-names":false,"suffix":""},{"dropping-particle":"","family":"Fajula","given":"François","non-dropping-particle":"","parse-names":false,"suffix":""},{"dropping-particle":"","family":"Hulea","given":"Vasile","non-dropping-particle":"","parse-names":false,"suffix":""}],"container-title":"Catalysis Science and Technology","id":"ITEM-1","issue":"8","issued":{"date-parts":[["2014"]]},"page":"2412-2426","title":"Nickel-based solid catalysts for ethylene oligomerization-a review","type":"article-journal","volume":"4"}}],"schema":"https://github.com/citation-style-language/schema/raw/master/csl-citation.json"} </w:instrText>
      </w:r>
      <w:r w:rsidR="008846D1" w:rsidRPr="004D19FF">
        <w:rPr>
          <w:rFonts w:ascii="Times New Roman" w:hAnsi="Times New Roman"/>
          <w:sz w:val="20"/>
          <w:szCs w:val="20"/>
        </w:rPr>
        <w:fldChar w:fldCharType="separate"/>
      </w:r>
      <w:r w:rsidR="00623E85" w:rsidRPr="00623E85">
        <w:rPr>
          <w:rFonts w:ascii="Times New Roman" w:hAnsi="Times New Roman" w:cs="Times New Roman"/>
          <w:sz w:val="20"/>
        </w:rPr>
        <w:t>[89]</w:t>
      </w:r>
      <w:r w:rsidR="008846D1" w:rsidRPr="004D19FF">
        <w:rPr>
          <w:rFonts w:ascii="Times New Roman" w:hAnsi="Times New Roman"/>
          <w:sz w:val="20"/>
          <w:szCs w:val="20"/>
        </w:rPr>
        <w:fldChar w:fldCharType="end"/>
      </w:r>
      <w:r w:rsidR="004A2750" w:rsidRPr="004D19FF">
        <w:rPr>
          <w:rFonts w:ascii="Times New Roman" w:hAnsi="Times New Roman" w:cs="Times New Roman"/>
          <w:sz w:val="20"/>
          <w:szCs w:val="20"/>
        </w:rPr>
        <w:t xml:space="preserve">. </w:t>
      </w:r>
      <w:r w:rsidR="006F6BF2">
        <w:rPr>
          <w:rFonts w:ascii="Times New Roman" w:hAnsi="Times New Roman" w:cs="Times New Roman"/>
          <w:sz w:val="20"/>
          <w:szCs w:val="20"/>
        </w:rPr>
        <w:t>Nickel complexes</w:t>
      </w:r>
      <w:r w:rsidR="008846D1" w:rsidRPr="004D19FF">
        <w:rPr>
          <w:rFonts w:ascii="Times New Roman" w:hAnsi="Times New Roman" w:cs="Times New Roman"/>
          <w:sz w:val="20"/>
          <w:szCs w:val="20"/>
        </w:rPr>
        <w:t xml:space="preserve"> </w:t>
      </w:r>
      <w:r w:rsidR="006F6BF2">
        <w:rPr>
          <w:rFonts w:ascii="Times New Roman" w:hAnsi="Times New Roman" w:cs="Times New Roman"/>
          <w:sz w:val="20"/>
          <w:szCs w:val="20"/>
        </w:rPr>
        <w:t xml:space="preserve">are </w:t>
      </w:r>
      <w:r w:rsidR="008846D1" w:rsidRPr="004D19FF">
        <w:rPr>
          <w:rFonts w:ascii="Times New Roman" w:hAnsi="Times New Roman" w:cs="Times New Roman"/>
          <w:sz w:val="20"/>
          <w:szCs w:val="20"/>
        </w:rPr>
        <w:t>commonly used</w:t>
      </w:r>
      <w:r w:rsidR="006F6BF2">
        <w:rPr>
          <w:rFonts w:ascii="Times New Roman" w:hAnsi="Times New Roman" w:cs="Times New Roman"/>
          <w:sz w:val="20"/>
          <w:szCs w:val="20"/>
        </w:rPr>
        <w:t xml:space="preserve"> as catalysts </w:t>
      </w:r>
      <w:r w:rsidR="00311AC7" w:rsidRPr="004D19FF">
        <w:rPr>
          <w:rFonts w:ascii="Times New Roman" w:hAnsi="Times New Roman" w:cs="Times New Roman"/>
          <w:sz w:val="20"/>
          <w:szCs w:val="20"/>
        </w:rPr>
        <w:t xml:space="preserve">for </w:t>
      </w:r>
      <w:r w:rsidR="004A2750" w:rsidRPr="004D19FF">
        <w:rPr>
          <w:rFonts w:ascii="Times New Roman" w:hAnsi="Times New Roman" w:cs="Times New Roman"/>
          <w:sz w:val="20"/>
          <w:szCs w:val="20"/>
        </w:rPr>
        <w:t xml:space="preserve">industrial ethylene oligomerization </w:t>
      </w:r>
      <w:r w:rsidR="002F5DA0" w:rsidRPr="004D19FF">
        <w:rPr>
          <w:rFonts w:ascii="Times New Roman" w:hAnsi="Times New Roman" w:cs="Times New Roman"/>
          <w:sz w:val="20"/>
          <w:szCs w:val="20"/>
        </w:rPr>
        <w:t>(</w:t>
      </w:r>
      <w:r w:rsidR="002D1621">
        <w:rPr>
          <w:rFonts w:ascii="Times New Roman" w:hAnsi="Times New Roman" w:cs="Times New Roman"/>
          <w:sz w:val="20"/>
          <w:szCs w:val="20"/>
        </w:rPr>
        <w:t>e.g. used in the</w:t>
      </w:r>
      <w:r w:rsidR="002F5AEF">
        <w:rPr>
          <w:rFonts w:ascii="Times New Roman" w:hAnsi="Times New Roman" w:cs="Times New Roman"/>
          <w:sz w:val="20"/>
          <w:szCs w:val="20"/>
        </w:rPr>
        <w:t xml:space="preserve"> </w:t>
      </w:r>
      <w:r w:rsidR="004A2750" w:rsidRPr="004D19FF">
        <w:rPr>
          <w:rFonts w:ascii="Times New Roman" w:hAnsi="Times New Roman" w:cs="Times New Roman"/>
          <w:sz w:val="20"/>
          <w:szCs w:val="20"/>
        </w:rPr>
        <w:t>Sh</w:t>
      </w:r>
      <w:r w:rsidR="002F5DA0" w:rsidRPr="004D19FF">
        <w:rPr>
          <w:rFonts w:ascii="Times New Roman" w:hAnsi="Times New Roman" w:cs="Times New Roman"/>
          <w:sz w:val="20"/>
          <w:szCs w:val="20"/>
        </w:rPr>
        <w:t>ell Higher Olefin Process</w:t>
      </w:r>
      <w:r w:rsidR="00CF55FF">
        <w:rPr>
          <w:rFonts w:ascii="Times New Roman" w:hAnsi="Times New Roman" w:cs="Times New Roman"/>
          <w:sz w:val="20"/>
          <w:szCs w:val="20"/>
        </w:rPr>
        <w:t>; SHOP</w:t>
      </w:r>
      <w:r w:rsidR="002F5DA0" w:rsidRPr="004D19FF">
        <w:rPr>
          <w:rFonts w:ascii="Times New Roman" w:hAnsi="Times New Roman" w:cs="Times New Roman"/>
          <w:sz w:val="20"/>
          <w:szCs w:val="20"/>
        </w:rPr>
        <w:t xml:space="preserve">) </w:t>
      </w:r>
      <w:r w:rsidR="004A2750"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L8BjhNAO","properties":{"formattedCitation":"[89,90]","plainCitation":"[89,90]","noteIndex":0},"citationItems":[{"id":"968HXJ10/W2T1JhxC","uris":["http://www.mendeley.com/documents/?uuid=4945eebf-de92-4499-92a6-4df718cd92fc"],"uri":["http://www.mendeley.com/documents/?uuid=4945eebf-de92-4499-92a6-4df718cd92fc"],"itemData":{"DOI":"10.1039/c4cy00305e","ISSN":"20444761","abstract":"Ni-based inorganic porous materials are the most important heterogeneous catalysts for ethylene oligomerization. In spite of extensive research carried out in previous decades on these catalysts, only a few aspects have been reviewed in the literature. We illustrate here the main properties of these materials and their catalytic performances in oligomerization reactions performed under mild conditions. The major groups of oligomerization catalysts, including NiO on various carriers and Ni-exchanged zeolites, sulfated-alumina or silica-alumina, are described in the first part of this review. The nature of the active sites and their role in the ethylene oligomerization process are pointed out. In the second part, the literature dealing with the catalyst performances under various reaction parameters is reviewed. The influence of catalyst properties (in particular the catalyst pore size) and reaction conditions (i.e. temperature and pressure) on the productivity and the product distribution in oligomerization is methodically discussed. The excellent performances of Ni-exchanged ordered mesoporous silica-alumina, which are the best oligomerization catalysts known today, are carefully emphasized. © 2014 the Partner Organisations.","author":[{"dropping-particle":"","family":"Finiels","given":"Annie","non-dropping-particle":"","parse-names":false,"suffix":""},{"dropping-particle":"","family":"Fajula","given":"François","non-dropping-particle":"","parse-names":false,"suffix":""},{"dropping-particle":"","family":"Hulea","given":"Vasile","non-dropping-particle":"","parse-names":false,"suffix":""}],"container-title":"Catalysis Science and Technology","id":"ITEM-1","issue":"8","issued":{"date-parts":[["2014"]]},"page":"2412-2426","title":"Nickel-based solid catalysts for ethylene oligomerization-a review","type":"article-journal","volume":"4"}},{"id":"968HXJ10/SxaamaNM","uris":["http://www.mendeley.com/documents/?uuid=e314aba5-00f9-4c38-b542-6e5e66378a35"],"uri":["http://www.mendeley.com/documents/?uuid=e314aba5-00f9-4c38-b542-6e5e66378a35"],"itemData":{"DOI":"10.1007/978-1-4939-7813-7_1039","ISBN":"9781493978137","author":[{"dropping-particle":"","family":"Pechstein","given":"Jan","non-dropping-particle":"","parse-names":false,"suffix":""},{"dropping-particle":"","family":"Kaltschmitt","given":"Martin","non-dropping-particle":"","parse-names":false,"suffix":""}],"container-title":"Energy from Organic Materials (Biomass)","id":"b1cZl8eI/V6lrXjtY","issued":{"date-parts":[["2019"]]},"page":"1023-1046","title":"Liquid Hydrocarbon Fuels Derived from Alcohols","type":"article-journal"}}],"schema":"https://github.com/citation-style-language/schema/raw/master/csl-citation.json"} </w:instrText>
      </w:r>
      <w:r w:rsidR="004A2750" w:rsidRPr="004D19FF">
        <w:rPr>
          <w:rFonts w:ascii="Times New Roman" w:hAnsi="Times New Roman" w:cs="Times New Roman"/>
          <w:sz w:val="20"/>
          <w:szCs w:val="20"/>
        </w:rPr>
        <w:fldChar w:fldCharType="separate"/>
      </w:r>
      <w:r w:rsidR="00B23E1E" w:rsidRPr="00B23E1E">
        <w:rPr>
          <w:rFonts w:ascii="Times New Roman" w:hAnsi="Times New Roman" w:cs="Times New Roman"/>
          <w:sz w:val="20"/>
        </w:rPr>
        <w:t>[89,90]</w:t>
      </w:r>
      <w:r w:rsidR="004A2750" w:rsidRPr="004D19FF">
        <w:rPr>
          <w:rFonts w:ascii="Times New Roman" w:hAnsi="Times New Roman" w:cs="Times New Roman"/>
          <w:sz w:val="20"/>
          <w:szCs w:val="20"/>
        </w:rPr>
        <w:fldChar w:fldCharType="end"/>
      </w:r>
      <w:r w:rsidR="004A2750" w:rsidRPr="004D19FF">
        <w:rPr>
          <w:rFonts w:ascii="Times New Roman" w:hAnsi="Times New Roman" w:cs="Times New Roman"/>
          <w:sz w:val="20"/>
          <w:szCs w:val="20"/>
        </w:rPr>
        <w:t>.</w:t>
      </w:r>
      <w:r w:rsidR="006F6BF2">
        <w:rPr>
          <w:rFonts w:ascii="Times New Roman" w:hAnsi="Times New Roman" w:cs="Times New Roman"/>
          <w:sz w:val="20"/>
          <w:szCs w:val="20"/>
        </w:rPr>
        <w:t xml:space="preserve"> </w:t>
      </w:r>
      <w:r w:rsidR="00D1225A">
        <w:rPr>
          <w:rFonts w:ascii="Times New Roman" w:hAnsi="Times New Roman" w:cs="Times New Roman"/>
          <w:sz w:val="20"/>
          <w:szCs w:val="20"/>
        </w:rPr>
        <w:t>Aluminum-</w:t>
      </w:r>
      <w:r w:rsidR="004640BC" w:rsidRPr="004D19FF">
        <w:rPr>
          <w:rFonts w:ascii="Times New Roman" w:hAnsi="Times New Roman" w:cs="Times New Roman"/>
          <w:sz w:val="20"/>
          <w:szCs w:val="20"/>
        </w:rPr>
        <w:t>based</w:t>
      </w:r>
      <w:r w:rsidR="004A2750" w:rsidRPr="004D19FF">
        <w:rPr>
          <w:rFonts w:ascii="Times New Roman" w:hAnsi="Times New Roman" w:cs="Times New Roman"/>
          <w:sz w:val="20"/>
          <w:szCs w:val="20"/>
        </w:rPr>
        <w:t xml:space="preserve"> catalyst</w:t>
      </w:r>
      <w:r w:rsidR="002D1621">
        <w:rPr>
          <w:rFonts w:ascii="Times New Roman" w:hAnsi="Times New Roman" w:cs="Times New Roman"/>
          <w:sz w:val="20"/>
          <w:szCs w:val="20"/>
        </w:rPr>
        <w:t xml:space="preserve">s (tri-ethyl-aluminum) generate, through </w:t>
      </w:r>
      <w:r w:rsidR="002D1621" w:rsidRPr="004D19FF">
        <w:rPr>
          <w:rFonts w:ascii="Times New Roman" w:hAnsi="Times New Roman" w:cs="Times New Roman"/>
          <w:sz w:val="20"/>
          <w:szCs w:val="20"/>
        </w:rPr>
        <w:t>the Gulf and Ethyl process</w:t>
      </w:r>
      <w:r w:rsidR="002D1621">
        <w:rPr>
          <w:rFonts w:ascii="Times New Roman" w:hAnsi="Times New Roman" w:cs="Times New Roman"/>
          <w:sz w:val="20"/>
          <w:szCs w:val="20"/>
        </w:rPr>
        <w:t>,</w:t>
      </w:r>
      <w:r w:rsidR="004640BC" w:rsidRPr="004D19FF">
        <w:rPr>
          <w:rFonts w:ascii="Times New Roman" w:hAnsi="Times New Roman" w:cs="Times New Roman"/>
          <w:sz w:val="20"/>
          <w:szCs w:val="20"/>
        </w:rPr>
        <w:t xml:space="preserve"> linear </w:t>
      </w:r>
      <w:r w:rsidR="004A2750" w:rsidRPr="004D19FF">
        <w:rPr>
          <w:rFonts w:ascii="Times New Roman" w:hAnsi="Times New Roman" w:cs="Times New Roman"/>
          <w:sz w:val="20"/>
          <w:szCs w:val="20"/>
        </w:rPr>
        <w:t xml:space="preserve">α-olefins </w:t>
      </w:r>
      <w:r w:rsidR="002D1621">
        <w:rPr>
          <w:rFonts w:ascii="Times New Roman" w:hAnsi="Times New Roman" w:cs="Times New Roman"/>
          <w:sz w:val="20"/>
          <w:szCs w:val="20"/>
        </w:rPr>
        <w:t>and by-products (</w:t>
      </w:r>
      <w:r w:rsidR="004640BC" w:rsidRPr="004D19FF">
        <w:rPr>
          <w:rFonts w:ascii="Times New Roman" w:hAnsi="Times New Roman" w:cs="Times New Roman"/>
          <w:sz w:val="20"/>
          <w:szCs w:val="20"/>
        </w:rPr>
        <w:t>alkanes and branched α-olefins</w:t>
      </w:r>
      <w:r w:rsidR="002D1621">
        <w:rPr>
          <w:rFonts w:ascii="Times New Roman" w:hAnsi="Times New Roman" w:cs="Times New Roman"/>
          <w:sz w:val="20"/>
          <w:szCs w:val="20"/>
        </w:rPr>
        <w:t>)</w:t>
      </w:r>
      <w:r w:rsidR="004640BC" w:rsidRPr="004D19FF">
        <w:rPr>
          <w:rFonts w:ascii="Times New Roman" w:hAnsi="Times New Roman" w:cs="Times New Roman"/>
          <w:sz w:val="20"/>
          <w:szCs w:val="20"/>
        </w:rPr>
        <w:t xml:space="preserve"> </w:t>
      </w:r>
      <w:r w:rsidR="004A2750"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O8HRGjqs","properties":{"formattedCitation":"[90]","plainCitation":"[90]","noteIndex":0},"citationItems":[{"id":"968HXJ10/SxaamaNM","uris":["http://www.mendeley.com/documents/?uuid=e314aba5-00f9-4c38-b542-6e5e66378a35"],"uri":["http://www.mendeley.com/documents/?uuid=e314aba5-00f9-4c38-b542-6e5e66378a35"],"itemData":{"DOI":"10.1007/978-1-4939-7813-7_1039","ISBN":"9781493978137","author":[{"dropping-particle":"","family":"Pechstein","given":"Jan","non-dropping-particle":"","parse-names":false,"suffix":""},{"dropping-particle":"","family":"Kaltschmitt","given":"Martin","non-dropping-particle":"","parse-names":false,"suffix":""}],"container-title":"Energy from Organic Materials (Biomass)","id":"ITEM-1","issued":{"date-parts":[["2019"]]},"page":"1023-1046","title":"Liquid Hydrocarbon Fuels Derived from Alcohols","type":"article-journal"}}],"schema":"https://github.com/citation-style-language/schema/raw/master/csl-citation.json"} </w:instrText>
      </w:r>
      <w:r w:rsidR="004A2750"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[90]</w:t>
      </w:r>
      <w:r w:rsidR="004A2750" w:rsidRPr="004D19FF">
        <w:rPr>
          <w:rFonts w:ascii="Times New Roman" w:hAnsi="Times New Roman" w:cs="Times New Roman"/>
          <w:sz w:val="20"/>
          <w:szCs w:val="20"/>
        </w:rPr>
        <w:fldChar w:fldCharType="end"/>
      </w:r>
      <w:r w:rsidR="004A2750" w:rsidRPr="004D19FF">
        <w:rPr>
          <w:rFonts w:ascii="Times New Roman" w:hAnsi="Times New Roman" w:cs="Times New Roman"/>
          <w:sz w:val="20"/>
          <w:szCs w:val="20"/>
        </w:rPr>
        <w:t xml:space="preserve">. </w:t>
      </w:r>
    </w:p>
    <w:p w14:paraId="2ADB0533" w14:textId="535160A1" w:rsidR="00951EFA" w:rsidRPr="004D19FF" w:rsidRDefault="00794DFE" w:rsidP="00290530">
      <w:pPr>
        <w:spacing w:after="120" w:line="276" w:lineRule="auto"/>
        <w:jc w:val="thaiDistribute"/>
        <w:rPr>
          <w:rFonts w:ascii="Times New Roman" w:hAnsi="Times New Roman"/>
          <w:sz w:val="20"/>
          <w:szCs w:val="20"/>
        </w:rPr>
      </w:pPr>
      <w:r w:rsidRPr="004D19FF">
        <w:rPr>
          <w:rFonts w:ascii="Times New Roman" w:hAnsi="Times New Roman" w:cs="Times New Roman"/>
          <w:sz w:val="20"/>
          <w:szCs w:val="20"/>
        </w:rPr>
        <w:t>The</w:t>
      </w:r>
      <w:r w:rsidR="004A2750" w:rsidRPr="004D19FF">
        <w:rPr>
          <w:rFonts w:ascii="Times New Roman" w:hAnsi="Times New Roman" w:cs="Times New Roman"/>
          <w:sz w:val="20"/>
          <w:szCs w:val="20"/>
        </w:rPr>
        <w:t xml:space="preserve"> longer-chain olefins </w:t>
      </w:r>
      <w:r w:rsidRPr="004D19FF">
        <w:rPr>
          <w:rFonts w:ascii="Times New Roman" w:hAnsi="Times New Roman" w:cs="Times New Roman"/>
          <w:sz w:val="20"/>
          <w:szCs w:val="20"/>
        </w:rPr>
        <w:t xml:space="preserve">generated </w:t>
      </w:r>
      <w:r w:rsidR="00A31C24" w:rsidRPr="004D19FF">
        <w:rPr>
          <w:rFonts w:ascii="Times New Roman" w:hAnsi="Times New Roman" w:cs="Times New Roman"/>
          <w:sz w:val="20"/>
          <w:szCs w:val="20"/>
        </w:rPr>
        <w:t xml:space="preserve">are </w:t>
      </w:r>
      <w:r w:rsidR="00B23E1E">
        <w:rPr>
          <w:rFonts w:ascii="Times New Roman" w:hAnsi="Times New Roman" w:cs="Times New Roman"/>
          <w:sz w:val="20"/>
          <w:szCs w:val="20"/>
        </w:rPr>
        <w:t>afterwards</w:t>
      </w:r>
      <w:r w:rsidR="004640BC" w:rsidRPr="004D19FF">
        <w:rPr>
          <w:rFonts w:ascii="Times New Roman" w:hAnsi="Times New Roman" w:cs="Times New Roman"/>
          <w:sz w:val="20"/>
          <w:szCs w:val="20"/>
        </w:rPr>
        <w:t xml:space="preserve"> </w:t>
      </w:r>
      <w:r w:rsidR="00A31C24" w:rsidRPr="004D19FF">
        <w:rPr>
          <w:rFonts w:ascii="Times New Roman" w:hAnsi="Times New Roman" w:cs="Times New Roman"/>
          <w:sz w:val="20"/>
          <w:szCs w:val="20"/>
        </w:rPr>
        <w:t xml:space="preserve">hydrogenated </w:t>
      </w:r>
      <w:r w:rsidR="004A2750" w:rsidRPr="004D19FF">
        <w:rPr>
          <w:rFonts w:ascii="Times New Roman" w:hAnsi="Times New Roman" w:cs="Times New Roman"/>
          <w:sz w:val="20"/>
          <w:szCs w:val="20"/>
        </w:rPr>
        <w:t>into alkanes.</w:t>
      </w:r>
      <w:r w:rsidR="00CF55FF">
        <w:rPr>
          <w:rFonts w:ascii="Times New Roman" w:hAnsi="Times New Roman" w:cs="Times New Roman"/>
          <w:sz w:val="20"/>
          <w:szCs w:val="20"/>
        </w:rPr>
        <w:t xml:space="preserve"> </w:t>
      </w:r>
      <w:r w:rsidR="00CF55FF" w:rsidRPr="004D19FF">
        <w:rPr>
          <w:rFonts w:ascii="Times New Roman" w:hAnsi="Times New Roman" w:cs="Times New Roman"/>
          <w:sz w:val="20"/>
          <w:szCs w:val="20"/>
        </w:rPr>
        <w:t xml:space="preserve">Copper, zinc chromite or sulfide are utilized as catalysts </w:t>
      </w:r>
      <w:r w:rsidR="00B23E1E">
        <w:rPr>
          <w:rFonts w:ascii="Times New Roman" w:hAnsi="Times New Roman" w:cs="Times New Roman"/>
          <w:sz w:val="20"/>
          <w:szCs w:val="20"/>
        </w:rPr>
        <w:t xml:space="preserve">for high-pressure hydrogenation </w:t>
      </w:r>
      <w:r w:rsidR="00CF55FF" w:rsidRPr="004D19FF">
        <w:rPr>
          <w:rFonts w:ascii="Times New Roman" w:hAnsi="Times New Roman" w:cs="Times New Roman"/>
          <w:sz w:val="20"/>
          <w:szCs w:val="20"/>
        </w:rPr>
        <w:t>with temperature range</w:t>
      </w:r>
      <w:r w:rsidR="00B23E1E">
        <w:rPr>
          <w:rFonts w:ascii="Times New Roman" w:hAnsi="Times New Roman" w:cs="Times New Roman"/>
          <w:sz w:val="20"/>
          <w:szCs w:val="20"/>
        </w:rPr>
        <w:t>s</w:t>
      </w:r>
      <w:r w:rsidR="00CF55FF" w:rsidRPr="004D19FF">
        <w:rPr>
          <w:rFonts w:ascii="Times New Roman" w:hAnsi="Times New Roman" w:cs="Times New Roman"/>
          <w:sz w:val="20"/>
          <w:szCs w:val="20"/>
        </w:rPr>
        <w:t xml:space="preserve"> of 150  and 200 °C and under a pressure of 200-350 bar </w:t>
      </w:r>
      <w:r w:rsidR="00CF55FF"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chp614Hm","properties":{"formattedCitation":"[90]","plainCitation":"[90]","noteIndex":0},"citationItems":[{"id":"968HXJ10/SxaamaNM","uris":["http://www.mendeley.com/documents/?uuid=e314aba5-00f9-4c38-b542-6e5e66378a35"],"uri":["http://www.mendeley.com/documents/?uuid=e314aba5-00f9-4c38-b542-6e5e66378a35"],"itemData":{"DOI":"10.1007/978-1-4939-7813-7_1039","ISBN":"9781493978137","author":[{"dropping-particle":"","family":"Pechstein","given":"Jan","non-dropping-particle":"","parse-names":false,"suffix":""},{"dropping-particle":"","family":"Kaltschmitt","given":"Martin","non-dropping-particle":"","parse-names":false,"suffix":""}],"container-title":"Energy from Organic Materials (Biomass)","id":"ITEM-1","issued":{"date-parts":[["2019"]]},"page":"1023-1046","title":"Liquid Hydrocarbon Fuels Derived from Alcohols","type":"article-journal"}}],"schema":"https://github.com/citation-style-language/schema/raw/master/csl-citation.json"} </w:instrText>
      </w:r>
      <w:r w:rsidR="00CF55FF" w:rsidRPr="004D19FF">
        <w:rPr>
          <w:rFonts w:ascii="Times New Roman" w:hAnsi="Times New Roman" w:cs="Times New Roman"/>
          <w:sz w:val="20"/>
          <w:szCs w:val="20"/>
        </w:rPr>
        <w:fldChar w:fldCharType="separate"/>
      </w:r>
      <w:r w:rsidR="00CF55FF" w:rsidRPr="00623E85">
        <w:rPr>
          <w:rFonts w:ascii="Times New Roman" w:hAnsi="Times New Roman" w:cs="Times New Roman"/>
          <w:sz w:val="20"/>
        </w:rPr>
        <w:t>[90]</w:t>
      </w:r>
      <w:r w:rsidR="00CF55FF" w:rsidRPr="004D19FF">
        <w:rPr>
          <w:rFonts w:ascii="Times New Roman" w:hAnsi="Times New Roman" w:cs="Times New Roman"/>
          <w:sz w:val="20"/>
          <w:szCs w:val="20"/>
        </w:rPr>
        <w:fldChar w:fldCharType="end"/>
      </w:r>
      <w:r w:rsidR="00CF55FF">
        <w:rPr>
          <w:rFonts w:ascii="Times New Roman" w:hAnsi="Times New Roman" w:cs="Times New Roman"/>
          <w:sz w:val="20"/>
          <w:szCs w:val="20"/>
        </w:rPr>
        <w:t>.</w:t>
      </w:r>
      <w:r w:rsidR="00CF55FF" w:rsidRPr="004D19FF">
        <w:rPr>
          <w:rFonts w:ascii="Times New Roman" w:hAnsi="Times New Roman" w:cs="Times New Roman"/>
          <w:sz w:val="20"/>
          <w:szCs w:val="20"/>
        </w:rPr>
        <w:t xml:space="preserve"> </w:t>
      </w:r>
      <w:r w:rsidR="00AC5170" w:rsidRPr="004D19FF">
        <w:rPr>
          <w:rFonts w:ascii="Times New Roman" w:hAnsi="Times New Roman" w:cs="Times New Roman"/>
          <w:sz w:val="20"/>
          <w:szCs w:val="20"/>
        </w:rPr>
        <w:t xml:space="preserve"> </w:t>
      </w:r>
      <w:r w:rsidR="007E5C79" w:rsidRPr="004D19FF">
        <w:rPr>
          <w:rFonts w:ascii="Times New Roman" w:hAnsi="Times New Roman" w:cs="Times New Roman"/>
          <w:sz w:val="20"/>
          <w:szCs w:val="20"/>
        </w:rPr>
        <w:t>H</w:t>
      </w:r>
      <w:r w:rsidR="00A31C24" w:rsidRPr="004D19FF">
        <w:rPr>
          <w:rFonts w:ascii="Times New Roman" w:hAnsi="Times New Roman" w:cs="Times New Roman"/>
          <w:sz w:val="20"/>
          <w:szCs w:val="20"/>
        </w:rPr>
        <w:t>ydrogenated hy</w:t>
      </w:r>
      <w:r w:rsidR="004640BC" w:rsidRPr="004D19FF">
        <w:rPr>
          <w:rFonts w:ascii="Times New Roman" w:hAnsi="Times New Roman" w:cs="Times New Roman"/>
          <w:sz w:val="20"/>
          <w:szCs w:val="20"/>
        </w:rPr>
        <w:t>drocarbons are further distill</w:t>
      </w:r>
      <w:r w:rsidR="00A31C24" w:rsidRPr="004D19FF">
        <w:rPr>
          <w:rFonts w:ascii="Times New Roman" w:hAnsi="Times New Roman" w:cs="Times New Roman"/>
          <w:sz w:val="20"/>
          <w:szCs w:val="20"/>
        </w:rPr>
        <w:t xml:space="preserve">ed </w:t>
      </w:r>
      <w:r w:rsidR="004640BC" w:rsidRPr="004D19FF">
        <w:rPr>
          <w:rFonts w:ascii="Times New Roman" w:hAnsi="Times New Roman" w:cs="Times New Roman"/>
          <w:sz w:val="20"/>
          <w:szCs w:val="20"/>
        </w:rPr>
        <w:t>to recover the</w:t>
      </w:r>
      <w:r w:rsidR="00A31C24" w:rsidRPr="004D19FF">
        <w:rPr>
          <w:rFonts w:ascii="Times New Roman" w:hAnsi="Times New Roman" w:cs="Times New Roman"/>
          <w:sz w:val="20"/>
          <w:szCs w:val="20"/>
        </w:rPr>
        <w:t xml:space="preserve"> C</w:t>
      </w:r>
      <w:r w:rsidR="00D33504">
        <w:rPr>
          <w:rFonts w:ascii="Times New Roman" w:hAnsi="Times New Roman" w:cs="Times New Roman"/>
          <w:sz w:val="20"/>
          <w:szCs w:val="20"/>
          <w:vertAlign w:val="subscript"/>
        </w:rPr>
        <w:t>8</w:t>
      </w:r>
      <w:r w:rsidR="00A31C24" w:rsidRPr="004D19FF">
        <w:rPr>
          <w:rFonts w:ascii="Times New Roman" w:hAnsi="Times New Roman" w:cs="Times New Roman"/>
          <w:sz w:val="20"/>
          <w:szCs w:val="20"/>
        </w:rPr>
        <w:t>-C</w:t>
      </w:r>
      <w:r w:rsidR="00A31C24" w:rsidRPr="004D19FF">
        <w:rPr>
          <w:rFonts w:ascii="Times New Roman" w:hAnsi="Times New Roman" w:cs="Times New Roman"/>
          <w:sz w:val="20"/>
          <w:szCs w:val="20"/>
          <w:vertAlign w:val="subscript"/>
        </w:rPr>
        <w:t>16</w:t>
      </w:r>
      <w:r w:rsidR="00A31C24" w:rsidRPr="004D19FF">
        <w:rPr>
          <w:rFonts w:ascii="Times New Roman" w:hAnsi="Times New Roman" w:cs="Times New Roman"/>
          <w:sz w:val="20"/>
          <w:szCs w:val="20"/>
        </w:rPr>
        <w:t xml:space="preserve"> </w:t>
      </w:r>
      <w:r w:rsidR="004640BC" w:rsidRPr="004D19FF">
        <w:rPr>
          <w:rFonts w:ascii="Times New Roman" w:hAnsi="Times New Roman" w:cs="Times New Roman"/>
          <w:sz w:val="20"/>
          <w:szCs w:val="20"/>
        </w:rPr>
        <w:t>fraction</w:t>
      </w:r>
      <w:r w:rsidR="00A31C24" w:rsidRPr="004D19FF">
        <w:rPr>
          <w:rFonts w:ascii="Times New Roman" w:hAnsi="Times New Roman" w:cs="Times New Roman"/>
          <w:sz w:val="20"/>
          <w:szCs w:val="20"/>
        </w:rPr>
        <w:t xml:space="preserve"> known as ATJ-SPK.</w:t>
      </w:r>
      <w:r w:rsidR="00A31C24" w:rsidRPr="004D19FF">
        <w:rPr>
          <w:rFonts w:ascii="Times New Roman" w:hAnsi="Times New Roman"/>
          <w:sz w:val="20"/>
          <w:szCs w:val="20"/>
        </w:rPr>
        <w:t xml:space="preserve"> </w:t>
      </w:r>
      <w:r w:rsidR="007E5C79" w:rsidRPr="004D19FF">
        <w:rPr>
          <w:rFonts w:ascii="Times New Roman" w:hAnsi="Times New Roman"/>
          <w:sz w:val="20"/>
          <w:szCs w:val="20"/>
        </w:rPr>
        <w:t>In addition</w:t>
      </w:r>
      <w:r w:rsidR="004640BC" w:rsidRPr="004D19FF">
        <w:rPr>
          <w:rFonts w:ascii="Times New Roman" w:hAnsi="Times New Roman"/>
          <w:sz w:val="20"/>
          <w:szCs w:val="20"/>
        </w:rPr>
        <w:t xml:space="preserve">, </w:t>
      </w:r>
      <w:r w:rsidR="00B37819" w:rsidRPr="004D19FF">
        <w:rPr>
          <w:rFonts w:ascii="Times New Roman" w:hAnsi="Times New Roman"/>
          <w:sz w:val="20"/>
          <w:szCs w:val="20"/>
        </w:rPr>
        <w:t xml:space="preserve">naphtha and diesel </w:t>
      </w:r>
      <w:r w:rsidR="008947F3" w:rsidRPr="004D19FF">
        <w:rPr>
          <w:rFonts w:ascii="Times New Roman" w:hAnsi="Times New Roman"/>
          <w:sz w:val="20"/>
          <w:szCs w:val="20"/>
        </w:rPr>
        <w:t xml:space="preserve">can be </w:t>
      </w:r>
      <w:r w:rsidR="004640BC" w:rsidRPr="004D19FF">
        <w:rPr>
          <w:rFonts w:ascii="Times New Roman" w:hAnsi="Times New Roman"/>
          <w:sz w:val="20"/>
          <w:szCs w:val="20"/>
        </w:rPr>
        <w:t xml:space="preserve">obtained </w:t>
      </w:r>
      <w:r w:rsidR="008947F3" w:rsidRPr="004D19FF">
        <w:rPr>
          <w:rFonts w:ascii="Times New Roman" w:hAnsi="Times New Roman"/>
          <w:sz w:val="20"/>
          <w:szCs w:val="20"/>
        </w:rPr>
        <w:t xml:space="preserve">as co-products </w:t>
      </w:r>
      <w:r w:rsidR="008947F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F5lYAR8d","properties":{"formattedCitation":"[86]","plainCitation":"[86]","noteIndex":0},"citationItems":[{"id":"968HXJ10/JVVR7yzi","uris":["http://www.mendeley.com/documents/?uuid=354e6be6-55b3-4c61-9d41-697de461996d"],"uri":["http://www.mendeley.com/documents/?uuid=354e6be6-55b3-4c61-9d41-697de461996d"],"itemData":{"author":[{"dropping-particle":"","family":"Ave","given":"Lamon","non-dropping-particle":"","parse-names":false,"suffix":""}],"id":"ITEM-1","issued":{"date-parts":[["2017"]]},"title":"A hybrid catalytic route to fuels from biomas syngas: Final report","type":"report"}}],"schema":"https://github.com/citation-style-language/schema/raw/master/csl-citation.json"} </w:instrText>
      </w:r>
      <w:r w:rsidR="008947F3" w:rsidRPr="004D19FF">
        <w:rPr>
          <w:rFonts w:ascii="Times New Roman" w:hAnsi="Times New Roman"/>
          <w:sz w:val="20"/>
          <w:szCs w:val="20"/>
        </w:rPr>
        <w:fldChar w:fldCharType="separate"/>
      </w:r>
      <w:r w:rsidR="00623E85" w:rsidRPr="00623E85">
        <w:rPr>
          <w:rFonts w:ascii="Times New Roman" w:hAnsi="Times New Roman" w:cs="Times New Roman"/>
          <w:sz w:val="20"/>
        </w:rPr>
        <w:t>[86]</w:t>
      </w:r>
      <w:r w:rsidR="008947F3" w:rsidRPr="004D19FF">
        <w:rPr>
          <w:rFonts w:ascii="Times New Roman" w:hAnsi="Times New Roman"/>
          <w:sz w:val="20"/>
          <w:szCs w:val="20"/>
        </w:rPr>
        <w:fldChar w:fldCharType="end"/>
      </w:r>
      <w:r w:rsidR="008947F3" w:rsidRPr="004D19FF">
        <w:rPr>
          <w:rFonts w:ascii="Times New Roman" w:hAnsi="Times New Roman"/>
          <w:sz w:val="20"/>
          <w:szCs w:val="20"/>
        </w:rPr>
        <w:t>.</w:t>
      </w:r>
    </w:p>
    <w:p w14:paraId="2F6351EA" w14:textId="5D521D7F" w:rsidR="00DB7840" w:rsidRPr="004D19FF" w:rsidRDefault="0029296F"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The</w:t>
      </w:r>
      <w:r w:rsidR="00061C7E" w:rsidRPr="004D19FF">
        <w:rPr>
          <w:rFonts w:ascii="Times New Roman" w:hAnsi="Times New Roman"/>
          <w:sz w:val="20"/>
          <w:szCs w:val="20"/>
        </w:rPr>
        <w:t xml:space="preserve"> </w:t>
      </w:r>
      <w:r w:rsidR="00102AB7" w:rsidRPr="004D19FF">
        <w:rPr>
          <w:rFonts w:ascii="Times New Roman" w:hAnsi="Times New Roman"/>
          <w:sz w:val="20"/>
          <w:szCs w:val="20"/>
        </w:rPr>
        <w:t>SF</w:t>
      </w:r>
      <w:r w:rsidR="00B23E1E">
        <w:rPr>
          <w:rFonts w:ascii="Times New Roman" w:hAnsi="Times New Roman"/>
          <w:sz w:val="20"/>
          <w:szCs w:val="20"/>
        </w:rPr>
        <w:t xml:space="preserve"> pathway, when</w:t>
      </w:r>
      <w:r w:rsidR="00061C7E" w:rsidRPr="004D19FF">
        <w:rPr>
          <w:rFonts w:ascii="Times New Roman" w:hAnsi="Times New Roman"/>
          <w:sz w:val="20"/>
          <w:szCs w:val="20"/>
        </w:rPr>
        <w:t xml:space="preserve"> deriving from lignocellulosic biomass</w:t>
      </w:r>
      <w:r w:rsidR="00B23E1E">
        <w:rPr>
          <w:rFonts w:ascii="Times New Roman" w:hAnsi="Times New Roman"/>
          <w:sz w:val="20"/>
          <w:szCs w:val="20"/>
        </w:rPr>
        <w:t>,</w:t>
      </w:r>
      <w:r w:rsidR="00061C7E" w:rsidRPr="004D19FF">
        <w:rPr>
          <w:rFonts w:ascii="Times New Roman" w:hAnsi="Times New Roman"/>
          <w:sz w:val="20"/>
          <w:szCs w:val="20"/>
        </w:rPr>
        <w:t xml:space="preserve"> </w:t>
      </w:r>
      <w:r w:rsidR="002802A0" w:rsidRPr="004D19FF">
        <w:rPr>
          <w:rFonts w:ascii="Times New Roman" w:hAnsi="Times New Roman"/>
          <w:sz w:val="20"/>
          <w:szCs w:val="20"/>
        </w:rPr>
        <w:t xml:space="preserve">has </w:t>
      </w:r>
      <w:r w:rsidR="00061C7E" w:rsidRPr="004D19FF">
        <w:rPr>
          <w:rFonts w:ascii="Times New Roman" w:hAnsi="Times New Roman"/>
          <w:sz w:val="20"/>
          <w:szCs w:val="20"/>
        </w:rPr>
        <w:t xml:space="preserve">an overall </w:t>
      </w:r>
      <w:r w:rsidR="002D1621">
        <w:rPr>
          <w:rFonts w:ascii="Times New Roman" w:hAnsi="Times New Roman"/>
          <w:sz w:val="20"/>
          <w:szCs w:val="20"/>
        </w:rPr>
        <w:t xml:space="preserve">reported </w:t>
      </w:r>
      <w:r w:rsidR="00061C7E" w:rsidRPr="004D19FF">
        <w:rPr>
          <w:rFonts w:ascii="Times New Roman" w:hAnsi="Times New Roman"/>
          <w:sz w:val="20"/>
          <w:szCs w:val="20"/>
        </w:rPr>
        <w:t>energy efficiency of 57%</w:t>
      </w:r>
      <w:r w:rsidR="00E07956" w:rsidRPr="004D19FF">
        <w:rPr>
          <w:rFonts w:ascii="Times New Roman" w:hAnsi="Times New Roman"/>
          <w:sz w:val="20"/>
          <w:szCs w:val="20"/>
        </w:rPr>
        <w:t xml:space="preserve">, while </w:t>
      </w:r>
      <w:r w:rsidR="00105423" w:rsidRPr="004D19FF">
        <w:rPr>
          <w:rFonts w:ascii="Times New Roman" w:hAnsi="Times New Roman"/>
          <w:sz w:val="20"/>
          <w:szCs w:val="20"/>
        </w:rPr>
        <w:t xml:space="preserve">the FT pathway </w:t>
      </w:r>
      <w:r w:rsidR="00061C7E" w:rsidRPr="004D19FF">
        <w:rPr>
          <w:rFonts w:ascii="Times New Roman" w:hAnsi="Times New Roman"/>
          <w:sz w:val="20"/>
          <w:szCs w:val="20"/>
        </w:rPr>
        <w:t xml:space="preserve">has an overall </w:t>
      </w:r>
      <w:r w:rsidR="002D1621">
        <w:rPr>
          <w:rFonts w:ascii="Times New Roman" w:hAnsi="Times New Roman"/>
          <w:sz w:val="20"/>
          <w:szCs w:val="20"/>
        </w:rPr>
        <w:t xml:space="preserve">reported </w:t>
      </w:r>
      <w:r w:rsidR="00061C7E" w:rsidRPr="004D19FF">
        <w:rPr>
          <w:rFonts w:ascii="Times New Roman" w:hAnsi="Times New Roman"/>
          <w:sz w:val="20"/>
          <w:szCs w:val="20"/>
        </w:rPr>
        <w:t xml:space="preserve">energy efficiency of 45% </w:t>
      </w:r>
      <w:r w:rsidR="006805FC"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GQlTpYPL","properties":{"formattedCitation":"[91]","plainCitation":"[91]","noteIndex":0},"citationItems":[{"id":"968HXJ10/iv5QVwGo","uris":["http://www.mendeley.com/documents/?uuid=21c4e3ed-c921-4d6d-bb32-bbc35da03851"],"uri":["http://www.mendeley.com/documents/?uuid=21c4e3ed-c921-4d6d-bb32-bbc35da03851"],"itemData":{"DOI":"10.1002/ep.11613","ISSN":"19447442","abstract":"Increasing demand for renewable feedstock-based biofuels is driving the interest and rapid development of processes to produce fuels and chemicals from biomass-generated syngas. Biomass is gasified to produce syngas that can be converted via thermochemical routes to fuels and chemicals such as alcohols, olefins, and fuel grade hydrocarbons. An alternate route to produce liquid products from syngas is through gas fermentation, a hybrid thermochemical/ biochemical process. Biomass gasification, thermochemical syngas conversion routes, and gas fermentation are described including a comparison for converting biomass to ethanol via thecurrent thermochemical route versus gas fermentation. © 2012 American Institute of Chemical Engineers (AIChE).","author":[{"dropping-particle":"","family":"Griffin","given":"Derek W.","non-dropping-particle":"","parse-names":false,"suffix":""},{"dropping-particle":"","family":"Schultz","given":"Michael A.","non-dropping-particle":"","parse-names":false,"suffix":""}],"container-title":"Environmental Progress and Sustainable Energy","id":"ITEM-1","issue":"2","issued":{"date-parts":[["2012"]]},"page":"219-224","title":"Fuel and chemical products from biomass syngas: A comparison of gas fermentation to thermochemical conversion routes","type":"article-journal","volume":"31"}}],"schema":"https://github.com/citation-style-language/schema/raw/master/csl-citation.json"} </w:instrText>
      </w:r>
      <w:r w:rsidR="006805FC" w:rsidRPr="004D19FF">
        <w:rPr>
          <w:rFonts w:ascii="Times New Roman" w:hAnsi="Times New Roman"/>
          <w:sz w:val="20"/>
          <w:szCs w:val="20"/>
        </w:rPr>
        <w:fldChar w:fldCharType="separate"/>
      </w:r>
      <w:r w:rsidR="00623E85" w:rsidRPr="00623E85">
        <w:rPr>
          <w:rFonts w:ascii="Times New Roman" w:hAnsi="Times New Roman" w:cs="Times New Roman"/>
          <w:sz w:val="20"/>
        </w:rPr>
        <w:t>[91]</w:t>
      </w:r>
      <w:r w:rsidR="006805FC" w:rsidRPr="004D19FF">
        <w:rPr>
          <w:rFonts w:ascii="Times New Roman" w:hAnsi="Times New Roman"/>
          <w:sz w:val="20"/>
          <w:szCs w:val="20"/>
        </w:rPr>
        <w:fldChar w:fldCharType="end"/>
      </w:r>
      <w:r w:rsidR="00061C7E" w:rsidRPr="004D19FF">
        <w:rPr>
          <w:rFonts w:ascii="Times New Roman" w:hAnsi="Times New Roman"/>
          <w:sz w:val="20"/>
          <w:szCs w:val="20"/>
        </w:rPr>
        <w:t>.</w:t>
      </w:r>
    </w:p>
    <w:p w14:paraId="104A566D" w14:textId="257850B6" w:rsidR="008F699B" w:rsidRPr="004D19FF" w:rsidRDefault="00054C1D"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The</w:t>
      </w:r>
      <w:r w:rsidR="002802A0" w:rsidRPr="004D19FF">
        <w:rPr>
          <w:rFonts w:ascii="Times New Roman" w:hAnsi="Times New Roman"/>
          <w:sz w:val="20"/>
          <w:szCs w:val="20"/>
        </w:rPr>
        <w:t xml:space="preserve"> fermentation </w:t>
      </w:r>
      <w:r w:rsidR="002D1621">
        <w:rPr>
          <w:rFonts w:ascii="Times New Roman" w:hAnsi="Times New Roman"/>
          <w:sz w:val="20"/>
          <w:szCs w:val="20"/>
        </w:rPr>
        <w:t>pathway</w:t>
      </w:r>
      <w:r w:rsidR="002802A0" w:rsidRPr="004D19FF">
        <w:rPr>
          <w:rFonts w:ascii="Times New Roman" w:hAnsi="Times New Roman"/>
          <w:sz w:val="20"/>
          <w:szCs w:val="20"/>
        </w:rPr>
        <w:t xml:space="preserve"> </w:t>
      </w:r>
      <w:r w:rsidR="00DD5062" w:rsidRPr="004D19FF">
        <w:rPr>
          <w:rFonts w:ascii="Times New Roman" w:hAnsi="Times New Roman"/>
          <w:sz w:val="20"/>
          <w:szCs w:val="20"/>
        </w:rPr>
        <w:t xml:space="preserve">provides </w:t>
      </w:r>
      <w:r w:rsidR="00C40AB9" w:rsidRPr="004D19FF">
        <w:rPr>
          <w:rFonts w:ascii="Times New Roman" w:hAnsi="Times New Roman"/>
          <w:sz w:val="20"/>
          <w:szCs w:val="20"/>
        </w:rPr>
        <w:t xml:space="preserve">numerous advantages such as </w:t>
      </w:r>
      <w:r w:rsidR="002802A0" w:rsidRPr="004D19FF">
        <w:rPr>
          <w:rFonts w:ascii="Times New Roman" w:hAnsi="Times New Roman"/>
          <w:sz w:val="20"/>
          <w:szCs w:val="20"/>
        </w:rPr>
        <w:t>operating conditions near</w:t>
      </w:r>
      <w:r w:rsidR="00DD5062" w:rsidRPr="004D19FF">
        <w:rPr>
          <w:rFonts w:ascii="Times New Roman" w:hAnsi="Times New Roman"/>
          <w:sz w:val="20"/>
          <w:szCs w:val="20"/>
        </w:rPr>
        <w:t xml:space="preserve"> the</w:t>
      </w:r>
      <w:r w:rsidR="00327606" w:rsidRPr="004D19FF">
        <w:rPr>
          <w:rFonts w:ascii="Times New Roman" w:hAnsi="Times New Roman"/>
          <w:sz w:val="20"/>
          <w:szCs w:val="20"/>
        </w:rPr>
        <w:t xml:space="preserve"> ambient temperature and pressure </w:t>
      </w:r>
      <w:r w:rsidR="006D3BB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kpNBLJ6","properties":{"formattedCitation":"[92]","plainCitation":"[92]","noteIndex":0},"citationItems":[{"id":"968HXJ10/PNLNbqr7","uris":["http://www.mendeley.com/documents/?uuid=c1951d3d-ccc2-4f65-8a88-3639b0ff8d55"],"uri":["http://www.mendeley.com/documents/?uuid=c1951d3d-ccc2-4f65-8a88-3639b0ff8d55"],"itemData":{"DOI":"10.1016/j.biortech.2011.10.054","ISSN":"09608524","abstract":"Ethanol production from syngas using three moderately alkaliphilic strains of a novel genus and species Alkalibaculum bacchi CP11 T, CP13 and CP15 was investigated in 250ml bottle fermentations containing 100ml of yeast extract medium at 37°C and pH 8.0. Two commercial syngas mixtures (Syngas I: 20% CO, 15% CO 2, 5% H 2, 60% N 2) and (Syngas II: 40% CO, 30% CO 2, 30% H 2) were used. Syngas I and Syngas II represent gasified biomass and coal, respectively. The maximum ethanol concentration (1.7gl -1) and yield from CO (76%) were obtained with strain CP15 and Syngas II after 360h. CP15 produced over twofold more ethanol with Syngas I compared to strains CP11 T and CP13. In addition, CP15 produced 18% and 71% more ethanol using Syngas II compared to strains CP11 T and CP13, respectively. These results show that CP15 is the most promising for ethanol production because of its higher growth and ethanol production rates and yield compared to CP11 T and CP13. © 2011 Elsevier Ltd.","author":[{"dropping-particle":"","family":"Liu","given":"Kan","non-dropping-particle":"","parse-names":false,"suffix":""},{"dropping-particle":"","family":"Atiyeh","given":"Hasan K.","non-dropping-particle":"","parse-names":false,"suffix":""},{"dropping-particle":"","family":"Tanner","given":"Ralph S.","non-dropping-particle":"","parse-names":false,"suffix":""},{"dropping-particle":"","family":"Wilkins","given":"Mark R.","non-dropping-particle":"","parse-names":false,"suffix":""},{"dropping-particle":"","family":"Huhnke","given":"Raymond L.","non-dropping-particle":"","parse-names":false,"suffix":""}],"container-title":"Bioresource Technology","id":"ITEM-1","issued":{"date-parts":[["2012"]]},"page":"336-341","publisher":"Elsevier Ltd","title":"Fermentative production of ethanol from syngas using novel moderately alkaliphilic strains of Alkalibaculum bacchi","type":"article-journal","volume":"104"}}],"schema":"https://github.com/citation-style-language/schema/raw/master/csl-citation.json"} </w:instrText>
      </w:r>
      <w:r w:rsidR="006D3BB3" w:rsidRPr="004D19FF">
        <w:rPr>
          <w:rFonts w:ascii="Times New Roman" w:hAnsi="Times New Roman"/>
          <w:sz w:val="20"/>
          <w:szCs w:val="20"/>
        </w:rPr>
        <w:fldChar w:fldCharType="separate"/>
      </w:r>
      <w:r w:rsidR="00623E85" w:rsidRPr="00623E85">
        <w:rPr>
          <w:rFonts w:ascii="Times New Roman" w:hAnsi="Times New Roman" w:cs="Times New Roman"/>
          <w:sz w:val="20"/>
        </w:rPr>
        <w:t>[92]</w:t>
      </w:r>
      <w:r w:rsidR="006D3BB3" w:rsidRPr="004D19FF">
        <w:rPr>
          <w:rFonts w:ascii="Times New Roman" w:hAnsi="Times New Roman"/>
          <w:sz w:val="20"/>
          <w:szCs w:val="20"/>
        </w:rPr>
        <w:fldChar w:fldCharType="end"/>
      </w:r>
      <w:r w:rsidR="00327606" w:rsidRPr="004D19FF">
        <w:rPr>
          <w:rFonts w:ascii="Times New Roman" w:hAnsi="Times New Roman"/>
          <w:sz w:val="20"/>
          <w:szCs w:val="20"/>
        </w:rPr>
        <w:t>.</w:t>
      </w:r>
      <w:r w:rsidR="00C40AB9" w:rsidRPr="004D19FF">
        <w:rPr>
          <w:rFonts w:ascii="Times New Roman" w:hAnsi="Times New Roman"/>
          <w:sz w:val="20"/>
          <w:szCs w:val="20"/>
        </w:rPr>
        <w:t xml:space="preserve"> However, the main challenge with the SF pathway is the low solubility of syngas in the fermentation </w:t>
      </w:r>
      <w:r w:rsidR="00C40AB9" w:rsidRPr="004D19FF">
        <w:rPr>
          <w:rFonts w:ascii="Times New Roman" w:hAnsi="Times New Roman"/>
          <w:sz w:val="20"/>
          <w:szCs w:val="20"/>
        </w:rPr>
        <w:lastRenderedPageBreak/>
        <w:t>medium, which limits the mass transfer to the liquid phase, in turn</w:t>
      </w:r>
      <w:r w:rsidR="002D1621">
        <w:rPr>
          <w:rFonts w:ascii="Times New Roman" w:hAnsi="Times New Roman"/>
          <w:sz w:val="20"/>
          <w:szCs w:val="20"/>
        </w:rPr>
        <w:t>s</w:t>
      </w:r>
      <w:r w:rsidR="00C40AB9" w:rsidRPr="004D19FF">
        <w:rPr>
          <w:rFonts w:ascii="Times New Roman" w:hAnsi="Times New Roman"/>
          <w:sz w:val="20"/>
          <w:szCs w:val="20"/>
        </w:rPr>
        <w:t xml:space="preserve"> resulting in the generation of untargeted (or less desired) products </w:t>
      </w:r>
      <w:r w:rsidR="006805FC"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uKDanz7N","properties":{"formattedCitation":"[93,94]","plainCitation":"[93,94]","noteIndex":0},"citationItems":[{"id":"968HXJ10/2H21ozWn","uris":["http://www.mendeley.com/documents/?uuid=f17e3887-2dba-4555-8e5d-d077d2c26eb1"],"uri":["http://www.mendeley.com/documents/?uuid=f17e3887-2dba-4555-8e5d-d077d2c26eb1"],"itemData":{"DOI":"10.1016/j.biortech.2016.02.086","ISSN":"18732976","abstract":"An efficient syngas fermentation bioreactor provides a mass transfer capability that matches the intrinsic kinetics of the microorganism to obtain high gas conversion efficiency and productivity. In this study, mass transfer and gas utilization efficiencies of a trickle bed reactor during syngas fermentation by Clostridium ragsdalei were evaluated at various gas and liquid flow rates. Fermentations were performed using a syngas mixture of 38% CO, 28.5% CO2, 28.5% H2 and 5% N2, by volume. Results showed that increasing the gas flow rate from 2.3 to 4.6 sccm increased the CO uptake rate by 76% and decreased the H2 uptake rate by 51% up to Run R6. Biofilm formation after R6 increased cells activity with over threefold increase in H2 uptake rate. At 1662 h, the final ethanol and acetic acid concentrations were 5.7 and 12.3 g/L, respectively, at 200 ml/min of liquid flow rate and 4.6 sccm gas flow rate.","author":[{"dropping-particle":"","family":"Devarapalli","given":"Mamatha","non-dropping-particle":"","parse-names":false,"suffix":""},{"dropping-particle":"","family":"Atiyeh","given":"Hasan K.","non-dropping-particle":"","parse-names":false,"suffix":""},{"dropping-particle":"","family":"Phillips","given":"John R.","non-dropping-particle":"","parse-names":false,"suffix":""},{"dropping-particle":"","family":"Lewis","given":"Randy S.","non-dropping-particle":"","parse-names":false,"suffix":""},{"dropping-particle":"","family":"Huhnke","given":"Raymond L.","non-dropping-particle":"","parse-names":false,"suffix":""}],"container-title":"Bioresource Technology","id":"ITEM-1","issued":{"date-parts":[["2016"]]},"page":"56-65","publisher":"Elsevier Ltd","title":"Ethanol production during semi-continuous syngas fermentation in a trickle bed reactor using Clostridium ragsdalei","type":"article-journal","volume":"209"}},{"id":"968HXJ10/xQv31uuV","uris":["http://www.mendeley.com/documents/?uuid=fe652593-9c18-4867-81e9-8e8e2e2c6fee"],"uri":["http://www.mendeley.com/documents/?uuid=fe652593-9c18-4867-81e9-8e8e2e2c6fee"],"itemData":{"DOI":"10.1016/j.jclepro.2018.08.162","ISSN":"09596526","abstract":"Syngas (CO/H2) fermentation provides an alternative method for organics utilization. The hollow-fiber membrane biofilm reactor (HfMBR) offers a potential way to use CO and H2 effectively. However, studies on syngas utilization by mixed culture fermentation (MCF) in HfMBR were seldom reported. This study is the first to demonstrate and compare the in-situ production of volatile fatty acids via syngas by mesophilic and thermophilic MCF, in which CO and H2 utilization exceeded 95% and even reached 100%. Acetate (4.22 g/L), butyrate (1.35 g/L), caproate (0.88 g/L), and caprylate (0.52 g/L) were detected at 35 °C, whereas acetate was the main metabolite at 55 °C. The proportion of acetate ranged from 47.5% to 62.7% at 35 °C and exceeded 90% at 55 °C in the batch mode. Notably, the acetate concentration and the production rate could reach 24.6 g/L and 16.4 g/(L.d), respectively, at pH 6.5 in the continuous mode at 55 °C. Thus, thermophilic conditions are preferable for high-purity and high-concentration acetate production from syngas. As revealed by Illumina high-throughput sequencing, Clostridium (41.6%) and Thermoanaerobacterium (92.8%) were the dominant bacteria under mesophilic and thermophilic conditions, respectively. This study demonstrates a potential technique for syngas (CO/H2) utilization and biochemicals production by MCF in HfMBR.","author":[{"dropping-particle":"","family":"Shen","given":"Nan","non-dropping-particle":"","parse-names":false,"suffix":""},{"dropping-particle":"","family":"Dai","given":"Kun","non-dropping-particle":"","parse-names":false,"suffix":""},{"dropping-particle":"","family":"Xia","given":"Xiu Yang","non-dropping-particle":"","parse-names":false,"suffix":""},{"dropping-particle":"","family":"Zeng","given":"Raymond Jianxiong","non-dropping-particle":"","parse-names":false,"suffix":""},{"dropping-particle":"","family":"Zhang","given":"Fang","non-dropping-particle":"","parse-names":false,"suffix":""}],"container-title":"Journal of Cleaner Production","id":"ITEM-2","issued":{"date-parts":[["2018"]]},"page":"536-542","publisher":"Elsevier Ltd","title":"Conversion of syngas (CO and H2) to biochemicals by mixed culture fermentation in mesophilic and thermophilic hollow-fiber membrane biofilm reactors","type":"article-journal","volume":"202"}}],"schema":"https://github.com/citation-style-language/schema/raw/master/csl-citation.json"} </w:instrText>
      </w:r>
      <w:r w:rsidR="006805FC" w:rsidRPr="004D19FF">
        <w:rPr>
          <w:rFonts w:ascii="Times New Roman" w:hAnsi="Times New Roman"/>
          <w:sz w:val="20"/>
          <w:szCs w:val="20"/>
        </w:rPr>
        <w:fldChar w:fldCharType="separate"/>
      </w:r>
      <w:r w:rsidR="00623E85" w:rsidRPr="00623E85">
        <w:rPr>
          <w:rFonts w:ascii="Times New Roman" w:hAnsi="Times New Roman" w:cs="Times New Roman"/>
          <w:sz w:val="20"/>
        </w:rPr>
        <w:t>[93,94]</w:t>
      </w:r>
      <w:r w:rsidR="006805FC" w:rsidRPr="004D19FF">
        <w:rPr>
          <w:rFonts w:ascii="Times New Roman" w:hAnsi="Times New Roman"/>
          <w:sz w:val="20"/>
          <w:szCs w:val="20"/>
        </w:rPr>
        <w:fldChar w:fldCharType="end"/>
      </w:r>
      <w:r w:rsidR="00C40AB9" w:rsidRPr="004D19FF">
        <w:rPr>
          <w:rFonts w:ascii="Times New Roman" w:hAnsi="Times New Roman"/>
          <w:sz w:val="20"/>
          <w:szCs w:val="20"/>
        </w:rPr>
        <w:t>.</w:t>
      </w:r>
    </w:p>
    <w:p w14:paraId="0EE253F7" w14:textId="77777777" w:rsidR="00953073" w:rsidRPr="004D19FF" w:rsidRDefault="0055183C" w:rsidP="00290530">
      <w:pPr>
        <w:spacing w:after="120" w:line="276" w:lineRule="auto"/>
        <w:jc w:val="thaiDistribute"/>
        <w:rPr>
          <w:rFonts w:ascii="Times New Roman" w:hAnsi="Times New Roman"/>
          <w:sz w:val="20"/>
          <w:szCs w:val="20"/>
        </w:rPr>
      </w:pPr>
      <w:r w:rsidRPr="004D19FF">
        <w:rPr>
          <w:rFonts w:ascii="Times New Roman" w:hAnsi="Times New Roman"/>
          <w:i/>
          <w:iCs/>
          <w:sz w:val="20"/>
          <w:szCs w:val="20"/>
        </w:rPr>
        <w:t>2</w:t>
      </w:r>
      <w:r w:rsidR="00E65A8C" w:rsidRPr="004D19FF">
        <w:rPr>
          <w:rFonts w:ascii="Times New Roman" w:hAnsi="Times New Roman"/>
          <w:i/>
          <w:iCs/>
          <w:sz w:val="20"/>
          <w:szCs w:val="20"/>
        </w:rPr>
        <w:t>.2.1.2</w:t>
      </w:r>
      <w:r w:rsidR="00953073" w:rsidRPr="004D19FF">
        <w:rPr>
          <w:rFonts w:ascii="Times New Roman" w:hAnsi="Times New Roman"/>
          <w:i/>
          <w:iCs/>
          <w:sz w:val="20"/>
          <w:szCs w:val="20"/>
        </w:rPr>
        <w:t xml:space="preserve"> </w:t>
      </w:r>
      <w:r w:rsidR="00D34500" w:rsidRPr="004D19FF">
        <w:rPr>
          <w:rFonts w:ascii="Times New Roman" w:hAnsi="Times New Roman"/>
          <w:i/>
          <w:iCs/>
          <w:sz w:val="20"/>
          <w:szCs w:val="20"/>
        </w:rPr>
        <w:t>Gas-to-</w:t>
      </w:r>
      <w:r w:rsidR="00D34500" w:rsidRPr="00CC25C7">
        <w:rPr>
          <w:rFonts w:ascii="Times New Roman" w:hAnsi="Times New Roman"/>
          <w:i/>
          <w:iCs/>
          <w:sz w:val="20"/>
          <w:szCs w:val="20"/>
        </w:rPr>
        <w:t>Liquid</w:t>
      </w:r>
      <w:r w:rsidR="00285368" w:rsidRPr="00CC25C7">
        <w:rPr>
          <w:rFonts w:ascii="Times New Roman" w:hAnsi="Times New Roman"/>
          <w:i/>
          <w:iCs/>
          <w:sz w:val="20"/>
          <w:szCs w:val="20"/>
        </w:rPr>
        <w:t>:</w:t>
      </w:r>
      <w:r w:rsidR="00CD067D" w:rsidRPr="00CC25C7">
        <w:rPr>
          <w:rFonts w:ascii="Times New Roman" w:hAnsi="Times New Roman"/>
          <w:i/>
          <w:iCs/>
          <w:sz w:val="20"/>
          <w:szCs w:val="20"/>
        </w:rPr>
        <w:t xml:space="preserve"> Fischer-Tropsch (FT) process</w:t>
      </w:r>
    </w:p>
    <w:p w14:paraId="117386FD" w14:textId="12AD3ED6" w:rsidR="00540D94" w:rsidRPr="004D19FF" w:rsidRDefault="00647661"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The </w:t>
      </w:r>
      <w:r w:rsidR="00102AB7" w:rsidRPr="004D19FF">
        <w:rPr>
          <w:rFonts w:ascii="Times New Roman" w:hAnsi="Times New Roman"/>
          <w:sz w:val="20"/>
          <w:szCs w:val="20"/>
        </w:rPr>
        <w:t>FT</w:t>
      </w:r>
      <w:r w:rsidR="00E6644A" w:rsidRPr="004D19FF">
        <w:rPr>
          <w:rFonts w:ascii="Times New Roman" w:hAnsi="Times New Roman"/>
          <w:sz w:val="20"/>
          <w:szCs w:val="20"/>
        </w:rPr>
        <w:t xml:space="preserve"> technology has been extensively </w:t>
      </w:r>
      <w:r w:rsidR="00CB59F6" w:rsidRPr="004D19FF">
        <w:rPr>
          <w:rFonts w:ascii="Times New Roman" w:hAnsi="Times New Roman"/>
          <w:sz w:val="20"/>
          <w:szCs w:val="20"/>
        </w:rPr>
        <w:t>used for</w:t>
      </w:r>
      <w:r w:rsidR="00E6644A" w:rsidRPr="004D19FF">
        <w:rPr>
          <w:rFonts w:ascii="Times New Roman" w:hAnsi="Times New Roman"/>
          <w:sz w:val="20"/>
          <w:szCs w:val="20"/>
        </w:rPr>
        <w:t xml:space="preserve"> the production of synthetic liquid fuels</w:t>
      </w:r>
      <w:r w:rsidR="002A27BF" w:rsidRPr="004D19FF">
        <w:rPr>
          <w:rFonts w:ascii="Times New Roman" w:hAnsi="Times New Roman"/>
          <w:sz w:val="20"/>
          <w:szCs w:val="20"/>
        </w:rPr>
        <w:t xml:space="preserve"> and chemical</w:t>
      </w:r>
      <w:r w:rsidR="00CB59F6" w:rsidRPr="004D19FF">
        <w:rPr>
          <w:rFonts w:ascii="Times New Roman" w:hAnsi="Times New Roman"/>
          <w:sz w:val="20"/>
          <w:szCs w:val="20"/>
        </w:rPr>
        <w:t>s</w:t>
      </w:r>
      <w:r w:rsidRPr="004D19FF">
        <w:rPr>
          <w:rFonts w:ascii="Times New Roman" w:hAnsi="Times New Roman"/>
          <w:sz w:val="20"/>
          <w:szCs w:val="20"/>
        </w:rPr>
        <w:t xml:space="preserve"> (e.g. </w:t>
      </w:r>
      <w:r w:rsidR="00A5259E" w:rsidRPr="004D19FF">
        <w:rPr>
          <w:rFonts w:ascii="Times New Roman" w:hAnsi="Times New Roman"/>
          <w:sz w:val="20"/>
          <w:szCs w:val="20"/>
        </w:rPr>
        <w:t xml:space="preserve">naphtha; </w:t>
      </w:r>
      <w:r w:rsidR="00C80CB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Vwhvg5TH","properties":{"formattedCitation":"[95]","plainCitation":"[95]","noteIndex":0},"citationItems":[{"id":"968HXJ10/IiWqSF8O","uris":["http://www.mendeley.com/documents/?uuid=a77c5964-b1d2-479b-82bc-d91cd81b91fe"],"uri":["http://www.mendeley.com/documents/?uuid=a77c5964-b1d2-479b-82bc-d91cd81b91fe"],"itemData":{"ISBN":"ECN-C--06-019","abstract":"To meet the ambitious 15% biofuel targets of the European Commission a total installed BTL production capacity of 785 PJ is required by 2020. From the implementation perspective, BTL plants of 1,000 to 5,000 MWth are optimal, i.e. or ten to fifty plants in the whole EU-25. Reference for all TCI (Total Capital Investment) calculations is the 34,000 bbld ORYX-1 GTL plant of Sasol-QP in Qatar with a TCI of 1,100 million US$. The TCI costs for different scales were calculated using a simple constant scale factor of 0.7. For scales below 20,000 bbld the specific TCI increases more rapidly. TCI costs of BTL plants are typically 60% higher than for corresponding GTL plants. The TCI of a 34,000 bbld BTL plant is 1,760 million US$ or 51,800 $/bbld. The heart of a BTL plant is a pressurised oxygen-blown slagging entrained flow gasifier; this technology was identified as optimum technology for biosyngas production. Torrefaction is the optimum biomass pre-treatment technology for entrained flow gasification. Commercial available technologies can be applied for biosyngas cleaning and conditioning, as well as for Fischer-Tropsch synthesis. The economy of BTL fuel production is very dependent on the production scale and large-scale facilities are required to benefit from the economy of scale. The decrease in investments costs is much more significant than the increase in transport costs. Large-scale plants in the gigawatt range yield the lowest fuel production costs, i.e. approximately 15 €/GJ or 55 €ct/L. That means that at an oil price of ~60 $/bbl the biomass- based BTL Fischer-Tropsch fuels are competitive with fossil diesel. The scope of this study was to answer the question: “what is the (economic) optimum scale for BTL fuel production”, according the author the answer to this question is: “The optimum scale of a BTL plant lies in the range of 2,000 to 4,000 MWth (or 16,000 to 32,000 bbld)”.","author":[{"dropping-particle":"","family":"Boerrigter","given":"H","non-dropping-particle":"","parse-names":false,"suffix":""}],"id":"ITEM-1","issue":"May","issued":{"date-parts":[["2006"]]},"page":"29","title":"Economy of Biomass-to-Liquids ( BTL ) plants An engineering assessment","type":"article-journal"}}],"schema":"https://github.com/citation-style-language/schema/raw/master/csl-citation.json"} </w:instrText>
      </w:r>
      <w:r w:rsidR="00C80CB3" w:rsidRPr="004D19FF">
        <w:rPr>
          <w:rFonts w:ascii="Times New Roman" w:hAnsi="Times New Roman"/>
          <w:sz w:val="20"/>
          <w:szCs w:val="20"/>
        </w:rPr>
        <w:fldChar w:fldCharType="separate"/>
      </w:r>
      <w:r w:rsidR="00623E85" w:rsidRPr="00623E85">
        <w:rPr>
          <w:rFonts w:ascii="Times New Roman" w:hAnsi="Times New Roman" w:cs="Times New Roman"/>
          <w:sz w:val="20"/>
        </w:rPr>
        <w:t>[95]</w:t>
      </w:r>
      <w:r w:rsidR="00C80CB3" w:rsidRPr="004D19FF">
        <w:rPr>
          <w:rFonts w:ascii="Times New Roman" w:hAnsi="Times New Roman"/>
          <w:sz w:val="20"/>
          <w:szCs w:val="20"/>
        </w:rPr>
        <w:fldChar w:fldCharType="end"/>
      </w:r>
      <w:r w:rsidR="00223AC9">
        <w:rPr>
          <w:rFonts w:ascii="Times New Roman" w:hAnsi="Times New Roman"/>
          <w:sz w:val="20"/>
          <w:szCs w:val="20"/>
        </w:rPr>
        <w:t>)</w:t>
      </w:r>
      <w:r w:rsidR="00E6644A" w:rsidRPr="004D19FF">
        <w:rPr>
          <w:rFonts w:ascii="Times New Roman" w:hAnsi="Times New Roman"/>
          <w:sz w:val="20"/>
          <w:szCs w:val="20"/>
        </w:rPr>
        <w:t>.</w:t>
      </w:r>
      <w:r w:rsidR="00595013" w:rsidRPr="004D19FF">
        <w:rPr>
          <w:rFonts w:ascii="Times New Roman" w:hAnsi="Times New Roman"/>
          <w:sz w:val="20"/>
          <w:szCs w:val="20"/>
        </w:rPr>
        <w:t xml:space="preserve"> </w:t>
      </w:r>
      <w:r w:rsidR="00CD5534" w:rsidRPr="004D19FF">
        <w:rPr>
          <w:rFonts w:ascii="Times New Roman" w:hAnsi="Times New Roman"/>
          <w:sz w:val="20"/>
          <w:szCs w:val="20"/>
        </w:rPr>
        <w:t xml:space="preserve">FT consists of </w:t>
      </w:r>
      <w:r w:rsidR="009E51D5" w:rsidRPr="004D19FF">
        <w:rPr>
          <w:rFonts w:ascii="Times New Roman" w:hAnsi="Times New Roman"/>
          <w:sz w:val="20"/>
          <w:szCs w:val="20"/>
        </w:rPr>
        <w:t>a series of catalytic process</w:t>
      </w:r>
      <w:r w:rsidR="004C3A70" w:rsidRPr="004D19FF">
        <w:rPr>
          <w:rFonts w:ascii="Times New Roman" w:hAnsi="Times New Roman"/>
          <w:sz w:val="20"/>
          <w:szCs w:val="20"/>
        </w:rPr>
        <w:t xml:space="preserve">es </w:t>
      </w:r>
      <w:r w:rsidR="00B1485A" w:rsidRPr="004D19FF">
        <w:rPr>
          <w:rFonts w:ascii="Times New Roman" w:hAnsi="Times New Roman"/>
          <w:sz w:val="20"/>
          <w:szCs w:val="20"/>
        </w:rPr>
        <w:t>(Fig. 6</w:t>
      </w:r>
      <w:r w:rsidR="004C3A70" w:rsidRPr="004D19FF">
        <w:rPr>
          <w:rFonts w:ascii="Times New Roman" w:hAnsi="Times New Roman"/>
          <w:sz w:val="20"/>
          <w:szCs w:val="20"/>
        </w:rPr>
        <w:t xml:space="preserve">) </w:t>
      </w:r>
      <w:r w:rsidR="00EC3DDB" w:rsidRPr="004D19FF">
        <w:rPr>
          <w:rFonts w:ascii="Times New Roman" w:hAnsi="Times New Roman"/>
          <w:sz w:val="20"/>
          <w:szCs w:val="20"/>
        </w:rPr>
        <w:t>which convert purified syngas (mostly composed</w:t>
      </w:r>
      <w:r w:rsidR="002A27BF" w:rsidRPr="004D19FF">
        <w:rPr>
          <w:rFonts w:ascii="Times New Roman" w:hAnsi="Times New Roman"/>
          <w:sz w:val="20"/>
          <w:szCs w:val="20"/>
        </w:rPr>
        <w:t xml:space="preserve"> of H</w:t>
      </w:r>
      <w:r w:rsidR="002A27BF" w:rsidRPr="004D19FF">
        <w:rPr>
          <w:rFonts w:ascii="Times New Roman" w:hAnsi="Times New Roman"/>
          <w:sz w:val="20"/>
          <w:szCs w:val="20"/>
          <w:vertAlign w:val="subscript"/>
        </w:rPr>
        <w:t xml:space="preserve">2 </w:t>
      </w:r>
      <w:r w:rsidR="002A27BF" w:rsidRPr="004D19FF">
        <w:rPr>
          <w:rFonts w:ascii="Times New Roman" w:hAnsi="Times New Roman"/>
          <w:sz w:val="20"/>
          <w:szCs w:val="20"/>
        </w:rPr>
        <w:t xml:space="preserve">and CO) </w:t>
      </w:r>
      <w:r w:rsidR="00081127" w:rsidRPr="004D19FF">
        <w:rPr>
          <w:rFonts w:ascii="Times New Roman" w:hAnsi="Times New Roman"/>
          <w:sz w:val="20"/>
          <w:szCs w:val="20"/>
        </w:rPr>
        <w:t>into liquid</w:t>
      </w:r>
      <w:r w:rsidR="00007405" w:rsidRPr="004D19FF">
        <w:rPr>
          <w:rFonts w:ascii="Times New Roman" w:hAnsi="Times New Roman"/>
          <w:sz w:val="20"/>
          <w:szCs w:val="20"/>
        </w:rPr>
        <w:t xml:space="preserve"> </w:t>
      </w:r>
      <w:r w:rsidR="00081127" w:rsidRPr="004D19FF">
        <w:rPr>
          <w:rFonts w:ascii="Times New Roman" w:hAnsi="Times New Roman"/>
          <w:sz w:val="20"/>
          <w:szCs w:val="20"/>
        </w:rPr>
        <w:t>fuels</w:t>
      </w:r>
      <w:r w:rsidR="002B450E">
        <w:rPr>
          <w:rFonts w:ascii="Times New Roman" w:hAnsi="Times New Roman"/>
          <w:sz w:val="20"/>
          <w:szCs w:val="20"/>
        </w:rPr>
        <w:t xml:space="preserve">. </w:t>
      </w:r>
      <w:r w:rsidR="003525F9" w:rsidRPr="004D19FF">
        <w:rPr>
          <w:rFonts w:ascii="Times New Roman" w:hAnsi="Times New Roman"/>
          <w:sz w:val="20"/>
          <w:szCs w:val="20"/>
        </w:rPr>
        <w:t xml:space="preserve">During </w:t>
      </w:r>
      <w:r w:rsidR="00932C77" w:rsidRPr="004D19FF">
        <w:rPr>
          <w:rFonts w:ascii="Times New Roman" w:hAnsi="Times New Roman"/>
          <w:sz w:val="20"/>
          <w:szCs w:val="20"/>
        </w:rPr>
        <w:t>the FT synthesis</w:t>
      </w:r>
      <w:r w:rsidR="003525F9" w:rsidRPr="004D19FF">
        <w:rPr>
          <w:rFonts w:ascii="Times New Roman" w:hAnsi="Times New Roman"/>
          <w:sz w:val="20"/>
          <w:szCs w:val="20"/>
        </w:rPr>
        <w:t xml:space="preserve">, </w:t>
      </w:r>
      <w:r w:rsidR="00EF59B4" w:rsidRPr="004D19FF">
        <w:rPr>
          <w:rFonts w:ascii="Times New Roman" w:hAnsi="Times New Roman"/>
          <w:sz w:val="20"/>
          <w:szCs w:val="20"/>
        </w:rPr>
        <w:t xml:space="preserve">the </w:t>
      </w:r>
      <w:r w:rsidR="0065213B">
        <w:rPr>
          <w:rFonts w:ascii="Times New Roman" w:hAnsi="Times New Roman"/>
          <w:sz w:val="20"/>
          <w:szCs w:val="20"/>
        </w:rPr>
        <w:t>purified</w:t>
      </w:r>
      <w:r w:rsidR="00932C77" w:rsidRPr="004D19FF">
        <w:rPr>
          <w:rFonts w:ascii="Times New Roman" w:hAnsi="Times New Roman"/>
          <w:sz w:val="20"/>
          <w:szCs w:val="20"/>
        </w:rPr>
        <w:t xml:space="preserve"> </w:t>
      </w:r>
      <w:r w:rsidR="00EF59B4" w:rsidRPr="004D19FF">
        <w:rPr>
          <w:rFonts w:ascii="Times New Roman" w:hAnsi="Times New Roman"/>
          <w:sz w:val="20"/>
          <w:szCs w:val="20"/>
        </w:rPr>
        <w:t xml:space="preserve">syngas is passed over catalysts </w:t>
      </w:r>
      <w:r w:rsidR="00FE5687" w:rsidRPr="004D19FF">
        <w:rPr>
          <w:rFonts w:ascii="Times New Roman" w:hAnsi="Times New Roman"/>
          <w:sz w:val="20"/>
          <w:szCs w:val="20"/>
        </w:rPr>
        <w:t>in specific</w:t>
      </w:r>
      <w:r w:rsidR="00EF59B4" w:rsidRPr="004D19FF">
        <w:rPr>
          <w:rFonts w:ascii="Times New Roman" w:hAnsi="Times New Roman"/>
          <w:sz w:val="20"/>
          <w:szCs w:val="20"/>
        </w:rPr>
        <w:t xml:space="preserve"> process condition</w:t>
      </w:r>
      <w:r w:rsidR="00FE5687" w:rsidRPr="004D19FF">
        <w:rPr>
          <w:rFonts w:ascii="Times New Roman" w:hAnsi="Times New Roman"/>
          <w:sz w:val="20"/>
          <w:szCs w:val="20"/>
        </w:rPr>
        <w:t>s</w:t>
      </w:r>
      <w:r w:rsidR="00EF59B4" w:rsidRPr="004D19FF">
        <w:rPr>
          <w:rFonts w:ascii="Times New Roman" w:hAnsi="Times New Roman"/>
          <w:sz w:val="20"/>
          <w:szCs w:val="20"/>
        </w:rPr>
        <w:t xml:space="preserve"> to form a variety of hydrocarbons (</w:t>
      </w:r>
      <w:r w:rsidR="00E77B03" w:rsidRPr="004D19FF">
        <w:rPr>
          <w:rFonts w:ascii="Times New Roman" w:hAnsi="Times New Roman"/>
          <w:sz w:val="20"/>
          <w:szCs w:val="20"/>
        </w:rPr>
        <w:t>ranging from gases</w:t>
      </w:r>
      <w:r w:rsidR="00EF59B4" w:rsidRPr="004D19FF">
        <w:rPr>
          <w:rFonts w:ascii="Times New Roman" w:hAnsi="Times New Roman"/>
          <w:sz w:val="20"/>
          <w:szCs w:val="20"/>
        </w:rPr>
        <w:t xml:space="preserve"> to waxes</w:t>
      </w:r>
      <w:r w:rsidR="00FE5687" w:rsidRPr="004D19FF">
        <w:rPr>
          <w:rFonts w:ascii="Times New Roman" w:hAnsi="Times New Roman"/>
          <w:sz w:val="20"/>
          <w:szCs w:val="20"/>
        </w:rPr>
        <w:t xml:space="preserve">) following </w:t>
      </w:r>
      <w:r w:rsidR="00FB22AF" w:rsidRPr="004D19FF">
        <w:rPr>
          <w:rFonts w:ascii="Times New Roman" w:hAnsi="Times New Roman"/>
          <w:sz w:val="20"/>
          <w:szCs w:val="20"/>
        </w:rPr>
        <w:t xml:space="preserve">three main </w:t>
      </w:r>
      <w:r w:rsidR="00FE5687" w:rsidRPr="004D19FF">
        <w:rPr>
          <w:rFonts w:ascii="Times New Roman" w:hAnsi="Times New Roman"/>
          <w:sz w:val="20"/>
          <w:szCs w:val="20"/>
        </w:rPr>
        <w:t xml:space="preserve">reactions </w:t>
      </w:r>
      <w:r w:rsidR="00D34500"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JcbfDaf","properties":{"formattedCitation":"[96]","plainCitation":"[96]","noteIndex":0},"citationItems":[{"id":"968HXJ10/shpjEvaa","uris":["http://www.mendeley.com/documents/?uuid=5215c197-e684-4dc4-80a2-67ea85fa770d"],"uri":["http://www.mendeley.com/documents/?uuid=5215c197-e684-4dc4-80a2-67ea85fa770d"],"itemData":{"DOI":"10.1007/s13399-019-00459-5","ISBN":"1339901900","ISSN":"21906823","abstract":"Global climate change will make it necessary to transform transportation and mobility away from what we know now towards a sustainable, flexible, and dynamic sector. A severe reduction of fossil-based CO2 emissions in all energy-consuming sectors will be necessary to keep global warming below 2 °C above preindustrial levels. Thus, long-distance transportation will have to increase the share of renewable fuel consumed until alternative powertrains are ready to step in. Additionally, it is predicted that the share of renewables in the power generation sector grows worldwide. Thus, the need to store the excess electricity produced by fluctuating renewable sources is going to grow alike. The “Winddiesel” technology enables the integrative use of excess electricity combined with biomass-based fuel production. Surplus electricity can be converted to H2 via electrolysis in a first step. The fluctuating H2 source is combined with biomass-derived CO-rich syngas from gasification of lignocellulosic feedstock. Fischer-Tropsch synthesis converts the syngas to renewable hydrocarbons. This research article summarizes the experiments performed and presents new insights regarding the effects of load changes on the Fischer-Tropsch synthesis. Long-term campaigns were carried out, and performance-indicating parameters such as per-pass CO conversion, product distribution, and productivity were evaluated. The experiments showed that integrating renewable H2 into a biomass-to-liquid Fischer-Tropsch concept could increase the productivity while product distribution remains almost the same. Furthermore, the economic assessment performed indicates good preconditions towards commercialization of the proposed system.","author":[{"dropping-particle":"","family":"Gruber","given":"Hannes","non-dropping-particle":"","parse-names":false,"suffix":""},{"dropping-particle":"","family":"Groß","given":"Peter","non-dropping-particle":"","parse-names":false,"suffix":""},{"dropping-particle":"","family":"Rauch","given":"Reinhard","non-dropping-particle":"","parse-names":false,"suffix":""},{"dropping-particle":"","family":"Reichhold","given":"Alexander","non-dropping-particle":"","parse-names":false,"suffix":""},{"dropping-particle":"","family":"Zweiler","given":"Richard","non-dropping-particle":"","parse-names":false,"suffix":""},{"dropping-particle":"","family":"Aichernig","given":"Christian","non-dropping-particle":"","parse-names":false,"suffix":""},{"dropping-particle":"","family":"Müller","given":"Stefan","non-dropping-particle":"","parse-names":false,"suffix":""},{"dropping-particle":"","family":"Ataimisch","given":"Nabeel","non-dropping-particle":"","parse-names":false,"suffix":""},{"dropping-particle":"","family":"Hofbauer","given":"Hermann","non-dropping-particle":"","parse-names":false,"suffix":""}],"container-title":"Biomass Conversion and Biorefinery","id":"ITEM-1","issued":{"date-parts":[["2019"]]},"publisher":"Biomass Conversion and Biorefinery","title":"Fischer-Tropsch products from biomass-derived syngas and renewable hydrogen","type":"article-journal"}}],"schema":"https://github.com/citation-style-language/schema/raw/master/csl-citation.json"} </w:instrText>
      </w:r>
      <w:r w:rsidR="00D34500" w:rsidRPr="004D19FF">
        <w:rPr>
          <w:rFonts w:ascii="Times New Roman" w:hAnsi="Times New Roman"/>
          <w:sz w:val="20"/>
          <w:szCs w:val="20"/>
        </w:rPr>
        <w:fldChar w:fldCharType="separate"/>
      </w:r>
      <w:r w:rsidR="00623E85" w:rsidRPr="00623E85">
        <w:rPr>
          <w:rFonts w:ascii="Times New Roman" w:hAnsi="Times New Roman" w:cs="Times New Roman"/>
          <w:sz w:val="20"/>
        </w:rPr>
        <w:t>[96]</w:t>
      </w:r>
      <w:r w:rsidR="00D34500" w:rsidRPr="004D19FF">
        <w:rPr>
          <w:rFonts w:ascii="Times New Roman" w:hAnsi="Times New Roman"/>
          <w:sz w:val="20"/>
          <w:szCs w:val="20"/>
        </w:rPr>
        <w:fldChar w:fldCharType="end"/>
      </w:r>
      <w:r w:rsidR="009373C0" w:rsidRPr="004D19FF">
        <w:rPr>
          <w:rFonts w:ascii="Times New Roman" w:hAnsi="Times New Roman"/>
          <w:sz w:val="20"/>
          <w:szCs w:val="20"/>
        </w:rPr>
        <w:t xml:space="preserve">: </w:t>
      </w:r>
    </w:p>
    <w:p w14:paraId="180E59DA" w14:textId="77777777" w:rsidR="00540D94" w:rsidRPr="004D19FF" w:rsidRDefault="009373C0"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2H</w:t>
      </w:r>
      <w:r w:rsidRPr="004D19FF">
        <w:rPr>
          <w:rFonts w:ascii="Times New Roman" w:hAnsi="Times New Roman"/>
          <w:sz w:val="20"/>
          <w:szCs w:val="20"/>
          <w:vertAlign w:val="subscript"/>
        </w:rPr>
        <w:t>2</w:t>
      </w:r>
      <w:r w:rsidRPr="004D19FF">
        <w:rPr>
          <w:rFonts w:ascii="Times New Roman" w:hAnsi="Times New Roman"/>
          <w:sz w:val="20"/>
          <w:szCs w:val="20"/>
        </w:rPr>
        <w:t xml:space="preserve"> + CO </w:t>
      </w:r>
      <w:r w:rsidRPr="004D19FF">
        <w:rPr>
          <w:rFonts w:ascii="Times New Roman" w:hAnsi="Times New Roman" w:cs="Times New Roman"/>
          <w:sz w:val="20"/>
          <w:szCs w:val="20"/>
        </w:rPr>
        <w:t>→</w:t>
      </w:r>
      <w:r w:rsidRPr="004D19FF">
        <w:rPr>
          <w:rFonts w:ascii="Times New Roman" w:hAnsi="Times New Roman"/>
          <w:sz w:val="20"/>
          <w:szCs w:val="20"/>
        </w:rPr>
        <w:t xml:space="preserve"> (CH</w:t>
      </w:r>
      <w:r w:rsidRPr="004D19FF">
        <w:rPr>
          <w:rFonts w:ascii="Times New Roman" w:hAnsi="Times New Roman"/>
          <w:sz w:val="20"/>
          <w:szCs w:val="20"/>
          <w:vertAlign w:val="subscript"/>
        </w:rPr>
        <w:t>2</w:t>
      </w:r>
      <w:r w:rsidRPr="004D19FF">
        <w:rPr>
          <w:rFonts w:ascii="Times New Roman" w:hAnsi="Times New Roman"/>
          <w:sz w:val="20"/>
          <w:szCs w:val="20"/>
        </w:rPr>
        <w:t>) + H</w:t>
      </w:r>
      <w:r w:rsidRPr="004D19FF">
        <w:rPr>
          <w:rFonts w:ascii="Times New Roman" w:hAnsi="Times New Roman"/>
          <w:sz w:val="20"/>
          <w:szCs w:val="20"/>
          <w:vertAlign w:val="subscript"/>
        </w:rPr>
        <w:t>2</w:t>
      </w:r>
      <w:r w:rsidRPr="004D19FF">
        <w:rPr>
          <w:rFonts w:ascii="Times New Roman" w:hAnsi="Times New Roman"/>
          <w:sz w:val="20"/>
          <w:szCs w:val="20"/>
        </w:rPr>
        <w:t xml:space="preserve">O </w:t>
      </w:r>
      <w:r w:rsidR="00540D94" w:rsidRPr="004D19FF">
        <w:rPr>
          <w:rFonts w:ascii="Times New Roman" w:hAnsi="Times New Roman"/>
          <w:sz w:val="20"/>
          <w:szCs w:val="20"/>
        </w:rPr>
        <w:tab/>
      </w:r>
      <w:r w:rsidR="00540D94" w:rsidRPr="004D19FF">
        <w:rPr>
          <w:rFonts w:ascii="Times New Roman" w:hAnsi="Times New Roman"/>
          <w:sz w:val="20"/>
          <w:szCs w:val="20"/>
        </w:rPr>
        <w:tab/>
      </w:r>
      <w:r w:rsidR="004810E1" w:rsidRPr="004D19FF">
        <w:rPr>
          <w:rFonts w:ascii="Times New Roman" w:hAnsi="Times New Roman"/>
          <w:sz w:val="20"/>
          <w:szCs w:val="20"/>
        </w:rPr>
        <w:tab/>
      </w:r>
      <w:r w:rsidR="00CA08DC" w:rsidRPr="004D19FF">
        <w:rPr>
          <w:rFonts w:ascii="Times New Roman" w:hAnsi="Times New Roman"/>
          <w:sz w:val="20"/>
          <w:szCs w:val="20"/>
        </w:rPr>
        <w:tab/>
      </w:r>
      <w:r w:rsidRPr="004D19FF">
        <w:rPr>
          <w:rFonts w:ascii="Times New Roman" w:hAnsi="Times New Roman"/>
          <w:sz w:val="20"/>
          <w:szCs w:val="20"/>
        </w:rPr>
        <w:t>(1)</w:t>
      </w:r>
    </w:p>
    <w:p w14:paraId="7999ADAC" w14:textId="77777777" w:rsidR="00540D94" w:rsidRPr="004D19FF" w:rsidRDefault="009373C0" w:rsidP="00290530">
      <w:pPr>
        <w:spacing w:after="120" w:line="276" w:lineRule="auto"/>
        <w:jc w:val="thaiDistribute"/>
        <w:rPr>
          <w:rFonts w:ascii="Times New Roman" w:hAnsi="Times New Roman" w:cs="Times New Roman"/>
          <w:sz w:val="20"/>
          <w:szCs w:val="20"/>
        </w:rPr>
      </w:pPr>
      <w:r w:rsidRPr="004D19FF">
        <w:rPr>
          <w:rFonts w:ascii="Times New Roman" w:hAnsi="Times New Roman"/>
          <w:sz w:val="20"/>
          <w:szCs w:val="20"/>
        </w:rPr>
        <w:t>(2n+1)H</w:t>
      </w:r>
      <w:r w:rsidRPr="004D19FF">
        <w:rPr>
          <w:rFonts w:ascii="Times New Roman" w:hAnsi="Times New Roman"/>
          <w:sz w:val="20"/>
          <w:szCs w:val="20"/>
          <w:vertAlign w:val="subscript"/>
        </w:rPr>
        <w:t>2</w:t>
      </w:r>
      <w:r w:rsidRPr="004D19FF">
        <w:rPr>
          <w:rFonts w:ascii="Times New Roman" w:hAnsi="Times New Roman"/>
          <w:sz w:val="20"/>
          <w:szCs w:val="20"/>
        </w:rPr>
        <w:t xml:space="preserve"> + nCO </w:t>
      </w:r>
      <w:r w:rsidRPr="004D19FF">
        <w:rPr>
          <w:rFonts w:ascii="Times New Roman" w:hAnsi="Times New Roman" w:cs="Times New Roman"/>
          <w:sz w:val="20"/>
          <w:szCs w:val="20"/>
        </w:rPr>
        <w:t>→ C</w:t>
      </w:r>
      <w:r w:rsidRPr="004D19FF">
        <w:rPr>
          <w:rFonts w:ascii="Times New Roman" w:hAnsi="Times New Roman" w:cs="Times New Roman"/>
          <w:sz w:val="20"/>
          <w:szCs w:val="20"/>
          <w:vertAlign w:val="subscript"/>
        </w:rPr>
        <w:t>n</w:t>
      </w:r>
      <w:r w:rsidRPr="004D19FF">
        <w:rPr>
          <w:rFonts w:ascii="Times New Roman" w:hAnsi="Times New Roman" w:cs="Times New Roman"/>
          <w:sz w:val="20"/>
          <w:szCs w:val="20"/>
        </w:rPr>
        <w:t>H</w:t>
      </w:r>
      <w:r w:rsidRPr="004D19FF">
        <w:rPr>
          <w:rFonts w:ascii="Times New Roman" w:hAnsi="Times New Roman" w:cs="Times New Roman"/>
          <w:sz w:val="20"/>
          <w:szCs w:val="20"/>
          <w:vertAlign w:val="subscript"/>
        </w:rPr>
        <w:t xml:space="preserve">2n+2 </w:t>
      </w:r>
      <w:r w:rsidRPr="004D19FF">
        <w:rPr>
          <w:rFonts w:ascii="Times New Roman" w:hAnsi="Times New Roman" w:cs="Times New Roman"/>
          <w:sz w:val="20"/>
          <w:szCs w:val="20"/>
        </w:rPr>
        <w:t>+ nH</w:t>
      </w:r>
      <w:r w:rsidRPr="004D19FF">
        <w:rPr>
          <w:rFonts w:ascii="Times New Roman" w:hAnsi="Times New Roman" w:cs="Times New Roman"/>
          <w:sz w:val="20"/>
          <w:szCs w:val="20"/>
          <w:vertAlign w:val="subscript"/>
        </w:rPr>
        <w:t>2</w:t>
      </w:r>
      <w:r w:rsidR="00540D94" w:rsidRPr="004D19FF">
        <w:rPr>
          <w:rFonts w:ascii="Times New Roman" w:hAnsi="Times New Roman" w:cs="Times New Roman"/>
          <w:sz w:val="20"/>
          <w:szCs w:val="20"/>
        </w:rPr>
        <w:t xml:space="preserve">O </w:t>
      </w:r>
      <w:r w:rsidR="00540D94" w:rsidRPr="004D19FF">
        <w:rPr>
          <w:rFonts w:ascii="Times New Roman" w:hAnsi="Times New Roman" w:cs="Times New Roman"/>
          <w:sz w:val="20"/>
          <w:szCs w:val="20"/>
        </w:rPr>
        <w:tab/>
      </w:r>
      <w:r w:rsidR="004810E1" w:rsidRPr="004D19FF">
        <w:rPr>
          <w:rFonts w:ascii="Times New Roman" w:hAnsi="Times New Roman" w:cs="Times New Roman"/>
          <w:sz w:val="20"/>
          <w:szCs w:val="20"/>
        </w:rPr>
        <w:tab/>
      </w:r>
      <w:r w:rsidR="00CA08DC" w:rsidRPr="004D19FF">
        <w:rPr>
          <w:rFonts w:ascii="Times New Roman" w:hAnsi="Times New Roman" w:cs="Times New Roman"/>
          <w:sz w:val="20"/>
          <w:szCs w:val="20"/>
        </w:rPr>
        <w:tab/>
      </w:r>
      <w:r w:rsidR="00540D94" w:rsidRPr="004D19FF">
        <w:rPr>
          <w:rFonts w:ascii="Times New Roman" w:hAnsi="Times New Roman" w:cs="Times New Roman"/>
          <w:sz w:val="20"/>
          <w:szCs w:val="20"/>
        </w:rPr>
        <w:t>(2)</w:t>
      </w:r>
      <w:r w:rsidRPr="004D19FF">
        <w:rPr>
          <w:rFonts w:ascii="Times New Roman" w:hAnsi="Times New Roman" w:cs="Times New Roman"/>
          <w:sz w:val="20"/>
          <w:szCs w:val="20"/>
        </w:rPr>
        <w:t xml:space="preserve"> </w:t>
      </w:r>
    </w:p>
    <w:p w14:paraId="17A8A981" w14:textId="60F4F29D" w:rsidR="00142779" w:rsidRDefault="009373C0" w:rsidP="00290530">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t>(2n)H</w:t>
      </w:r>
      <w:r w:rsidRPr="004D19FF">
        <w:rPr>
          <w:rFonts w:ascii="Times New Roman" w:hAnsi="Times New Roman" w:cs="Times New Roman"/>
          <w:sz w:val="20"/>
          <w:szCs w:val="20"/>
          <w:vertAlign w:val="subscript"/>
        </w:rPr>
        <w:t>2</w:t>
      </w:r>
      <w:r w:rsidRPr="004D19FF">
        <w:rPr>
          <w:rFonts w:ascii="Times New Roman" w:hAnsi="Times New Roman" w:cs="Times New Roman"/>
          <w:sz w:val="20"/>
          <w:szCs w:val="20"/>
        </w:rPr>
        <w:t xml:space="preserve"> + nCO → C</w:t>
      </w:r>
      <w:r w:rsidRPr="004D19FF">
        <w:rPr>
          <w:rFonts w:ascii="Times New Roman" w:hAnsi="Times New Roman" w:cs="Times New Roman"/>
          <w:sz w:val="20"/>
          <w:szCs w:val="20"/>
          <w:vertAlign w:val="subscript"/>
        </w:rPr>
        <w:t>n</w:t>
      </w:r>
      <w:r w:rsidRPr="004D19FF">
        <w:rPr>
          <w:rFonts w:ascii="Times New Roman" w:hAnsi="Times New Roman" w:cs="Times New Roman"/>
          <w:sz w:val="20"/>
          <w:szCs w:val="20"/>
        </w:rPr>
        <w:t>H</w:t>
      </w:r>
      <w:r w:rsidRPr="004D19FF">
        <w:rPr>
          <w:rFonts w:ascii="Times New Roman" w:hAnsi="Times New Roman" w:cs="Times New Roman"/>
          <w:sz w:val="20"/>
          <w:szCs w:val="20"/>
          <w:vertAlign w:val="subscript"/>
        </w:rPr>
        <w:t>2n</w:t>
      </w:r>
      <w:r w:rsidRPr="004D19FF">
        <w:rPr>
          <w:rFonts w:ascii="Times New Roman" w:hAnsi="Times New Roman" w:cs="Times New Roman"/>
          <w:sz w:val="20"/>
          <w:szCs w:val="20"/>
        </w:rPr>
        <w:t xml:space="preserve"> + nH</w:t>
      </w:r>
      <w:r w:rsidRPr="004D19FF">
        <w:rPr>
          <w:rFonts w:ascii="Times New Roman" w:hAnsi="Times New Roman" w:cs="Times New Roman"/>
          <w:sz w:val="20"/>
          <w:szCs w:val="20"/>
          <w:vertAlign w:val="subscript"/>
        </w:rPr>
        <w:t>2</w:t>
      </w:r>
      <w:r w:rsidRPr="004D19FF">
        <w:rPr>
          <w:rFonts w:ascii="Times New Roman" w:hAnsi="Times New Roman" w:cs="Times New Roman"/>
          <w:sz w:val="20"/>
          <w:szCs w:val="20"/>
        </w:rPr>
        <w:t xml:space="preserve">O </w:t>
      </w:r>
      <w:r w:rsidR="00540D94" w:rsidRPr="004D19FF">
        <w:rPr>
          <w:rFonts w:ascii="Times New Roman" w:hAnsi="Times New Roman" w:cs="Times New Roman"/>
          <w:sz w:val="20"/>
          <w:szCs w:val="20"/>
        </w:rPr>
        <w:tab/>
      </w:r>
      <w:r w:rsidR="00540D94" w:rsidRPr="004D19FF">
        <w:rPr>
          <w:rFonts w:ascii="Times New Roman" w:hAnsi="Times New Roman" w:cs="Times New Roman"/>
          <w:sz w:val="20"/>
          <w:szCs w:val="20"/>
        </w:rPr>
        <w:tab/>
      </w:r>
      <w:r w:rsidR="004810E1" w:rsidRPr="004D19FF">
        <w:rPr>
          <w:rFonts w:ascii="Times New Roman" w:hAnsi="Times New Roman" w:cs="Times New Roman"/>
          <w:sz w:val="20"/>
          <w:szCs w:val="20"/>
        </w:rPr>
        <w:tab/>
      </w:r>
      <w:r w:rsidR="00CA08DC" w:rsidRPr="004D19FF">
        <w:rPr>
          <w:rFonts w:ascii="Times New Roman" w:hAnsi="Times New Roman" w:cs="Times New Roman"/>
          <w:sz w:val="20"/>
          <w:szCs w:val="20"/>
        </w:rPr>
        <w:tab/>
      </w:r>
      <w:r w:rsidRPr="004D19FF">
        <w:rPr>
          <w:rFonts w:ascii="Times New Roman" w:hAnsi="Times New Roman" w:cs="Times New Roman"/>
          <w:sz w:val="20"/>
          <w:szCs w:val="20"/>
        </w:rPr>
        <w:t xml:space="preserve">(3) </w:t>
      </w:r>
      <w:r w:rsidR="007F063F" w:rsidRPr="004D19FF">
        <w:rPr>
          <w:rStyle w:val="FootnoteReference"/>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7mMDaEzx","properties":{"formattedCitation":"[92]","plainCitation":"[92]","dontUpdate":true,"noteIndex":0},"citationItems":[{"id":"968HXJ10/YMYTITZ1","uris":["http://www.mendeley.com/documents/?uuid=f5b95fcb-55cb-439d-ac57-6b863fc2ea13"],"uri":["http://www.mendeley.com/documents/?uuid=f5b95fcb-55cb-439d-ac57-6b863fc2ea13"],"itemData":{"DOI":"10.1007/s13399-019-00459-5","ISBN":"1339901900","ISSN":"21906823","abstract":"Global climate change will make it necessary to transform transportation and mobility away from what we know now towards a sustainable, flexible, and dynamic sector. A severe reduction of fossil-based CO2 emissions in all energy-consuming sectors will be necessary to keep global warming below 2 °C above preindustrial levels. Thus, long-distance transportation will have to increase the share of renewable fuel consumed until alternative powertrains are ready to step in. Additionally, it is predicted that the share of renewables in the power generation sector grows worldwide. Thus, the need to store the excess electricity produced by fluctuating renewable sources is going to grow alike. The “Winddiesel” technology enables the integrative use of excess electricity combined with biomass-based fuel production. Surplus electricity can be converted to H2 via electrolysis in a first step. The fluctuating H2 source is combined with biomass-derived CO-rich syngas from gasification of lignocellulosic feedstock. Fischer-Tropsch synthesis converts the syngas to renewable hydrocarbons. This research article summarizes the experiments performed and presents new insights regarding the effects of load changes on the Fischer-Tropsch synthesis. Long-term campaigns were carried out, and performance-indicating parameters such as per-pass CO conversion, product distribution, and productivity were evaluated. The experiments showed that integrating renewable H2 into a biomass-to-liquid Fischer-Tropsch concept could increase the productivity while product distribution remains almost the same. Furthermore, the economic assessment performed indicates good preconditions towards commercialization of the proposed system.","author":[{"dropping-particle":"","family":"Gruber","given":"Hannes","non-dropping-particle":"","parse-names":false,"suffix":""},{"dropping-particle":"","family":"Groß","given":"Peter","non-dropping-particle":"","parse-names":false,"suffix":""},{"dropping-particle":"","family":"Rauch","given":"Reinhard","non-dropping-particle":"","parse-names":false,"suffix":""},{"dropping-particle":"","family":"Reichhold","given":"Alexander","non-dropping-particle":"","parse-names":false,"suffix":""},{"dropping-particle":"","family":"Zweiler","given":"Richard","non-dropping-particle":"","parse-names":false,"suffix":""},{"dropping-particle":"","family":"Aichernig","given":"Christian","non-dropping-particle":"","parse-names":false,"suffix":""},{"dropping-particle":"","family":"Müller","given":"Stefan","non-dropping-particle":"","parse-names":false,"suffix":""},{"dropping-particle":"","family":"Ataimisch","given":"Nabeel","non-dropping-particle":"","parse-names":false,"suffix":""},{"dropping-particle":"","family":"Hofbauer","given":"Hermann","non-dropping-particle":"","parse-names":false,"suffix":""}],"container-title":"Biomass Conversion and Biorefinery","id":"ITEM-1","issued":{"date-parts":[["2019"]]},"publisher":"Biomass Conversion and Biorefinery","title":"Fischer-Tropsch products from biomass-derived syngas and renewable hydrogen","type":"article-journal"}}],"schema":"https://github.com/citation-style-language/schema/raw/master/csl-citation.json"} </w:instrText>
      </w:r>
      <w:r w:rsidR="007F063F" w:rsidRPr="004D19FF">
        <w:rPr>
          <w:rStyle w:val="FootnoteReference"/>
          <w:rFonts w:ascii="Times New Roman" w:hAnsi="Times New Roman" w:cs="Times New Roman"/>
          <w:sz w:val="20"/>
          <w:szCs w:val="20"/>
        </w:rPr>
        <w:fldChar w:fldCharType="end"/>
      </w:r>
    </w:p>
    <w:p w14:paraId="3C7B83D1" w14:textId="59E0EF62" w:rsidR="00891632" w:rsidRPr="004D19FF" w:rsidRDefault="00FE5687"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The </w:t>
      </w:r>
      <w:r w:rsidR="00FB22AF" w:rsidRPr="004D19FF">
        <w:rPr>
          <w:rFonts w:ascii="Times New Roman" w:hAnsi="Times New Roman"/>
          <w:sz w:val="20"/>
          <w:szCs w:val="20"/>
        </w:rPr>
        <w:t xml:space="preserve">hydrocarbon </w:t>
      </w:r>
      <w:r w:rsidRPr="004D19FF">
        <w:rPr>
          <w:rFonts w:ascii="Times New Roman" w:hAnsi="Times New Roman"/>
          <w:sz w:val="20"/>
          <w:szCs w:val="20"/>
        </w:rPr>
        <w:t xml:space="preserve">product composition is strongly influenced by the operating temperature, pressure, syngas composition, and used catalyst </w:t>
      </w:r>
      <w:r w:rsidR="00DE0678"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vW7NtzV6","properties":{"formattedCitation":"[68,98\\uc0\\u8211{}101]","plainCitation":"[68,98–101]","noteIndex":0},"citationItems":[{"id":"968HXJ10/B21N3oOK","uris":["http://www.mendeley.com/documents/?uuid=2b9bee8b-4c6a-4d61-8319-dba74372a417"],"uri":["http://www.mendeley.com/documents/?uuid=2b9bee8b-4c6a-4d61-8319-dba74372a417"],"itemData":{"DOI":"10.1016/j.cej.2014.11.042","ISSN":"13858947","abstract":"The development of effective Pt-loaded catalysts for high jet fuel yield was investigated in hydrocracking step in the proposed conversion process from biomass to jet fuel. Screening studies of Pt-loaded catalyst supports were performed using an autoclave in hydrocracking of n-C28H58 and n-C36H74 as model compounds over ten different supports loaded with Pt (Pt content: 0.5wt%). The Pt-loaded β-type zeolite catalyst exhibited a high corresponding jet fuel yield using both feedstocks. The effect of the reaction temperature, reaction pressure, and Pt content on the hydrocracking behavior was studied in hydrocracking of n-C36H74 over Pt-loaded β-type zeolite catalyst. The corresponding jet fuel yield was maximized at 250-350°C, and 0.9-1.4MPa, and 0.1-1.0wt% Pt content. The liquid product with carbon numbers 5-68 was obtained as Fischer-Tropsch (FT) product through the operation of a bench-scale biomass-to-liquid (BTL) plant. The effect of the reaction temperature and reaction pressure on the hydrocracking behavior was investigated in hydrocracking of the FT product over Pt-loaded β-type zeolite catalyst (Pt content: 0.1wt%). The corresponding jet fuel yield was the maximum value (21.5%) at 250°C and 1.5MPa.","author":[{"dropping-particle":"","family":"Hanaoka","given":"Toshiaki","non-dropping-particle":"","parse-names":false,"suffix":""},{"dropping-particle":"","family":"Miyazawa","given":"Tomohisa","non-dropping-particle":"","parse-names":false,"suffix":""},{"dropping-particle":"","family":"Shimura","given":"Katsuya","non-dropping-particle":"","parse-names":false,"suffix":""},{"dropping-particle":"","family":"Hirata","given":"Satoshi","non-dropping-particle":"","parse-names":false,"suffix":""}],"container-title":"Chemical Engineering Journal","id":"ITEM-1","issued":{"date-parts":[["2015"]]},"page":"178-185","publisher":"Elsevier B.V.","title":"Jet fuel synthesis from Fischer-Tropsch product under mild hydrocracking conditions using Pt-loaded catalysts","type":"article-journal","volume":"263"}},{"id":"968HXJ10/67iNDx0F","uris":["http://www.mendeley.com/documents/?uuid=b405a6d9-f535-410b-9540-6b38b8ba2afe"],"uri":["http://www.mendeley.com/documents/?uuid=b405a6d9-f535-410b-9540-6b38b8ba2afe"],"itemData":{"abstract":"The present invention provides a process for producing jet fuel components from Syngas. Syngas is converted to metha nol and ethanol, and, optionally, higher alcohols. The metha nol is separated from the ethanol and higher alcohols, and converted to Cso paraffins and aromatics via a dimethyl ether intermediate. The dimethyl ether is reacted over a catalyst to formjet fuel range hydrocarbons and aromatics. The ethanol and higher alcohols are dehydrated to form olefins, which are then oligomerized and, optionally, hydrogenated and/or isomerized, to form products in the jet fuel range. All or part of the two separate product streams can be combined, to provide jet fuel components which include aromatics and paraffins, ideally isoparaffins, in the jet fuel range. The syngas is in one embodiment derived from biomass or another renew able carbon-containing feedstock, thereby providing a biore fining process for producing renewable jet fuel.","author":[{"dropping-particle":"","family":"Bradin","given":"David","non-dropping-particle":"","parse-names":false,"suffix":""}],"id":"ITEM-2","issued":{"date-parts":[["2016"]]},"number":"US 9,422,494 B2","title":"Process for producing renewable jet fuel composition","type":"patent"}},{"id":"968HXJ10/c8vL3gv8","uris":["http://www.mendeley.com/documents/?uuid=d3170ee7-9a96-4de7-ac8e-4eb3e1417bdc"],"uri":["http://www.mendeley.com/documents/?uuid=d3170ee7-9a96-4de7-ac8e-4eb3e1417bdc"],"itemData":{"DOI":"10.1016/j.fuel.2019.06.007","ISSN":"00162361","abstract":"Due to excessive greenhouse gas emissions and high dependence on traditional petroleum jet fuel, the sustainable development of the aviation industry has drawn increasing attention worldwide. One of the most promising strategies is to develop and industrialize alternative aviation fuels produced from renewable resources, e.g. biomass. Renewable bio-jet fuel has the potential to reduce CO2 emissions over their life cycle, which make bio-jet fuels an attractive substitution for aviation fuels. This paper provided an overview on the conversion technologies, economic assessment, environmental influence and development status of bio-jet fuels. The results suggested that hydrogenated esters and fatty acids, and Fischer-Tropsch synthesis can be the most promising technologies for bio-jet fuels production in near term. Future works, such as searching for more suitable feedstock, improving competitiveness for alternative jet fuels, meeting emission reduction targets in large-scale production and making measures for the indirect impact are needed for further investigation. The large-scale deployment of bio-jet fuels could achieve significant potentials of both bio-jet fuels production and CO2 emissions reduction based on future available biomass feedstock.","author":[{"dropping-particle":"","family":"Wei","given":"Hongjian","non-dropping-particle":"","parse-names":false,"suffix":""},{"dropping-particle":"","family":"Liu","given":"Wenzhi","non-dropping-particle":"","parse-names":false,"suffix":""},{"dropping-particle":"","family":"Chen","given":"Xinyu","non-dropping-particle":"","parse-names":false,"suffix":""},{"dropping-particle":"","family":"Yang","given":"Qing","non-dropping-particle":"","parse-names":false,"suffix":""},{"dropping-particle":"","family":"Li","given":"Jiashuo","non-dropping-particle":"","parse-names":false,"suffix":""},{"dropping-particle":"","family":"Chen","given":"Hanping","non-dropping-particle":"","parse-names":false,"suffix":""}],"container-title":"Fuel","id":"ITEM-3","issue":"June","issued":{"date-parts":[["2019"]]},"title":"Renewable bio-jet fuel production for aviation: A review","type":"article-journal","volume":"254"}},{"id":"968HXJ10/1lzmyzGr","uris":["http://www.mendeley.com/documents/?uuid=3ddca6af-6b5f-4093-b88c-2e4af25425f8"],"uri":["http://www.mendeley.com/documents/?uuid=3ddca6af-6b5f-4093-b88c-2e4af25425f8"],"itemData":{"DOI":"10.1002/9781119417637.ch5","ISBN":"9781119417637","author":[{"dropping-particle":"","family":"Dayton, David","given":"C","non-dropping-particle":"","parse-names":false,"suffix":""},{"dropping-particle":"","family":"Turk","given":"Brian","non-dropping-particle":"","parse-names":false,"suffix":""},{"dropping-particle":"","family":"Gupta","given":"Raghubir","non-dropping-particle":"","parse-names":false,"suffix":""}],"chapter-number":"5","container-title":"Thermochemical processing of biomass: conversion into fuels, chemicals, and power","editor":[{"dropping-particle":"","family":"Brown","given":"Robert C","non-dropping-particle":"","parse-names":false,"suffix":""}],"id":"ITEM-4","issued":{"date-parts":[["2019"]]},"publisher":"Wiley and Sons Ltd","title":"Syngas cleanup, conditioning, and utilization","type":"chapter"}},{"id":"968HXJ10/ADuKvcOt","uris":["http://www.mendeley.com/documents/?uuid=d169e332-7a35-45c2-a9a8-bd439e527144"],"uri":["http://www.mendeley.com/documents/?uuid=d169e332-7a35-45c2-a9a8-bd439e527144"],"itemData":{"author":[{"dropping-particle":"","family":"Rahardjo","given":"Bambang Suwono","non-dropping-particle":"","parse-names":false,"suffix":""}],"container-title":"International Journal of Engineering and Applied Sciences","id":"ITEM-5","issue":"1","issued":{"date-parts":[["2012"]]},"page":"20-39","title":"The Assessment of Syngas Utilization by Fischer Tropsch Synthesis in the Slurry-Bed Reactor Using Co/SiO2 Catalyst","type":"article-journal","volume":"4"}}],"schema":"https://github.com/citation-style-language/schema/raw/master/csl-citation.json"} </w:instrText>
      </w:r>
      <w:r w:rsidR="00DE0678" w:rsidRPr="004D19FF">
        <w:rPr>
          <w:rFonts w:ascii="Times New Roman" w:hAnsi="Times New Roman"/>
          <w:sz w:val="20"/>
          <w:szCs w:val="20"/>
        </w:rPr>
        <w:fldChar w:fldCharType="separate"/>
      </w:r>
      <w:r w:rsidR="00623E85" w:rsidRPr="00623E85">
        <w:rPr>
          <w:rFonts w:ascii="Times New Roman" w:hAnsi="Times New Roman" w:cs="Times New Roman"/>
          <w:sz w:val="20"/>
          <w:szCs w:val="24"/>
        </w:rPr>
        <w:t>[68,98–101]</w:t>
      </w:r>
      <w:r w:rsidR="00DE0678" w:rsidRPr="004D19FF">
        <w:rPr>
          <w:rFonts w:ascii="Times New Roman" w:hAnsi="Times New Roman"/>
          <w:sz w:val="20"/>
          <w:szCs w:val="20"/>
        </w:rPr>
        <w:fldChar w:fldCharType="end"/>
      </w:r>
      <w:r w:rsidR="00C641A1" w:rsidRPr="004D19FF">
        <w:rPr>
          <w:rFonts w:ascii="Times New Roman" w:hAnsi="Times New Roman"/>
          <w:sz w:val="20"/>
          <w:szCs w:val="20"/>
        </w:rPr>
        <w:t>.</w:t>
      </w:r>
      <w:r w:rsidRPr="004D19FF">
        <w:rPr>
          <w:rFonts w:ascii="Times New Roman" w:hAnsi="Times New Roman"/>
          <w:sz w:val="20"/>
          <w:szCs w:val="20"/>
        </w:rPr>
        <w:t xml:space="preserve"> </w:t>
      </w:r>
      <w:r w:rsidR="00136434" w:rsidRPr="004D19FF">
        <w:rPr>
          <w:rFonts w:ascii="Times New Roman" w:hAnsi="Times New Roman"/>
          <w:sz w:val="20"/>
          <w:szCs w:val="20"/>
        </w:rPr>
        <w:t xml:space="preserve">The FT process can be categorized into high temperature </w:t>
      </w:r>
      <w:r w:rsidR="006D633A" w:rsidRPr="004D19FF">
        <w:rPr>
          <w:rFonts w:ascii="Times New Roman" w:hAnsi="Times New Roman"/>
          <w:sz w:val="20"/>
          <w:szCs w:val="20"/>
        </w:rPr>
        <w:t>(HTFT) and low temperature (LTFT)</w:t>
      </w:r>
      <w:r w:rsidR="00136434" w:rsidRPr="004D19FF">
        <w:rPr>
          <w:rFonts w:ascii="Times New Roman" w:hAnsi="Times New Roman"/>
          <w:sz w:val="20"/>
          <w:szCs w:val="20"/>
        </w:rPr>
        <w:t xml:space="preserve">. </w:t>
      </w:r>
      <w:r w:rsidR="003262C4" w:rsidRPr="004D19FF">
        <w:rPr>
          <w:rFonts w:ascii="Times New Roman" w:hAnsi="Times New Roman"/>
          <w:sz w:val="20"/>
          <w:szCs w:val="20"/>
        </w:rPr>
        <w:t>G</w:t>
      </w:r>
      <w:r w:rsidR="0027222A" w:rsidRPr="004D19FF">
        <w:rPr>
          <w:rFonts w:ascii="Times New Roman" w:hAnsi="Times New Roman"/>
          <w:sz w:val="20"/>
          <w:szCs w:val="20"/>
        </w:rPr>
        <w:t xml:space="preserve">asoline, solvent oil and olefins </w:t>
      </w:r>
      <w:r w:rsidR="00BC5791" w:rsidRPr="004D19FF">
        <w:rPr>
          <w:rFonts w:ascii="Times New Roman" w:hAnsi="Times New Roman"/>
          <w:sz w:val="20"/>
          <w:szCs w:val="20"/>
        </w:rPr>
        <w:t xml:space="preserve">as shorter-hydrocarbon compounds </w:t>
      </w:r>
      <w:r w:rsidR="003262C4" w:rsidRPr="004D19FF">
        <w:rPr>
          <w:rFonts w:ascii="Times New Roman" w:hAnsi="Times New Roman"/>
          <w:sz w:val="20"/>
          <w:szCs w:val="20"/>
        </w:rPr>
        <w:t>can be generated</w:t>
      </w:r>
      <w:r w:rsidR="0027222A" w:rsidRPr="004D19FF">
        <w:rPr>
          <w:rFonts w:ascii="Times New Roman" w:hAnsi="Times New Roman"/>
          <w:sz w:val="20"/>
          <w:szCs w:val="20"/>
        </w:rPr>
        <w:t xml:space="preserve"> </w:t>
      </w:r>
      <w:r w:rsidR="003262C4" w:rsidRPr="004D19FF">
        <w:rPr>
          <w:rFonts w:ascii="Times New Roman" w:hAnsi="Times New Roman"/>
          <w:sz w:val="20"/>
          <w:szCs w:val="20"/>
        </w:rPr>
        <w:t xml:space="preserve">through HTFT </w:t>
      </w:r>
      <w:r w:rsidR="00DB1F67" w:rsidRPr="004D19FF">
        <w:rPr>
          <w:rFonts w:ascii="Times New Roman" w:hAnsi="Times New Roman"/>
          <w:sz w:val="20"/>
          <w:szCs w:val="20"/>
        </w:rPr>
        <w:t xml:space="preserve">process </w:t>
      </w:r>
      <w:r w:rsidR="003262C4" w:rsidRPr="004D19FF">
        <w:rPr>
          <w:rFonts w:ascii="Times New Roman" w:hAnsi="Times New Roman"/>
          <w:sz w:val="20"/>
          <w:szCs w:val="20"/>
        </w:rPr>
        <w:t xml:space="preserve">with operating temperatures of </w:t>
      </w:r>
      <w:r w:rsidR="0027222A" w:rsidRPr="004D19FF">
        <w:rPr>
          <w:rFonts w:ascii="Times New Roman" w:hAnsi="Times New Roman"/>
          <w:sz w:val="20"/>
          <w:szCs w:val="20"/>
        </w:rPr>
        <w:t xml:space="preserve">310-340 </w:t>
      </w:r>
      <w:r w:rsidR="0027222A" w:rsidRPr="004D19FF">
        <w:rPr>
          <w:rFonts w:ascii="Times New Roman" w:hAnsi="Times New Roman" w:cs="Times New Roman"/>
          <w:sz w:val="20"/>
          <w:szCs w:val="20"/>
        </w:rPr>
        <w:t>°</w:t>
      </w:r>
      <w:r w:rsidR="00BC5791" w:rsidRPr="004D19FF">
        <w:rPr>
          <w:rFonts w:ascii="Times New Roman" w:hAnsi="Times New Roman"/>
          <w:sz w:val="20"/>
          <w:szCs w:val="20"/>
        </w:rPr>
        <w:t>C</w:t>
      </w:r>
      <w:r w:rsidR="00FA3B84" w:rsidRPr="004D19FF">
        <w:rPr>
          <w:rFonts w:ascii="Times New Roman" w:hAnsi="Times New Roman"/>
          <w:sz w:val="20"/>
          <w:szCs w:val="20"/>
        </w:rPr>
        <w:t xml:space="preserve">. </w:t>
      </w:r>
      <w:r w:rsidR="00FB22AF" w:rsidRPr="004D19FF">
        <w:rPr>
          <w:rFonts w:ascii="Times New Roman" w:hAnsi="Times New Roman"/>
          <w:sz w:val="20"/>
          <w:szCs w:val="20"/>
        </w:rPr>
        <w:t xml:space="preserve">LTFT will typically involve operating temperature of 210-260 </w:t>
      </w:r>
      <w:r w:rsidR="00FB22AF" w:rsidRPr="004D19FF">
        <w:rPr>
          <w:rFonts w:ascii="Times New Roman" w:hAnsi="Times New Roman" w:cs="Times New Roman"/>
          <w:sz w:val="20"/>
          <w:szCs w:val="20"/>
        </w:rPr>
        <w:t>°</w:t>
      </w:r>
      <w:r w:rsidR="00FB22AF" w:rsidRPr="004D19FF">
        <w:rPr>
          <w:rFonts w:ascii="Times New Roman" w:hAnsi="Times New Roman"/>
          <w:sz w:val="20"/>
          <w:szCs w:val="20"/>
        </w:rPr>
        <w:t>C and generate an hydrocarbon mixture consisting of ca. 50% solid wax, the remaining consisting of a liquid phase containing aromatics and cycloparaffins</w:t>
      </w:r>
      <w:r w:rsidR="004F4718">
        <w:rPr>
          <w:rFonts w:ascii="Times New Roman" w:hAnsi="Times New Roman"/>
          <w:sz w:val="20"/>
          <w:szCs w:val="20"/>
        </w:rPr>
        <w:t xml:space="preserve"> </w:t>
      </w:r>
      <w:r w:rsidR="004F4718">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3jAbAtc4","properties":{"formattedCitation":"[102]","plainCitation":"[102]","noteIndex":0},"citationItems":[{"id":"968HXJ10/wuwik3je","uris":["http://www.mendeley.com/documents/?uuid=e6b9e16b-5ec9-4415-8d55-f387eb02f512"],"uri":["http://www.mendeley.com/documents/?uuid=e6b9e16b-5ec9-4415-8d55-f387eb02f512"],"itemData":{"DOI":"10.1039/c0ee00692k","ISSN":"17545692","abstract":"Carbon sources, such as coal, natural gas, biomass and waste, can be converted into transportation fuels by combining appropriate gasification, Fischer-Tropsch and refining technologies. Efficient refining of the Fischer-Tropsch synthesis derived syncrude requires a different approach to refinery design than commonly applied to crude oil refinery design. The design of refineries to optimise the production of on-specification motor-gasoline, jet fuel and diesel fuel respectively from both high temperature Fischer-Tropsch (HTFT) syncrude and low temperature Fischer-Tropsch (LTFT) are considered. Refinery designs are presented for the production of motor-gasoline and jet fuel with better than 50% yield (better than 70% selectivity on transportation fuel), without resorting to very complex designs. Only diesel fuel refining presented a problem, since the production of on-specification EN590:2004 diesel fuel is limited by a Fischer-Tropsch specific cetane-density-yield trade-off. The compound classes that are required to produce diesel fuel in high yield that meet both minimum cetane number and minimum density requirements are not abundant in Fischer-Tropsch syncrude. Refinery designs for diesel fuel production was limited to a yield of less than 25% EN 590:2004 compliant diesel fuel. This yield restriction does not apply when diesel fuel specifications do not have a minimum density requirement. © 2011 The Royal Society of Chemistry.","author":[{"dropping-particle":"","family":"Klerk","given":"A.","non-dropping-particle":"de","parse-names":false,"suffix":""}],"container-title":"Energy and Environmental Science","id":"ITEM-1","issue":"4","issued":{"date-parts":[["2011"]]},"page":"1177-1205","title":"Fischer-Tropsch fuels refinery design","type":"article-journal","volume":"4"}}],"schema":"https://github.com/citation-style-language/schema/raw/master/csl-citation.json"} </w:instrText>
      </w:r>
      <w:r w:rsidR="004F4718">
        <w:rPr>
          <w:rFonts w:ascii="Times New Roman" w:hAnsi="Times New Roman"/>
          <w:sz w:val="20"/>
          <w:szCs w:val="20"/>
        </w:rPr>
        <w:fldChar w:fldCharType="separate"/>
      </w:r>
      <w:r w:rsidR="00623E85" w:rsidRPr="00623E85">
        <w:rPr>
          <w:rFonts w:ascii="Times New Roman" w:hAnsi="Times New Roman" w:cs="Times New Roman"/>
          <w:sz w:val="20"/>
        </w:rPr>
        <w:t>[102]</w:t>
      </w:r>
      <w:r w:rsidR="004F4718">
        <w:rPr>
          <w:rFonts w:ascii="Times New Roman" w:hAnsi="Times New Roman"/>
          <w:sz w:val="20"/>
          <w:szCs w:val="20"/>
        </w:rPr>
        <w:fldChar w:fldCharType="end"/>
      </w:r>
      <w:r w:rsidR="00FB22AF" w:rsidRPr="004D19FF">
        <w:rPr>
          <w:rFonts w:ascii="Times New Roman" w:hAnsi="Times New Roman"/>
          <w:sz w:val="20"/>
          <w:szCs w:val="20"/>
        </w:rPr>
        <w:t>.</w:t>
      </w:r>
      <w:r w:rsidR="00F17292" w:rsidRPr="004D19FF">
        <w:rPr>
          <w:rFonts w:ascii="Times New Roman" w:hAnsi="Times New Roman"/>
          <w:sz w:val="20"/>
          <w:szCs w:val="20"/>
        </w:rPr>
        <w:t xml:space="preserve"> The wax can later be processed to produce naphtha, kerosene and diesel, among others</w:t>
      </w:r>
      <w:r w:rsidR="00FB22AF" w:rsidRPr="004D19FF">
        <w:rPr>
          <w:rFonts w:ascii="Times New Roman" w:hAnsi="Times New Roman"/>
          <w:sz w:val="20"/>
          <w:szCs w:val="20"/>
        </w:rPr>
        <w:t xml:space="preserve"> </w:t>
      </w:r>
      <w:r w:rsidR="00710E9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4sWXMkJA","properties":{"formattedCitation":"[76,101]","plainCitation":"[76,101]","noteIndex":0},"citationItems":[{"id":"968HXJ10/ADuKvcOt","uris":["http://www.mendeley.com/documents/?uuid=d169e332-7a35-45c2-a9a8-bd439e527144"],"uri":["http://www.mendeley.com/documents/?uuid=d169e332-7a35-45c2-a9a8-bd439e527144"],"itemData":{"author":[{"dropping-particle":"","family":"Rahardjo","given":"Bambang Suwono","non-dropping-particle":"","parse-names":false,"suffix":""}],"container-title":"International Journal of Engineering and Applied Sciences","id":"ITEM-1","issue":"1","issued":{"date-parts":[["2012"]]},"page":"20-39","title":"The Assessment of Syngas Utilization by Fischer Tropsch Synthesis in the Slurry-Bed Reactor Using Co/SiO2 Catalyst","type":"article-journal","volume":"4"}},{"id":"968HXJ10/VJZapnWN","uris":["http://www.mendeley.com/documents/?uuid=1c525981-784b-4bd8-9db6-0fcd92f7e5ad"],"uri":["http://www.mendeley.com/documents/?uuid=1c525981-784b-4bd8-9db6-0fcd92f7e5ad"],"itemData":{"DOI":"10.1016/j.biombioe.2017.08.022","ISSN":"18732909","abstract":"The Fischer-Tropsch process is one of the possible routes to produce synthetic liquid fuels and chemicals employed on large scale in Gas-to-Liquid and Coal-to-Liquid processes, after appropriate transformation of respective fossil sources into syngas. However, syngas can be produced by biomass gasification as well. One of the main problems is the need to ensure high H2/CO ratio to allow the Fischer-Tropsch reaction to occur, operation commonly achieved by resorting to a Water-gas shift step. The present work reports an experimental study on biomass gasification. The aim was to set up a more efficient Biomass-to-Liquid process, which ensures a high H2/CO ratio syngas suitable for Fischer-Tropsch synthesis directly from biomass gasification. In this way, it is possible to remove the Water-gas shift section and consequently make biofuels production more attractive, reducing costs and plant complexity. Two types of biomass have been tested: softwood from forest residues and fast growing crops. Moreover, a bubbling fluidized bed reactor and an indirect gasifier with internal circulating fluidized bed have been used. Gasification tests have been conducted by running gasifiers with both inert and catalytic bed materials. The results have shown that, using the direct gasifier with catalytic bed and a proper configuration, H2/CO molar ratio of 2 can been obtained even at low temperature and low steam/biomass ratio, whereas this is not the case in the indirect one. However, tests suggest that an inverted configuration would make it possible to obtain values near two also with indirect gasifiers, resulting in a new interesting approach.","author":[{"dropping-particle":"","family":"Chiodini","given":"Andrea","non-dropping-particle":"","parse-names":false,"suffix":""},{"dropping-particle":"","family":"Bua","given":"Letizia","non-dropping-particle":"","parse-names":false,"suffix":""},{"dropping-particle":"","family":"Carnelli","given":"Lino","non-dropping-particle":"","parse-names":false,"suffix":""},{"dropping-particle":"","family":"Zwart","given":"Robin","non-dropping-particle":"","parse-names":false,"suffix":""},{"dropping-particle":"","family":"Vreugdenhil","given":"Berend","non-dropping-particle":"","parse-names":false,"suffix":""},{"dropping-particle":"","family":"Vocciante","given":"Marco","non-dropping-particle":"","parse-names":false,"suffix":""}],"container-title":"Biomass and Bioenergy","id":"ITEM-2","issued":{"date-parts":[["2017"]]},"page":"104-114","publisher":"Elsevier Ltd","title":"Enhancements in Biomass-to-Liquid processes: Gasification aiming at high hydrogen/carbon monoxide ratios for direct Fischer-Tropsch synthesis applications","type":"article-journal","volume":"106"}}],"schema":"https://github.com/citation-style-language/schema/raw/master/csl-citation.json"} </w:instrText>
      </w:r>
      <w:r w:rsidR="00710E92" w:rsidRPr="004D19FF">
        <w:rPr>
          <w:rFonts w:ascii="Times New Roman" w:hAnsi="Times New Roman"/>
          <w:sz w:val="20"/>
          <w:szCs w:val="20"/>
        </w:rPr>
        <w:fldChar w:fldCharType="separate"/>
      </w:r>
      <w:r w:rsidR="00623E85" w:rsidRPr="00623E85">
        <w:rPr>
          <w:rFonts w:ascii="Times New Roman" w:hAnsi="Times New Roman" w:cs="Times New Roman"/>
          <w:sz w:val="20"/>
        </w:rPr>
        <w:t>[76,101]</w:t>
      </w:r>
      <w:r w:rsidR="00710E92" w:rsidRPr="004D19FF">
        <w:rPr>
          <w:rFonts w:ascii="Times New Roman" w:hAnsi="Times New Roman"/>
          <w:sz w:val="20"/>
          <w:szCs w:val="20"/>
        </w:rPr>
        <w:fldChar w:fldCharType="end"/>
      </w:r>
      <w:r w:rsidR="0010614E" w:rsidRPr="004D19FF">
        <w:rPr>
          <w:rFonts w:ascii="Times New Roman" w:hAnsi="Times New Roman"/>
          <w:sz w:val="20"/>
          <w:szCs w:val="20"/>
        </w:rPr>
        <w:t>.</w:t>
      </w:r>
      <w:r w:rsidR="00DB1F67" w:rsidRPr="004D19FF">
        <w:rPr>
          <w:rFonts w:ascii="Times New Roman" w:hAnsi="Times New Roman"/>
          <w:sz w:val="20"/>
          <w:szCs w:val="20"/>
        </w:rPr>
        <w:t xml:space="preserve"> </w:t>
      </w:r>
      <w:r w:rsidR="00F17292" w:rsidRPr="004D19FF">
        <w:rPr>
          <w:rFonts w:ascii="Times New Roman" w:hAnsi="Times New Roman"/>
          <w:sz w:val="20"/>
          <w:szCs w:val="20"/>
        </w:rPr>
        <w:t>It should be noted that the wax is sometimes defined as C</w:t>
      </w:r>
      <w:r w:rsidR="00C912AB" w:rsidRPr="004D19FF">
        <w:rPr>
          <w:rFonts w:ascii="Times New Roman" w:hAnsi="Times New Roman"/>
          <w:sz w:val="20"/>
          <w:szCs w:val="20"/>
          <w:vertAlign w:val="subscript"/>
        </w:rPr>
        <w:t>20</w:t>
      </w:r>
      <w:r w:rsidR="00F17292" w:rsidRPr="004D19FF">
        <w:rPr>
          <w:rFonts w:ascii="Times New Roman" w:hAnsi="Times New Roman"/>
          <w:sz w:val="20"/>
          <w:szCs w:val="20"/>
        </w:rPr>
        <w:t xml:space="preserve"> </w:t>
      </w:r>
      <w:r w:rsidR="00A10DF6"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A2TXTFVR","properties":{"formattedCitation":"[103]","plainCitation":"[103]","noteIndex":0},"citationItems":[{"id":"968HXJ10/mFfyTbtV","uris":["http://www.mendeley.com/documents/?uuid=7069da31-31d8-4818-9785-214391eebb34"],"uri":["http://www.mendeley.com/documents/?uuid=7069da31-31d8-4818-9785-214391eebb34"],"itemData":{"DOI":"10.1016/j.ecmx.2020.100041","ISSN":"25901745","abstract":"Power-to-liquid (P2L) pathways represent a possible solution for the conversion of carbon dioxide into synthetic value-added products. The present work analyses different power-to-liquid options for the synthesis of Fischer-Tropsch (FT) fuels and chemicals. The FT section is integrated into a complete carbon capture and utilization route. The involved processes are a biogas upgrading unit for CO2 recovery, a reverse water gas shift, a solid oxide electrolyser and a Fischer-Tropsch reactor. The upgrading plant produces about 1 ton/h of carbon dioxide. The recovered CO2 is fed to either a reverse water gas shift reactor or a solid oxide electrolysis unit operating in co-electrolysis mode for the generation of syngas. The produced syngas is fed to a Fischer-Tropsch reactor at 501 K and 25 bar for the synthesis of the Fischer-Tropsch products, which are further separated into different classes based on their boiling point to yield light gas, naphtha, middle distillates, light waxes and heavy waxes. The developed process model uses a detailed carbide kinetic model to describe the formation of paraffins and olefins based on real experimental data. The effect of Fischer-Tropsch off-gas recirculation has been studied against a one-through option. Finally, energy integration of each configuration plant is provided. Results from process simulations show that the best model configurations reach a plant efficiency of 81.1% in the case of solid oxide electrolyser as syngas generator, and 71.8% in the case of reverse water gas shift option, with a global carbon reduction potential of 79.4% and 81.7%, respectively.","author":[{"dropping-particle":"","family":"Marchese","given":"Marco","non-dropping-particle":"","parse-names":false,"suffix":""},{"dropping-particle":"","family":"Giglio","given":"Emanuele","non-dropping-particle":"","parse-names":false,"suffix":""},{"dropping-particle":"","family":"Santarelli","given":"Massimo","non-dropping-particle":"","parse-names":false,"suffix":""},{"dropping-particle":"","family":"Lanzini","given":"Andrea","non-dropping-particle":"","parse-names":false,"suffix":""}],"container-title":"Energy Conversion and Management: X","id":"ITEM-1","issue":"January","issued":{"date-parts":[["2020"]]},"page":"100041","publisher":"Elsevier","title":"Energy performance of Power-to-Liquid applications integrating biogas upgrading, reverse water gas shift, solid oxide electrolysis and Fischer-Tropsch technologies","type":"article-journal","volume":"6"}}],"schema":"https://github.com/citation-style-language/schema/raw/master/csl-citation.json"} </w:instrText>
      </w:r>
      <w:r w:rsidR="00A10DF6" w:rsidRPr="004D19FF">
        <w:rPr>
          <w:rFonts w:ascii="Times New Roman" w:hAnsi="Times New Roman"/>
          <w:sz w:val="20"/>
          <w:szCs w:val="20"/>
        </w:rPr>
        <w:fldChar w:fldCharType="separate"/>
      </w:r>
      <w:r w:rsidR="00623E85" w:rsidRPr="00623E85">
        <w:rPr>
          <w:rFonts w:ascii="Times New Roman" w:hAnsi="Times New Roman" w:cs="Times New Roman"/>
          <w:sz w:val="20"/>
        </w:rPr>
        <w:t>[103]</w:t>
      </w:r>
      <w:r w:rsidR="00A10DF6" w:rsidRPr="004D19FF">
        <w:rPr>
          <w:rFonts w:ascii="Times New Roman" w:hAnsi="Times New Roman"/>
          <w:sz w:val="20"/>
          <w:szCs w:val="20"/>
        </w:rPr>
        <w:fldChar w:fldCharType="end"/>
      </w:r>
      <w:r w:rsidR="00F17292" w:rsidRPr="004D19FF">
        <w:rPr>
          <w:rFonts w:ascii="Times New Roman" w:hAnsi="Times New Roman"/>
          <w:sz w:val="20"/>
          <w:szCs w:val="20"/>
          <w:lang w:val="fr-FR"/>
        </w:rPr>
        <w:t>,</w:t>
      </w:r>
      <w:r w:rsidR="000C6E6A" w:rsidRPr="004D19FF">
        <w:rPr>
          <w:rFonts w:ascii="Times New Roman" w:hAnsi="Times New Roman"/>
          <w:sz w:val="20"/>
          <w:szCs w:val="20"/>
          <w:lang w:val="fr-FR"/>
        </w:rPr>
        <w:t xml:space="preserve"> C</w:t>
      </w:r>
      <w:r w:rsidR="000C6E6A" w:rsidRPr="004D19FF">
        <w:rPr>
          <w:rFonts w:ascii="Times New Roman" w:hAnsi="Times New Roman"/>
          <w:sz w:val="20"/>
          <w:szCs w:val="20"/>
          <w:vertAlign w:val="subscript"/>
          <w:lang w:val="fr-FR"/>
        </w:rPr>
        <w:t>21</w:t>
      </w:r>
      <w:r w:rsidR="000C6E6A" w:rsidRPr="004D19FF">
        <w:rPr>
          <w:rFonts w:ascii="Times New Roman" w:hAnsi="Times New Roman"/>
          <w:sz w:val="20"/>
          <w:szCs w:val="20"/>
          <w:lang w:val="fr-FR"/>
        </w:rPr>
        <w:t xml:space="preserve"> </w:t>
      </w:r>
      <w:r w:rsidR="00A10DF6" w:rsidRPr="004D19FF">
        <w:rPr>
          <w:rFonts w:ascii="Times New Roman" w:hAnsi="Times New Roman"/>
          <w:sz w:val="20"/>
          <w:szCs w:val="20"/>
        </w:rPr>
        <w:fldChar w:fldCharType="begin" w:fldLock="1"/>
      </w:r>
      <w:r w:rsidR="00752A1E">
        <w:rPr>
          <w:rFonts w:ascii="Times New Roman" w:hAnsi="Times New Roman"/>
          <w:sz w:val="20"/>
          <w:szCs w:val="20"/>
          <w:lang w:val="fr-FR"/>
        </w:rPr>
        <w:instrText xml:space="preserve"> ADDIN ZOTERO_ITEM CSL_CITATION {"citationID":"Urd6F2pf","properties":{"formattedCitation":"[104]","plainCitation":"[104]","noteIndex":0},"citationItems":[{"id":"968HXJ10/y2mzOzUd","uris":["http://www.mendeley.com/documents/?uuid=7f0a886f-41d8-42ee-b830-70d832754ec3"],"uri":["http://www.mendeley.com/documents/?uuid=7f0a886f-41d8-42ee-b830-70d832754ec3"],"itemData":{"ISBN":"9783866443303","abstract":"Univ,(TH), Diss--Karlsruhe, 2008.","author":[{"dropping-particle":"","family":"A.M. Subiranas","given":"","non-dropping-particle":"","parse-names":false,"suffix":""}],"container-title":"D-Nb.Info","id":"ITEM-1","issued":{"date-parts":[["2009"]]},"number-of-pages":"186","title":"Combining Fischer-Tropsch Synthesis (FTS) and Hydrocarbon Reactions in one Reactor","type":"book"}}],"schema":"https://github.com/citation-style-language/schema/raw/master/csl-citation.json"} </w:instrText>
      </w:r>
      <w:r w:rsidR="00A10DF6" w:rsidRPr="004D19FF">
        <w:rPr>
          <w:rFonts w:ascii="Times New Roman" w:hAnsi="Times New Roman"/>
          <w:sz w:val="20"/>
          <w:szCs w:val="20"/>
        </w:rPr>
        <w:fldChar w:fldCharType="separate"/>
      </w:r>
      <w:r w:rsidR="00623E85" w:rsidRPr="00623E85">
        <w:rPr>
          <w:rFonts w:ascii="Times New Roman" w:hAnsi="Times New Roman" w:cs="Times New Roman"/>
          <w:sz w:val="20"/>
        </w:rPr>
        <w:t>[104]</w:t>
      </w:r>
      <w:r w:rsidR="00A10DF6" w:rsidRPr="004D19FF">
        <w:rPr>
          <w:rFonts w:ascii="Times New Roman" w:hAnsi="Times New Roman"/>
          <w:sz w:val="20"/>
          <w:szCs w:val="20"/>
        </w:rPr>
        <w:fldChar w:fldCharType="end"/>
      </w:r>
      <w:r w:rsidR="000C6E6A" w:rsidRPr="004D19FF">
        <w:rPr>
          <w:rFonts w:ascii="Times New Roman" w:hAnsi="Times New Roman"/>
          <w:sz w:val="20"/>
          <w:szCs w:val="20"/>
          <w:lang w:val="fr-FR"/>
        </w:rPr>
        <w:t>,</w:t>
      </w:r>
      <w:r w:rsidR="00F17292" w:rsidRPr="004D19FF">
        <w:rPr>
          <w:rFonts w:ascii="Times New Roman" w:hAnsi="Times New Roman"/>
          <w:sz w:val="20"/>
          <w:szCs w:val="20"/>
          <w:lang w:val="fr-FR"/>
        </w:rPr>
        <w:t xml:space="preserve"> C</w:t>
      </w:r>
      <w:r w:rsidR="00F17292" w:rsidRPr="004D19FF">
        <w:rPr>
          <w:rFonts w:ascii="Times New Roman" w:hAnsi="Times New Roman"/>
          <w:sz w:val="20"/>
          <w:szCs w:val="20"/>
          <w:vertAlign w:val="subscript"/>
          <w:lang w:val="fr-FR"/>
        </w:rPr>
        <w:t>22</w:t>
      </w:r>
      <w:r w:rsidR="009E25E3" w:rsidRPr="004D19FF">
        <w:rPr>
          <w:rFonts w:ascii="Times New Roman" w:hAnsi="Times New Roman"/>
          <w:sz w:val="20"/>
          <w:szCs w:val="20"/>
          <w:vertAlign w:val="subscript"/>
          <w:lang w:val="fr-FR"/>
        </w:rPr>
        <w:t xml:space="preserve"> </w:t>
      </w:r>
      <w:r w:rsidR="00CA3D0E" w:rsidRPr="004D19FF">
        <w:rPr>
          <w:rFonts w:ascii="Times New Roman" w:hAnsi="Times New Roman"/>
          <w:sz w:val="20"/>
          <w:szCs w:val="20"/>
          <w:vertAlign w:val="subscript"/>
          <w:lang w:val="fr-FR"/>
        </w:rPr>
        <w:fldChar w:fldCharType="begin" w:fldLock="1"/>
      </w:r>
      <w:r w:rsidR="00752A1E">
        <w:rPr>
          <w:rFonts w:ascii="Times New Roman" w:hAnsi="Times New Roman"/>
          <w:sz w:val="20"/>
          <w:szCs w:val="20"/>
          <w:vertAlign w:val="subscript"/>
          <w:lang w:val="fr-FR"/>
        </w:rPr>
        <w:instrText xml:space="preserve"> ADDIN ZOTERO_ITEM CSL_CITATION {"citationID":"N7gwko2x","properties":{"formattedCitation":"[105]","plainCitation":"[105]","noteIndex":0},"citationItems":[{"id":"968HXJ10/1QSUzbOd","uris":["http://www.mendeley.com/documents/?uuid=7a689268-a150-4d0a-b1f5-5c4f192a225b"],"uri":["http://www.mendeley.com/documents/?uuid=7a689268-a150-4d0a-b1f5-5c4f192a225b"],"itemData":{"DOI":"10.2516/ogst/2008047","ISSN":"12944475","abstract":"In recent years, the production of hydrocarbon cuts from various sources via the Fischer-Tropsch process has lived a renewed interest. Paraffinic cuts produced via the Fischer-Tropsch reaction can be upgraded either to liquid fuels (middle distillates) or to lubricant base oil of high quality. The first kind of upgrading involves the use of a hydrocracking catalyst whereas for the second kind of upgrading selective hydroisomerization catalysts can be selected. Both catalysts are bifunctional and contain an hydrogenation/dehydrogenation function and an acidic function; however, it is shown that depending of the kind of upgrading needed, the acidic f</w:instrText>
      </w:r>
      <w:r w:rsidR="00752A1E" w:rsidRPr="00752A1E">
        <w:rPr>
          <w:rFonts w:ascii="Times New Roman" w:hAnsi="Times New Roman"/>
          <w:sz w:val="20"/>
          <w:szCs w:val="20"/>
          <w:vertAlign w:val="subscript"/>
        </w:rPr>
        <w:instrText xml:space="preserve">unction has to fulfill various requirements. The first part of this article is a short review dealing with long chain n-paraffin hydrocracking mechanisms and catalysts. Specificities of Fischer-Tropsch feedstocks compared to conventional ones as well as the potential impact of oxygenate compounds on the hydrocracking catalysts are underlined. The second part of this article is devoted to the selective hydroisomerization mechanisms and catalysts. It is shown that the topology of the solid acid porosity is a key factor for governing the selectivity of the catalyst towards hydroisomerization. Copyright © 2009, Institut français du pétrole.","author":[{"dropping-particle":"","family":"Bouchy","given":"Christophe","non-dropping-particle":"","parse-names":false,"suffix":""},{"dropping-particle":"","family":"Hastoy","given":"G.","non-dropping-particle":"","parse-names":false,"suffix":""},{"dropping-particle":"","family":"Guillon","given":"Emmanuelle","non-dropping-particle":"","parse-names":false,"suffix":""},{"dropping-particle":"","family":"Martens","given":"Johan A.","non-dropping-particle":"","parse-names":false,"suffix":""}],"container-title":"Oil and Gas Science and Technology","id":"ITEM-1","issue":"1","issued":{"date-parts":[["2009"]]},"page":"91-112","title":"Fischer-Tropsch waxes upgrading via hydrocracking and selective hydroisomerization","type":"article-journal","volume":"64"}}],"schema":"https://github.com/citation-style-language/schema/raw/master/csl-citation.json"} </w:instrText>
      </w:r>
      <w:r w:rsidR="00CA3D0E" w:rsidRPr="004D19FF">
        <w:rPr>
          <w:rFonts w:ascii="Times New Roman" w:hAnsi="Times New Roman"/>
          <w:sz w:val="20"/>
          <w:szCs w:val="20"/>
          <w:vertAlign w:val="subscript"/>
          <w:lang w:val="fr-FR"/>
        </w:rPr>
        <w:fldChar w:fldCharType="separate"/>
      </w:r>
      <w:r w:rsidR="00623E85" w:rsidRPr="00623E85">
        <w:rPr>
          <w:rFonts w:ascii="Times New Roman" w:hAnsi="Times New Roman" w:cs="Times New Roman"/>
          <w:sz w:val="20"/>
        </w:rPr>
        <w:t>[105]</w:t>
      </w:r>
      <w:r w:rsidR="00CA3D0E" w:rsidRPr="004D19FF">
        <w:rPr>
          <w:rFonts w:ascii="Times New Roman" w:hAnsi="Times New Roman"/>
          <w:sz w:val="20"/>
          <w:szCs w:val="20"/>
          <w:vertAlign w:val="subscript"/>
          <w:lang w:val="fr-FR"/>
        </w:rPr>
        <w:fldChar w:fldCharType="end"/>
      </w:r>
      <w:r w:rsidR="00F17292" w:rsidRPr="004D19FF">
        <w:rPr>
          <w:rFonts w:ascii="Times New Roman" w:hAnsi="Times New Roman"/>
          <w:sz w:val="20"/>
          <w:szCs w:val="20"/>
        </w:rPr>
        <w:t xml:space="preserve"> or C</w:t>
      </w:r>
      <w:r w:rsidR="00F17292" w:rsidRPr="004D19FF">
        <w:rPr>
          <w:rFonts w:ascii="Times New Roman" w:hAnsi="Times New Roman"/>
          <w:sz w:val="20"/>
          <w:szCs w:val="20"/>
          <w:vertAlign w:val="subscript"/>
        </w:rPr>
        <w:t>23</w:t>
      </w:r>
      <w:r w:rsidR="00F17292" w:rsidRPr="004D19FF">
        <w:rPr>
          <w:rFonts w:ascii="Times New Roman" w:hAnsi="Times New Roman"/>
          <w:sz w:val="20"/>
          <w:szCs w:val="20"/>
        </w:rPr>
        <w:t xml:space="preserve"> </w:t>
      </w:r>
      <w:r w:rsidR="004F4718">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1gKncBYh","properties":{"formattedCitation":"[102]","plainCitation":"[102]","noteIndex":0},"citationItems":[{"id":"968HXJ10/wuwik3je","uris":["http://www.mendeley.com/documents/?uuid=e6b9e16b-5ec9-4415-8d55-f387eb02f512"],"uri":["http://www.mendeley.com/documents/?uuid=e6b9e16b-5ec9-4415-8d55-f387eb02f512"],"itemData":{"DOI":"10.1039/c0ee00692k","ISSN":"17545692","abstract":"Carbon sources, such as coal, natural gas, biomass and waste, can be converted into transportation fuels by combining appropriate gasification, Fischer-Tropsch and refining technologies. Efficient refining of the Fischer-Tropsch synthesis derived syncrude requires a different approach to refinery design than commonly applied to crude oil refinery design. The design of refineries to optimise the production of on-specification motor-gasoline, jet fuel and diesel fuel respectively from both high temperature Fischer-Tropsch (HTFT) syncrude and low temperature Fischer-Tropsch (LTFT) are considered. Refinery designs are presented for the production of motor-gasoline and jet fuel with better than 50% yield (better than 70% selectivity on transportation fuel), without resorting to very complex designs. Only diesel fuel refining presented a problem, since the production of on-specification EN590:2004 diesel fuel is limited by a Fischer-Tropsch specific cetane-density-yield trade-off. The compound classes that are required to produce diesel fuel in high yield that meet both minimum cetane number and minimum density requirements are not abundant in Fischer-Tropsch syncrude. Refinery designs for diesel fuel production was limited to a yield of less than 25% EN 590:2004 compliant diesel fuel. This yield restriction does not apply when diesel fuel specifications do not have a minimum density requirement. © 2011 The Royal Society of Chemistry.","author":[{"dropping-particle":"","family":"Klerk","given":"A.","non-dropping-particle":"de","parse-names":false,"suffix":""}],"container-title":"Energy and Environmental Science","id":"ITEM-1","issue":"4","issued":{"date-parts":[["2011"]]},"page":"1177-1205","title":"Fischer-Tropsch fuels refinery design","type":"article-journal","volume":"4"}}],"schema":"https://github.com/citation-style-language/schema/raw/master/csl-citation.json"} </w:instrText>
      </w:r>
      <w:r w:rsidR="004F4718">
        <w:rPr>
          <w:rFonts w:ascii="Times New Roman" w:hAnsi="Times New Roman"/>
          <w:sz w:val="20"/>
          <w:szCs w:val="20"/>
        </w:rPr>
        <w:fldChar w:fldCharType="separate"/>
      </w:r>
      <w:r w:rsidR="00623E85" w:rsidRPr="00623E85">
        <w:rPr>
          <w:rFonts w:ascii="Times New Roman" w:hAnsi="Times New Roman" w:cs="Times New Roman"/>
          <w:sz w:val="20"/>
        </w:rPr>
        <w:t>[102]</w:t>
      </w:r>
      <w:r w:rsidR="004F4718">
        <w:rPr>
          <w:rFonts w:ascii="Times New Roman" w:hAnsi="Times New Roman"/>
          <w:sz w:val="20"/>
          <w:szCs w:val="20"/>
        </w:rPr>
        <w:fldChar w:fldCharType="end"/>
      </w:r>
      <w:r w:rsidR="00AF767A">
        <w:rPr>
          <w:rFonts w:ascii="Times New Roman" w:hAnsi="Times New Roman"/>
          <w:sz w:val="20"/>
          <w:szCs w:val="20"/>
        </w:rPr>
        <w:t xml:space="preserve"> </w:t>
      </w:r>
      <w:r w:rsidR="00F17292" w:rsidRPr="004D19FF">
        <w:rPr>
          <w:rFonts w:ascii="Times New Roman" w:hAnsi="Times New Roman"/>
          <w:sz w:val="20"/>
          <w:szCs w:val="20"/>
        </w:rPr>
        <w:t xml:space="preserve">and heavier fractions. </w:t>
      </w:r>
      <w:r w:rsidRPr="004D19FF">
        <w:rPr>
          <w:rFonts w:ascii="Times New Roman" w:hAnsi="Times New Roman"/>
          <w:sz w:val="20"/>
          <w:szCs w:val="20"/>
        </w:rPr>
        <w:t>C</w:t>
      </w:r>
      <w:r w:rsidR="005D2A8F" w:rsidRPr="004D19FF">
        <w:rPr>
          <w:rFonts w:ascii="Times New Roman" w:hAnsi="Times New Roman"/>
          <w:sz w:val="20"/>
          <w:szCs w:val="20"/>
        </w:rPr>
        <w:t xml:space="preserve">ommon catalysts </w:t>
      </w:r>
      <w:r w:rsidR="003A54B5" w:rsidRPr="004D19FF">
        <w:rPr>
          <w:rFonts w:ascii="Times New Roman" w:hAnsi="Times New Roman"/>
          <w:sz w:val="20"/>
          <w:szCs w:val="20"/>
        </w:rPr>
        <w:t xml:space="preserve">used </w:t>
      </w:r>
      <w:r w:rsidRPr="004D19FF">
        <w:rPr>
          <w:rFonts w:ascii="Times New Roman" w:hAnsi="Times New Roman"/>
          <w:sz w:val="20"/>
          <w:szCs w:val="20"/>
        </w:rPr>
        <w:t>are</w:t>
      </w:r>
      <w:r w:rsidR="006C152F" w:rsidRPr="004D19FF">
        <w:rPr>
          <w:rFonts w:ascii="Times New Roman" w:hAnsi="Times New Roman"/>
          <w:sz w:val="20"/>
          <w:szCs w:val="20"/>
        </w:rPr>
        <w:t xml:space="preserve"> transition metal</w:t>
      </w:r>
      <w:r w:rsidRPr="004D19FF">
        <w:rPr>
          <w:rFonts w:ascii="Times New Roman" w:hAnsi="Times New Roman"/>
          <w:sz w:val="20"/>
          <w:szCs w:val="20"/>
        </w:rPr>
        <w:t>s</w:t>
      </w:r>
      <w:r w:rsidR="006C152F" w:rsidRPr="004D19FF">
        <w:rPr>
          <w:rFonts w:ascii="Times New Roman" w:hAnsi="Times New Roman"/>
          <w:sz w:val="20"/>
          <w:szCs w:val="20"/>
        </w:rPr>
        <w:t xml:space="preserve"> </w:t>
      </w:r>
      <w:r w:rsidRPr="004D19FF">
        <w:rPr>
          <w:rFonts w:ascii="Times New Roman" w:hAnsi="Times New Roman"/>
          <w:sz w:val="20"/>
          <w:szCs w:val="20"/>
        </w:rPr>
        <w:t xml:space="preserve">like Fe, Co, Ni and </w:t>
      </w:r>
      <w:r w:rsidR="005D2A8F" w:rsidRPr="004D19FF">
        <w:rPr>
          <w:rFonts w:ascii="Times New Roman" w:hAnsi="Times New Roman"/>
          <w:sz w:val="20"/>
          <w:szCs w:val="20"/>
        </w:rPr>
        <w:t xml:space="preserve">Ru. Fe and Co are </w:t>
      </w:r>
      <w:r w:rsidRPr="004D19FF">
        <w:rPr>
          <w:rFonts w:ascii="Times New Roman" w:hAnsi="Times New Roman"/>
          <w:sz w:val="20"/>
          <w:szCs w:val="20"/>
        </w:rPr>
        <w:t xml:space="preserve">widely </w:t>
      </w:r>
      <w:r w:rsidR="00966670" w:rsidRPr="004D19FF">
        <w:rPr>
          <w:rFonts w:ascii="Times New Roman" w:hAnsi="Times New Roman"/>
          <w:sz w:val="20"/>
          <w:szCs w:val="20"/>
        </w:rPr>
        <w:t xml:space="preserve">used </w:t>
      </w:r>
      <w:r w:rsidRPr="004D19FF">
        <w:rPr>
          <w:rFonts w:ascii="Times New Roman" w:hAnsi="Times New Roman"/>
          <w:sz w:val="20"/>
          <w:szCs w:val="20"/>
        </w:rPr>
        <w:t>catalysts, with distinct selectivity</w:t>
      </w:r>
      <w:r w:rsidR="005D2A8F" w:rsidRPr="004D19FF">
        <w:rPr>
          <w:rFonts w:ascii="Times New Roman" w:hAnsi="Times New Roman"/>
          <w:sz w:val="20"/>
          <w:szCs w:val="20"/>
        </w:rPr>
        <w:t xml:space="preserve">. </w:t>
      </w:r>
      <w:r w:rsidR="00212360" w:rsidRPr="004D19FF">
        <w:rPr>
          <w:rFonts w:ascii="Times New Roman" w:hAnsi="Times New Roman"/>
          <w:sz w:val="20"/>
          <w:szCs w:val="20"/>
        </w:rPr>
        <w:t>F</w:t>
      </w:r>
      <w:r w:rsidR="00DC3CE3" w:rsidRPr="004D19FF">
        <w:rPr>
          <w:rFonts w:ascii="Times New Roman" w:hAnsi="Times New Roman"/>
          <w:sz w:val="20"/>
          <w:szCs w:val="20"/>
        </w:rPr>
        <w:t xml:space="preserve">or example, </w:t>
      </w:r>
      <w:r w:rsidRPr="004D19FF">
        <w:rPr>
          <w:rFonts w:ascii="Times New Roman" w:hAnsi="Times New Roman"/>
          <w:sz w:val="20"/>
          <w:szCs w:val="20"/>
        </w:rPr>
        <w:t xml:space="preserve">Fe-based LTFT generates </w:t>
      </w:r>
      <w:r w:rsidR="0027349C" w:rsidRPr="004D19FF">
        <w:rPr>
          <w:rFonts w:ascii="Times New Roman" w:hAnsi="Times New Roman"/>
          <w:sz w:val="20"/>
          <w:szCs w:val="20"/>
        </w:rPr>
        <w:t>high</w:t>
      </w:r>
      <w:r w:rsidRPr="004D19FF">
        <w:rPr>
          <w:rFonts w:ascii="Times New Roman" w:hAnsi="Times New Roman"/>
          <w:sz w:val="20"/>
          <w:szCs w:val="20"/>
        </w:rPr>
        <w:t>er olefins</w:t>
      </w:r>
      <w:r w:rsidR="0027349C" w:rsidRPr="004D19FF">
        <w:rPr>
          <w:rFonts w:ascii="Times New Roman" w:hAnsi="Times New Roman"/>
          <w:sz w:val="20"/>
          <w:szCs w:val="20"/>
        </w:rPr>
        <w:t xml:space="preserve"> concentration </w:t>
      </w:r>
      <w:r w:rsidRPr="004D19FF">
        <w:rPr>
          <w:rFonts w:ascii="Times New Roman" w:hAnsi="Times New Roman"/>
          <w:sz w:val="20"/>
          <w:szCs w:val="20"/>
        </w:rPr>
        <w:t>as</w:t>
      </w:r>
      <w:r w:rsidR="0027349C" w:rsidRPr="004D19FF">
        <w:rPr>
          <w:rFonts w:ascii="Times New Roman" w:hAnsi="Times New Roman"/>
          <w:sz w:val="20"/>
          <w:szCs w:val="20"/>
        </w:rPr>
        <w:t xml:space="preserve"> C</w:t>
      </w:r>
      <w:r w:rsidR="00F17292" w:rsidRPr="004D19FF">
        <w:rPr>
          <w:rFonts w:ascii="Times New Roman" w:hAnsi="Times New Roman"/>
          <w:sz w:val="20"/>
          <w:szCs w:val="20"/>
        </w:rPr>
        <w:t>o-based LTFT, but with lower hydrocarbon conversion</w:t>
      </w:r>
      <w:r w:rsidRPr="004D19FF">
        <w:rPr>
          <w:rFonts w:ascii="Times New Roman" w:hAnsi="Times New Roman"/>
          <w:sz w:val="20"/>
          <w:szCs w:val="20"/>
        </w:rPr>
        <w:t xml:space="preserve"> and more CO</w:t>
      </w:r>
      <w:r w:rsidRPr="004D19FF">
        <w:rPr>
          <w:rFonts w:ascii="Times New Roman" w:hAnsi="Times New Roman"/>
          <w:sz w:val="20"/>
          <w:szCs w:val="20"/>
          <w:vertAlign w:val="subscript"/>
        </w:rPr>
        <w:t>2</w:t>
      </w:r>
      <w:r w:rsidRPr="004D19FF">
        <w:rPr>
          <w:rFonts w:ascii="Times New Roman" w:hAnsi="Times New Roman"/>
          <w:sz w:val="20"/>
          <w:szCs w:val="20"/>
        </w:rPr>
        <w:t xml:space="preserve"> production</w:t>
      </w:r>
      <w:r w:rsidR="0027349C" w:rsidRPr="004D19FF">
        <w:rPr>
          <w:rFonts w:ascii="Times New Roman" w:hAnsi="Times New Roman"/>
          <w:sz w:val="20"/>
          <w:szCs w:val="20"/>
        </w:rPr>
        <w:t>. Co</w:t>
      </w:r>
      <w:r w:rsidR="00891632" w:rsidRPr="004D19FF">
        <w:rPr>
          <w:rFonts w:ascii="Times New Roman" w:hAnsi="Times New Roman"/>
          <w:sz w:val="20"/>
          <w:szCs w:val="20"/>
        </w:rPr>
        <w:t>balt</w:t>
      </w:r>
      <w:r w:rsidR="0027349C" w:rsidRPr="004D19FF">
        <w:rPr>
          <w:rFonts w:ascii="Times New Roman" w:hAnsi="Times New Roman"/>
          <w:sz w:val="20"/>
          <w:szCs w:val="20"/>
        </w:rPr>
        <w:t xml:space="preserve">-based catalyst is </w:t>
      </w:r>
      <w:r w:rsidR="00F17292" w:rsidRPr="004D19FF">
        <w:rPr>
          <w:rFonts w:ascii="Times New Roman" w:hAnsi="Times New Roman"/>
          <w:sz w:val="20"/>
          <w:szCs w:val="20"/>
        </w:rPr>
        <w:t xml:space="preserve">often preferred for GtL FT </w:t>
      </w:r>
      <w:r w:rsidR="0027349C" w:rsidRPr="004D19FF">
        <w:rPr>
          <w:rFonts w:ascii="Times New Roman" w:hAnsi="Times New Roman"/>
          <w:sz w:val="20"/>
          <w:szCs w:val="20"/>
        </w:rPr>
        <w:t>due to its high activity and s</w:t>
      </w:r>
      <w:r w:rsidR="00B662F2" w:rsidRPr="004D19FF">
        <w:rPr>
          <w:rFonts w:ascii="Times New Roman" w:hAnsi="Times New Roman"/>
          <w:sz w:val="20"/>
          <w:szCs w:val="20"/>
        </w:rPr>
        <w:t>electivity to linear paraffins</w:t>
      </w:r>
      <w:r w:rsidR="00C14DF9" w:rsidRPr="004D19FF">
        <w:rPr>
          <w:rFonts w:ascii="Times New Roman" w:hAnsi="Times New Roman"/>
          <w:sz w:val="20"/>
          <w:szCs w:val="20"/>
        </w:rPr>
        <w:t xml:space="preserve"> </w:t>
      </w:r>
      <w:r w:rsidR="00752AA6"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Xujg9JQ","properties":{"formattedCitation":"[68,106\\uc0\\u8211{}108]","plainCitation":"[68,106–108]","noteIndex":0},"citationItems":[{"id":"968HXJ10/x3pbDJsC","uris":["http://www.mendeley.com/documents/?uuid=b1a0fa58-93ed-4f53-975d-1784fd793e8e"],"uri":["http://www.mendeley.com/documents/?uuid=b1a0fa58-93ed-4f53-975d-1784fd793e8e"],"itemData":{"DOI":"10.1016/S0973-0826(08)60411-1","ISSN":"09730826","abstract":"While Fischer-Tropsch synthesis (FTS) using coal and natural gas in conventional reactors is an almost well-established technology, the production of liquid hydrocarbons from syngas obtained from biomass is in its preliminary stages of commercialization in countries like Germany. With concerns about global warming and ways of disposing of CO2 being searched for, CO2 hydrogenation using FTS to liquid hydrocarbons can act as a CO2 sink. A brief review of FTS using CO2-rich syngas is given in this paper, looking at FTS as a technology that can help reduce global warming and as a process integration alternative. The reverse water gas shift (r-WGS) reaction is vital for CO2 hydrogenation. We have studied the effect of this using an FT kinetic model and have proposed a new flow sheet alternative for FTS using CO2-rich syngas. Simulations suggested that this new process gives better conversion of CO2. The product selectivity and yields from an FT plant are vital to make the process viable economically. © 2007 International Energy Initiative, Inc.","author":[{"dropping-particle":"","family":"Srinivas","given":"S.","non-dropping-particle":"","parse-names":false,"suffix":""},{"dropping-particle":"","family":"Malik","given":"Ranjan K.","non-dropping-particle":"","parse-names":false,"suffix":""},{"dropping-particle":"","family":"Mahajani","given":"Sanjay M.","non-dropping-particle":"","parse-names":false,"suffix":""}],"container-title":"Energy for Sustainable Development","id":"ITEM-1","issue":"4","issued":{"date-parts":[["2007"]]},"page":"66-71","publisher":"International Energy Initiative, Inc.","title":"Fischer-Tropsch synthesis using bio-syngas and CO2","type":"article-journal","volume":"11"}},{"id":"968HXJ10/0eCJd50n","uris":["http://www.mendeley.com/documents/?uuid=03309188-e716-42da-a337-6d8665588b71"],"uri":["http://www.mendeley.com/documents/?uuid=03309188-e716-42da-a337-6d8665588b71"],"itemData":{"DOI":"10.1002/ceat.200800067","ISSN":"09307516","abstract":"The Fischer-Tropsch synthesis is at the heart of the Biomass-to-Liquids (BTL) process. Feasibility studies published in open literature typically consider cobalt-based catalysts for the Fischer-Tropsch synthesis. Here, we present an overview on the history and development up until the present for both cobalt- and iron-based Fischer-Tropsch catalysts. The role of the support material and various other additives to the catalyst formulation are discussed in detail with regard to activity, catalyst deactivation, and selectivity. Tentative explanations for e.g. the observed size dependency in cobalt-based catalysts and phase transformations in iron-based Fischer-Tropsch catalysts are offered. The productivity of cobalt-based catalysts at high conversion level is currently higher than that of iron-based catalysts. Nevertheless, it is argued that iron-based catalysts may be an attractive option for the BTL-process, since it is much cheaper, impacting on the cost of the process due to inevitable process set-ups in industrial operation. Improvement of current iron-based catalysts is however desired. © 2008 Wiley-VCH Verlag GmbH &amp; Co. KGaA, Weinheim.","author":[{"dropping-particle":"","family":"Steen","given":"Eric","non-dropping-particle":"van","parse-names":false,"suffix":""},{"dropping-particle":"","family":"Claeys","given":"Michael","non-dropping-particle":"","parse-names":false,"suffix":""}],"container-title":"Chemical Engineering and Technology","id":"ITEM-2","issue":"5","issued":{"date-parts":[["2008"]]},"page":"655-666","title":"Fischer-Tropsch catalysts for the biomass-to-liquid process","type":"article-journal","volume":"31"}},{"id":"968HXJ10/c8vL3gv8","uris":["http://www.mendeley.com/documents/?uuid=d3170ee7-9a96-4de7-ac8e-4eb3e1417bdc"],"uri":["http://www.mendeley.com/documents/?uuid=d3170ee7-9a96-4de7-ac8e-4eb3e1417bdc"],"itemData":{"DOI":"10.1016/j.fuel.2019.06.007","ISSN":"00162361","abstract":"Due to excessive greenhouse gas emissions and high dependence on traditional petroleum jet fuel, the sustainable development of the aviation industry has drawn increasing attention worldwide. One of the most promising strategies is to develop and industrialize alternative aviation fuels produced from renewable resources, e.g. biomass. Renewable bio-jet fuel has the potential to reduce CO2 emissions over their life cycle, which make bio-jet fuels an attractive substitution for aviation fuels. This paper provided an overview on the conversion technologies, economic assessment, environmental influence and development status of bio-jet fuels. The results suggested that hydrogenated esters and fatty acids, and Fischer-Tropsch synthesis can be the most promising technologies for bio-jet fuels production in near term. Future works, such as searching for more suitable feedstock, improving competitiveness for alternative jet fuels, meeting emission reduction targets in large-scale production and making measures for the indirect impact are needed for further investigation. The large-scale deployment of bio-jet fuels could achieve significant potentials of both bio-jet fuels production and CO2 emissions reduction based on future available biomass feedstock.","author":[{"dropping-particle":"","family":"Wei","given":"Hongjian","non-dropping-particle":"","parse-names":false,"suffix":""},{"dropping-particle":"","family":"Liu","given":"Wenzhi","non-dropping-particle":"","parse-names":false,"suffix":""},{"dropping-particle":"","family":"Chen","given":"Xinyu","non-dropping-particle":"","parse-names":false,"suffix":""},{"dropping-particle":"","family":"Yang","given":"Qing","non-dropping-particle":"","parse-names":false,"suffix":""},{"dropping-particle":"","family":"Li","given":"Jiashuo","non-dropping-particle":"","parse-names":false,"suffix":""},{"dropping-particle":"","family":"Chen","given":"Hanping","non-dropping-particle":"","parse-names":false,"suffix":""}],"container-title":"Fuel","id":"ITEM-3","issue":"June","issued":{"date-parts":[["2019"]]},"title":"Renewable bio-jet fuel production for aviation: A review","type":"article-journal","volume":"254"}},{"id":"968HXJ10/0H6RFoEd","uris":["http://www.mendeley.com/documents/?uuid=0ffbfa4c-bc3d-363b-828d-0e2c3b6a45df"],"uri":["http://www.mendeley.com/documents/?uuid=0ffbfa4c-bc3d-363b-828d-0e2c3b6a45df"],"itemData":{"URL":"http://fulcrum-bioenergy.com/","accessed":{"date-parts":[["2020","3","4"]]},"author":[{"dropping-particle":"","family":"Fulcrum Bioenergy","given":"","non-dropping-particle":"","parse-names":false,"suffix":""}],"container-title":"2020","id":"ITEM-4","issued":{"date-parts":[["2015"]]},"title":"Fulcrum BioEnergy","type":"webpage"}}],"schema":"https://github.com/citation-style-language/schema/raw/master/csl-citation.json"} </w:instrText>
      </w:r>
      <w:r w:rsidR="00752AA6" w:rsidRPr="004D19FF">
        <w:rPr>
          <w:rFonts w:ascii="Times New Roman" w:hAnsi="Times New Roman"/>
          <w:sz w:val="20"/>
          <w:szCs w:val="20"/>
        </w:rPr>
        <w:fldChar w:fldCharType="separate"/>
      </w:r>
      <w:r w:rsidR="00623E85" w:rsidRPr="00623E85">
        <w:rPr>
          <w:rFonts w:ascii="Times New Roman" w:hAnsi="Times New Roman" w:cs="Times New Roman"/>
          <w:sz w:val="20"/>
          <w:szCs w:val="24"/>
        </w:rPr>
        <w:t>[68,106–108]</w:t>
      </w:r>
      <w:r w:rsidR="00752AA6" w:rsidRPr="004D19FF">
        <w:rPr>
          <w:rFonts w:ascii="Times New Roman" w:hAnsi="Times New Roman"/>
          <w:sz w:val="20"/>
          <w:szCs w:val="20"/>
        </w:rPr>
        <w:fldChar w:fldCharType="end"/>
      </w:r>
      <w:r w:rsidR="00C641A1" w:rsidRPr="004D19FF">
        <w:rPr>
          <w:rFonts w:ascii="Times New Roman" w:hAnsi="Times New Roman"/>
          <w:sz w:val="20"/>
          <w:szCs w:val="20"/>
        </w:rPr>
        <w:t>.</w:t>
      </w:r>
      <w:r w:rsidR="0027349C" w:rsidRPr="004D19FF">
        <w:rPr>
          <w:rFonts w:ascii="Times New Roman" w:hAnsi="Times New Roman"/>
          <w:sz w:val="20"/>
          <w:szCs w:val="20"/>
        </w:rPr>
        <w:t xml:space="preserve"> </w:t>
      </w:r>
    </w:p>
    <w:p w14:paraId="697CCD7A" w14:textId="73D660D7" w:rsidR="00CE334F" w:rsidRPr="004D19FF" w:rsidRDefault="005A41C4"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There are three fractions generated from the FT</w:t>
      </w:r>
      <w:r w:rsidR="00E754AA" w:rsidRPr="004D19FF">
        <w:rPr>
          <w:rFonts w:ascii="Times New Roman" w:hAnsi="Times New Roman"/>
          <w:sz w:val="20"/>
          <w:szCs w:val="20"/>
        </w:rPr>
        <w:t xml:space="preserve"> process</w:t>
      </w:r>
      <w:r w:rsidRPr="004D19FF">
        <w:rPr>
          <w:rFonts w:ascii="Times New Roman" w:hAnsi="Times New Roman"/>
          <w:sz w:val="20"/>
          <w:szCs w:val="20"/>
        </w:rPr>
        <w:t xml:space="preserve">: gaseous, liquid and wax phases. </w:t>
      </w:r>
      <w:r w:rsidR="00E754AA" w:rsidRPr="004D19FF">
        <w:rPr>
          <w:rFonts w:ascii="Times New Roman" w:hAnsi="Times New Roman"/>
          <w:sz w:val="20"/>
          <w:szCs w:val="20"/>
        </w:rPr>
        <w:t>The g</w:t>
      </w:r>
      <w:r w:rsidR="008A6B67" w:rsidRPr="004D19FF">
        <w:rPr>
          <w:rFonts w:ascii="Times New Roman" w:hAnsi="Times New Roman"/>
          <w:sz w:val="20"/>
          <w:szCs w:val="20"/>
        </w:rPr>
        <w:t>aseous phase</w:t>
      </w:r>
      <w:r w:rsidR="005771E7" w:rsidRPr="004D19FF">
        <w:rPr>
          <w:rFonts w:ascii="Times New Roman" w:hAnsi="Times New Roman"/>
          <w:sz w:val="20"/>
          <w:szCs w:val="20"/>
        </w:rPr>
        <w:t xml:space="preserve"> </w:t>
      </w:r>
      <w:r w:rsidR="00E754AA" w:rsidRPr="004D19FF">
        <w:rPr>
          <w:rFonts w:ascii="Times New Roman" w:hAnsi="Times New Roman"/>
          <w:sz w:val="20"/>
          <w:szCs w:val="20"/>
        </w:rPr>
        <w:t xml:space="preserve">contains </w:t>
      </w:r>
      <w:r w:rsidR="005771E7" w:rsidRPr="004D19FF">
        <w:rPr>
          <w:rFonts w:ascii="Times New Roman" w:hAnsi="Times New Roman"/>
          <w:sz w:val="20"/>
          <w:szCs w:val="20"/>
        </w:rPr>
        <w:t>CO, H</w:t>
      </w:r>
      <w:r w:rsidR="005771E7" w:rsidRPr="004D19FF">
        <w:rPr>
          <w:rFonts w:ascii="Times New Roman" w:hAnsi="Times New Roman"/>
          <w:sz w:val="20"/>
          <w:szCs w:val="20"/>
          <w:vertAlign w:val="subscript"/>
        </w:rPr>
        <w:t>2</w:t>
      </w:r>
      <w:r w:rsidR="005771E7" w:rsidRPr="004D19FF">
        <w:rPr>
          <w:rFonts w:ascii="Times New Roman" w:hAnsi="Times New Roman"/>
          <w:sz w:val="20"/>
          <w:szCs w:val="20"/>
        </w:rPr>
        <w:t>, CO</w:t>
      </w:r>
      <w:r w:rsidR="005771E7" w:rsidRPr="004D19FF">
        <w:rPr>
          <w:rFonts w:ascii="Times New Roman" w:hAnsi="Times New Roman"/>
          <w:sz w:val="20"/>
          <w:szCs w:val="20"/>
          <w:vertAlign w:val="subscript"/>
        </w:rPr>
        <w:t>2</w:t>
      </w:r>
      <w:r w:rsidR="005771E7" w:rsidRPr="004D19FF">
        <w:rPr>
          <w:rFonts w:ascii="Times New Roman" w:hAnsi="Times New Roman"/>
          <w:sz w:val="20"/>
          <w:szCs w:val="20"/>
        </w:rPr>
        <w:t xml:space="preserve">, </w:t>
      </w:r>
      <w:r w:rsidR="00E754AA" w:rsidRPr="004D19FF">
        <w:rPr>
          <w:rFonts w:ascii="Times New Roman" w:hAnsi="Times New Roman"/>
          <w:sz w:val="20"/>
          <w:szCs w:val="20"/>
        </w:rPr>
        <w:t xml:space="preserve">and </w:t>
      </w:r>
      <w:r w:rsidR="005771E7" w:rsidRPr="004D19FF">
        <w:rPr>
          <w:rFonts w:ascii="Times New Roman" w:hAnsi="Times New Roman"/>
          <w:sz w:val="20"/>
          <w:szCs w:val="20"/>
        </w:rPr>
        <w:t>N</w:t>
      </w:r>
      <w:r w:rsidR="00E754AA" w:rsidRPr="004D19FF">
        <w:rPr>
          <w:rFonts w:ascii="Times New Roman" w:hAnsi="Times New Roman"/>
          <w:sz w:val="20"/>
          <w:szCs w:val="20"/>
          <w:vertAlign w:val="subscript"/>
        </w:rPr>
        <w:t xml:space="preserve">2. </w:t>
      </w:r>
      <w:r w:rsidR="00E754AA" w:rsidRPr="004D19FF">
        <w:rPr>
          <w:rFonts w:ascii="Times New Roman" w:hAnsi="Times New Roman"/>
          <w:sz w:val="20"/>
          <w:szCs w:val="20"/>
        </w:rPr>
        <w:t xml:space="preserve">It </w:t>
      </w:r>
      <w:r w:rsidR="005771E7" w:rsidRPr="004D19FF">
        <w:rPr>
          <w:rFonts w:ascii="Times New Roman" w:hAnsi="Times New Roman"/>
          <w:sz w:val="20"/>
          <w:szCs w:val="20"/>
        </w:rPr>
        <w:t xml:space="preserve">can </w:t>
      </w:r>
      <w:r w:rsidR="00AA0DD6" w:rsidRPr="004D19FF">
        <w:rPr>
          <w:rFonts w:ascii="Times New Roman" w:hAnsi="Times New Roman"/>
          <w:sz w:val="20"/>
          <w:szCs w:val="20"/>
        </w:rPr>
        <w:t xml:space="preserve">either </w:t>
      </w:r>
      <w:r w:rsidR="005771E7" w:rsidRPr="004D19FF">
        <w:rPr>
          <w:rFonts w:ascii="Times New Roman" w:hAnsi="Times New Roman"/>
          <w:sz w:val="20"/>
          <w:szCs w:val="20"/>
        </w:rPr>
        <w:t>be fractionated for H</w:t>
      </w:r>
      <w:r w:rsidR="005771E7" w:rsidRPr="004D19FF">
        <w:rPr>
          <w:rFonts w:ascii="Times New Roman" w:hAnsi="Times New Roman"/>
          <w:sz w:val="20"/>
          <w:szCs w:val="20"/>
          <w:vertAlign w:val="subscript"/>
        </w:rPr>
        <w:t>2</w:t>
      </w:r>
      <w:r w:rsidR="00AA0DD6" w:rsidRPr="004D19FF">
        <w:rPr>
          <w:rFonts w:ascii="Times New Roman" w:hAnsi="Times New Roman"/>
          <w:sz w:val="20"/>
          <w:szCs w:val="20"/>
        </w:rPr>
        <w:t xml:space="preserve"> recovery or </w:t>
      </w:r>
      <w:r w:rsidR="005771E7" w:rsidRPr="004D19FF">
        <w:rPr>
          <w:rFonts w:ascii="Times New Roman" w:hAnsi="Times New Roman"/>
          <w:sz w:val="20"/>
          <w:szCs w:val="20"/>
        </w:rPr>
        <w:t>be recycled back to the FT unit</w:t>
      </w:r>
      <w:r w:rsidR="00CE334F" w:rsidRPr="004D19FF">
        <w:rPr>
          <w:rFonts w:ascii="Times New Roman" w:hAnsi="Times New Roman"/>
          <w:sz w:val="20"/>
          <w:szCs w:val="20"/>
        </w:rPr>
        <w:t xml:space="preserve"> in order to maximize kerosene yield </w:t>
      </w:r>
      <w:r w:rsidR="00AA0DD6"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f6iEwqfV","properties":{"formattedCitation":"[106]","plainCitation":"[106]","noteIndex":0},"citationItems":[{"id":"968HXJ10/x3pbDJsC","uris":["http://www.mendeley.com/documents/?uuid=b1a0fa58-93ed-4f53-975d-1784fd793e8e"],"uri":["http://www.mendeley.com/documents/?uuid=b1a0fa58-93ed-4f53-975d-1784fd793e8e"],"itemData":{"DOI":"10.1016/S0973-0826(08)60411-1","ISSN":"09730826","abstract":"While Fischer-Tropsch synthesis (FTS) using coal and natural gas in conventional reactors is an almost well-established technology, the production of liquid hydrocarbons from syngas obtained from biomass is in its preliminary stages of commercialization in countries like Germany. With concerns about global warming and ways of disposing of CO2 being searched for, CO2 hydrogenation using FTS to liquid hydrocarbons can act as a CO2 sink. A brief review of FTS using CO2-rich syngas is given in this paper, looking at FTS as a technology that can help reduce global warming and as a process integration alternative. The reverse water gas shift (r-WGS) reaction is vital for CO2 hydrogenation. We have studied the effect of this using an FT kinetic model and have proposed a new flow sheet alternative for FTS using CO2-rich syngas. Simulations suggested that this new process gives better conversion of CO2. The product selectivity and yields from an FT plant are vital to make the process viable economically. © 2007 International Energy Initiative, Inc.","author":[{"dropping-particle":"","family":"Srinivas","given":"S.","non-dropping-particle":"","parse-names":false,"suffix":""},{"dropping-particle":"","family":"Malik","given":"Ranjan K.","non-dropping-particle":"","parse-names":false,"suffix":""},{"dropping-particle":"","family":"Mahajani","given":"Sanjay M.","non-dropping-particle":"","parse-names":false,"suffix":""}],"container-title":"Energy for Sustainable Development","id":"ITEM-1","issue":"4","issued":{"date-parts":[["2007"]]},"page":"66-71","publisher":"International Energy Initiative, Inc.","title":"Fischer-Tropsch synthesis using bio-syngas and CO2","type":"article-journal","volume":"11"}}],"schema":"https://github.com/citation-style-language/schema/raw/master/csl-citation.json"} </w:instrText>
      </w:r>
      <w:r w:rsidR="00AA0DD6" w:rsidRPr="004D19FF">
        <w:rPr>
          <w:rFonts w:ascii="Times New Roman" w:hAnsi="Times New Roman"/>
          <w:sz w:val="20"/>
          <w:szCs w:val="20"/>
        </w:rPr>
        <w:fldChar w:fldCharType="separate"/>
      </w:r>
      <w:r w:rsidR="00623E85" w:rsidRPr="00623E85">
        <w:rPr>
          <w:rFonts w:ascii="Times New Roman" w:hAnsi="Times New Roman" w:cs="Times New Roman"/>
          <w:sz w:val="20"/>
        </w:rPr>
        <w:t>[106]</w:t>
      </w:r>
      <w:r w:rsidR="00AA0DD6" w:rsidRPr="004D19FF">
        <w:rPr>
          <w:rFonts w:ascii="Times New Roman" w:hAnsi="Times New Roman"/>
          <w:sz w:val="20"/>
          <w:szCs w:val="20"/>
        </w:rPr>
        <w:fldChar w:fldCharType="end"/>
      </w:r>
      <w:r w:rsidR="00C641A1" w:rsidRPr="004D19FF">
        <w:rPr>
          <w:rFonts w:ascii="Times New Roman" w:hAnsi="Times New Roman"/>
          <w:sz w:val="20"/>
          <w:szCs w:val="20"/>
        </w:rPr>
        <w:t xml:space="preserve"> </w:t>
      </w:r>
      <w:r w:rsidR="00CE334F" w:rsidRPr="004D19FF">
        <w:rPr>
          <w:rFonts w:ascii="Times New Roman" w:hAnsi="Times New Roman"/>
          <w:sz w:val="20"/>
          <w:szCs w:val="20"/>
        </w:rPr>
        <w:t>(Fig. 6)</w:t>
      </w:r>
      <w:r w:rsidR="005771E7" w:rsidRPr="004D19FF">
        <w:rPr>
          <w:rFonts w:ascii="Times New Roman" w:hAnsi="Times New Roman"/>
          <w:sz w:val="20"/>
          <w:szCs w:val="20"/>
        </w:rPr>
        <w:t>.</w:t>
      </w:r>
      <w:r w:rsidR="00D953CB" w:rsidRPr="004D19FF">
        <w:rPr>
          <w:rFonts w:ascii="Times New Roman" w:hAnsi="Times New Roman"/>
          <w:sz w:val="20"/>
          <w:szCs w:val="20"/>
        </w:rPr>
        <w:t xml:space="preserve"> </w:t>
      </w:r>
      <w:r w:rsidR="00E754AA" w:rsidRPr="004D19FF">
        <w:rPr>
          <w:rFonts w:ascii="Times New Roman" w:hAnsi="Times New Roman"/>
          <w:sz w:val="20"/>
          <w:szCs w:val="20"/>
        </w:rPr>
        <w:t>The l</w:t>
      </w:r>
      <w:r w:rsidR="00801008" w:rsidRPr="004D19FF">
        <w:rPr>
          <w:rFonts w:ascii="Times New Roman" w:hAnsi="Times New Roman"/>
          <w:sz w:val="20"/>
          <w:szCs w:val="20"/>
        </w:rPr>
        <w:t>i</w:t>
      </w:r>
      <w:r w:rsidR="00E63357" w:rsidRPr="004D19FF">
        <w:rPr>
          <w:rFonts w:ascii="Times New Roman" w:hAnsi="Times New Roman"/>
          <w:sz w:val="20"/>
          <w:szCs w:val="20"/>
        </w:rPr>
        <w:t xml:space="preserve">quid hydrocarbons </w:t>
      </w:r>
      <w:r w:rsidR="00D953CB" w:rsidRPr="004D19FF">
        <w:rPr>
          <w:rFonts w:ascii="Times New Roman" w:hAnsi="Times New Roman"/>
          <w:sz w:val="20"/>
          <w:szCs w:val="20"/>
        </w:rPr>
        <w:t>from FT undergo a</w:t>
      </w:r>
      <w:r w:rsidR="00CC25C7">
        <w:rPr>
          <w:rFonts w:ascii="Times New Roman" w:hAnsi="Times New Roman"/>
          <w:sz w:val="20"/>
          <w:szCs w:val="20"/>
        </w:rPr>
        <w:t>n</w:t>
      </w:r>
      <w:r w:rsidR="00D953CB" w:rsidRPr="004D19FF">
        <w:rPr>
          <w:rFonts w:ascii="Times New Roman" w:hAnsi="Times New Roman"/>
          <w:sz w:val="20"/>
          <w:szCs w:val="20"/>
        </w:rPr>
        <w:t xml:space="preserve"> hydrotreating</w:t>
      </w:r>
      <w:r w:rsidR="00CC25C7">
        <w:rPr>
          <w:rFonts w:ascii="Times New Roman" w:hAnsi="Times New Roman"/>
          <w:sz w:val="20"/>
          <w:szCs w:val="20"/>
        </w:rPr>
        <w:t xml:space="preserve"> process</w:t>
      </w:r>
      <w:r w:rsidR="0095747C" w:rsidRPr="004D19FF">
        <w:rPr>
          <w:rFonts w:ascii="Times New Roman" w:hAnsi="Times New Roman"/>
          <w:sz w:val="20"/>
          <w:szCs w:val="20"/>
        </w:rPr>
        <w:t xml:space="preserve"> including deoxygenation, decarboxylation and decarbonylation</w:t>
      </w:r>
      <w:r w:rsidR="00BF7F2E" w:rsidRPr="004D19FF">
        <w:rPr>
          <w:rFonts w:ascii="Times New Roman" w:hAnsi="Times New Roman"/>
          <w:sz w:val="20"/>
          <w:szCs w:val="20"/>
        </w:rPr>
        <w:t xml:space="preserve"> in</w:t>
      </w:r>
      <w:r w:rsidR="00CC25C7">
        <w:rPr>
          <w:rFonts w:ascii="Times New Roman" w:hAnsi="Times New Roman"/>
          <w:sz w:val="20"/>
          <w:szCs w:val="20"/>
        </w:rPr>
        <w:t xml:space="preserve"> the presence of supported base</w:t>
      </w:r>
      <w:r w:rsidR="00BF7F2E" w:rsidRPr="004D19FF">
        <w:rPr>
          <w:rFonts w:ascii="Times New Roman" w:hAnsi="Times New Roman"/>
          <w:sz w:val="20"/>
          <w:szCs w:val="20"/>
        </w:rPr>
        <w:t xml:space="preserve"> metal</w:t>
      </w:r>
      <w:r w:rsidR="00CF66AE">
        <w:rPr>
          <w:rFonts w:ascii="Times New Roman" w:hAnsi="Times New Roman"/>
          <w:sz w:val="20"/>
          <w:szCs w:val="20"/>
        </w:rPr>
        <w:t>-</w:t>
      </w:r>
      <w:r w:rsidR="00BF7F2E" w:rsidRPr="004D19FF">
        <w:rPr>
          <w:rFonts w:ascii="Times New Roman" w:hAnsi="Times New Roman"/>
          <w:sz w:val="20"/>
          <w:szCs w:val="20"/>
        </w:rPr>
        <w:t xml:space="preserve"> or </w:t>
      </w:r>
      <w:r w:rsidR="00CC25C7">
        <w:rPr>
          <w:rFonts w:ascii="Times New Roman" w:hAnsi="Times New Roman"/>
          <w:sz w:val="20"/>
          <w:szCs w:val="20"/>
        </w:rPr>
        <w:t xml:space="preserve">supported </w:t>
      </w:r>
      <w:r w:rsidR="00C96F25">
        <w:rPr>
          <w:rFonts w:ascii="Times New Roman" w:hAnsi="Times New Roman"/>
          <w:sz w:val="20"/>
          <w:szCs w:val="20"/>
        </w:rPr>
        <w:t>noble</w:t>
      </w:r>
      <w:r w:rsidR="00BF7F2E" w:rsidRPr="004D19FF">
        <w:rPr>
          <w:rFonts w:ascii="Times New Roman" w:hAnsi="Times New Roman"/>
          <w:sz w:val="20"/>
          <w:szCs w:val="20"/>
        </w:rPr>
        <w:t xml:space="preserve"> metal</w:t>
      </w:r>
      <w:r w:rsidR="00CF66AE">
        <w:rPr>
          <w:rFonts w:ascii="Times New Roman" w:hAnsi="Times New Roman"/>
          <w:sz w:val="20"/>
          <w:szCs w:val="20"/>
        </w:rPr>
        <w:t>-</w:t>
      </w:r>
      <w:r w:rsidR="00722E37" w:rsidRPr="004D19FF">
        <w:rPr>
          <w:rFonts w:ascii="Times New Roman" w:hAnsi="Times New Roman"/>
          <w:sz w:val="20"/>
          <w:szCs w:val="20"/>
        </w:rPr>
        <w:t xml:space="preserve"> catalysts</w:t>
      </w:r>
      <w:r w:rsidR="00BF7F2E" w:rsidRPr="004D19FF">
        <w:rPr>
          <w:rFonts w:ascii="Times New Roman" w:hAnsi="Times New Roman"/>
          <w:sz w:val="20"/>
          <w:szCs w:val="20"/>
        </w:rPr>
        <w:t xml:space="preserve"> </w:t>
      </w:r>
      <w:r w:rsidR="004B6C9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PLgEsVm1","properties":{"formattedCitation":"[109]","plainCitation":"[109]","noteIndex":0},"citationItems":[{"id":"968HXJ10/swiS6Tzw","uris":["http://www.mendeley.com/documents/?uuid=4908d56c-67d4-4947-b1c3-de4b1bd9c09f"],"uri":["http://www.mendeley.com/documents/?uuid=4908d56c-67d4-4947-b1c3-de4b1bd9c09f"],"itemData":{"abstract":"The invention provides a Fischer-Tropsch jet fuel refining process which has a jet fuel yield in excess of 60% by mass, said process including at least four of the following five conversion processes: a hydrocracking one or more of a FT kerosene and heavier material fraction and a C9 and heavier FT syncrude fraction; b. oligomerising an FT syncrude frac tion including hydrocarbons in the range C2 to C8; c. hydrotreating one or more of an FT syncrude fraction, a product from process b. and an alkylated FT syncrude frac tion; d. aromatizing one or more of an FT syncrude fraction including hydrocarbons in the range C2 to C8, a product from processa., a product from process b, a product from process c., and a product from an aromatic alkylation process; and e. alkylating one or more of an FT syncrude fraction including hydrocarbons in the C2 to C6 range, a product from process b., and a product from process d.","author":[{"dropping-particle":"","family":"Klerk","given":"Arno","non-dropping-particle":"de","parse-names":false,"suffix":""}],"id":"ITEM-1","issued":{"date-parts":[["2010"]]},"number":"US 2010/0108568 A1","title":"Fischer-Tropsch jet fuel process","type":"patent"}}],"schema":"https://github.com/citation-style-language/schema/raw/master/csl-citation.json"} </w:instrText>
      </w:r>
      <w:r w:rsidR="004B6C92" w:rsidRPr="004D19FF">
        <w:rPr>
          <w:rFonts w:ascii="Times New Roman" w:hAnsi="Times New Roman"/>
          <w:sz w:val="20"/>
          <w:szCs w:val="20"/>
        </w:rPr>
        <w:fldChar w:fldCharType="separate"/>
      </w:r>
      <w:r w:rsidR="00623E85" w:rsidRPr="00623E85">
        <w:rPr>
          <w:rFonts w:ascii="Times New Roman" w:hAnsi="Times New Roman" w:cs="Times New Roman"/>
          <w:sz w:val="20"/>
        </w:rPr>
        <w:t>[109]</w:t>
      </w:r>
      <w:r w:rsidR="004B6C92" w:rsidRPr="004D19FF">
        <w:rPr>
          <w:rFonts w:ascii="Times New Roman" w:hAnsi="Times New Roman"/>
          <w:sz w:val="20"/>
          <w:szCs w:val="20"/>
        </w:rPr>
        <w:fldChar w:fldCharType="end"/>
      </w:r>
      <w:r w:rsidR="00801008" w:rsidRPr="004D19FF">
        <w:rPr>
          <w:rFonts w:ascii="Times New Roman" w:hAnsi="Times New Roman"/>
          <w:sz w:val="20"/>
          <w:szCs w:val="20"/>
        </w:rPr>
        <w:t xml:space="preserve">. </w:t>
      </w:r>
      <w:r w:rsidR="00D953CB" w:rsidRPr="004D19FF">
        <w:rPr>
          <w:rFonts w:ascii="Times New Roman" w:hAnsi="Times New Roman"/>
          <w:sz w:val="20"/>
          <w:szCs w:val="20"/>
        </w:rPr>
        <w:t>Additional</w:t>
      </w:r>
      <w:r w:rsidR="00255341" w:rsidRPr="004D19FF">
        <w:rPr>
          <w:rFonts w:ascii="Times New Roman" w:hAnsi="Times New Roman"/>
          <w:sz w:val="20"/>
          <w:szCs w:val="20"/>
        </w:rPr>
        <w:t xml:space="preserve"> hydrogenation </w:t>
      </w:r>
      <w:r w:rsidR="00E754AA" w:rsidRPr="004D19FF">
        <w:rPr>
          <w:rFonts w:ascii="Times New Roman" w:hAnsi="Times New Roman"/>
          <w:sz w:val="20"/>
          <w:szCs w:val="20"/>
        </w:rPr>
        <w:t xml:space="preserve">may be </w:t>
      </w:r>
      <w:r w:rsidR="0095747C" w:rsidRPr="004D19FF">
        <w:rPr>
          <w:rFonts w:ascii="Times New Roman" w:hAnsi="Times New Roman"/>
          <w:sz w:val="20"/>
          <w:szCs w:val="20"/>
        </w:rPr>
        <w:t xml:space="preserve">applied </w:t>
      </w:r>
      <w:r w:rsidR="00004803" w:rsidRPr="004D19FF">
        <w:rPr>
          <w:rFonts w:ascii="Times New Roman" w:hAnsi="Times New Roman"/>
          <w:sz w:val="20"/>
          <w:szCs w:val="20"/>
        </w:rPr>
        <w:t>for transforming</w:t>
      </w:r>
      <w:r w:rsidR="00255341" w:rsidRPr="004D19FF">
        <w:rPr>
          <w:rFonts w:ascii="Times New Roman" w:hAnsi="Times New Roman"/>
          <w:sz w:val="20"/>
          <w:szCs w:val="20"/>
        </w:rPr>
        <w:t xml:space="preserve"> olefin</w:t>
      </w:r>
      <w:r w:rsidR="00004803" w:rsidRPr="004D19FF">
        <w:rPr>
          <w:rFonts w:ascii="Times New Roman" w:hAnsi="Times New Roman"/>
          <w:sz w:val="20"/>
          <w:szCs w:val="20"/>
        </w:rPr>
        <w:t>s</w:t>
      </w:r>
      <w:r w:rsidR="00255341" w:rsidRPr="004D19FF">
        <w:rPr>
          <w:rFonts w:ascii="Times New Roman" w:hAnsi="Times New Roman"/>
          <w:sz w:val="20"/>
          <w:szCs w:val="20"/>
        </w:rPr>
        <w:t xml:space="preserve"> and </w:t>
      </w:r>
      <w:r w:rsidR="00004803" w:rsidRPr="004D19FF">
        <w:rPr>
          <w:rFonts w:ascii="Times New Roman" w:hAnsi="Times New Roman"/>
          <w:sz w:val="20"/>
          <w:szCs w:val="20"/>
        </w:rPr>
        <w:t xml:space="preserve">residual </w:t>
      </w:r>
      <w:r w:rsidR="00255341" w:rsidRPr="004D19FF">
        <w:rPr>
          <w:rFonts w:ascii="Times New Roman" w:hAnsi="Times New Roman"/>
          <w:sz w:val="20"/>
          <w:szCs w:val="20"/>
        </w:rPr>
        <w:t>oxygenate</w:t>
      </w:r>
      <w:r w:rsidR="00004803" w:rsidRPr="004D19FF">
        <w:rPr>
          <w:rFonts w:ascii="Times New Roman" w:hAnsi="Times New Roman"/>
          <w:sz w:val="20"/>
          <w:szCs w:val="20"/>
        </w:rPr>
        <w:t>d</w:t>
      </w:r>
      <w:r w:rsidR="00255341" w:rsidRPr="004D19FF">
        <w:rPr>
          <w:rFonts w:ascii="Times New Roman" w:hAnsi="Times New Roman"/>
          <w:sz w:val="20"/>
          <w:szCs w:val="20"/>
        </w:rPr>
        <w:t xml:space="preserve"> </w:t>
      </w:r>
      <w:r w:rsidR="00004803" w:rsidRPr="004D19FF">
        <w:rPr>
          <w:rFonts w:ascii="Times New Roman" w:hAnsi="Times New Roman"/>
          <w:sz w:val="20"/>
          <w:szCs w:val="20"/>
        </w:rPr>
        <w:t>molecules into saturated hydrocarbons</w:t>
      </w:r>
      <w:r w:rsidR="00255341" w:rsidRPr="004D19FF">
        <w:rPr>
          <w:rFonts w:ascii="Times New Roman" w:hAnsi="Times New Roman"/>
          <w:sz w:val="20"/>
          <w:szCs w:val="20"/>
        </w:rPr>
        <w:t xml:space="preserve">. </w:t>
      </w:r>
      <w:r w:rsidR="00004803" w:rsidRPr="004D19FF">
        <w:rPr>
          <w:rFonts w:ascii="Times New Roman" w:hAnsi="Times New Roman"/>
          <w:sz w:val="20"/>
          <w:szCs w:val="20"/>
        </w:rPr>
        <w:t>W</w:t>
      </w:r>
      <w:r w:rsidR="006E0611" w:rsidRPr="004D19FF">
        <w:rPr>
          <w:rFonts w:ascii="Times New Roman" w:hAnsi="Times New Roman"/>
          <w:sz w:val="20"/>
          <w:szCs w:val="20"/>
        </w:rPr>
        <w:t>ax (C</w:t>
      </w:r>
      <w:r w:rsidR="002B165D" w:rsidRPr="004D19FF">
        <w:rPr>
          <w:rFonts w:ascii="Times New Roman" w:hAnsi="Times New Roman"/>
          <w:sz w:val="20"/>
          <w:szCs w:val="20"/>
          <w:vertAlign w:val="subscript"/>
        </w:rPr>
        <w:t>20</w:t>
      </w:r>
      <w:r w:rsidR="00E754AA" w:rsidRPr="004D19FF">
        <w:rPr>
          <w:rFonts w:ascii="Times New Roman" w:hAnsi="Times New Roman"/>
          <w:sz w:val="20"/>
          <w:szCs w:val="20"/>
          <w:vertAlign w:val="subscript"/>
        </w:rPr>
        <w:t>-23</w:t>
      </w:r>
      <w:r w:rsidR="006E0611" w:rsidRPr="004D19FF">
        <w:rPr>
          <w:rFonts w:ascii="Times New Roman" w:hAnsi="Times New Roman"/>
          <w:sz w:val="20"/>
          <w:szCs w:val="20"/>
          <w:vertAlign w:val="subscript"/>
        </w:rPr>
        <w:t>+</w:t>
      </w:r>
      <w:r w:rsidR="006E0611" w:rsidRPr="004D19FF">
        <w:rPr>
          <w:rFonts w:ascii="Times New Roman" w:hAnsi="Times New Roman"/>
          <w:sz w:val="20"/>
          <w:szCs w:val="20"/>
        </w:rPr>
        <w:t xml:space="preserve">) </w:t>
      </w:r>
      <w:r w:rsidR="00004803" w:rsidRPr="004D19FF">
        <w:rPr>
          <w:rFonts w:ascii="Times New Roman" w:hAnsi="Times New Roman"/>
          <w:sz w:val="20"/>
          <w:szCs w:val="20"/>
        </w:rPr>
        <w:t>produc</w:t>
      </w:r>
      <w:r w:rsidRPr="004D19FF">
        <w:rPr>
          <w:rFonts w:ascii="Times New Roman" w:hAnsi="Times New Roman"/>
          <w:sz w:val="20"/>
          <w:szCs w:val="20"/>
        </w:rPr>
        <w:t>ed in FT unit are transformed to</w:t>
      </w:r>
      <w:r w:rsidR="00004803" w:rsidRPr="004D19FF">
        <w:rPr>
          <w:rFonts w:ascii="Times New Roman" w:hAnsi="Times New Roman"/>
          <w:sz w:val="20"/>
          <w:szCs w:val="20"/>
        </w:rPr>
        <w:t xml:space="preserve"> smaller molecules by hydrocracking followed by isomerization i</w:t>
      </w:r>
      <w:r w:rsidRPr="004D19FF">
        <w:rPr>
          <w:rFonts w:ascii="Times New Roman" w:hAnsi="Times New Roman"/>
          <w:sz w:val="20"/>
          <w:szCs w:val="20"/>
        </w:rPr>
        <w:t>nto branched hydrocarbons. Obtai</w:t>
      </w:r>
      <w:r w:rsidR="00004803" w:rsidRPr="004D19FF">
        <w:rPr>
          <w:rFonts w:ascii="Times New Roman" w:hAnsi="Times New Roman"/>
          <w:sz w:val="20"/>
          <w:szCs w:val="20"/>
        </w:rPr>
        <w:t xml:space="preserve">ned </w:t>
      </w:r>
      <w:r w:rsidR="00E754AA" w:rsidRPr="004D19FF">
        <w:rPr>
          <w:rFonts w:ascii="Times New Roman" w:hAnsi="Times New Roman"/>
          <w:sz w:val="20"/>
          <w:szCs w:val="20"/>
        </w:rPr>
        <w:t xml:space="preserve">hydrocarbons </w:t>
      </w:r>
      <w:r w:rsidR="00004803" w:rsidRPr="004D19FF">
        <w:rPr>
          <w:rFonts w:ascii="Times New Roman" w:hAnsi="Times New Roman"/>
          <w:sz w:val="20"/>
          <w:szCs w:val="20"/>
        </w:rPr>
        <w:t xml:space="preserve">with </w:t>
      </w:r>
      <w:r w:rsidR="00F354C3" w:rsidRPr="004D19FF">
        <w:rPr>
          <w:rFonts w:ascii="Times New Roman" w:hAnsi="Times New Roman"/>
          <w:sz w:val="20"/>
          <w:szCs w:val="20"/>
        </w:rPr>
        <w:t xml:space="preserve">different </w:t>
      </w:r>
      <w:r w:rsidR="00E754AA" w:rsidRPr="004D19FF">
        <w:rPr>
          <w:rFonts w:ascii="Times New Roman" w:hAnsi="Times New Roman"/>
          <w:sz w:val="20"/>
          <w:szCs w:val="20"/>
        </w:rPr>
        <w:t>lengths</w:t>
      </w:r>
      <w:r w:rsidR="00F354C3" w:rsidRPr="004D19FF">
        <w:rPr>
          <w:rFonts w:ascii="Times New Roman" w:hAnsi="Times New Roman"/>
          <w:sz w:val="20"/>
          <w:szCs w:val="20"/>
        </w:rPr>
        <w:t xml:space="preserve"> </w:t>
      </w:r>
      <w:r w:rsidR="00E748CA" w:rsidRPr="004D19FF">
        <w:rPr>
          <w:rFonts w:ascii="Times New Roman" w:hAnsi="Times New Roman"/>
          <w:sz w:val="20"/>
          <w:szCs w:val="20"/>
        </w:rPr>
        <w:t xml:space="preserve">are distilled to </w:t>
      </w:r>
      <w:r w:rsidR="006E0611" w:rsidRPr="004D19FF">
        <w:rPr>
          <w:rFonts w:ascii="Times New Roman" w:hAnsi="Times New Roman"/>
          <w:sz w:val="20"/>
          <w:szCs w:val="20"/>
        </w:rPr>
        <w:t xml:space="preserve">produce </w:t>
      </w:r>
      <w:r w:rsidR="00E61763" w:rsidRPr="004D19FF">
        <w:rPr>
          <w:rFonts w:ascii="Times New Roman" w:hAnsi="Times New Roman"/>
          <w:sz w:val="20"/>
          <w:szCs w:val="20"/>
        </w:rPr>
        <w:t xml:space="preserve">naphtha, </w:t>
      </w:r>
      <w:r w:rsidRPr="004D19FF">
        <w:rPr>
          <w:rFonts w:ascii="Times New Roman" w:hAnsi="Times New Roman"/>
          <w:sz w:val="20"/>
          <w:szCs w:val="20"/>
        </w:rPr>
        <w:t>kerosene</w:t>
      </w:r>
      <w:r w:rsidR="006E0611" w:rsidRPr="004D19FF">
        <w:rPr>
          <w:rFonts w:ascii="Times New Roman" w:hAnsi="Times New Roman"/>
          <w:sz w:val="20"/>
          <w:szCs w:val="20"/>
        </w:rPr>
        <w:t xml:space="preserve">, diesel and lubricants </w:t>
      </w:r>
      <w:r w:rsidR="005B374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OgcIKnOo","properties":{"formattedCitation":"[64,102,110]","plainCitation":"[64,102,110]","noteIndex":0},"citationItems":[{"id":"968HXJ10/wuwik3je","uris":["http://www.mendeley.com/documents/?uuid=e6b9e16b-5ec9-4415-8d55-f387eb02f512"],"uri":["http://www.mendeley.com/documents/?uuid=e6b9e16b-5ec9-4415-8d55-f387eb02f512"],"itemData":{"DOI":"10.1039/c0ee00692k","ISSN":"17545692","abstract":"Carbon sources, such as coal, natural gas, biomass and waste, can be converted into transportation fuels by combining appropriate gasification, Fischer-Tropsch and refining technologies. Efficient refining of the Fischer-Tropsch synthesis derived syncrude requires a different approach to refinery design than commonly applied to crude oil refinery design. The design of refineries to optimise the production of on-specification motor-gasoline, jet fuel and diesel fuel respectively from both high temperature Fischer-Tropsch (HTFT) syncrude and low temperature Fischer-Tropsch (LTFT) are considered. Refinery designs are presented for the production of motor-gasoline and jet fuel with better than 50% yield (better than 70% selectivity on transportation fuel), without resorting to very complex designs. Only diesel fuel refining presented a problem, since the production of on-specification EN590:2004 diesel fuel is limited by a Fischer-Tropsch specific cetane-density-yield trade-off. The compound classes that are required to produce diesel fuel in high yield that meet both minimum cetane number and minimum density requirements are not abundant in Fischer-Tropsch syncrude. Refinery designs for diesel fuel production was limited to a yield of less than 25% EN 590:2004 compliant diesel fuel. This yield restriction does not apply when diesel fuel specifications do not have a minimum density requirement. © 2011 The Royal Society of Chemistry.","author":[{"dropping-particle":"","family":"Klerk","given":"A.","non-dropping-particle":"de","parse-names":false,"suffix":""}],"container-title":"Energy and Environmental Science","id":"ITEM-1","issue":"4","issued":{"date-parts":[["2011"]]},"page":"1177-1205","title":"Fischer-Tropsch fuels refinery design","type":"article-journal","volume":"4"}},{"id":"968HXJ10/T0tM2XPD","uris":["http://www.mendeley.com/documents/?uuid=834874d9-4788-4a40-a33c-8912511bcaa8"],"uri":["http://www.mendeley.com/documents/?uuid=834874d9-4788-4a40-a33c-8912511bcaa8"],"itemData":{"DOI":"10.1016/j.apenergy.2014.06.035","ISSN":"03062619","abstract":"This paper presents a new route for biomass derived aviation fuel synthesis by catalytic conversion in aqueous phase. Furfural with the yield of 71% was produced by acid hydrolysis of raw corncob, and hydrogenated to 2-methylfuran with obtaining the yield of 89% over Raney Ni catalyst, both of which were implemented under mild reaction conditions. The hydroxyalkylation/alkylation condensation of 2-methylfuran and furfural to C15 intermediate was conducted by using organic and inorganic acid as the catalyst under the reaction condition of 328K and atmospheric pressure. The maximal 95% of the C15 intermediate was gained when using sulfuric acid as the catalyst. 83% of liquid alkanes (C8C15) yield and more than 90% of C14/C15 selectivity were produced by hydrodeoxygenation of the C15 intermediate over 10wt%Ni/ZrO2-SiO2 catalyst. During the hydrodeoxygenation process, the catalyst showed excellent stability depended on the 110h of time-on-stream test, due to its significantly decreased carbon deposition.","author":[{"dropping-particle":"","family":"Wang","given":"Tiejun","non-dropping-particle":"","parse-names":false,"suffix":""},{"dropping-particle":"","family":"Li","given":"Kai","non-dropping-particle":"","parse-names":false,"suffix":""},{"dropping-particle":"","family":"Liu","given":"Qiying","non-dropping-particle":"","parse-names":false,"suffix":""},{"dropping-particle":"","family":"Zhang","given":"Qing","non-dropping-particle":"","parse-names":false,"suffix":""},{"dropping-particle":"","family":"Qiu","given":"Songbai","non-dropping-particle":"","parse-names":false,"suffix":""},{"dropping-particle":"","family":"Long","given":"Jinxing","non-dropping-particle":"","parse-names":false,"suffix":""},{"dropping-particle":"","family":"Chen","given":"Lungang","non-dropping-particle":"","parse-names":false,"suffix":""},{"dropping-particle":"","family":"Ma","given":"Longlong","non-dropping-particle":"","parse-names":false,"suffix":""},{"dropping-particle":"","family":"Zhang","given":"Qi","non-dropping-particle":"","parse-names":false,"suffix":""}],"container-title":"Applied Energy","id":"ITEM-2","issued":{"date-parts":[["2014"]]},"page":"775-780","publisher":"Elsevier Ltd","title":"Aviation fuel synthesis by catalytic conversion of biomass hydrolysate in aqueous phase","type":"article-journal","volume":"136"}},{"id":"968HXJ10/7ie9pNNG","uris":["http://www.mendeley.com/documents/?uuid=a17f19c7-4595-38db-ba5e-f1fbba614725"],"uri":["http://www.mendeley.com/documents/?uuid=a17f19c7-4595-38db-ba5e-f1fbba614725"],"itemData":{"URL":"https://www.redrockbio.com/","accessed":{"date-parts":[["2020","3","4"]]},"author":[{"dropping-particle":"","family":"Red Rock Biofuels","given":"","non-dropping-particle":"","parse-names":false,"suffix":""}],"id":"ITEM-3","issued":{"date-parts":[["2018"]]},"title":"Red Rock Biofuels","type":"webpage"}}],"schema":"https://github.com/citation-style-language/schema/raw/master/csl-citation.json"} </w:instrText>
      </w:r>
      <w:r w:rsidR="005B374F" w:rsidRPr="004D19FF">
        <w:rPr>
          <w:rFonts w:ascii="Times New Roman" w:hAnsi="Times New Roman"/>
          <w:sz w:val="20"/>
          <w:szCs w:val="20"/>
        </w:rPr>
        <w:fldChar w:fldCharType="separate"/>
      </w:r>
      <w:r w:rsidR="00623E85" w:rsidRPr="00623E85">
        <w:rPr>
          <w:rFonts w:ascii="Times New Roman" w:hAnsi="Times New Roman" w:cs="Times New Roman"/>
          <w:sz w:val="20"/>
        </w:rPr>
        <w:t>[64,102,110]</w:t>
      </w:r>
      <w:r w:rsidR="005B374F" w:rsidRPr="004D19FF">
        <w:rPr>
          <w:rFonts w:ascii="Times New Roman" w:hAnsi="Times New Roman"/>
          <w:sz w:val="20"/>
          <w:szCs w:val="20"/>
        </w:rPr>
        <w:fldChar w:fldCharType="end"/>
      </w:r>
      <w:r w:rsidR="00C641A1" w:rsidRPr="004D19FF">
        <w:rPr>
          <w:rFonts w:ascii="Times New Roman" w:hAnsi="Times New Roman"/>
          <w:sz w:val="20"/>
          <w:szCs w:val="20"/>
        </w:rPr>
        <w:t>.</w:t>
      </w:r>
    </w:p>
    <w:p w14:paraId="73E3B861" w14:textId="2D25D067" w:rsidR="00233284" w:rsidRPr="004D19FF" w:rsidRDefault="00004803"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Thi</w:t>
      </w:r>
      <w:r w:rsidR="002F078F" w:rsidRPr="004D19FF">
        <w:rPr>
          <w:rFonts w:ascii="Times New Roman" w:hAnsi="Times New Roman"/>
          <w:sz w:val="20"/>
          <w:szCs w:val="20"/>
        </w:rPr>
        <w:t xml:space="preserve">s technology allows the use of </w:t>
      </w:r>
      <w:r w:rsidR="00005037" w:rsidRPr="004D19FF">
        <w:rPr>
          <w:rFonts w:ascii="Times New Roman" w:hAnsi="Times New Roman"/>
          <w:sz w:val="20"/>
          <w:szCs w:val="20"/>
        </w:rPr>
        <w:t>lignin deriving from lignocellulosic biomass</w:t>
      </w:r>
      <w:r w:rsidR="00A4194B">
        <w:rPr>
          <w:rFonts w:ascii="Times New Roman" w:hAnsi="Times New Roman"/>
          <w:sz w:val="20"/>
          <w:szCs w:val="20"/>
        </w:rPr>
        <w:t xml:space="preserve"> as primary feedstock for bio-based kerosene production (SPK)</w:t>
      </w:r>
      <w:r w:rsidR="00005037" w:rsidRPr="004D19FF">
        <w:rPr>
          <w:rFonts w:ascii="Times New Roman" w:hAnsi="Times New Roman"/>
          <w:sz w:val="20"/>
          <w:szCs w:val="20"/>
        </w:rPr>
        <w:t xml:space="preserve">. </w:t>
      </w:r>
      <w:r w:rsidR="00091317" w:rsidRPr="004D19FF">
        <w:rPr>
          <w:rFonts w:ascii="Times New Roman" w:hAnsi="Times New Roman"/>
          <w:sz w:val="20"/>
          <w:szCs w:val="20"/>
        </w:rPr>
        <w:t>SPK</w:t>
      </w:r>
      <w:r w:rsidR="00E6644A" w:rsidRPr="004D19FF">
        <w:rPr>
          <w:rFonts w:ascii="Times New Roman" w:hAnsi="Times New Roman"/>
          <w:sz w:val="20"/>
          <w:szCs w:val="20"/>
        </w:rPr>
        <w:t xml:space="preserve"> derived from </w:t>
      </w:r>
      <w:r w:rsidR="00E754AA" w:rsidRPr="004D19FF">
        <w:rPr>
          <w:rFonts w:ascii="Times New Roman" w:hAnsi="Times New Roman"/>
          <w:sz w:val="20"/>
          <w:szCs w:val="20"/>
        </w:rPr>
        <w:t xml:space="preserve">the </w:t>
      </w:r>
      <w:r w:rsidR="00E6644A" w:rsidRPr="004D19FF">
        <w:rPr>
          <w:rFonts w:ascii="Times New Roman" w:hAnsi="Times New Roman"/>
          <w:sz w:val="20"/>
          <w:szCs w:val="20"/>
        </w:rPr>
        <w:t>FT process</w:t>
      </w:r>
      <w:r w:rsidR="00E754AA" w:rsidRPr="004D19FF">
        <w:rPr>
          <w:rFonts w:ascii="Times New Roman" w:hAnsi="Times New Roman"/>
          <w:sz w:val="20"/>
          <w:szCs w:val="20"/>
        </w:rPr>
        <w:t>,</w:t>
      </w:r>
      <w:r w:rsidR="00E6644A" w:rsidRPr="004D19FF">
        <w:rPr>
          <w:rFonts w:ascii="Times New Roman" w:hAnsi="Times New Roman"/>
          <w:sz w:val="20"/>
          <w:szCs w:val="20"/>
        </w:rPr>
        <w:t xml:space="preserve"> denoted as FT-SPK</w:t>
      </w:r>
      <w:r w:rsidR="00E754AA" w:rsidRPr="004D19FF">
        <w:rPr>
          <w:rFonts w:ascii="Times New Roman" w:hAnsi="Times New Roman"/>
          <w:sz w:val="20"/>
          <w:szCs w:val="20"/>
        </w:rPr>
        <w:t>,</w:t>
      </w:r>
      <w:r w:rsidR="00E6644A" w:rsidRPr="004D19FF">
        <w:rPr>
          <w:rFonts w:ascii="Times New Roman" w:hAnsi="Times New Roman"/>
          <w:sz w:val="20"/>
          <w:szCs w:val="20"/>
        </w:rPr>
        <w:t xml:space="preserve"> </w:t>
      </w:r>
      <w:r w:rsidR="00F354C3" w:rsidRPr="004D19FF">
        <w:rPr>
          <w:rFonts w:ascii="Times New Roman" w:hAnsi="Times New Roman"/>
          <w:sz w:val="20"/>
          <w:szCs w:val="20"/>
        </w:rPr>
        <w:t>consists of</w:t>
      </w:r>
      <w:r w:rsidR="00E6644A" w:rsidRPr="004D19FF">
        <w:rPr>
          <w:rFonts w:ascii="Times New Roman" w:hAnsi="Times New Roman"/>
          <w:sz w:val="20"/>
          <w:szCs w:val="20"/>
        </w:rPr>
        <w:t xml:space="preserve"> a high proportion of n- and iso-paraffins with a maximum of 1</w:t>
      </w:r>
      <w:r w:rsidR="00BB7232" w:rsidRPr="004D19FF">
        <w:rPr>
          <w:rFonts w:ascii="Times New Roman" w:hAnsi="Times New Roman"/>
          <w:sz w:val="20"/>
          <w:szCs w:val="20"/>
        </w:rPr>
        <w:t>5% by weight of cyclo</w:t>
      </w:r>
      <w:r w:rsidR="00E754AA" w:rsidRPr="004D19FF">
        <w:rPr>
          <w:rFonts w:ascii="Times New Roman" w:hAnsi="Times New Roman"/>
          <w:sz w:val="20"/>
          <w:szCs w:val="20"/>
        </w:rPr>
        <w:t>paraffins resulting in a</w:t>
      </w:r>
      <w:r w:rsidR="00F354C3" w:rsidRPr="004D19FF">
        <w:rPr>
          <w:rFonts w:ascii="Times New Roman" w:hAnsi="Times New Roman"/>
          <w:sz w:val="20"/>
          <w:szCs w:val="20"/>
        </w:rPr>
        <w:t xml:space="preserve"> high cetane number</w:t>
      </w:r>
      <w:r w:rsidR="004C31E5" w:rsidRPr="004D19FF">
        <w:rPr>
          <w:rFonts w:ascii="Times New Roman" w:hAnsi="Times New Roman"/>
          <w:sz w:val="20"/>
          <w:szCs w:val="20"/>
        </w:rPr>
        <w:t xml:space="preserve">, high specific energy, </w:t>
      </w:r>
      <w:r w:rsidR="00E754AA" w:rsidRPr="004D19FF">
        <w:rPr>
          <w:rFonts w:ascii="Times New Roman" w:hAnsi="Times New Roman"/>
          <w:sz w:val="20"/>
          <w:szCs w:val="20"/>
        </w:rPr>
        <w:t xml:space="preserve">and </w:t>
      </w:r>
      <w:r w:rsidR="004C31E5" w:rsidRPr="004D19FF">
        <w:rPr>
          <w:rFonts w:ascii="Times New Roman" w:hAnsi="Times New Roman"/>
          <w:sz w:val="20"/>
          <w:szCs w:val="20"/>
        </w:rPr>
        <w:t xml:space="preserve">high thermal stability. </w:t>
      </w:r>
      <w:r w:rsidR="00F354C3" w:rsidRPr="004D19FF">
        <w:rPr>
          <w:rFonts w:ascii="Times New Roman" w:hAnsi="Times New Roman"/>
          <w:sz w:val="20"/>
          <w:szCs w:val="20"/>
        </w:rPr>
        <w:t xml:space="preserve">FT-SPK provides </w:t>
      </w:r>
      <w:r w:rsidR="00E754AA" w:rsidRPr="004D19FF">
        <w:rPr>
          <w:rFonts w:ascii="Times New Roman" w:hAnsi="Times New Roman"/>
          <w:sz w:val="20"/>
          <w:szCs w:val="20"/>
        </w:rPr>
        <w:t xml:space="preserve">a </w:t>
      </w:r>
      <w:r w:rsidR="00F354C3" w:rsidRPr="004D19FF">
        <w:rPr>
          <w:rFonts w:ascii="Times New Roman" w:hAnsi="Times New Roman"/>
          <w:sz w:val="20"/>
          <w:szCs w:val="20"/>
        </w:rPr>
        <w:t>high quality</w:t>
      </w:r>
      <w:r w:rsidR="00E754AA" w:rsidRPr="004D19FF">
        <w:rPr>
          <w:rFonts w:ascii="Times New Roman" w:hAnsi="Times New Roman"/>
          <w:sz w:val="20"/>
          <w:szCs w:val="20"/>
        </w:rPr>
        <w:t xml:space="preserve"> kerosene</w:t>
      </w:r>
      <w:r w:rsidR="00F354C3" w:rsidRPr="004D19FF">
        <w:rPr>
          <w:rFonts w:ascii="Times New Roman" w:hAnsi="Times New Roman"/>
          <w:sz w:val="20"/>
          <w:szCs w:val="20"/>
        </w:rPr>
        <w:t xml:space="preserve"> in the absence </w:t>
      </w:r>
      <w:r w:rsidR="00E34C18" w:rsidRPr="004D19FF">
        <w:rPr>
          <w:rFonts w:ascii="Times New Roman" w:hAnsi="Times New Roman"/>
          <w:sz w:val="20"/>
          <w:szCs w:val="20"/>
        </w:rPr>
        <w:t>of sulfur, nitrogen, and other impurities</w:t>
      </w:r>
      <w:r w:rsidR="004C31E5" w:rsidRPr="004D19FF">
        <w:rPr>
          <w:rFonts w:ascii="Times New Roman" w:hAnsi="Times New Roman"/>
          <w:sz w:val="20"/>
          <w:szCs w:val="20"/>
        </w:rPr>
        <w:t xml:space="preserve"> </w:t>
      </w:r>
      <w:r w:rsidR="00434E2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Iugwqlu6","properties":{"formattedCitation":"[14,47]","plainCitation":"[14,47]","noteIndex":0},"citationItems":[{"id":"968HXJ10/LS2s8sNs","uris":["http://www.mendeley.com/documents/?uuid=784ec652-e56d-42c2-8e21-60b91bc7ba10"],"uri":["http://www.mendeley.com/documents/?uuid=784ec652-e56d-42c2-8e21-60b91bc7ba10"],"itemData":{"abstract":"This review gives a detailed account of the different types of water contaminated fuel and the conditions that bring about each form of contamination. It also considers studies that have been done to date that investigate the physics behind the behaviour of water in different hydrocarbons and jet fuel at low temperatures.","author":[{"dropping-particle":"","family":"Baena-Zambrana","given":"S.","non-dropping-particle":"","parse-names":false,"suffix":""},{"dropping-particle":"","family":"Repetto","given":"S. L.","non-dropping-particle":"","parse-names":false,"suffix":""},{"dropping-particle":"","family":"Lawson","given":"C. P.","non-dropping-particle":"","parse-names":false,"suffix":""},{"dropping-particle":"","family":"Lam","given":"J.K.-W.","non-dropping-particle":"","parse-names":false,"suffix":""}],"container-title":"Progress in Aerospace Sciences","id":"ITEM-1","issued":{"date-parts":[["2013"]]},"page":"35-44","title":"Behaviour of water in jet fuel - A literature review","type":"article-journal","volume":"60"}},{"id":"968HXJ10/b6OMBKdq","uris":["http://www.mendeley.com/documents/?uuid=aead5023-3acc-42c1-b534-7e1e3ee19373"],"uri":["http://www.mendeley.com/documents/?uuid=aead5023-3acc-42c1-b534-7e1e3ee19373"],"itemData":{"DOI":"10.1016/j.egypro.2014.11.1142","ISSN":"18766102","abstract":"The high-quality bio-jet fuel derived from biomass resources can directly replace commercial fossil fuels for aviation due to the similar composition and properties. However, conventional technologies on hydrodeoxygenation of plant oil can't produce renewable aromatics, which is the key component in the jet fuel. In this paper, the bio-jet fuels were produced by aqueous-phase processing of plant sugar/polyol. Liquid fuel yield of 31.8% with sorbitol conversion of 98% was obtained under the conditions of 280 °C, WHSV of 1.25 h-1, GHSV of 2500 h;-1; and 4.0 MPa hydrogen pressure. The content of aromatics and napthenes was above 72wt.% in the produced liquid fuels. This process uses a wide variety of both cellulosic and conventional plant sugars, providing an economic route to sustainable bio-based jet fuel production, which includes normal and iso-paraffins, naphthenes, and aromatics required for aviation.","author":[{"dropping-particle":"","family":"Wang","given":"Tiejun","non-dropping-particle":"","parse-names":false,"suffix":""},{"dropping-particle":"","family":"Tan","given":"Jin","non-dropping-particle":"","parse-names":false,"suffix":""},{"dropping-particle":"","family":"Qiu","given":"Songbai","non-dropping-particle":"","parse-names":false,"suffix":""},{"dropping-particle":"","family":"Zhang","given":"Qing","non-dropping-particle":"","parse-names":false,"suffix":""},{"dropping-particle":"","family":"Long","given":"Jinxing","non-dropping-particle":"","parse-names":false,"suffix":""},{"dropping-particle":"","family":"Chen","given":"Lungang","non-dropping-particle":"","parse-names":false,"suffix":""},{"dropping-particle":"","family":"Ma","given":"Longlong","non-dropping-particle":"","parse-names":false,"suffix":""},{"dropping-particle":"","family":"Li","given":"Kai","non-dropping-particle":"","parse-names":false,"suffix":""},{"dropping-particle":"","family":"Liu","given":"Qiying","non-dropping-particle":"","parse-names":false,"suffix":""},{"dropping-particle":"","family":"Zheng","given":"Qi","non-dropping-particle":"","parse-names":false,"suffix":""}],"container-title":"Energy Procedia","id":"ITEM-2","issued":{"date-parts":[["2014"]]},"page":"432-435","publisher":"Elsevier B.V.","title":"Liquid fuel production by aqueous phase catalytic transformation of biomass for aviation","type":"article-journal","volume":"61"}}],"schema":"https://github.com/citation-style-language/schema/raw/master/csl-citation.json"} </w:instrText>
      </w:r>
      <w:r w:rsidR="00434E23" w:rsidRPr="004D19FF">
        <w:rPr>
          <w:rFonts w:ascii="Times New Roman" w:hAnsi="Times New Roman"/>
          <w:sz w:val="20"/>
          <w:szCs w:val="20"/>
        </w:rPr>
        <w:fldChar w:fldCharType="separate"/>
      </w:r>
      <w:r w:rsidR="0051129D" w:rsidRPr="0051129D">
        <w:rPr>
          <w:rFonts w:ascii="Times New Roman" w:hAnsi="Times New Roman" w:cs="Times New Roman"/>
          <w:sz w:val="20"/>
        </w:rPr>
        <w:t>[14,47]</w:t>
      </w:r>
      <w:r w:rsidR="00434E23" w:rsidRPr="004D19FF">
        <w:rPr>
          <w:rFonts w:ascii="Times New Roman" w:hAnsi="Times New Roman"/>
          <w:sz w:val="20"/>
          <w:szCs w:val="20"/>
        </w:rPr>
        <w:fldChar w:fldCharType="end"/>
      </w:r>
      <w:r w:rsidR="00C641A1" w:rsidRPr="004D19FF">
        <w:rPr>
          <w:rFonts w:ascii="Times New Roman" w:hAnsi="Times New Roman"/>
          <w:sz w:val="20"/>
          <w:szCs w:val="20"/>
        </w:rPr>
        <w:t>.</w:t>
      </w:r>
      <w:r w:rsidR="00F354C3" w:rsidRPr="004D19FF">
        <w:rPr>
          <w:rFonts w:ascii="Times New Roman" w:hAnsi="Times New Roman"/>
          <w:sz w:val="20"/>
          <w:szCs w:val="20"/>
        </w:rPr>
        <w:t xml:space="preserve"> </w:t>
      </w:r>
    </w:p>
    <w:p w14:paraId="02255322" w14:textId="77777777" w:rsidR="00CD067D" w:rsidRPr="004D19FF" w:rsidRDefault="0055183C" w:rsidP="00290530">
      <w:pPr>
        <w:spacing w:after="120" w:line="276" w:lineRule="auto"/>
        <w:jc w:val="thaiDistribute"/>
        <w:rPr>
          <w:rFonts w:ascii="Times New Roman" w:hAnsi="Times New Roman"/>
          <w:i/>
          <w:iCs/>
          <w:sz w:val="20"/>
          <w:szCs w:val="20"/>
        </w:rPr>
      </w:pPr>
      <w:r w:rsidRPr="004D19FF">
        <w:rPr>
          <w:rFonts w:ascii="Times New Roman" w:hAnsi="Times New Roman"/>
          <w:i/>
          <w:iCs/>
          <w:sz w:val="20"/>
          <w:szCs w:val="20"/>
        </w:rPr>
        <w:t>2</w:t>
      </w:r>
      <w:r w:rsidR="00E65A8C" w:rsidRPr="004D19FF">
        <w:rPr>
          <w:rFonts w:ascii="Times New Roman" w:hAnsi="Times New Roman"/>
          <w:i/>
          <w:iCs/>
          <w:sz w:val="20"/>
          <w:szCs w:val="20"/>
        </w:rPr>
        <w:t>.2.2</w:t>
      </w:r>
      <w:r w:rsidR="00047EC6" w:rsidRPr="004D19FF">
        <w:rPr>
          <w:rFonts w:ascii="Times New Roman" w:hAnsi="Times New Roman"/>
          <w:i/>
          <w:iCs/>
          <w:sz w:val="20"/>
          <w:szCs w:val="20"/>
        </w:rPr>
        <w:t xml:space="preserve"> Hydro</w:t>
      </w:r>
      <w:r w:rsidR="00AC12CF" w:rsidRPr="004D19FF">
        <w:rPr>
          <w:rFonts w:ascii="Times New Roman" w:hAnsi="Times New Roman"/>
          <w:i/>
          <w:iCs/>
          <w:sz w:val="20"/>
          <w:szCs w:val="20"/>
        </w:rPr>
        <w:t>treated</w:t>
      </w:r>
      <w:r w:rsidR="00047EC6" w:rsidRPr="004D19FF">
        <w:rPr>
          <w:rFonts w:ascii="Times New Roman" w:hAnsi="Times New Roman"/>
          <w:i/>
          <w:iCs/>
          <w:sz w:val="20"/>
          <w:szCs w:val="20"/>
        </w:rPr>
        <w:t xml:space="preserve"> </w:t>
      </w:r>
      <w:r w:rsidR="00CD067D" w:rsidRPr="004D19FF">
        <w:rPr>
          <w:rFonts w:ascii="Times New Roman" w:hAnsi="Times New Roman"/>
          <w:i/>
          <w:iCs/>
          <w:sz w:val="20"/>
          <w:szCs w:val="20"/>
        </w:rPr>
        <w:t>depolymerized cellulosic jet (</w:t>
      </w:r>
      <w:r w:rsidR="00047EC6" w:rsidRPr="004D19FF">
        <w:rPr>
          <w:rFonts w:ascii="Times New Roman" w:hAnsi="Times New Roman"/>
          <w:i/>
          <w:iCs/>
          <w:sz w:val="20"/>
          <w:szCs w:val="20"/>
        </w:rPr>
        <w:t>HDCJ)</w:t>
      </w:r>
    </w:p>
    <w:p w14:paraId="6CF2F66C" w14:textId="0E91D803" w:rsidR="00715603" w:rsidRPr="004D19FF" w:rsidRDefault="00C32EBC"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Residual </w:t>
      </w:r>
      <w:r w:rsidR="00715603" w:rsidRPr="004D19FF">
        <w:rPr>
          <w:rFonts w:ascii="Times New Roman" w:hAnsi="Times New Roman"/>
          <w:sz w:val="20"/>
          <w:szCs w:val="20"/>
        </w:rPr>
        <w:t>biomass can be converted</w:t>
      </w:r>
      <w:r w:rsidRPr="004D19FF">
        <w:rPr>
          <w:rFonts w:ascii="Times New Roman" w:hAnsi="Times New Roman"/>
          <w:sz w:val="20"/>
          <w:szCs w:val="20"/>
        </w:rPr>
        <w:t xml:space="preserve"> into liquid fuels via a</w:t>
      </w:r>
      <w:r w:rsidR="00DE41B8" w:rsidRPr="004D19FF">
        <w:rPr>
          <w:rFonts w:ascii="Times New Roman" w:hAnsi="Times New Roman"/>
          <w:sz w:val="20"/>
          <w:szCs w:val="20"/>
        </w:rPr>
        <w:t xml:space="preserve"> PL</w:t>
      </w:r>
      <w:r w:rsidR="00715603" w:rsidRPr="004D19FF">
        <w:rPr>
          <w:rFonts w:ascii="Times New Roman" w:hAnsi="Times New Roman"/>
          <w:sz w:val="20"/>
          <w:szCs w:val="20"/>
        </w:rPr>
        <w:t xml:space="preserve"> </w:t>
      </w:r>
      <w:r w:rsidRPr="004D19FF">
        <w:rPr>
          <w:rFonts w:ascii="Times New Roman" w:hAnsi="Times New Roman"/>
          <w:sz w:val="20"/>
          <w:szCs w:val="20"/>
        </w:rPr>
        <w:t>process,</w:t>
      </w:r>
      <w:r w:rsidR="00715603" w:rsidRPr="004D19FF">
        <w:rPr>
          <w:rFonts w:ascii="Times New Roman" w:hAnsi="Times New Roman"/>
          <w:sz w:val="20"/>
          <w:szCs w:val="20"/>
        </w:rPr>
        <w:t xml:space="preserve"> denoted as HDCJ-PL, or </w:t>
      </w:r>
      <w:r w:rsidRPr="004D19FF">
        <w:rPr>
          <w:rFonts w:ascii="Times New Roman" w:hAnsi="Times New Roman"/>
          <w:sz w:val="20"/>
          <w:szCs w:val="20"/>
        </w:rPr>
        <w:t xml:space="preserve">via </w:t>
      </w:r>
      <w:r w:rsidR="00715603" w:rsidRPr="004D19FF">
        <w:rPr>
          <w:rFonts w:ascii="Times New Roman" w:hAnsi="Times New Roman"/>
          <w:sz w:val="20"/>
          <w:szCs w:val="20"/>
        </w:rPr>
        <w:t>hydrothermal liquefaction</w:t>
      </w:r>
      <w:r w:rsidR="007D5698">
        <w:rPr>
          <w:rFonts w:ascii="Times New Roman" w:hAnsi="Times New Roman"/>
          <w:sz w:val="20"/>
          <w:szCs w:val="20"/>
        </w:rPr>
        <w:t xml:space="preserve"> (HTL)</w:t>
      </w:r>
      <w:r w:rsidR="00A4194B">
        <w:rPr>
          <w:rFonts w:ascii="Times New Roman" w:hAnsi="Times New Roman"/>
          <w:sz w:val="20"/>
          <w:szCs w:val="20"/>
        </w:rPr>
        <w:t xml:space="preserve"> for wet substrates</w:t>
      </w:r>
      <w:r w:rsidR="007D5698">
        <w:rPr>
          <w:rFonts w:ascii="Times New Roman" w:hAnsi="Times New Roman"/>
          <w:sz w:val="20"/>
          <w:szCs w:val="20"/>
        </w:rPr>
        <w:t>,</w:t>
      </w:r>
      <w:r w:rsidR="00715603" w:rsidRPr="004D19FF">
        <w:rPr>
          <w:rFonts w:ascii="Times New Roman" w:hAnsi="Times New Roman"/>
          <w:sz w:val="20"/>
          <w:szCs w:val="20"/>
        </w:rPr>
        <w:t xml:space="preserve"> denoted as HDCJ-HTL </w:t>
      </w:r>
      <w:r w:rsidR="00657746" w:rsidRPr="004D19FF">
        <w:rPr>
          <w:rFonts w:ascii="Times New Roman" w:hAnsi="Times New Roman"/>
          <w:sz w:val="20"/>
          <w:szCs w:val="20"/>
        </w:rPr>
        <w:t>(</w:t>
      </w:r>
      <w:r w:rsidR="00B1485A" w:rsidRPr="004D19FF">
        <w:rPr>
          <w:rFonts w:ascii="Times New Roman" w:hAnsi="Times New Roman"/>
          <w:sz w:val="20"/>
          <w:szCs w:val="20"/>
        </w:rPr>
        <w:t>Fig</w:t>
      </w:r>
      <w:r w:rsidR="00142779">
        <w:rPr>
          <w:rFonts w:ascii="Times New Roman" w:hAnsi="Times New Roman"/>
          <w:sz w:val="20"/>
          <w:szCs w:val="20"/>
        </w:rPr>
        <w:t>s</w:t>
      </w:r>
      <w:r w:rsidR="00B1485A" w:rsidRPr="004D19FF">
        <w:rPr>
          <w:rFonts w:ascii="Times New Roman" w:hAnsi="Times New Roman"/>
          <w:sz w:val="20"/>
          <w:szCs w:val="20"/>
        </w:rPr>
        <w:t>. 1 and 7</w:t>
      </w:r>
      <w:r w:rsidR="00657746" w:rsidRPr="004D19FF">
        <w:rPr>
          <w:rFonts w:ascii="Times New Roman" w:hAnsi="Times New Roman"/>
          <w:sz w:val="20"/>
          <w:szCs w:val="20"/>
        </w:rPr>
        <w:t>)</w:t>
      </w:r>
      <w:r w:rsidR="00715603" w:rsidRPr="004D19FF">
        <w:rPr>
          <w:rFonts w:ascii="Times New Roman" w:hAnsi="Times New Roman"/>
          <w:sz w:val="20"/>
          <w:szCs w:val="20"/>
        </w:rPr>
        <w:t>.</w:t>
      </w:r>
    </w:p>
    <w:p w14:paraId="3FE47A7C" w14:textId="3EFD2BE6" w:rsidR="00221D7C" w:rsidRPr="004D19FF" w:rsidRDefault="00715603" w:rsidP="00290530">
      <w:pPr>
        <w:spacing w:after="120" w:line="276" w:lineRule="auto"/>
        <w:jc w:val="thaiDistribute"/>
        <w:rPr>
          <w:rFonts w:ascii="Times New Roman" w:hAnsi="Times New Roman" w:cs="Times New Roman"/>
          <w:sz w:val="20"/>
          <w:szCs w:val="20"/>
        </w:rPr>
      </w:pPr>
      <w:r w:rsidRPr="004D19FF">
        <w:rPr>
          <w:rFonts w:ascii="Times New Roman" w:hAnsi="Times New Roman"/>
          <w:sz w:val="20"/>
          <w:szCs w:val="20"/>
        </w:rPr>
        <w:t>The</w:t>
      </w:r>
      <w:r w:rsidR="00991622" w:rsidRPr="004D19FF">
        <w:rPr>
          <w:rFonts w:ascii="Times New Roman" w:hAnsi="Times New Roman"/>
          <w:sz w:val="20"/>
          <w:szCs w:val="20"/>
        </w:rPr>
        <w:t xml:space="preserve"> </w:t>
      </w:r>
      <w:r w:rsidR="00DE41B8" w:rsidRPr="004D19FF">
        <w:rPr>
          <w:rFonts w:ascii="Times New Roman" w:hAnsi="Times New Roman"/>
          <w:sz w:val="20"/>
          <w:szCs w:val="20"/>
        </w:rPr>
        <w:t>PL</w:t>
      </w:r>
      <w:r w:rsidR="00897594" w:rsidRPr="004D19FF">
        <w:rPr>
          <w:rFonts w:ascii="Times New Roman" w:hAnsi="Times New Roman"/>
          <w:sz w:val="20"/>
          <w:szCs w:val="20"/>
        </w:rPr>
        <w:t xml:space="preserve"> </w:t>
      </w:r>
      <w:r w:rsidRPr="004D19FF">
        <w:rPr>
          <w:rFonts w:ascii="Times New Roman" w:hAnsi="Times New Roman"/>
          <w:sz w:val="20"/>
          <w:szCs w:val="20"/>
        </w:rPr>
        <w:t>process converts</w:t>
      </w:r>
      <w:r w:rsidR="00044338" w:rsidRPr="004D19FF">
        <w:rPr>
          <w:rFonts w:ascii="Times New Roman" w:hAnsi="Times New Roman"/>
          <w:sz w:val="20"/>
          <w:szCs w:val="20"/>
        </w:rPr>
        <w:t xml:space="preserve"> </w:t>
      </w:r>
      <w:r w:rsidR="00447C22" w:rsidRPr="004D19FF">
        <w:rPr>
          <w:rFonts w:ascii="Times New Roman" w:hAnsi="Times New Roman"/>
          <w:sz w:val="20"/>
          <w:szCs w:val="20"/>
        </w:rPr>
        <w:t>dry</w:t>
      </w:r>
      <w:r w:rsidR="00344AD7" w:rsidRPr="004D19FF">
        <w:rPr>
          <w:rFonts w:ascii="Times New Roman" w:hAnsi="Times New Roman"/>
          <w:sz w:val="20"/>
          <w:szCs w:val="20"/>
        </w:rPr>
        <w:t xml:space="preserve"> </w:t>
      </w:r>
      <w:r w:rsidR="00044338" w:rsidRPr="004D19FF">
        <w:rPr>
          <w:rFonts w:ascii="Times New Roman" w:hAnsi="Times New Roman"/>
          <w:sz w:val="20"/>
          <w:szCs w:val="20"/>
        </w:rPr>
        <w:t xml:space="preserve">biomass </w:t>
      </w:r>
      <w:r w:rsidR="005631FB">
        <w:rPr>
          <w:rFonts w:ascii="Times New Roman" w:hAnsi="Times New Roman"/>
          <w:sz w:val="20"/>
          <w:szCs w:val="20"/>
        </w:rPr>
        <w:t>into bio-</w:t>
      </w:r>
      <w:r w:rsidRPr="004D19FF">
        <w:rPr>
          <w:rFonts w:ascii="Times New Roman" w:hAnsi="Times New Roman"/>
          <w:sz w:val="20"/>
          <w:szCs w:val="20"/>
        </w:rPr>
        <w:t xml:space="preserve">oil, gases, </w:t>
      </w:r>
      <w:r w:rsidR="005824D0" w:rsidRPr="004D19FF">
        <w:rPr>
          <w:rFonts w:ascii="Times New Roman" w:hAnsi="Times New Roman"/>
          <w:sz w:val="20"/>
          <w:szCs w:val="20"/>
        </w:rPr>
        <w:t xml:space="preserve">and </w:t>
      </w:r>
      <w:r w:rsidR="00897594" w:rsidRPr="004D19FF">
        <w:rPr>
          <w:rFonts w:ascii="Times New Roman" w:hAnsi="Times New Roman"/>
          <w:sz w:val="20"/>
          <w:szCs w:val="20"/>
        </w:rPr>
        <w:t>bio</w:t>
      </w:r>
      <w:r w:rsidR="005824D0" w:rsidRPr="004D19FF">
        <w:rPr>
          <w:rFonts w:ascii="Times New Roman" w:hAnsi="Times New Roman"/>
          <w:sz w:val="20"/>
          <w:szCs w:val="20"/>
        </w:rPr>
        <w:t>char</w:t>
      </w:r>
      <w:r w:rsidRPr="004D19FF">
        <w:rPr>
          <w:rFonts w:ascii="Times New Roman" w:hAnsi="Times New Roman"/>
          <w:sz w:val="20"/>
          <w:szCs w:val="20"/>
        </w:rPr>
        <w:t xml:space="preserve">, the proportion and composition </w:t>
      </w:r>
      <w:r w:rsidR="00044338" w:rsidRPr="004D19FF">
        <w:rPr>
          <w:rFonts w:ascii="Times New Roman" w:hAnsi="Times New Roman"/>
          <w:sz w:val="20"/>
          <w:szCs w:val="20"/>
        </w:rPr>
        <w:t>depending on the process conditions</w:t>
      </w:r>
      <w:r w:rsidRPr="004D19FF">
        <w:rPr>
          <w:rFonts w:ascii="Times New Roman" w:hAnsi="Times New Roman"/>
          <w:sz w:val="20"/>
          <w:szCs w:val="20"/>
        </w:rPr>
        <w:t xml:space="preserve"> and the nature of the feedstock</w:t>
      </w:r>
      <w:r w:rsidR="00447C22" w:rsidRPr="004D19FF">
        <w:rPr>
          <w:rFonts w:ascii="Times New Roman" w:hAnsi="Times New Roman"/>
          <w:sz w:val="20"/>
          <w:szCs w:val="20"/>
        </w:rPr>
        <w:t xml:space="preserve"> </w:t>
      </w:r>
      <w:r w:rsidR="00EA59FB" w:rsidRPr="004D19FF">
        <w:rPr>
          <w:rFonts w:ascii="Times New Roman" w:hAnsi="Times New Roman"/>
          <w:sz w:val="20"/>
          <w:szCs w:val="20"/>
        </w:rPr>
        <w:fldChar w:fldCharType="begin" w:fldLock="1"/>
      </w:r>
      <w:r w:rsidR="0051129D">
        <w:rPr>
          <w:rFonts w:ascii="Times New Roman" w:hAnsi="Times New Roman"/>
          <w:sz w:val="20"/>
          <w:szCs w:val="20"/>
        </w:rPr>
        <w:instrText xml:space="preserve"> ADDIN ZOTERO_ITEM CSL_CITATION {"citationID":"6yKfjNTJ","properties":{"formattedCitation":"[111]","plainCitation":"[111]","noteIndex":0},"citationItems":[{"id":3344,"uris":["http://zotero.org/groups/2763812/items/YJ38HJUT"],"uri":["http://zotero.org/groups/2763812/items/YJ38HJUT"],"itemData":{"id":3344,"type":"article-journal","abstract":"In an endeavor towards GHG neutrality, alternatives to fossil carbon resources are explored, such as the use of biomass carbon. Pyrolysis, a thermochemical process that can convert residual biomasses into liquid (bio-oil), solid (biochar) and gaseous (non-condensable gases) products is gaining increased attention, as it both supplies alternatives to fossil carbon while potentially inducing so-called negative emissions through the biochar. Yet, the pyrolysis technical and environmental performance is heavily dependent upon process operational parameters and biomass types. In the perspective of national strategic bioeconomy planning, this study presents an easily replicable consequential life cycle assessment (LCA) framework to quantify the environmental performance of a pyrolysis biorefinery where process conditions are documented, and boundaries expanded to consider the current use of the residual biomass. Results obtained from this method are intended to provide insights for evidence-based decision making towards investments in the low fossil carbon future. The proposed LCA framework was applied to a national case study for the use of primary forestry residues (PFR). Results showed that as compared to the reference scenario in which PFR are left on soil to decay, pyrolysing PFR to biocrude oil, wood vinegar, biochar and gas presents trade-offs in six out of the 16 impact categories studied. These results highlighted that the biomass feedstock supply, the pyrolysis technology, the co-products yields, properties and uses, as well as the choice of marginal technologies have an influence on the environmental performance of pyrolysis biorefineries.","container-title":"Renewable and Sustainable Energy Reviews","DOI":"10.1016/j.rser.2020.110549","ISSN":"1364-0321","journalAbbreviation":"Renewable and Sustainable Energy Reviews","language":"en","page":"110549","source":"ScienceDirect","title":"Framework for consequential life cycle assessment of pyrolysis biorefineries: A case study for the conversion of primary forestry residues","title-short":"Framework for consequential life cycle assessment of pyrolysis biorefineries","volume":"138","author":[{"family":"Brassard","given":"P."},{"family":"Godbout","given":"S."},{"family":"Hamelin","given":"L."}],"issued":{"date-parts":[["2021",3,1]]}}}],"schema":"https://github.com/citation-style-language/schema/raw/master/csl-citation.json"} </w:instrText>
      </w:r>
      <w:r w:rsidR="00EA59FB" w:rsidRPr="004D19FF">
        <w:rPr>
          <w:rFonts w:ascii="Times New Roman" w:hAnsi="Times New Roman"/>
          <w:sz w:val="20"/>
          <w:szCs w:val="20"/>
        </w:rPr>
        <w:fldChar w:fldCharType="separate"/>
      </w:r>
      <w:r w:rsidR="00623E85" w:rsidRPr="00623E85">
        <w:rPr>
          <w:rFonts w:ascii="Times New Roman" w:hAnsi="Times New Roman" w:cs="Times New Roman"/>
          <w:sz w:val="20"/>
        </w:rPr>
        <w:t>[111]</w:t>
      </w:r>
      <w:r w:rsidR="00EA59FB" w:rsidRPr="004D19FF">
        <w:rPr>
          <w:rFonts w:ascii="Times New Roman" w:hAnsi="Times New Roman"/>
          <w:sz w:val="20"/>
          <w:szCs w:val="20"/>
        </w:rPr>
        <w:fldChar w:fldCharType="end"/>
      </w:r>
      <w:r w:rsidR="00044338" w:rsidRPr="004D19FF">
        <w:rPr>
          <w:rFonts w:ascii="Times New Roman" w:hAnsi="Times New Roman"/>
          <w:sz w:val="20"/>
          <w:szCs w:val="20"/>
        </w:rPr>
        <w:t xml:space="preserve">. </w:t>
      </w:r>
      <w:r w:rsidRPr="004D19FF">
        <w:rPr>
          <w:rFonts w:ascii="Times New Roman" w:hAnsi="Times New Roman" w:cs="Times New Roman"/>
          <w:sz w:val="20"/>
          <w:szCs w:val="20"/>
        </w:rPr>
        <w:t xml:space="preserve">Biomass feedstock, finely ground </w:t>
      </w:r>
      <w:r w:rsidR="00344AD7" w:rsidRPr="004D19FF">
        <w:rPr>
          <w:rFonts w:ascii="Times New Roman" w:hAnsi="Times New Roman" w:cs="Times New Roman"/>
          <w:sz w:val="20"/>
          <w:szCs w:val="20"/>
        </w:rPr>
        <w:t>(&lt; 5 mm)</w:t>
      </w:r>
      <w:r w:rsidRPr="004D19FF">
        <w:rPr>
          <w:rFonts w:ascii="Times New Roman" w:hAnsi="Times New Roman" w:cs="Times New Roman"/>
          <w:sz w:val="20"/>
          <w:szCs w:val="20"/>
        </w:rPr>
        <w:t xml:space="preserve">, is dried to achieve less than 10% moisture content by weight, </w:t>
      </w:r>
      <w:r w:rsidR="00EF70AB" w:rsidRPr="004D19FF">
        <w:rPr>
          <w:rFonts w:ascii="Times New Roman" w:hAnsi="Times New Roman" w:cs="Times New Roman"/>
          <w:sz w:val="20"/>
          <w:szCs w:val="20"/>
        </w:rPr>
        <w:t xml:space="preserve">often seen as </w:t>
      </w:r>
      <w:r w:rsidR="008958FC" w:rsidRPr="004D19FF">
        <w:rPr>
          <w:rFonts w:ascii="Times New Roman" w:hAnsi="Times New Roman" w:cs="Times New Roman"/>
          <w:sz w:val="20"/>
          <w:szCs w:val="20"/>
        </w:rPr>
        <w:t>mandatory for the PL</w:t>
      </w:r>
      <w:r w:rsidRPr="004D19FF">
        <w:rPr>
          <w:rFonts w:ascii="Times New Roman" w:hAnsi="Times New Roman" w:cs="Times New Roman"/>
          <w:sz w:val="20"/>
          <w:szCs w:val="20"/>
        </w:rPr>
        <w:t xml:space="preserve"> process</w:t>
      </w:r>
      <w:r w:rsidR="00EF70AB" w:rsidRPr="004D19FF">
        <w:rPr>
          <w:rFonts w:ascii="Times New Roman" w:hAnsi="Times New Roman" w:cs="Times New Roman"/>
          <w:sz w:val="20"/>
          <w:szCs w:val="20"/>
        </w:rPr>
        <w:t xml:space="preserve">, especially </w:t>
      </w:r>
      <w:r w:rsidR="005631FB">
        <w:rPr>
          <w:rFonts w:ascii="Times New Roman" w:hAnsi="Times New Roman" w:cs="Times New Roman"/>
          <w:sz w:val="20"/>
          <w:szCs w:val="20"/>
        </w:rPr>
        <w:t xml:space="preserve">in the perspective of </w:t>
      </w:r>
      <w:r w:rsidR="00F832AA">
        <w:rPr>
          <w:rFonts w:ascii="Times New Roman" w:hAnsi="Times New Roman" w:cs="Times New Roman"/>
          <w:sz w:val="20"/>
          <w:szCs w:val="20"/>
        </w:rPr>
        <w:t xml:space="preserve">quality </w:t>
      </w:r>
      <w:r w:rsidR="005631FB">
        <w:rPr>
          <w:rFonts w:ascii="Times New Roman" w:hAnsi="Times New Roman" w:cs="Times New Roman"/>
          <w:sz w:val="20"/>
          <w:szCs w:val="20"/>
        </w:rPr>
        <w:t>bio-</w:t>
      </w:r>
      <w:r w:rsidR="00EF70AB" w:rsidRPr="004D19FF">
        <w:rPr>
          <w:rFonts w:ascii="Times New Roman" w:hAnsi="Times New Roman" w:cs="Times New Roman"/>
          <w:sz w:val="20"/>
          <w:szCs w:val="20"/>
        </w:rPr>
        <w:t>oil production</w:t>
      </w:r>
      <w:r w:rsidR="00F832AA">
        <w:rPr>
          <w:rFonts w:ascii="Times New Roman" w:hAnsi="Times New Roman" w:cs="Times New Roman"/>
          <w:sz w:val="20"/>
          <w:szCs w:val="20"/>
        </w:rPr>
        <w:t xml:space="preserve"> intended for use as a transport fuel</w:t>
      </w:r>
      <w:r w:rsidR="00344AD7" w:rsidRPr="004D19FF">
        <w:rPr>
          <w:rFonts w:ascii="Times New Roman" w:hAnsi="Times New Roman" w:cs="Times New Roman"/>
          <w:sz w:val="20"/>
          <w:szCs w:val="20"/>
        </w:rPr>
        <w:t xml:space="preserve"> </w:t>
      </w:r>
      <w:r w:rsidR="00C52EDD"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7ktqtQbb","properties":{"formattedCitation":"[112\\uc0\\u8211{}114]","plainCitation":"[112–114]","noteIndex":0},"citationItems":[{"id":"968HXJ10/DYfdzxZx","uris":["http://www.mendeley.com/documents/?uuid=1bac2c7e-955f-44c3-98fa-77855d77b59c"],"uri":["http://www.mendeley.com/documents/?uuid=1bac2c7e-955f-44c3-98fa-77855d77b59c"],"itemData":{"DOI":"10.1016/j.renene.2014.08.041","ISSN":"18790682","abstract":"All around the world research is being conducted in the field of renewable energy due to the depletion of fossil fuels and the problem of global warming. Fast pyrolysis, an optimal technology for converting biomass to liquid fuel, enables lignocellulosic raw materials such as wood, switch grass and rice straw to be converted to biocrude-oil. Even though many studies on these materials have already been conducted, the high production costs and unstable supply thereof have frequently been pointed out as significant problems. Thus, this study considers the use of another feedstock to solve such disadvantages and to raise the recycling rate of organic wastes simultaneously. Swine manure was selected as an alternative feedstock due to the existence of a stable supply from the livestock farming industry. A bubbling-fluidized-bed reactor was used in the present study for fast pyrolysis. The yield and characteristics of biocrude-oil were investigated at various reaction temperatures. The optimum temperature for maximum biocruce-oil yield was found to be 600°C with the highest yield of 18.48wt% and HHV of 13.59MJ/kg. Due to its low yield and high water content, swine manure is suggested to be blended with other types of biomass as a means of higher yield and quality of biocrude-oil.","author":[{"dropping-particle":"","family":"Jeong","given":"Yeon Woo","non-dropping-particle":"","parse-names":false,"suffix":""},{"dropping-particle":"","family":"Choi","given":"Sang Kyu","non-dropping-particle":"","parse-names":false,"suffix":""},{"dropping-particle":"","family":"Choi","given":"Yeon Seok","non-dropping-particle":"","parse-names":false,"suffix":""},{"dropping-particle":"","family":"Kim","given":"Seock Joon","non-dropping-particle":"","parse-names":false,"suffix":""}],"container-title":"Renewable Energy","id":"ITEM-1","issue":"1","issued":{"date-parts":[["2015"]]},"page":"14-19","publisher":"Elsevier Ltd","title":"Production of biocrude-oil from swine manure by fast pyrolysis and analysis of its characteristics","type":"article-journal","volume":"79"}},{"id":"968HXJ10/Xgjp1jNN","uris":["http://www.mendeley.com/documents/?uuid=bdb3cf20-5e82-4523-916d-6e50a64897d5"],"uri":["http://www.mendeley.com/documents/?uuid=bdb3cf20-5e82-4523-916d-6e50a64897d5"],"itemData":{"DOI":"10.1016/j.apenergy.2015.08.116","ISSN":"03062619","abstract":"The commercial jet fuels usually contain about 40% aromatics and naphthene. However, conventional technologies on bio-jet fuels production by hydrodeoxygenation of plant oil and biomass gasification/Fischer-Tropsch synthesis can't produce renewable aromatics. In this paper, the liquid fuels with high aromatics content were produced by aqueous phase catalytic conversion of biomass sugar/polyol over Ni@HZSM-5/MCM-41 catalysts. Liquid fuel yield of 32wt% with aromatics content of 84.3% was obtained under the conditions of 300°C, WHSV of 1.25h-1, GHSV of 2500h-1 and 4.0MPa of hydrogen pressure with mixed polyol (60% sorbitol+40% xylitol) as feedstocks. The produced bio-aromatics are substituted benzenes, naphthalenes, and aromatic olefins, which is a wonderful crude oil to be used as jet fuels after it was hydrogenated to improve quality (deep deoxygenation/chemical bond saturation).","author":[{"dropping-particle":"","family":"Wang","given":"Tiejun","non-dropping-particle":"","parse-names":false,"suffix":""},{"dropping-particle":"","family":"Qiu","given":"Songbai","non-dropping-particle":"","parse-names":false,"suffix":""},{"dropping-particle":"","family":"Weng","given":"Yujing","non-dropping-particle":"","parse-names":false,"suffix":""},{"dropping-particle":"","family":"Chen","given":"Lungang","non-dropping-particle":"","parse-names":false,"suffix":""},{"dropping-particle":"","family":"Liu","given":"Qiying","non-dropping-particle":"","parse-names":false,"suffix":""},{"dropping-particle":"","family":"Long","given":"Jinxing","non-dropping-particle":"","parse-names":false,"suffix":""},{"dropping-particle":"","family":"Tan","given":"Jin","non-dropping-particle":"","parse-names":false,"suffix":""},{"dropping-particle":"","family":"Zhang","given":"Qing","non-dropping-particle":"","parse-names":false,"suffix":""},{"dropping-particle":"","family":"Zhang","given":"Qi","non-dropping-particle":"","parse-names":false,"suffix":""},{"dropping-particle":"","family":"Ma","given":"Longlong","non-dropping-particle":"","parse-names":false,"suffix":""}],"container-title":"Applied Energy","id":"ITEM-2","issued":{"date-parts":[["2015"]]},"page":"329-335","publisher":"Elsevier Ltd","title":"Liquid fuel production by aqueous phase catalytic transformation of biomass for aviation","type":"article-journal","volume":"160"}},{"id":"968HXJ10/zcaYdgvG","uris":["http://www.mendeley.com/documents/?uuid=240085d2-974e-4f8e-8c13-e2f1f03f1e90"],"uri":["http://www.mendeley.com/documents/?uuid=240085d2-974e-4f8e-8c13-e2f1f03f1e90"],"itemData":{"author":[{"dropping-particle":"","family":"Baldino","given":"Authors Chelsea","non-dropping-particle":"","parse-names":false,"suffix":""},{"dropping-particle":"","family":"Berg","given":"Rosalie","non-dropping-particle":"","parse-names":false,"suffix":""},{"dropping-particle":"","family":"Pavlenko","given":"Nikita","non-dropping-particle":"","parse-names":false,"suffix":""},{"dropping-particle":"","family":"Searle","given":"Stephanie","non-dropping-particle":"","parse-names":false,"suffix":""}],"id":"ITEM-3","issued":{"date-parts":[["2019"]]},"title":"Advanced alternative fuel pathways: Technology overview and status","type":"article-journal"}}],"schema":"https://github.com/citation-style-language/schema/raw/master/csl-citation.json"} </w:instrText>
      </w:r>
      <w:r w:rsidR="00C52EDD" w:rsidRPr="004D19FF">
        <w:rPr>
          <w:rFonts w:ascii="Times New Roman" w:hAnsi="Times New Roman" w:cs="Times New Roman"/>
          <w:sz w:val="20"/>
          <w:szCs w:val="20"/>
        </w:rPr>
        <w:fldChar w:fldCharType="separate"/>
      </w:r>
      <w:r w:rsidR="00623E85" w:rsidRPr="00623E85">
        <w:rPr>
          <w:rFonts w:ascii="Times New Roman" w:hAnsi="Times New Roman" w:cs="Times New Roman"/>
          <w:sz w:val="20"/>
          <w:szCs w:val="24"/>
        </w:rPr>
        <w:t>[112–114]</w:t>
      </w:r>
      <w:r w:rsidR="00C52EDD" w:rsidRPr="004D19FF">
        <w:rPr>
          <w:rFonts w:ascii="Times New Roman" w:hAnsi="Times New Roman" w:cs="Times New Roman"/>
          <w:sz w:val="20"/>
          <w:szCs w:val="20"/>
        </w:rPr>
        <w:fldChar w:fldCharType="end"/>
      </w:r>
      <w:r w:rsidR="00344AD7" w:rsidRPr="004D19FF">
        <w:rPr>
          <w:rFonts w:ascii="Times New Roman" w:hAnsi="Times New Roman" w:cs="Times New Roman"/>
          <w:sz w:val="20"/>
          <w:szCs w:val="20"/>
        </w:rPr>
        <w:t xml:space="preserve">. </w:t>
      </w:r>
      <w:r w:rsidR="00B45763" w:rsidRPr="004D19FF">
        <w:rPr>
          <w:rFonts w:ascii="Times New Roman" w:hAnsi="Times New Roman"/>
          <w:sz w:val="20"/>
          <w:szCs w:val="20"/>
        </w:rPr>
        <w:t>Fast</w:t>
      </w:r>
      <w:r w:rsidR="00A6038C" w:rsidRPr="004D19FF">
        <w:rPr>
          <w:rFonts w:ascii="Times New Roman" w:hAnsi="Times New Roman"/>
          <w:sz w:val="20"/>
          <w:szCs w:val="20"/>
        </w:rPr>
        <w:t xml:space="preserve"> </w:t>
      </w:r>
      <w:r w:rsidR="00722E37" w:rsidRPr="004D19FF">
        <w:rPr>
          <w:rFonts w:ascii="Times New Roman" w:hAnsi="Times New Roman"/>
          <w:sz w:val="20"/>
          <w:szCs w:val="20"/>
        </w:rPr>
        <w:t>PL</w:t>
      </w:r>
      <w:r w:rsidR="00A6038C" w:rsidRPr="004D19FF">
        <w:rPr>
          <w:rFonts w:ascii="Times New Roman" w:hAnsi="Times New Roman"/>
          <w:sz w:val="20"/>
          <w:szCs w:val="20"/>
        </w:rPr>
        <w:t xml:space="preserve"> </w:t>
      </w:r>
      <w:r w:rsidR="00221D7C" w:rsidRPr="004D19FF">
        <w:rPr>
          <w:rFonts w:ascii="Times New Roman" w:hAnsi="Times New Roman"/>
          <w:sz w:val="20"/>
          <w:szCs w:val="20"/>
        </w:rPr>
        <w:t>is conducted</w:t>
      </w:r>
      <w:r w:rsidR="00F4330C" w:rsidRPr="004D19FF">
        <w:rPr>
          <w:rFonts w:ascii="Times New Roman" w:hAnsi="Times New Roman"/>
          <w:sz w:val="20"/>
          <w:szCs w:val="20"/>
        </w:rPr>
        <w:t xml:space="preserve"> at relatively high </w:t>
      </w:r>
      <w:r w:rsidR="001B7D5F" w:rsidRPr="004D19FF">
        <w:rPr>
          <w:rFonts w:ascii="Times New Roman" w:hAnsi="Times New Roman"/>
          <w:sz w:val="20"/>
          <w:szCs w:val="20"/>
        </w:rPr>
        <w:t>temperature</w:t>
      </w:r>
      <w:r w:rsidR="001B65EF" w:rsidRPr="004D19FF">
        <w:rPr>
          <w:rFonts w:ascii="Times New Roman" w:hAnsi="Times New Roman"/>
          <w:sz w:val="20"/>
          <w:szCs w:val="20"/>
        </w:rPr>
        <w:t>s</w:t>
      </w:r>
      <w:r w:rsidR="001B7D5F" w:rsidRPr="004D19FF">
        <w:rPr>
          <w:rFonts w:ascii="Times New Roman" w:hAnsi="Times New Roman"/>
          <w:sz w:val="20"/>
          <w:szCs w:val="20"/>
        </w:rPr>
        <w:t xml:space="preserve"> (450-550 </w:t>
      </w:r>
      <w:r w:rsidR="007802BE" w:rsidRPr="004D19FF">
        <w:rPr>
          <w:rFonts w:ascii="Times New Roman" w:hAnsi="Times New Roman" w:cs="Times New Roman"/>
          <w:sz w:val="20"/>
          <w:szCs w:val="20"/>
        </w:rPr>
        <w:t xml:space="preserve">°C) </w:t>
      </w:r>
      <w:r w:rsidR="001B65EF" w:rsidRPr="004D19FF">
        <w:rPr>
          <w:rFonts w:ascii="Times New Roman" w:hAnsi="Times New Roman" w:cs="Times New Roman"/>
          <w:sz w:val="20"/>
          <w:szCs w:val="20"/>
        </w:rPr>
        <w:t xml:space="preserve">and </w:t>
      </w:r>
      <w:r w:rsidR="00EC03E3" w:rsidRPr="004D19FF">
        <w:rPr>
          <w:rFonts w:ascii="Times New Roman" w:hAnsi="Times New Roman" w:cs="Times New Roman"/>
          <w:sz w:val="20"/>
          <w:szCs w:val="20"/>
        </w:rPr>
        <w:t>ambient pressure with short</w:t>
      </w:r>
      <w:r w:rsidR="00221D7C" w:rsidRPr="004D19FF">
        <w:rPr>
          <w:rFonts w:ascii="Times New Roman" w:hAnsi="Times New Roman" w:cs="Times New Roman"/>
          <w:sz w:val="20"/>
          <w:szCs w:val="20"/>
        </w:rPr>
        <w:t xml:space="preserve"> </w:t>
      </w:r>
      <w:r w:rsidR="007802BE" w:rsidRPr="004D19FF">
        <w:rPr>
          <w:rFonts w:ascii="Times New Roman" w:hAnsi="Times New Roman" w:cs="Times New Roman"/>
          <w:sz w:val="20"/>
          <w:szCs w:val="20"/>
        </w:rPr>
        <w:t xml:space="preserve">residence time </w:t>
      </w:r>
      <w:r w:rsidR="00221D7C" w:rsidRPr="004D19FF">
        <w:rPr>
          <w:rFonts w:ascii="Times New Roman" w:hAnsi="Times New Roman" w:cs="Times New Roman"/>
          <w:sz w:val="20"/>
          <w:szCs w:val="20"/>
        </w:rPr>
        <w:t xml:space="preserve">of the gas phase </w:t>
      </w:r>
      <w:r w:rsidR="003B0DCB" w:rsidRPr="004D19FF">
        <w:rPr>
          <w:rFonts w:ascii="Times New Roman" w:hAnsi="Times New Roman" w:cs="Times New Roman"/>
          <w:sz w:val="20"/>
          <w:szCs w:val="20"/>
        </w:rPr>
        <w:t xml:space="preserve">(typically less than 2s) </w:t>
      </w:r>
      <w:r w:rsidR="0095747C"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WwcVdyCl","properties":{"formattedCitation":"[115]","plainCitation":"[115]","noteIndex":0},"citationItems":[{"id":"968HXJ10/0KZLwT8D","uris":["http://www.mendeley.com/documents/?uuid=e029e29a-1df4-44a0-b0fa-5cb6f52ce952"],"uri":["http://www.mendeley.com/documents/?uuid=e029e29a-1df4-44a0-b0fa-5cb6f52ce952"],"itemData":{"DOI":"10.1021/ef0502397","ISSN":"08870624","abstract":"Fast pyrolysis utilizes biomass to produce a product that is used both as an energy source and a feedstock for chemical production. Considerable efforts have been made to convert wood biomass to liquid fuels and chemicals since the oil crisis in mid-1970s. This review focuses on the recent developments in the wood pyrolysis and reports the characteristics of the resulting bio-oils, which are the main products of fast wood pyrolysis. Virtually any form of biomass can be considered for fast pyrolysis. Most work has been performed on wood, because of its consistency and comparability between tests. However, nearly 100 types of biomass have been tested, ranging from agricultural wastes such as straw, olive pits, and nut shells to energy crops such as miscanthus and sorghum. Forestry wastes such as bark and thinnings and other solid wastes, including sewage sludge and leather wastes, have also been studied. In this review, the main (although not exclusive) emphasis has been given to wood. The literature on wood/biomass pyrolysis, both fast and slow, is surveyed and both the physical and chemical aspects of the resulting bio-oils are reviewed. The effect of the wood composition and structure, heating rate, and residence time during pyrolysis on the overall reaction rate and the yield of the volatiles are also discussed. Although very fast and very slow pyrolyses of biomass produce markedly different products, the variety of heating rates, temperatures, residence times, and feedstock varieties found in the literature make generalizations difficult to define, in regard to trying to critically analyze the literature. © 2006 American Chemical Society.","author":[{"dropping-particle":"","family":"Mohan","given":"Dinesh","non-dropping-particle":"","parse-names":false,"suffix":""},{"dropping-particle":"","family":"Pittman","given":"Charles U.","non-dropping-particle":"","parse-names":false,"suffix":""},{"dropping-particle":"","family":"Steele","given":"Philip H.","non-dropping-particle":"","parse-names":false,"suffix":""}],"container-title":"Energy and Fuels","id":"ITEM-1","issue":"3","issued":{"date-parts":[["2006"]]},"page":"848-889","title":"Pyrolysis of wood/biomass for bio-oil: A critical review","type":"article-journal","volume":"20"}}],"schema":"https://github.com/citation-style-language/schema/raw/master/csl-citation.json"} </w:instrText>
      </w:r>
      <w:r w:rsidR="0095747C"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[115]</w:t>
      </w:r>
      <w:r w:rsidR="0095747C" w:rsidRPr="004D19FF">
        <w:rPr>
          <w:rFonts w:ascii="Times New Roman" w:hAnsi="Times New Roman" w:cs="Times New Roman"/>
          <w:sz w:val="20"/>
          <w:szCs w:val="20"/>
        </w:rPr>
        <w:fldChar w:fldCharType="end"/>
      </w:r>
      <w:r w:rsidR="00583372" w:rsidRPr="004D19FF">
        <w:rPr>
          <w:rFonts w:ascii="Times New Roman" w:hAnsi="Times New Roman" w:cs="Times New Roman"/>
          <w:sz w:val="20"/>
          <w:szCs w:val="20"/>
        </w:rPr>
        <w:t xml:space="preserve">. </w:t>
      </w:r>
      <w:r w:rsidR="00F832AA">
        <w:rPr>
          <w:rFonts w:ascii="Times New Roman" w:hAnsi="Times New Roman" w:cs="Times New Roman"/>
          <w:sz w:val="20"/>
          <w:szCs w:val="20"/>
        </w:rPr>
        <w:t xml:space="preserve">Fast PL </w:t>
      </w:r>
      <w:r w:rsidR="00221D7C" w:rsidRPr="004D19FF">
        <w:rPr>
          <w:rFonts w:ascii="Times New Roman" w:hAnsi="Times New Roman" w:cs="Times New Roman"/>
          <w:sz w:val="20"/>
          <w:szCs w:val="20"/>
        </w:rPr>
        <w:t>is proposed for maximizing the production of</w:t>
      </w:r>
      <w:r w:rsidR="00111DA2" w:rsidRPr="004D19FF">
        <w:rPr>
          <w:rFonts w:ascii="Times New Roman" w:hAnsi="Times New Roman" w:cs="Times New Roman"/>
          <w:sz w:val="20"/>
          <w:szCs w:val="20"/>
        </w:rPr>
        <w:t xml:space="preserve"> liquid hydrocarbons </w:t>
      </w:r>
      <w:r w:rsidR="00221D7C" w:rsidRPr="004D19FF">
        <w:rPr>
          <w:rFonts w:ascii="Times New Roman" w:hAnsi="Times New Roman" w:cs="Times New Roman"/>
          <w:sz w:val="20"/>
          <w:szCs w:val="20"/>
        </w:rPr>
        <w:t>(</w:t>
      </w:r>
      <w:r w:rsidR="00A4194B">
        <w:rPr>
          <w:rFonts w:ascii="Times New Roman" w:hAnsi="Times New Roman" w:cs="Times New Roman"/>
          <w:sz w:val="20"/>
          <w:szCs w:val="20"/>
        </w:rPr>
        <w:t xml:space="preserve">bio-oil) while </w:t>
      </w:r>
      <w:r w:rsidR="00221D7C" w:rsidRPr="004D19FF">
        <w:rPr>
          <w:rFonts w:ascii="Times New Roman" w:hAnsi="Times New Roman" w:cs="Times New Roman"/>
          <w:sz w:val="20"/>
          <w:szCs w:val="20"/>
        </w:rPr>
        <w:t>lower temperature</w:t>
      </w:r>
      <w:r w:rsidR="00A4194B">
        <w:rPr>
          <w:rFonts w:ascii="Times New Roman" w:hAnsi="Times New Roman" w:cs="Times New Roman"/>
          <w:sz w:val="20"/>
          <w:szCs w:val="20"/>
        </w:rPr>
        <w:t>s</w:t>
      </w:r>
      <w:r w:rsidR="00221D7C" w:rsidRPr="004D19FF">
        <w:rPr>
          <w:rFonts w:ascii="Times New Roman" w:hAnsi="Times New Roman" w:cs="Times New Roman"/>
          <w:sz w:val="20"/>
          <w:szCs w:val="20"/>
        </w:rPr>
        <w:t xml:space="preserve"> </w:t>
      </w:r>
      <w:r w:rsidR="008958FC" w:rsidRPr="004D19FF">
        <w:rPr>
          <w:rFonts w:ascii="Times New Roman" w:hAnsi="Times New Roman" w:cs="Times New Roman"/>
          <w:sz w:val="20"/>
          <w:szCs w:val="20"/>
        </w:rPr>
        <w:t xml:space="preserve">PL </w:t>
      </w:r>
      <w:r w:rsidR="00F832AA">
        <w:rPr>
          <w:rFonts w:ascii="Times New Roman" w:hAnsi="Times New Roman" w:cs="Times New Roman"/>
          <w:sz w:val="20"/>
          <w:szCs w:val="20"/>
        </w:rPr>
        <w:t>mainly produce</w:t>
      </w:r>
      <w:r w:rsidR="0020265A" w:rsidRPr="004D19FF">
        <w:rPr>
          <w:rFonts w:ascii="Times New Roman" w:hAnsi="Times New Roman" w:cs="Times New Roman"/>
          <w:sz w:val="20"/>
          <w:szCs w:val="20"/>
        </w:rPr>
        <w:t xml:space="preserve"> </w:t>
      </w:r>
      <w:r w:rsidR="00221D7C" w:rsidRPr="004D19FF">
        <w:rPr>
          <w:rFonts w:ascii="Times New Roman" w:hAnsi="Times New Roman" w:cs="Times New Roman"/>
          <w:sz w:val="20"/>
          <w:szCs w:val="20"/>
        </w:rPr>
        <w:t xml:space="preserve">a </w:t>
      </w:r>
      <w:r w:rsidR="0020265A" w:rsidRPr="004D19FF">
        <w:rPr>
          <w:rFonts w:ascii="Times New Roman" w:hAnsi="Times New Roman" w:cs="Times New Roman"/>
          <w:sz w:val="20"/>
          <w:szCs w:val="20"/>
        </w:rPr>
        <w:t xml:space="preserve">solid product </w:t>
      </w:r>
      <w:r w:rsidR="001B65EF" w:rsidRPr="004D19FF">
        <w:rPr>
          <w:rFonts w:ascii="Times New Roman" w:hAnsi="Times New Roman" w:cs="Times New Roman"/>
          <w:sz w:val="20"/>
          <w:szCs w:val="20"/>
        </w:rPr>
        <w:t xml:space="preserve">known </w:t>
      </w:r>
      <w:r w:rsidR="0020265A" w:rsidRPr="004D19FF">
        <w:rPr>
          <w:rFonts w:ascii="Times New Roman" w:hAnsi="Times New Roman" w:cs="Times New Roman"/>
          <w:sz w:val="20"/>
          <w:szCs w:val="20"/>
        </w:rPr>
        <w:t xml:space="preserve">as </w:t>
      </w:r>
      <w:r w:rsidR="001B65EF" w:rsidRPr="004D19FF">
        <w:rPr>
          <w:rFonts w:ascii="Times New Roman" w:hAnsi="Times New Roman" w:cs="Times New Roman"/>
          <w:sz w:val="20"/>
          <w:szCs w:val="20"/>
        </w:rPr>
        <w:t>bio</w:t>
      </w:r>
      <w:r w:rsidR="0020265A" w:rsidRPr="004D19FF">
        <w:rPr>
          <w:rFonts w:ascii="Times New Roman" w:hAnsi="Times New Roman" w:cs="Times New Roman"/>
          <w:sz w:val="20"/>
          <w:szCs w:val="20"/>
        </w:rPr>
        <w:t xml:space="preserve">char </w:t>
      </w:r>
      <w:r w:rsidR="00017560"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losmuJ9H","properties":{"formattedCitation":"[116]","plainCitation":"[116]","noteIndex":0},"citationItems":[{"id":"968HXJ10/3MW7cCyg","uris":["http://www.mendeley.com/documents/?uuid=1a879a51-837c-4e11-aeb5-e285ef5f4990"],"uri":["http://www.mendeley.com/documents/?uuid=1a879a51-837c-4e11-aeb5-e285ef5f4990"],"itemData":{"DOI":"10.1002/9780470694954.ch80","ISBN":"9780470694954","abstract":"The process of fast pyrolysis is one of the most recent renewable energy processes to have been introduced and offers the advantages of a liquid product, biooil, that can be readily stored and transported and that can also be used for production of chemicals as well as being a fuel. Thermal biomass conversion has been investigated for many years as a source of renewable solid, gaseous and liquid fuels. Compared to combustion, which is widely practised commercially and gasification, which is being extensively demonstrated around the world, fast pyrolysis is at a relatively early stage of development. The technology has now achieved some commercial success for production of chemicals and is being actively developed for producing liquid fuels. Bio-oils have been successfully tested in engines, turbines and boilers, and have been upgraded to high quality hydrocarbon fuels although at an unacceptable energetic and financial cost. The paper critically reviews scientific and technical developments and applications to date paying particular attention to the research and developments reported in this book. It concludes with some suggestions for strategic developments.","author":[{"dropping-particle":"V.","family":"Bridgwater","given":"A.","non-dropping-particle":"","parse-names":false,"suffix":""},{"dropping-particle":"","family":"Czernik","given":"S.","non-dropping-particle":"","parse-names":false,"suffix":""},{"dropping-particle":"","family":"Piskorz","given":"J.","non-dropping-particle":"","parse-names":false,"suffix":""}],"container-title":"Progress in Thermochemical Biomass Conversion","id":"ITEM-1","issue":"1","issued":{"date-parts":[["2008"]]},"page":"977-997","title":"An Overview of Fast Pyrolysis","type":"article-journal"}}],"schema":"https://github.com/citation-style-language/schema/raw/master/csl-citation.json"} </w:instrText>
      </w:r>
      <w:r w:rsidR="00017560"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[116]</w:t>
      </w:r>
      <w:r w:rsidR="00017560" w:rsidRPr="004D19FF">
        <w:rPr>
          <w:rFonts w:ascii="Times New Roman" w:hAnsi="Times New Roman" w:cs="Times New Roman"/>
          <w:sz w:val="20"/>
          <w:szCs w:val="20"/>
        </w:rPr>
        <w:fldChar w:fldCharType="end"/>
      </w:r>
      <w:r w:rsidR="00723E03" w:rsidRPr="004D19FF">
        <w:rPr>
          <w:rFonts w:ascii="Times New Roman" w:hAnsi="Times New Roman" w:cs="Times New Roman"/>
          <w:sz w:val="20"/>
          <w:szCs w:val="20"/>
        </w:rPr>
        <w:t xml:space="preserve">. </w:t>
      </w:r>
    </w:p>
    <w:p w14:paraId="3B3BAB28" w14:textId="7290D848" w:rsidR="005824D0" w:rsidRPr="004D19FF" w:rsidRDefault="005D0A88" w:rsidP="00290530">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lastRenderedPageBreak/>
        <w:t xml:space="preserve">In </w:t>
      </w:r>
      <w:r w:rsidR="001B65EF" w:rsidRPr="004D19FF">
        <w:rPr>
          <w:rFonts w:ascii="Times New Roman" w:hAnsi="Times New Roman" w:cs="Times New Roman"/>
          <w:sz w:val="20"/>
          <w:szCs w:val="20"/>
        </w:rPr>
        <w:t xml:space="preserve">the </w:t>
      </w:r>
      <w:r w:rsidR="00A562A3" w:rsidRPr="004D19FF">
        <w:rPr>
          <w:rFonts w:ascii="Times New Roman" w:hAnsi="Times New Roman" w:cs="Times New Roman"/>
          <w:sz w:val="20"/>
          <w:szCs w:val="20"/>
        </w:rPr>
        <w:t xml:space="preserve">HTL </w:t>
      </w:r>
      <w:r w:rsidRPr="004D19FF">
        <w:rPr>
          <w:rFonts w:ascii="Times New Roman" w:hAnsi="Times New Roman" w:cs="Times New Roman"/>
          <w:sz w:val="20"/>
          <w:szCs w:val="20"/>
        </w:rPr>
        <w:t>process</w:t>
      </w:r>
      <w:r w:rsidR="005169C6" w:rsidRPr="004D19FF">
        <w:rPr>
          <w:rFonts w:ascii="Times New Roman" w:hAnsi="Times New Roman" w:cs="Times New Roman"/>
          <w:sz w:val="20"/>
          <w:szCs w:val="20"/>
        </w:rPr>
        <w:t xml:space="preserve">, </w:t>
      </w:r>
      <w:r w:rsidR="001B65EF" w:rsidRPr="004D19FF">
        <w:rPr>
          <w:rFonts w:ascii="Times New Roman" w:hAnsi="Times New Roman" w:cs="Times New Roman"/>
          <w:sz w:val="20"/>
          <w:szCs w:val="20"/>
        </w:rPr>
        <w:t>residual</w:t>
      </w:r>
      <w:r w:rsidR="00344AD7" w:rsidRPr="004D19FF">
        <w:rPr>
          <w:rFonts w:ascii="Times New Roman" w:hAnsi="Times New Roman" w:cs="Times New Roman"/>
          <w:sz w:val="20"/>
          <w:szCs w:val="20"/>
        </w:rPr>
        <w:t xml:space="preserve"> </w:t>
      </w:r>
      <w:r w:rsidR="00C9515A" w:rsidRPr="004D19FF">
        <w:rPr>
          <w:rFonts w:ascii="Times New Roman" w:hAnsi="Times New Roman" w:cs="Times New Roman"/>
          <w:sz w:val="20"/>
          <w:szCs w:val="20"/>
        </w:rPr>
        <w:t>b</w:t>
      </w:r>
      <w:r w:rsidR="00991622" w:rsidRPr="004D19FF">
        <w:rPr>
          <w:rFonts w:ascii="Times New Roman" w:hAnsi="Times New Roman" w:cs="Times New Roman"/>
          <w:sz w:val="20"/>
          <w:szCs w:val="20"/>
        </w:rPr>
        <w:t xml:space="preserve">iomass reacts </w:t>
      </w:r>
      <w:r w:rsidRPr="004D19FF">
        <w:rPr>
          <w:rFonts w:ascii="Times New Roman" w:hAnsi="Times New Roman" w:cs="Times New Roman"/>
          <w:sz w:val="20"/>
          <w:szCs w:val="20"/>
        </w:rPr>
        <w:t xml:space="preserve">with water at </w:t>
      </w:r>
      <w:r w:rsidR="005824D0" w:rsidRPr="004D19FF">
        <w:rPr>
          <w:rFonts w:ascii="Times New Roman" w:hAnsi="Times New Roman" w:cs="Times New Roman"/>
          <w:sz w:val="20"/>
          <w:szCs w:val="20"/>
        </w:rPr>
        <w:t xml:space="preserve">temperature ranging from 200-450 °C and pressures </w:t>
      </w:r>
      <w:r w:rsidR="001B65EF" w:rsidRPr="004D19FF">
        <w:rPr>
          <w:rFonts w:ascii="Times New Roman" w:hAnsi="Times New Roman" w:cs="Times New Roman"/>
          <w:sz w:val="20"/>
          <w:szCs w:val="20"/>
        </w:rPr>
        <w:t xml:space="preserve">of </w:t>
      </w:r>
      <w:r w:rsidR="005824D0" w:rsidRPr="004D19FF">
        <w:rPr>
          <w:rFonts w:ascii="Times New Roman" w:hAnsi="Times New Roman" w:cs="Times New Roman"/>
          <w:sz w:val="20"/>
          <w:szCs w:val="20"/>
        </w:rPr>
        <w:t xml:space="preserve">50-280 bar </w:t>
      </w:r>
      <w:r w:rsidR="005824D0"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or68nRM8","properties":{"formattedCitation":"[117]","plainCitation":"[117]","noteIndex":0},"citationItems":[{"id":"968HXJ10/E2hIpy0e","uris":["http://www.mendeley.com/documents/?uuid=d51b6591-2b9e-4863-86c7-4c43d77baea4"],"uri":["http://www.mendeley.com/documents/?uuid=d51b6591-2b9e-4863-86c7-4c43d77baea4"],"itemData":{"DOI":"10.3390/en8076765","ISSN":"19961073","abstract":"Hydrothermal liquefaction (HTL) presents a viable route for converting a vast range of materials into liquid fuel, without the need for pre-drying. Currently, HTL studies produce bio-crude with properties that fall short of diesel or biodiesel standards. Upgrading bio-crude improves the physical and chemical properties to produce a fuel corresponding to diesel or biodiesel. Properties such as viscosity, density, heating value, oxygen, nitrogen and sulphur content, and chemical composition can be modified towards meeting fuel standards using strategies such as solvent extraction, distillation, hydrodeoxygenation and catalytic cracking. This article presents a review of the upgrading technologies available, and how they might be used to make HTL bio-crude into a transportation fuel that meets current fuel property standards.","author":[{"dropping-particle":"","family":"Ramirez","given":"Jerome A.","non-dropping-particle":"","parse-names":false,"suffix":""},{"dropping-particle":"","family":"Brown","given":"Richard J.","non-dropping-particle":"","parse-names":false,"suffix":""},{"dropping-particle":"","family":"Rainey","given":"Thomas J.","non-dropping-particle":"","parse-names":false,"suffix":""}],"container-title":"Energies","id":"ITEM-1","issue":"7","issued":{"date-parts":[["2015"]]},"page":"6765-6794","title":"A review of hydrothermal liquefaction bio-crude properties and prospects for upgrading to transportation fuels","type":"article-journal","volume":"8"}}],"schema":"https://github.com/citation-style-language/schema/raw/master/csl-citation.json"} </w:instrText>
      </w:r>
      <w:r w:rsidR="005824D0"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[117]</w:t>
      </w:r>
      <w:r w:rsidR="005824D0" w:rsidRPr="004D19FF">
        <w:rPr>
          <w:rFonts w:ascii="Times New Roman" w:hAnsi="Times New Roman" w:cs="Times New Roman"/>
          <w:sz w:val="20"/>
          <w:szCs w:val="20"/>
        </w:rPr>
        <w:fldChar w:fldCharType="end"/>
      </w:r>
      <w:r w:rsidR="001B65EF" w:rsidRPr="004D19FF">
        <w:rPr>
          <w:rFonts w:ascii="Times New Roman" w:hAnsi="Times New Roman" w:cs="Times New Roman"/>
          <w:sz w:val="20"/>
          <w:szCs w:val="20"/>
        </w:rPr>
        <w:t xml:space="preserve"> with or </w:t>
      </w:r>
      <w:r w:rsidRPr="004D19FF">
        <w:rPr>
          <w:rFonts w:ascii="Times New Roman" w:hAnsi="Times New Roman" w:cs="Times New Roman"/>
          <w:sz w:val="20"/>
          <w:szCs w:val="20"/>
        </w:rPr>
        <w:t>without a catalyst</w:t>
      </w:r>
      <w:r w:rsidR="00991622" w:rsidRPr="004D19FF">
        <w:rPr>
          <w:rFonts w:ascii="Times New Roman" w:hAnsi="Times New Roman" w:cs="Times New Roman"/>
          <w:sz w:val="20"/>
          <w:szCs w:val="20"/>
        </w:rPr>
        <w:t xml:space="preserve">. </w:t>
      </w:r>
      <w:r w:rsidR="00573002" w:rsidRPr="004D19FF">
        <w:rPr>
          <w:rFonts w:ascii="Times New Roman" w:hAnsi="Times New Roman" w:cs="Times New Roman"/>
          <w:sz w:val="20"/>
          <w:szCs w:val="20"/>
        </w:rPr>
        <w:t>This process is suitable for</w:t>
      </w:r>
      <w:r w:rsidR="001B65EF" w:rsidRPr="004D19FF">
        <w:rPr>
          <w:rFonts w:ascii="Times New Roman" w:hAnsi="Times New Roman" w:cs="Times New Roman"/>
          <w:sz w:val="20"/>
          <w:szCs w:val="20"/>
        </w:rPr>
        <w:t xml:space="preserve"> the</w:t>
      </w:r>
      <w:r w:rsidR="00573002" w:rsidRPr="004D19FF">
        <w:rPr>
          <w:rFonts w:ascii="Times New Roman" w:hAnsi="Times New Roman" w:cs="Times New Roman"/>
          <w:sz w:val="20"/>
          <w:szCs w:val="20"/>
        </w:rPr>
        <w:t xml:space="preserve"> conversion of </w:t>
      </w:r>
      <w:r w:rsidR="001B65EF" w:rsidRPr="004D19FF">
        <w:rPr>
          <w:rFonts w:ascii="Times New Roman" w:hAnsi="Times New Roman" w:cs="Times New Roman"/>
          <w:sz w:val="20"/>
          <w:szCs w:val="20"/>
        </w:rPr>
        <w:t>relatively wet biomasses</w:t>
      </w:r>
      <w:r w:rsidR="00573002" w:rsidRPr="004D19FF">
        <w:rPr>
          <w:rFonts w:ascii="Times New Roman" w:hAnsi="Times New Roman" w:cs="Times New Roman"/>
          <w:sz w:val="20"/>
          <w:szCs w:val="20"/>
        </w:rPr>
        <w:t xml:space="preserve"> </w:t>
      </w:r>
      <w:r w:rsidR="001B65EF" w:rsidRPr="004D19FF">
        <w:rPr>
          <w:rFonts w:ascii="Times New Roman" w:hAnsi="Times New Roman" w:cs="Times New Roman"/>
          <w:sz w:val="20"/>
          <w:szCs w:val="20"/>
        </w:rPr>
        <w:t>(5-35% dry matter content</w:t>
      </w:r>
      <w:r w:rsidR="006631BB" w:rsidRPr="004D19FF">
        <w:rPr>
          <w:rFonts w:ascii="Times New Roman" w:hAnsi="Times New Roman" w:cs="Times New Roman"/>
          <w:sz w:val="20"/>
          <w:szCs w:val="20"/>
        </w:rPr>
        <w:t xml:space="preserve">) </w:t>
      </w:r>
      <w:r w:rsidR="005631FB">
        <w:rPr>
          <w:rFonts w:ascii="Times New Roman" w:hAnsi="Times New Roman" w:cs="Times New Roman"/>
          <w:sz w:val="20"/>
          <w:szCs w:val="20"/>
        </w:rPr>
        <w:t xml:space="preserve">into bio-crude </w:t>
      </w:r>
      <w:r w:rsidR="001B65EF" w:rsidRPr="004D19FF">
        <w:rPr>
          <w:rFonts w:ascii="Times New Roman" w:hAnsi="Times New Roman" w:cs="Times New Roman"/>
          <w:sz w:val="20"/>
          <w:szCs w:val="20"/>
        </w:rPr>
        <w:t>oil;</w:t>
      </w:r>
      <w:r w:rsidR="00573002" w:rsidRPr="004D19FF">
        <w:rPr>
          <w:rFonts w:ascii="Times New Roman" w:hAnsi="Times New Roman" w:cs="Times New Roman"/>
          <w:sz w:val="20"/>
          <w:szCs w:val="20"/>
        </w:rPr>
        <w:t xml:space="preserve"> </w:t>
      </w:r>
      <w:r w:rsidR="00715020" w:rsidRPr="004D19FF">
        <w:rPr>
          <w:rFonts w:ascii="Times New Roman" w:hAnsi="Times New Roman" w:cs="Times New Roman"/>
          <w:sz w:val="20"/>
          <w:szCs w:val="20"/>
        </w:rPr>
        <w:t>drying</w:t>
      </w:r>
      <w:r w:rsidR="004C3BC7" w:rsidRPr="004D19FF">
        <w:rPr>
          <w:rFonts w:ascii="Times New Roman" w:hAnsi="Times New Roman" w:cs="Times New Roman"/>
          <w:sz w:val="20"/>
          <w:szCs w:val="20"/>
        </w:rPr>
        <w:t xml:space="preserve"> </w:t>
      </w:r>
      <w:r w:rsidR="00E6194D" w:rsidRPr="004D19FF">
        <w:rPr>
          <w:rFonts w:ascii="Times New Roman" w:hAnsi="Times New Roman" w:cs="Times New Roman"/>
          <w:sz w:val="20"/>
          <w:szCs w:val="20"/>
        </w:rPr>
        <w:t xml:space="preserve">pretreatment </w:t>
      </w:r>
      <w:r w:rsidR="004C3BC7" w:rsidRPr="004D19FF">
        <w:rPr>
          <w:rFonts w:ascii="Times New Roman" w:hAnsi="Times New Roman" w:cs="Times New Roman"/>
          <w:sz w:val="20"/>
          <w:szCs w:val="20"/>
        </w:rPr>
        <w:t>process</w:t>
      </w:r>
      <w:r w:rsidR="00F832AA">
        <w:rPr>
          <w:rFonts w:ascii="Times New Roman" w:hAnsi="Times New Roman" w:cs="Times New Roman"/>
          <w:sz w:val="20"/>
          <w:szCs w:val="20"/>
        </w:rPr>
        <w:t>es are</w:t>
      </w:r>
      <w:r w:rsidR="00AB4B84" w:rsidRPr="004D19FF">
        <w:rPr>
          <w:rFonts w:ascii="Times New Roman" w:hAnsi="Times New Roman" w:cs="Times New Roman"/>
          <w:sz w:val="20"/>
          <w:szCs w:val="20"/>
        </w:rPr>
        <w:t xml:space="preserve"> therefore</w:t>
      </w:r>
      <w:r w:rsidR="00573002" w:rsidRPr="004D19FF">
        <w:rPr>
          <w:rFonts w:ascii="Times New Roman" w:hAnsi="Times New Roman" w:cs="Times New Roman"/>
          <w:sz w:val="20"/>
          <w:szCs w:val="20"/>
        </w:rPr>
        <w:t xml:space="preserve"> not necessary</w:t>
      </w:r>
      <w:r w:rsidR="009976B0" w:rsidRPr="004D19FF">
        <w:rPr>
          <w:rFonts w:ascii="Times New Roman" w:hAnsi="Times New Roman" w:cs="Times New Roman"/>
          <w:sz w:val="20"/>
          <w:szCs w:val="20"/>
        </w:rPr>
        <w:t xml:space="preserve"> </w:t>
      </w:r>
      <w:r w:rsidR="00A93EA9"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plgH4uGi","properties":{"formattedCitation":"[115,117\\uc0\\u8211{}120]","plainCitation":"[115,117–120]","noteIndex":0},"citationItems":[{"id":"968HXJ10/0KZLwT8D","uris":["http://www.mendeley.com/documents/?uuid=e029e29a-1df4-44a0-b0fa-5cb6f52ce952"],"uri":["http://www.mendeley.com/documents/?uuid=e029e29a-1df4-44a0-b0fa-5cb6f52ce952"],"itemData":{"DOI":"10.1021/ef0502397","ISSN":"08870624","abstract":"Fast pyrolysis utilizes biomass to produce a product that is used both as an energy source and a feedstock for chemical production. Considerable efforts have been made to convert wood biomass to liquid fuels and chemicals since the oil crisis in mid-1970s. This review focuses on the recent developments in the wood pyrolysis and reports the characteristics of the resulting bio-oils, which are the main products of fast wood pyrolysis. Virtually any form of biomass can be considered for fast pyrolysis. Most work has been performed on wood, because of its consistency and comparability between tests. However, nearly 100 types of biomass have been tested, ranging from agricultural wastes such as straw, olive pits, and nut shells to energy crops such as miscanthus and sorghum. Forestry wastes such as bark and thinnings and other solid wastes, including sewage sludge and leather wastes, have also been studied. In this review, the main (although not exclusive) emphasis has been given to wood. The literature on wood/biomass pyrolysis, both fast and slow, is surveyed and both the physical and chemical aspects of the resulting bio-oils are reviewed. The effect of the wood composition and structure, heating rate, and residence time during pyrolysis on the overall reaction rate and the yield of the volatiles are also discussed. Although very fast and very slow pyrolyses of biomass produce markedly different products, the variety of heating rates, temperatures, residence times, and feedstock varieties found in the literature make generalizations difficult to define, in regard to trying to critically analyze the literature. © 2006 American Chemical Society.","author":[{"dropping-particle":"","family":"Mohan","given":"Dinesh","non-dropping-particle":"","parse-names":false,"suffix":""},{"dropping-particle":"","family":"Pittman","given":"Charles U.","non-dropping-particle":"","parse-names":false,"suffix":""},{"dropping-particle":"","family":"Steele","given":"Philip H.","non-dropping-particle":"","parse-names":false,"suffix":""}],"container-title":"Energy and Fuels","id":"ITEM-1","issue":"3","issued":{"date-parts":[["2006"]]},"page":"848-889","title":"Pyrolysis of wood/biomass for bio-oil: A critical review","type":"article-journal","volume":"20"}},{"id":"968HXJ10/3ViP4BJ9","uris":["http://www.mendeley.com/documents/?uuid=f3ece2c2-0fa4-40a5-a7bf-bf558e2f56ed"],"uri":["http://www.mendeley.com/documents/?uuid=f3ece2c2-0fa4-40a5-a7bf-bf558e2f56ed"],"itemData":{"DOI":"10.1016/j.biortech.2011.06.041","ISSN":"09608524","abstract":"This study explores the influence of wastewater feedstock composition on hydrothermal liquefaction (HTL) biocrude oil properties and physico-chemical characteristics. Spirulina algae, swine manure, and digested sludge were converted under HTL conditions (300°C, 10-12. MPa, and 30. min reaction time). Biocrude yields ranged from 9.4% (digested sludge) to 32.6% (Spirulina). Although similar higher heating values (32.0-34.7. MJ/kg) were estimated for all product oils, more detailed characterization revealed significant differences in biocrude chemistry. Feedstock composition influenced the individual compounds identified as well as the biocrude functional group chemistry. Molecular weights tracked with obdurate carbohydrate content and followed the order of Spirulina&lt;. swine manure. &lt;. digested sludge. A similar trend was observed in boiling point distributions and the long branched aliphatic contents. These findings show the importance of HTL feedstock composition and highlight the need for better understanding of biocrude chemistries when considering bio-oil uses and upgrading requirements. © 2011 Elsevier Ltd.","author":[{"dropping-particle":"","family":"Vardon","given":"Derek R.","non-dropping-particle":"","parse-names":false,"suffix":""},{"dropping-particle":"","family":"Sharma","given":"B. K.","non-dropping-particle":"","parse-names":false,"suffix":""},{"dropping-particle":"","family":"Scott","given":"John","non-dropping-particle":"","parse-names":false,"suffix":""},{"dropping-particle":"","family":"Yu","given":"Guo","non-dropping-particle":"","parse-names":false,"suffix":""},{"dropping-particle":"","family":"Wang","given":"Zhichao","non-dropping-particle":"","parse-names":false,"suffix":""},{"dropping-particle":"","family":"Schideman","given":"Lance","non-dropping-particle":"","parse-names":false,"suffix":""},{"dropping-particle":"","family":"Zhang","given":"Yuanhui","non-dropping-particle":"","parse-names":false,"suffix":""},{"dropping-particle":"","family":"Strathmann","given":"Timothy J.","non-dropping-particle":"","parse-names":false,"suffix":""}],"container-title":"Bioresource Technology","id":"ITEM-2","issue":"17","issued":{"date-parts":[["2011"]]},"page":"8295-8303","publisher":"Elsevier Ltd","title":"Chemical properties of biocrude oil from the hydrothermal liquefaction of Spirulina algae, swine manure, and digested anaerobic sludge","type":"article-journal","volume":"102"}},{"id":"968HXJ10/VVNacZML","uris":["http://www.mendeley.com/documents/?uuid=5675a1b9-8bb8-4958-a2ca-f52805d78b09"],"uri":["http://www.mendeley.com/documents/?uuid=5675a1b9-8bb8-4958-a2ca-f52805d78b09"],"itemData":{"DOI":"10.1021/ie501682r","ISSN":"15205045","abstract":"This study demonstrates a new route for converting bio-oil, prepared from the hydrothermal liquefaction of cornstalks, to diesel- and jet-fuel-range hydrocarbons over Ni/ZrO2 in supercritical cyclohexane. Under relatively mild conditions (573 K, 5 MPa H2), we obtained a high yield (81.6 C%) of hydrocarbons with an excellent quality (90% of diesel- and jet-fuel-range hydrocarbons and 7% of gasoline-range hydrocarbons). Ni/ZrO 2 efficiently and stably catalyzed all types of compounds in the bio-oil to the corresponding alkanes via hydrogenation, dehydration, hydrogenolysis, decarbonylation, and isomerization, without polymerizations among the different reactive compounds in bio-oil. The activity and selectivity for diesel- and jet-fuel-range hydrocarbons of Ni/ZrO2 showed no obvious changes after three cycles. Ni/ZrO2 was fairly stable in supercritical cyclohexane after 72 h of reaction time. This strategy provides a novel high-efficiency pathway for the preparation of high-quality hydrocarbons from bio-oil. © 2014 American Chemical Society.","author":[{"dropping-particle":"","family":"Shi","given":"Wen","non-dropping-particle":"","parse-names":false,"suffix":""},{"dropping-particle":"","family":"Gao","given":"Yahui","non-dropping-particle":"","parse-names":false,"suffix":""},{"dropping-particle":"","family":"Song","given":"Shaodi","non-dropping-particle":"","parse-names":false,"suffix":""},{"dropping-particle":"","family":"Zhao","given":"Yaping","non-dropping-particle":"","parse-names":false,"suffix":""}],"container-title":"Industrial and Engineering Chemistry Research","id":"ITEM-3","issue":"28","issued":{"date-parts":[["2014"]]},"page":"11557-11565","title":"One-pot conversion of bio-oil to diesel- and jet-fuel-range hydrocarbons in supercritical cyclohexane","type":"article-journal","volume":"53"}},{"id":"968HXJ10/E2hIpy0e","uris":["http://www.mendeley.com/documents/?uuid=d51b6591-2b9e-4863-86c7-4c43d77baea4"],"uri":["http://www.mendeley.com/documents/?uuid=d51b6591-2b9e-4863-86c7-4c43d77baea4"],"itemData":{"DOI":"10.3390/en8076765","ISSN":"19961073","abstract":"Hydrothermal liquefaction (HTL) presents a viable route for converting a vast range of materials into liquid fuel, without the need for pre-drying. Currently, HTL studies produce bio-crude with properties that fall short of diesel or biodiesel standards. Upgrading bio-crude improves the physical and chemical properties to produce a fuel corresponding to diesel or biodiesel. Properties such as viscosity, density, heating value, oxygen, nitrogen and sulphur content, and chemical composition can be modified towards meeting fuel standards using strategies such as solvent extraction, distillation, hydrodeoxygenation and catalytic cracking. This article presents a review of the upgrading technologies available, and how they might be used to make HTL bio-crude into a transportation fuel that meets current fuel property standards.","author":[{"dropping-particle":"","family":"Ramirez","given":"Jerome A.","non-dropping-particle":"","parse-names":false,"suffix":""},{"dropping-particle":"","family":"Brown","given":"Richard J.","non-dropping-particle":"","parse-names":false,"suffix":""},{"dropping-particle":"","family":"Rainey","given":"Thomas J.","non-dropping-particle":"","parse-names":false,"suffix":""}],"container-title":"Energies","id":"ITEM-4","issue":"7","issued":{"date-parts":[["2015"]]},"page":"6765-6794","title":"A review of hydrothermal liquefaction bio-crude properties and prospects for upgrading to transportation fuels","type":"article-journal","volume":"8"}},{"id":"968HXJ10/4C6DY9Dx","uris":["http://www.mendeley.com/documents/?uuid=23a59987-65e9-47fc-b832-cbc8f093e5b6"],"uri":["http://www.mendeley.com/documents/?uuid=23a59987-65e9-47fc-b832-cbc8f093e5b6"],"itemData":{"DOI":"10.1016/j.pecs.2019.100819","ISSN":"03601285","abstract":"Hydrothermal liquefaction (HTL) is a thermochemical conversion technology that shows promising commercial potential for the production of biocrude oil from wet biomass. However, the inevitable production of the hydrothermal liquefaction aqueous phase (HTL-AP) acts as a double-edged sword: it is considered a waste stream that without additional treatment clouds the future scale-up prospects of HTL technology; on the other hand, it also offers potential as an untapped nutrient and energy resource that could be valorized. As more researchers turn to liquefaction as a means of producing renewable fuel, there is a growing need to better understand HTL-AP from a variety of vantage points. Specifically, the HTL-AP chemical composition, conversion pathways, energy valorization potential, and the interconnection of HTL-AP conversion with biofuel production technology are particularly worthy of investigation. This paper extensively reviews the impact of HTL conditions and the feedstock composition on the energy and elemental distribution of process outputs with specific emphasis on the HTL-AP. Moreover, this paper also compares and contrasts the current state of value-added products separation along with biological (biomass cultivation, anaerobic fermentation, and bioelectrochemical systems) and thermochemical (gasification and HTL) pathways to valorize HTL-AP. Furthermore, life cycle analysis (LCA) and techno-economic assessments (TEA) are performed to appraise the environmental sustainability and economic implications of these different valorization techniques. Finally, perspectives and challenges are presented and the integration approaches of HTL-AP valorization pathways with HTL and biorefining are explored.","author":[{"dropping-particle":"","family":"Watson","given":"Jamison","non-dropping-particle":"","parse-names":false,"suffix":""},{"dropping-particle":"","family":"Wang","given":"Tengfei","non-dropping-particle":"","parse-names":false,"suffix":""},{"dropping-particle":"","family":"Si","given":"Buchun","non-dropping-particle":"","parse-names":false,"suffix":""},{"dropping-particle":"","family":"Chen","given":"Wan Ting","non-dropping-particle":"","parse-names":false,"suffix":""},{"dropping-particle":"","family":"Aierzhati","given":"Aersi","non-dropping-particle":"","parse-names":false,"suffix":""},{"dropping-particle":"","family":"Zhang","given":"Yuanhui","non-dropping-particle":"","parse-names":false,"suffix":""}],"container-title":"Progress in Energy and Combustion Science","id":"ITEM-5","issued":{"date-parts":[["2020"]]},"publisher":"Elsevier Ltd","title":"Valorization of hydrothermal liquefaction aqueous phase: pathways towards commercial viability","type":"article-journal","volume":"77"}}],"schema":"https://github.com/citation-style-language/schema/raw/master/csl-citation.json"} </w:instrText>
      </w:r>
      <w:r w:rsidR="00A93EA9" w:rsidRPr="004D19FF">
        <w:rPr>
          <w:rFonts w:ascii="Times New Roman" w:hAnsi="Times New Roman" w:cs="Times New Roman"/>
          <w:sz w:val="20"/>
          <w:szCs w:val="20"/>
        </w:rPr>
        <w:fldChar w:fldCharType="separate"/>
      </w:r>
      <w:r w:rsidR="00623E85" w:rsidRPr="00623E85">
        <w:rPr>
          <w:rFonts w:ascii="Times New Roman" w:hAnsi="Times New Roman" w:cs="Times New Roman"/>
          <w:sz w:val="20"/>
          <w:szCs w:val="24"/>
        </w:rPr>
        <w:t>[115,117–120]</w:t>
      </w:r>
      <w:r w:rsidR="00A93EA9" w:rsidRPr="004D19FF">
        <w:rPr>
          <w:rFonts w:ascii="Times New Roman" w:hAnsi="Times New Roman" w:cs="Times New Roman"/>
          <w:sz w:val="20"/>
          <w:szCs w:val="20"/>
        </w:rPr>
        <w:fldChar w:fldCharType="end"/>
      </w:r>
      <w:r w:rsidR="00C641A1" w:rsidRPr="004D19FF">
        <w:rPr>
          <w:rFonts w:ascii="Times New Roman" w:hAnsi="Times New Roman" w:cs="Times New Roman"/>
          <w:sz w:val="20"/>
          <w:szCs w:val="20"/>
        </w:rPr>
        <w:t>.</w:t>
      </w:r>
      <w:r w:rsidR="00F4330C" w:rsidRPr="004D19FF">
        <w:rPr>
          <w:rFonts w:ascii="Times New Roman" w:hAnsi="Times New Roman" w:cs="Times New Roman"/>
          <w:sz w:val="20"/>
          <w:szCs w:val="20"/>
        </w:rPr>
        <w:t xml:space="preserve"> </w:t>
      </w:r>
      <w:r w:rsidR="00344AD7" w:rsidRPr="004D19FF">
        <w:rPr>
          <w:rFonts w:ascii="Times New Roman" w:hAnsi="Times New Roman" w:cs="Times New Roman"/>
          <w:sz w:val="20"/>
          <w:szCs w:val="20"/>
        </w:rPr>
        <w:t>During</w:t>
      </w:r>
      <w:r w:rsidR="00C82D38" w:rsidRPr="004D19FF">
        <w:rPr>
          <w:rFonts w:ascii="Times New Roman" w:hAnsi="Times New Roman" w:cs="Times New Roman"/>
          <w:sz w:val="20"/>
          <w:szCs w:val="20"/>
        </w:rPr>
        <w:t xml:space="preserve"> the HTL process, </w:t>
      </w:r>
      <w:r w:rsidR="00F832AA">
        <w:rPr>
          <w:rFonts w:ascii="Times New Roman" w:hAnsi="Times New Roman" w:cs="Times New Roman"/>
          <w:sz w:val="20"/>
          <w:szCs w:val="20"/>
        </w:rPr>
        <w:t>bio-</w:t>
      </w:r>
      <w:r w:rsidR="00344AD7" w:rsidRPr="004D19FF">
        <w:rPr>
          <w:rFonts w:ascii="Times New Roman" w:hAnsi="Times New Roman" w:cs="Times New Roman"/>
          <w:sz w:val="20"/>
          <w:szCs w:val="20"/>
        </w:rPr>
        <w:t>oil</w:t>
      </w:r>
      <w:r w:rsidR="00C82D38" w:rsidRPr="004D19FF">
        <w:rPr>
          <w:rFonts w:ascii="Times New Roman" w:hAnsi="Times New Roman" w:cs="Times New Roman"/>
          <w:sz w:val="20"/>
          <w:szCs w:val="20"/>
        </w:rPr>
        <w:t xml:space="preserve"> is </w:t>
      </w:r>
      <w:r w:rsidR="00E6194D" w:rsidRPr="004D19FF">
        <w:rPr>
          <w:rFonts w:ascii="Times New Roman" w:hAnsi="Times New Roman" w:cs="Times New Roman"/>
          <w:sz w:val="20"/>
          <w:szCs w:val="20"/>
        </w:rPr>
        <w:t>produced</w:t>
      </w:r>
      <w:r w:rsidR="007400FA" w:rsidRPr="004D19FF">
        <w:rPr>
          <w:rFonts w:ascii="Times New Roman" w:hAnsi="Times New Roman" w:cs="Times New Roman"/>
          <w:sz w:val="20"/>
          <w:szCs w:val="20"/>
        </w:rPr>
        <w:t xml:space="preserve"> </w:t>
      </w:r>
      <w:r w:rsidR="005824D0" w:rsidRPr="004D19FF">
        <w:rPr>
          <w:rFonts w:ascii="Times New Roman" w:hAnsi="Times New Roman" w:cs="Times New Roman"/>
          <w:sz w:val="20"/>
          <w:szCs w:val="20"/>
        </w:rPr>
        <w:t xml:space="preserve">through multiple reactions such as </w:t>
      </w:r>
      <w:r w:rsidR="00E6194D" w:rsidRPr="004D19FF">
        <w:rPr>
          <w:rFonts w:ascii="Times New Roman" w:hAnsi="Times New Roman" w:cs="Times New Roman"/>
          <w:sz w:val="20"/>
          <w:szCs w:val="20"/>
        </w:rPr>
        <w:t>hydrolysis, dehydration, decarboxylat</w:t>
      </w:r>
      <w:r w:rsidR="005D5FEE" w:rsidRPr="004D19FF">
        <w:rPr>
          <w:rFonts w:ascii="Times New Roman" w:hAnsi="Times New Roman" w:cs="Times New Roman"/>
          <w:sz w:val="20"/>
          <w:szCs w:val="20"/>
        </w:rPr>
        <w:t xml:space="preserve">ion, condensation, cyclisation </w:t>
      </w:r>
      <w:r w:rsidR="00B61061" w:rsidRPr="004D19FF">
        <w:rPr>
          <w:rFonts w:ascii="Times New Roman" w:hAnsi="Times New Roman" w:cs="Times New Roman"/>
          <w:sz w:val="20"/>
          <w:szCs w:val="20"/>
        </w:rPr>
        <w:t xml:space="preserve">or, </w:t>
      </w:r>
      <w:r w:rsidR="00E6194D" w:rsidRPr="004D19FF">
        <w:rPr>
          <w:rFonts w:ascii="Times New Roman" w:hAnsi="Times New Roman" w:cs="Times New Roman"/>
          <w:sz w:val="20"/>
          <w:szCs w:val="20"/>
        </w:rPr>
        <w:t>polymerization.</w:t>
      </w:r>
      <w:r w:rsidR="00C82D38" w:rsidRPr="004D19FF">
        <w:rPr>
          <w:rFonts w:ascii="Times New Roman" w:hAnsi="Times New Roman" w:cs="Times New Roman"/>
          <w:sz w:val="20"/>
          <w:szCs w:val="20"/>
        </w:rPr>
        <w:t xml:space="preserve"> </w:t>
      </w:r>
      <w:r w:rsidR="00B61061" w:rsidRPr="004D19FF">
        <w:rPr>
          <w:rFonts w:ascii="Times New Roman" w:hAnsi="Times New Roman" w:cs="Times New Roman"/>
          <w:sz w:val="20"/>
          <w:szCs w:val="20"/>
        </w:rPr>
        <w:t>The produced</w:t>
      </w:r>
      <w:r w:rsidR="00D90F90" w:rsidRPr="004D19FF">
        <w:rPr>
          <w:rFonts w:ascii="Times New Roman" w:hAnsi="Times New Roman" w:cs="Times New Roman"/>
          <w:sz w:val="20"/>
          <w:szCs w:val="20"/>
        </w:rPr>
        <w:t xml:space="preserve"> </w:t>
      </w:r>
      <w:r w:rsidR="00F832AA">
        <w:rPr>
          <w:rFonts w:ascii="Times New Roman" w:hAnsi="Times New Roman" w:cs="Times New Roman"/>
          <w:sz w:val="20"/>
          <w:szCs w:val="20"/>
        </w:rPr>
        <w:t>bio-</w:t>
      </w:r>
      <w:r w:rsidR="005631FB">
        <w:rPr>
          <w:rFonts w:ascii="Times New Roman" w:hAnsi="Times New Roman" w:cs="Times New Roman"/>
          <w:sz w:val="20"/>
          <w:szCs w:val="20"/>
        </w:rPr>
        <w:t xml:space="preserve">oil </w:t>
      </w:r>
      <w:r w:rsidR="00E6194D" w:rsidRPr="004D19FF">
        <w:rPr>
          <w:rFonts w:ascii="Times New Roman" w:hAnsi="Times New Roman" w:cs="Times New Roman"/>
          <w:sz w:val="20"/>
          <w:szCs w:val="20"/>
        </w:rPr>
        <w:t>contains</w:t>
      </w:r>
      <w:r w:rsidR="00C317A2" w:rsidRPr="004D19FF">
        <w:rPr>
          <w:rFonts w:ascii="Times New Roman" w:hAnsi="Times New Roman" w:cs="Times New Roman"/>
          <w:sz w:val="20"/>
          <w:szCs w:val="20"/>
        </w:rPr>
        <w:t xml:space="preserve"> </w:t>
      </w:r>
      <w:r w:rsidR="00B563F8" w:rsidRPr="004D19FF">
        <w:rPr>
          <w:rFonts w:ascii="Times New Roman" w:hAnsi="Times New Roman" w:cs="Times New Roman"/>
          <w:sz w:val="20"/>
          <w:szCs w:val="20"/>
        </w:rPr>
        <w:t xml:space="preserve">lower oxygen </w:t>
      </w:r>
      <w:r w:rsidR="00E6194D" w:rsidRPr="004D19FF">
        <w:rPr>
          <w:rFonts w:ascii="Times New Roman" w:hAnsi="Times New Roman" w:cs="Times New Roman"/>
          <w:sz w:val="20"/>
          <w:szCs w:val="20"/>
        </w:rPr>
        <w:t xml:space="preserve">(in oxygenated compounds) </w:t>
      </w:r>
      <w:r w:rsidR="00B563F8" w:rsidRPr="004D19FF">
        <w:rPr>
          <w:rFonts w:ascii="Times New Roman" w:hAnsi="Times New Roman" w:cs="Times New Roman"/>
          <w:sz w:val="20"/>
          <w:szCs w:val="20"/>
        </w:rPr>
        <w:t xml:space="preserve">and moisture content </w:t>
      </w:r>
      <w:r w:rsidR="00D90F90" w:rsidRPr="004D19FF">
        <w:rPr>
          <w:rFonts w:ascii="Times New Roman" w:hAnsi="Times New Roman" w:cs="Times New Roman"/>
          <w:sz w:val="20"/>
          <w:szCs w:val="20"/>
        </w:rPr>
        <w:t>with</w:t>
      </w:r>
      <w:r w:rsidR="00B563F8" w:rsidRPr="004D19FF">
        <w:rPr>
          <w:rFonts w:ascii="Times New Roman" w:hAnsi="Times New Roman" w:cs="Times New Roman"/>
          <w:sz w:val="20"/>
          <w:szCs w:val="20"/>
        </w:rPr>
        <w:t xml:space="preserve"> higher heating value in </w:t>
      </w:r>
      <w:r w:rsidR="00570FBE" w:rsidRPr="004D19FF">
        <w:rPr>
          <w:rFonts w:ascii="Times New Roman" w:hAnsi="Times New Roman" w:cs="Times New Roman"/>
          <w:sz w:val="20"/>
          <w:szCs w:val="20"/>
        </w:rPr>
        <w:t xml:space="preserve">comparison to the </w:t>
      </w:r>
      <w:r w:rsidR="008958FC" w:rsidRPr="004D19FF">
        <w:rPr>
          <w:rFonts w:ascii="Times New Roman" w:hAnsi="Times New Roman" w:cs="Times New Roman"/>
          <w:sz w:val="20"/>
          <w:szCs w:val="20"/>
        </w:rPr>
        <w:t>PL</w:t>
      </w:r>
      <w:r w:rsidR="00570FBE" w:rsidRPr="004D19FF">
        <w:rPr>
          <w:rFonts w:ascii="Times New Roman" w:hAnsi="Times New Roman" w:cs="Times New Roman"/>
          <w:sz w:val="20"/>
          <w:szCs w:val="20"/>
        </w:rPr>
        <w:t xml:space="preserve"> bio</w:t>
      </w:r>
      <w:r w:rsidR="00F832AA">
        <w:rPr>
          <w:rFonts w:ascii="Times New Roman" w:hAnsi="Times New Roman" w:cs="Times New Roman"/>
          <w:sz w:val="20"/>
          <w:szCs w:val="20"/>
        </w:rPr>
        <w:t>-</w:t>
      </w:r>
      <w:r w:rsidR="005631FB">
        <w:rPr>
          <w:rFonts w:ascii="Times New Roman" w:hAnsi="Times New Roman" w:cs="Times New Roman"/>
          <w:sz w:val="20"/>
          <w:szCs w:val="20"/>
        </w:rPr>
        <w:t>oil</w:t>
      </w:r>
      <w:r w:rsidR="00570FBE" w:rsidRPr="004D19FF">
        <w:rPr>
          <w:rFonts w:ascii="Times New Roman" w:hAnsi="Times New Roman" w:cs="Times New Roman"/>
          <w:sz w:val="20"/>
          <w:szCs w:val="20"/>
        </w:rPr>
        <w:t xml:space="preserve"> </w:t>
      </w:r>
      <w:r w:rsidR="001E5C83"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5ZcVIrjX","properties":{"formattedCitation":"[51,121,122]","plainCitation":"[51,121,122]","noteIndex":0},"citationItems":[{"id":"968HXJ10/aZOLIlih","uris":["http://www.mendeley.com/documents/?uuid=18d919ee-711b-4eed-aa87-f642782f22f9"],"uri":["http://www.mendeley.com/documents/?uuid=18d919ee-711b-4eed-aa87-f642782f22f9"],"itemData":{"DOI":"10.1016/j.fuel.2015.08.055","ISSN":"00162361","abstract":"Hydrothermal liquefaction of woody biomass (birchwood sawdust) with and without catalyst was investigated at 300 °C for 30 min. The activities of KOH, FeSO&lt;inf&gt;4&lt;/inf&gt;·7H&lt;inf&gt;2&lt;/inf&gt;O, K&lt;inf&gt;2&lt;/inf&gt;CO&lt;inf&gt;3&lt;/inf&gt;, MgO, synthetic hydrotalcite (HT), and ground colemanite (calcium borate mineral) as catalysts were compared. The alkaline catalysts (KOH, K&lt;inf&gt;2&lt;/inf&gt;CO&lt;inf&gt;3&lt;/inf&gt; and colemanite) showed the best performance considering the oil yield and solid residue yield. The bio-crude oil yield with KOH was increased to around 40 wt%, more than double the yield of the un-catalyzed operation (</w:instrText>
      </w:r>
      <w:r w:rsidR="00752A1E">
        <w:rPr>
          <w:rFonts w:ascii="Cambria Math" w:hAnsi="Cambria Math" w:cs="Cambria Math"/>
          <w:sz w:val="20"/>
          <w:szCs w:val="20"/>
        </w:rPr>
        <w:instrText>∼</w:instrText>
      </w:r>
      <w:r w:rsidR="00752A1E">
        <w:rPr>
          <w:rFonts w:ascii="Times New Roman" w:hAnsi="Times New Roman" w:cs="Times New Roman"/>
          <w:sz w:val="20"/>
          <w:szCs w:val="20"/>
        </w:rPr>
        <w:instrText xml:space="preserve">18 wt%). It also reduced the solid residue yield from approx. 33 to 12 wt%. Among all catalysts tested, the least active catalysts for bio-crude oil production are FeSO&lt;inf&gt;4&lt;/inf&gt; and MgO. The bio-crude oil products were comprehensively characterized using an elemental analyzer, GC-MS, FT-IR, GPC and TGA. Occurrence of phenol derivatives (mainly 2-methoxy-phenol) and aliphatic compounds increased significantly in presence of catalysts, especially the alkaline ones such as HT and KOH. The GPC results indicate that the oils produced in the presence of catalysts have very similar molecular weights and distribution, which are slightly greater than the oil produced in absence of any catalyst, suggesting that the presence of a catalyst promoted certain condensation/polymerization of the reaction intermediates during the HTL process. The TGA results show that all bio-crude oils are similar with respect to thermal stability, irrespective of the presence or type of catalyst.","author":[{"dropping-particle":"","family":"Nazari","given":"Laleh","non-dropping-particle":"","parse-names":false,"suffix":""},{"dropping-particle":"","family":"Yuan","given":"Zhongshun","non-dropping-particle":"","parse-names":false,"suffix":""},{"dropping-particle":"","family":"Souzanchi","given":"Sadra","non-dropping-particle":"","parse-names":false,"suffix":""},{"dropping-particle":"","family":"Ray","given":"Madhumita B.","non-dropping-particle":"","parse-names":false,"suffix":""},{"dropping-particle":"","family":"Xu","given":"Chunbao","non-dropping-particle":"","parse-names":false,"suffix":""}],"container-title":"Fuel","id":"ITEM-1","issued":{"date-parts":[["2015"]]},"page":"74-83","publisher":"Elsevier Ltd","title":"Hydrothermal liquefaction of woody biomass in hot-compressed water: Catalyst screening and comprehensive characterization of bio-crude oils","type":"article-journal","volume":"162"}},{"id":"968HXJ10/pA8oL6E1","uris":["http://www.mendeley.com/documents/?uuid=77c0b4b6-aa79-475a-8c6a-ba77c9e822a3"],"uri":["http://www.mendeley.com/documents/?uuid=77c0b4b6-aa79-475a-8c6a-ba77c9e822a3"],"itemData":{"DOI":"10.1002/bbb.1644","ISSN":"19321031","abstract":"Aviation is responsible for an increasing share of anthropogenic CO2 emissions. Decarbonization to 2050 is expected to rely on renewable jet fuel (RJF) derived from biomass, but this represents a radical departure from the existing regime of petroleum-based fuels. Increased market deployment will require significant cost reductions, alongside adaptation of existing supply chains and infrastructure. This paper maps development and manufacturing efforts for six RJF production pathways expected to reach commercialization in the next 5–10 years. A Rapid Evidence Assessment was conducted to evaluate the technological and commercial maturity of each pathway and progress toward international certification, using the Commercial Aviation Alternative Fuels Initiative's Fuel Readiness Level (FRL) framework. Planned and operational facilities have been cataloged alongside partnerships with the aviation industry. Policy and economic factors likely to affect future development and deployment are considered. Hydroprocessed Esters and Fatty Acids (FRL 9) is the most developed pathway. It is ASTM certified, has fuelled the majority of RJF flights to date, and is produced at three commercial-scale facilities. Fischer-Tropsch derived fuels are moving toward the start-up of first commercial facilities (FRL 7 and 8), although widespread deployment seems unlikely under current market conditions. The Direct Sugars to Hydrocarbons conversion pathway (FRL 5–7) is being championed by Amyris and Total in Brazil, but has yet to be demonstrated at scale. Other pathways are in the demonstration and pilot phases (FRL 4–6). Despite growing interest in RJF, demand and production volumes remain negligible. Development of supportive policy is likely to be critical to future deployment. © 2016 Society of Chemical Industry and John Wiley &amp; Sons, Ltd.","author":[{"dropping-particle":"","family":"Mawhood","given":"Rebecca","non-dropping-particle":"","parse-names":false,"suffix":""},{"dropping-particle":"","family":"Gazis","given":"Evangelos","non-dropping-particle":"","parse-names":false,"suffix":""},{"dropping-particle":"","family":"Jong","given":"Sierk","non-dropping-particle":"de","parse-names":false,"suffix":""},{"dropping-particle":"","family":"Hoefnagels","given":"Ric","non-dropping-particle":"","parse-names":false,"suffix":""},{"dropping-particle":"","family":"Slade","given":"Raphael","non-dropping-particle":"","parse-names":false,"suffix":""}],"container-title":"Biofuels, Bioproducts and Biorefining","id":"ITEM-2","issue":"4","issued":{"date-parts":[["2016"]]},"page":"462-484","title":"Production pathways for renewable jet fuel: a review of commercialization status and future prospects","type":"article-journal","volume":"10"}},{"id":"968HXJ10/2gRzLmjh","uris":["http://www.mendeley.com/documents/?uuid=fa7e8464-0cb5-4d94-a591-fb0c046d15c8"],"uri":["http://www.mendeley.com/documents/?uuid=fa7e8464-0cb5-4d94-a591-fb0c046d15c8"],"itemData":{"DOI":"10.1016/j.rser.2016.09.120","ISSN":"18790690","abstract":"The continuing use of fossil fuels accelerated the energy crisis, environmental pollution, and global warming in recent years. These problems are the driving force of the worldwide search for new alternative energy, among which biomass is considered to be one of the most promising candidates due to its renewable, carbon neutral and high productivity characteristics. Hydrothermal liquefaction (HTL) is an alternative technology of exploiting different types of biomass for fuels production, involving the direct biomass conversion to liquid, in the presence of a solvent and in some times catalyst. HTL has undergone a sudden increase in the number of publications in recent years. The wide variation in different types of feedstock tested, their initial state, the reaction conditions and/or the catalysts applied renders a wide but rather fragmentary spectrum of knowledge generated. This review is a summary of state-of-the-art knowledge of HTL for various feedstocks such as woody biomass, wastes, plastics and microalgae.","author":[{"dropping-particle":"","family":"Dimitriadis","given":"Athanasios","non-dropping-particle":"","parse-names":false,"suffix":""},{"dropping-particle":"","family":"Bezergianni","given":"Stella","non-dropping-particle":"","parse-names":false,"suffix":""}],"container-title":"Renewable and Sustainable Energy Reviews","id":"ITEM-3","issue":"May 2016","issued":{"date-parts":[["2017"]]},"page":"113-125","publisher":"Elsevier","title":"Hydrothermal liquefaction of various biomass and waste feedstocks for biocrude production: A state of the art review","type":"article-journal","volume":"68"}}],"schema":"https://github.com/citation-style-language/schema/raw/master/csl-citation.json"} </w:instrText>
      </w:r>
      <w:r w:rsidR="001E5C83"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[51,121,122]</w:t>
      </w:r>
      <w:r w:rsidR="001E5C83" w:rsidRPr="004D19FF">
        <w:rPr>
          <w:rFonts w:ascii="Times New Roman" w:hAnsi="Times New Roman" w:cs="Times New Roman"/>
          <w:sz w:val="20"/>
          <w:szCs w:val="20"/>
        </w:rPr>
        <w:fldChar w:fldCharType="end"/>
      </w:r>
      <w:r w:rsidR="00B563F8" w:rsidRPr="004D19FF">
        <w:rPr>
          <w:rFonts w:ascii="Times New Roman" w:hAnsi="Times New Roman" w:cs="Times New Roman"/>
          <w:sz w:val="20"/>
          <w:szCs w:val="20"/>
        </w:rPr>
        <w:t xml:space="preserve"> </w:t>
      </w:r>
      <w:r w:rsidR="00B61061" w:rsidRPr="004D19FF">
        <w:rPr>
          <w:rFonts w:ascii="Times New Roman" w:hAnsi="Times New Roman" w:cs="Times New Roman"/>
          <w:sz w:val="20"/>
          <w:szCs w:val="20"/>
        </w:rPr>
        <w:t xml:space="preserve">Moreover, </w:t>
      </w:r>
      <w:r w:rsidR="00722E37" w:rsidRPr="004D19FF">
        <w:rPr>
          <w:rFonts w:ascii="Times New Roman" w:hAnsi="Times New Roman" w:cs="Times New Roman"/>
          <w:sz w:val="20"/>
          <w:szCs w:val="20"/>
        </w:rPr>
        <w:t>PL</w:t>
      </w:r>
      <w:r w:rsidR="00F832AA">
        <w:rPr>
          <w:rFonts w:ascii="Times New Roman" w:hAnsi="Times New Roman" w:cs="Times New Roman"/>
          <w:sz w:val="20"/>
          <w:szCs w:val="20"/>
        </w:rPr>
        <w:t xml:space="preserve"> bio-</w:t>
      </w:r>
      <w:r w:rsidR="00E6194D" w:rsidRPr="004D19FF">
        <w:rPr>
          <w:rFonts w:ascii="Times New Roman" w:hAnsi="Times New Roman" w:cs="Times New Roman"/>
          <w:sz w:val="20"/>
          <w:szCs w:val="20"/>
        </w:rPr>
        <w:t>oil has higher acidity and weaker thermal stabilit</w:t>
      </w:r>
      <w:r w:rsidR="005631FB">
        <w:rPr>
          <w:rFonts w:ascii="Times New Roman" w:hAnsi="Times New Roman" w:cs="Times New Roman"/>
          <w:sz w:val="20"/>
          <w:szCs w:val="20"/>
        </w:rPr>
        <w:t>y relative to the HTL bi</w:t>
      </w:r>
      <w:r w:rsidR="00F832AA">
        <w:rPr>
          <w:rFonts w:ascii="Times New Roman" w:hAnsi="Times New Roman" w:cs="Times New Roman"/>
          <w:sz w:val="20"/>
          <w:szCs w:val="20"/>
        </w:rPr>
        <w:t>o-</w:t>
      </w:r>
      <w:r w:rsidR="00E6194D" w:rsidRPr="004D19FF">
        <w:rPr>
          <w:rFonts w:ascii="Times New Roman" w:hAnsi="Times New Roman" w:cs="Times New Roman"/>
          <w:sz w:val="20"/>
          <w:szCs w:val="20"/>
        </w:rPr>
        <w:t xml:space="preserve">oil </w:t>
      </w:r>
      <w:r w:rsidR="00017560"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dh5snlim","properties":{"formattedCitation":"[122]","plainCitation":"[122]","noteIndex":0},"citationItems":[{"id":"968HXJ10/2gRzLmjh","uris":["http://www.mendeley.com/documents/?uuid=fa7e8464-0cb5-4d94-a591-fb0c046d15c8"],"uri":["http://www.mendeley.com/documents/?uuid=fa7e8464-0cb5-4d94-a591-fb0c046d15c8"],"itemData":{"DOI":"10.1016/j.rser.2016.09.120","ISSN":"18790690","abstract":"The continuing use of fossil fuels accelerated the energy crisis, environmental pollution, and global warming in recent years. These problems are the driving force of the worldwide search for new alternative energy, among which biomass is considered to be one of the most promising candidates due to its renewable, carbon neutral and high productivity characteristics. Hydrothermal liquefaction (HTL) is an alternative technology of exploiting different types of biomass for fuels production, involving the direct biomass conversion to liquid, in the presence of a solvent and in some times catalyst. HTL has undergone a sudden increase in the number of publications in recent years. The wide variation in different types of feedstock tested, their initial state, the reaction conditions and/or the catalysts applied renders a wide but rather fragmentary spectrum of knowledge generated. This review is a summary of state-of-the-art knowledge of HTL for various feedstocks such as woody biomass, wastes, plastics and microalgae.","author":[{"dropping-particle":"","family":"Dimitriadis","given":"Athanasios","non-dropping-particle":"","parse-names":false,"suffix":""},{"dropping-particle":"","family":"Bezergianni","given":"Stella","non-dropping-particle":"","parse-names":false,"suffix":""}],"container-title":"Renewable and Sustainable Energy Reviews","id":"ITEM-1","issue":"May 2016","issued":{"date-parts":[["2017"]]},"page":"113-125","publisher":"Elsevier","title":"Hydrothermal liquefaction of various biomass and waste feedstocks for biocrude production: A state of the art review","type":"article-journal","volume":"68"}}],"schema":"https://github.com/citation-style-language/schema/raw/master/csl-citation.json"} </w:instrText>
      </w:r>
      <w:r w:rsidR="00017560"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[122]</w:t>
      </w:r>
      <w:r w:rsidR="00017560" w:rsidRPr="004D19FF">
        <w:rPr>
          <w:rFonts w:ascii="Times New Roman" w:hAnsi="Times New Roman" w:cs="Times New Roman"/>
          <w:sz w:val="20"/>
          <w:szCs w:val="20"/>
        </w:rPr>
        <w:fldChar w:fldCharType="end"/>
      </w:r>
      <w:r w:rsidR="00CD3861" w:rsidRPr="004D19FF">
        <w:rPr>
          <w:rFonts w:ascii="Times New Roman" w:hAnsi="Times New Roman" w:cs="Times New Roman"/>
          <w:sz w:val="20"/>
          <w:szCs w:val="20"/>
        </w:rPr>
        <w:t xml:space="preserve">; therefore </w:t>
      </w:r>
      <w:r w:rsidR="003D40A5" w:rsidRPr="004D19FF">
        <w:rPr>
          <w:rFonts w:ascii="Times New Roman" w:hAnsi="Times New Roman" w:cs="Times New Roman"/>
          <w:sz w:val="20"/>
          <w:szCs w:val="20"/>
        </w:rPr>
        <w:t xml:space="preserve">it requires </w:t>
      </w:r>
      <w:r w:rsidR="00CD3861" w:rsidRPr="004D19FF">
        <w:rPr>
          <w:rFonts w:ascii="Times New Roman" w:hAnsi="Times New Roman" w:cs="Times New Roman"/>
          <w:sz w:val="20"/>
          <w:szCs w:val="20"/>
        </w:rPr>
        <w:t>more extensive upgrading process</w:t>
      </w:r>
      <w:r w:rsidR="003D40A5" w:rsidRPr="004D19FF">
        <w:rPr>
          <w:rFonts w:ascii="Times New Roman" w:hAnsi="Times New Roman" w:cs="Times New Roman"/>
          <w:sz w:val="20"/>
          <w:szCs w:val="20"/>
        </w:rPr>
        <w:t>es</w:t>
      </w:r>
      <w:r w:rsidR="00CD3861" w:rsidRPr="004D19FF">
        <w:rPr>
          <w:rFonts w:ascii="Times New Roman" w:hAnsi="Times New Roman" w:cs="Times New Roman"/>
          <w:sz w:val="20"/>
          <w:szCs w:val="20"/>
        </w:rPr>
        <w:t xml:space="preserve">. </w:t>
      </w:r>
      <w:r w:rsidR="005824D0" w:rsidRPr="004D19FF">
        <w:rPr>
          <w:rFonts w:ascii="Times New Roman" w:hAnsi="Times New Roman" w:cs="Times New Roman"/>
          <w:sz w:val="20"/>
          <w:szCs w:val="20"/>
        </w:rPr>
        <w:t>More details about the HDCJ processes and examples of industrial developments can be retrieved in the SM</w:t>
      </w:r>
      <w:r w:rsidR="00282B2D">
        <w:rPr>
          <w:rFonts w:ascii="Times New Roman" w:hAnsi="Times New Roman" w:cs="Times New Roman"/>
          <w:sz w:val="20"/>
          <w:szCs w:val="20"/>
        </w:rPr>
        <w:t>1</w:t>
      </w:r>
      <w:r w:rsidR="005824D0" w:rsidRPr="004D19FF">
        <w:rPr>
          <w:rFonts w:ascii="Times New Roman" w:hAnsi="Times New Roman" w:cs="Times New Roman"/>
          <w:sz w:val="20"/>
          <w:szCs w:val="20"/>
        </w:rPr>
        <w:t xml:space="preserve">. </w:t>
      </w:r>
    </w:p>
    <w:p w14:paraId="7B21FBA3" w14:textId="7F9D8A39" w:rsidR="00320180" w:rsidRPr="004D19FF" w:rsidRDefault="00BD22EC" w:rsidP="00290530">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t>During the upg</w:t>
      </w:r>
      <w:r w:rsidR="00F832AA">
        <w:rPr>
          <w:rFonts w:ascii="Times New Roman" w:hAnsi="Times New Roman" w:cs="Times New Roman"/>
          <w:sz w:val="20"/>
          <w:szCs w:val="20"/>
        </w:rPr>
        <w:t>rading process of the bio-</w:t>
      </w:r>
      <w:r w:rsidRPr="004D19FF">
        <w:rPr>
          <w:rFonts w:ascii="Times New Roman" w:hAnsi="Times New Roman" w:cs="Times New Roman"/>
          <w:sz w:val="20"/>
          <w:szCs w:val="20"/>
        </w:rPr>
        <w:t>oil to kerosene (Fig. 7),</w:t>
      </w:r>
      <w:r w:rsidR="00CF47D9" w:rsidRPr="004D19FF">
        <w:rPr>
          <w:rFonts w:ascii="Times New Roman" w:hAnsi="Times New Roman" w:cs="Times New Roman"/>
          <w:sz w:val="20"/>
          <w:szCs w:val="20"/>
        </w:rPr>
        <w:t xml:space="preserve"> </w:t>
      </w:r>
      <w:r w:rsidR="000853F3" w:rsidRPr="004D19FF">
        <w:rPr>
          <w:rFonts w:ascii="Times New Roman" w:hAnsi="Times New Roman" w:cs="Times New Roman"/>
          <w:sz w:val="20"/>
          <w:szCs w:val="20"/>
        </w:rPr>
        <w:t>distillation</w:t>
      </w:r>
      <w:r w:rsidR="005824D0" w:rsidRPr="004D19FF">
        <w:rPr>
          <w:rFonts w:ascii="Times New Roman" w:hAnsi="Times New Roman" w:cs="Times New Roman"/>
          <w:sz w:val="20"/>
          <w:szCs w:val="20"/>
        </w:rPr>
        <w:t>, centrifugation and</w:t>
      </w:r>
      <w:r w:rsidR="009A6FE0" w:rsidRPr="004D19FF">
        <w:rPr>
          <w:rFonts w:ascii="Times New Roman" w:hAnsi="Times New Roman" w:cs="Times New Roman"/>
          <w:sz w:val="20"/>
          <w:szCs w:val="20"/>
        </w:rPr>
        <w:t xml:space="preserve"> extraction</w:t>
      </w:r>
      <w:r w:rsidR="000853F3" w:rsidRPr="004D19FF">
        <w:rPr>
          <w:rFonts w:ascii="Times New Roman" w:hAnsi="Times New Roman" w:cs="Times New Roman"/>
          <w:sz w:val="20"/>
          <w:szCs w:val="20"/>
        </w:rPr>
        <w:t xml:space="preserve"> </w:t>
      </w:r>
      <w:r w:rsidR="009A6FE0" w:rsidRPr="004D19FF">
        <w:rPr>
          <w:rFonts w:ascii="Times New Roman" w:hAnsi="Times New Roman" w:cs="Times New Roman"/>
          <w:sz w:val="20"/>
          <w:szCs w:val="20"/>
        </w:rPr>
        <w:t xml:space="preserve">are </w:t>
      </w:r>
      <w:r w:rsidR="00C00F7F" w:rsidRPr="004D19FF">
        <w:rPr>
          <w:rFonts w:ascii="Times New Roman" w:hAnsi="Times New Roman" w:cs="Times New Roman"/>
          <w:sz w:val="20"/>
          <w:szCs w:val="20"/>
        </w:rPr>
        <w:t>preliminary process</w:t>
      </w:r>
      <w:r w:rsidR="009A6FE0" w:rsidRPr="004D19FF">
        <w:rPr>
          <w:rFonts w:ascii="Times New Roman" w:hAnsi="Times New Roman" w:cs="Times New Roman"/>
          <w:sz w:val="20"/>
          <w:szCs w:val="20"/>
        </w:rPr>
        <w:t>es</w:t>
      </w:r>
      <w:r w:rsidR="00527158" w:rsidRPr="004D19FF">
        <w:rPr>
          <w:rFonts w:ascii="Times New Roman" w:hAnsi="Times New Roman" w:cs="Times New Roman"/>
          <w:sz w:val="20"/>
          <w:szCs w:val="20"/>
        </w:rPr>
        <w:t xml:space="preserve"> </w:t>
      </w:r>
      <w:r w:rsidR="009A6FE0" w:rsidRPr="004D19FF">
        <w:rPr>
          <w:rFonts w:ascii="Times New Roman" w:hAnsi="Times New Roman" w:cs="Times New Roman"/>
          <w:sz w:val="20"/>
          <w:szCs w:val="20"/>
        </w:rPr>
        <w:t>for the</w:t>
      </w:r>
      <w:r w:rsidR="00D15B9D" w:rsidRPr="004D19FF">
        <w:rPr>
          <w:rFonts w:ascii="Times New Roman" w:hAnsi="Times New Roman" w:cs="Times New Roman"/>
          <w:sz w:val="20"/>
          <w:szCs w:val="20"/>
        </w:rPr>
        <w:t xml:space="preserve"> fractionation </w:t>
      </w:r>
      <w:r w:rsidR="009A6FE0" w:rsidRPr="004D19FF">
        <w:rPr>
          <w:rFonts w:ascii="Times New Roman" w:hAnsi="Times New Roman" w:cs="Times New Roman"/>
          <w:sz w:val="20"/>
          <w:szCs w:val="20"/>
        </w:rPr>
        <w:t xml:space="preserve">of </w:t>
      </w:r>
      <w:r w:rsidR="00D15B9D" w:rsidRPr="004D19FF">
        <w:rPr>
          <w:rFonts w:ascii="Times New Roman" w:hAnsi="Times New Roman" w:cs="Times New Roman"/>
          <w:sz w:val="20"/>
          <w:szCs w:val="20"/>
        </w:rPr>
        <w:t>the</w:t>
      </w:r>
      <w:r w:rsidR="00527158" w:rsidRPr="004D19FF">
        <w:rPr>
          <w:rFonts w:ascii="Times New Roman" w:hAnsi="Times New Roman" w:cs="Times New Roman"/>
          <w:sz w:val="20"/>
          <w:szCs w:val="20"/>
        </w:rPr>
        <w:t xml:space="preserve"> </w:t>
      </w:r>
      <w:r w:rsidR="00A6148D" w:rsidRPr="004D19FF">
        <w:rPr>
          <w:rFonts w:ascii="Times New Roman" w:hAnsi="Times New Roman" w:cs="Times New Roman"/>
          <w:sz w:val="20"/>
          <w:szCs w:val="20"/>
        </w:rPr>
        <w:t>bio</w:t>
      </w:r>
      <w:r w:rsidR="00EB5A5A">
        <w:rPr>
          <w:rFonts w:ascii="Times New Roman" w:hAnsi="Times New Roman" w:cs="Times New Roman"/>
          <w:sz w:val="20"/>
          <w:szCs w:val="20"/>
        </w:rPr>
        <w:t>-</w:t>
      </w:r>
      <w:r w:rsidR="009A6FE0" w:rsidRPr="004D19FF">
        <w:rPr>
          <w:rFonts w:ascii="Times New Roman" w:hAnsi="Times New Roman" w:cs="Times New Roman"/>
          <w:sz w:val="20"/>
          <w:szCs w:val="20"/>
        </w:rPr>
        <w:t xml:space="preserve">oil </w:t>
      </w:r>
      <w:r w:rsidR="00527158" w:rsidRPr="004D19FF">
        <w:rPr>
          <w:rFonts w:ascii="Times New Roman" w:hAnsi="Times New Roman" w:cs="Times New Roman"/>
          <w:sz w:val="20"/>
          <w:szCs w:val="20"/>
        </w:rPr>
        <w:t xml:space="preserve">into </w:t>
      </w:r>
      <w:r w:rsidR="009A6FE0" w:rsidRPr="004D19FF">
        <w:rPr>
          <w:rFonts w:ascii="Times New Roman" w:hAnsi="Times New Roman" w:cs="Times New Roman"/>
          <w:sz w:val="20"/>
          <w:szCs w:val="20"/>
        </w:rPr>
        <w:t xml:space="preserve">a </w:t>
      </w:r>
      <w:r w:rsidR="00527158" w:rsidRPr="004D19FF">
        <w:rPr>
          <w:rFonts w:ascii="Times New Roman" w:hAnsi="Times New Roman" w:cs="Times New Roman"/>
          <w:sz w:val="20"/>
          <w:szCs w:val="20"/>
        </w:rPr>
        <w:t xml:space="preserve">gaseous phase, a liquid </w:t>
      </w:r>
      <w:r w:rsidR="00F832AA">
        <w:rPr>
          <w:rFonts w:ascii="Times New Roman" w:hAnsi="Times New Roman" w:cs="Times New Roman"/>
          <w:sz w:val="20"/>
          <w:szCs w:val="20"/>
        </w:rPr>
        <w:t xml:space="preserve">bio-crude </w:t>
      </w:r>
      <w:r w:rsidR="00527158" w:rsidRPr="004D19FF">
        <w:rPr>
          <w:rFonts w:ascii="Times New Roman" w:hAnsi="Times New Roman" w:cs="Times New Roman"/>
          <w:sz w:val="20"/>
          <w:szCs w:val="20"/>
        </w:rPr>
        <w:t>oil phase</w:t>
      </w:r>
      <w:r w:rsidR="00B808DB" w:rsidRPr="004D19FF">
        <w:rPr>
          <w:rFonts w:ascii="Times New Roman" w:hAnsi="Times New Roman" w:cs="Times New Roman"/>
          <w:sz w:val="20"/>
          <w:szCs w:val="20"/>
        </w:rPr>
        <w:t xml:space="preserve"> (the main output</w:t>
      </w:r>
      <w:r w:rsidR="009A6FE0" w:rsidRPr="004D19FF">
        <w:rPr>
          <w:rFonts w:ascii="Times New Roman" w:hAnsi="Times New Roman" w:cs="Times New Roman"/>
          <w:sz w:val="20"/>
          <w:szCs w:val="20"/>
        </w:rPr>
        <w:t>)</w:t>
      </w:r>
      <w:r w:rsidR="00527158" w:rsidRPr="004D19FF">
        <w:rPr>
          <w:rFonts w:ascii="Times New Roman" w:hAnsi="Times New Roman" w:cs="Times New Roman"/>
          <w:sz w:val="20"/>
          <w:szCs w:val="20"/>
        </w:rPr>
        <w:t>, an aqueous phase</w:t>
      </w:r>
      <w:r w:rsidR="000853F3" w:rsidRPr="004D19FF">
        <w:rPr>
          <w:rFonts w:ascii="Times New Roman" w:hAnsi="Times New Roman" w:cs="Times New Roman"/>
          <w:sz w:val="20"/>
          <w:szCs w:val="20"/>
        </w:rPr>
        <w:t xml:space="preserve"> and solid residue</w:t>
      </w:r>
      <w:r w:rsidR="00CC18C6" w:rsidRPr="004D19FF">
        <w:rPr>
          <w:rFonts w:ascii="Times New Roman" w:hAnsi="Times New Roman" w:cs="Times New Roman"/>
          <w:sz w:val="20"/>
          <w:szCs w:val="20"/>
        </w:rPr>
        <w:t xml:space="preserve"> (e.g. tar)</w:t>
      </w:r>
      <w:r w:rsidR="009D537B" w:rsidRPr="004D19FF">
        <w:rPr>
          <w:rFonts w:ascii="Times New Roman" w:hAnsi="Times New Roman" w:cs="Times New Roman"/>
          <w:sz w:val="20"/>
          <w:szCs w:val="20"/>
        </w:rPr>
        <w:t xml:space="preserve">. </w:t>
      </w:r>
      <w:r w:rsidR="009A6FE0" w:rsidRPr="004D19FF">
        <w:rPr>
          <w:rFonts w:ascii="Times New Roman" w:hAnsi="Times New Roman" w:cs="Times New Roman"/>
          <w:sz w:val="20"/>
          <w:szCs w:val="20"/>
        </w:rPr>
        <w:t xml:space="preserve">Subsequently, </w:t>
      </w:r>
      <w:r w:rsidR="00C00F7F" w:rsidRPr="004D19FF">
        <w:rPr>
          <w:rFonts w:ascii="Times New Roman" w:hAnsi="Times New Roman" w:cs="Times New Roman"/>
          <w:sz w:val="20"/>
          <w:szCs w:val="20"/>
        </w:rPr>
        <w:t xml:space="preserve">other upgrading processes </w:t>
      </w:r>
      <w:r w:rsidR="009A6FE0" w:rsidRPr="004D19FF">
        <w:rPr>
          <w:rFonts w:ascii="Times New Roman" w:hAnsi="Times New Roman" w:cs="Times New Roman"/>
          <w:sz w:val="20"/>
          <w:szCs w:val="20"/>
        </w:rPr>
        <w:t xml:space="preserve">are performed, for example, </w:t>
      </w:r>
      <w:r w:rsidR="00C00F7F" w:rsidRPr="004D19FF">
        <w:rPr>
          <w:rFonts w:ascii="Times New Roman" w:hAnsi="Times New Roman" w:cs="Times New Roman"/>
          <w:sz w:val="20"/>
          <w:szCs w:val="20"/>
        </w:rPr>
        <w:t>emulsificat</w:t>
      </w:r>
      <w:r w:rsidR="00E14924" w:rsidRPr="004D19FF">
        <w:rPr>
          <w:rFonts w:ascii="Times New Roman" w:hAnsi="Times New Roman" w:cs="Times New Roman"/>
          <w:sz w:val="20"/>
          <w:szCs w:val="20"/>
        </w:rPr>
        <w:t xml:space="preserve">ion, catalytic cracking and/or, </w:t>
      </w:r>
      <w:r w:rsidR="00C00F7F" w:rsidRPr="004D19FF">
        <w:rPr>
          <w:rFonts w:ascii="Times New Roman" w:hAnsi="Times New Roman" w:cs="Times New Roman"/>
          <w:sz w:val="20"/>
          <w:szCs w:val="20"/>
        </w:rPr>
        <w:t xml:space="preserve">steam reforming </w:t>
      </w:r>
      <w:r w:rsidR="00F7590D"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9mLir3sH","properties":{"formattedCitation":"[123]","plainCitation":"[123]","noteIndex":0},"citationItems":[{"id":"968HXJ10/t1RPUirN","uris":["http://www.mendeley.com/documents/?uuid=fe4c639a-c734-4984-8e06-c2923744d5df"],"uri":["http://www.mendeley.com/documents/?uuid=fe4c639a-c734-4984-8e06-c2923744d5df"],"itemData":{"DOI":"10.1016/j.enconman.2006.05.010","ISSN":"01968904","abstract":"Biomass fast pyrolysis liquefaction has aroused great attention and interests both at home and abroad extensively in recent years. This paper reviews the physicochemical properties and discusses the characteristics of the components and compositions of biomass pyrolysis oil. Furthermore, the problems and focuses were summarized with some suggestions presented on upgrading and applications of bio-oil in the decades. © 2006 Elsevier Ltd. All rights reserved.","author":[{"dropping-particle":"","family":"Zhang","given":"Qi","non-dropping-particle":"","parse-names":false,"suffix":""},{"dropping-particle":"","family":"Chang","given":"Jie","non-dropping-particle":"","parse-names":false,"suffix":""},{"dropping-particle":"","family":"Wang","given":"Tiejun","non-dropping-particle":"","parse-names":false,"suffix":""},{"dropping-particle":"","family":"Xu","given":"Ying","non-dropping-particle":"","parse-names":false,"suffix":""}],"container-title":"Energy Conversion and Management","id":"ITEM-1","issue":"1","issued":{"date-parts":[["2007"]]},"page":"87-92","title":"Review of biomass pyrolysis oil properties and upgrading research","type":"article-journal","volume":"48"}}],"schema":"https://github.com/citation-style-language/schema/raw/master/csl-citation.json"} </w:instrText>
      </w:r>
      <w:r w:rsidR="00F7590D"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[123]</w:t>
      </w:r>
      <w:r w:rsidR="00F7590D" w:rsidRPr="004D19FF">
        <w:rPr>
          <w:rFonts w:ascii="Times New Roman" w:hAnsi="Times New Roman" w:cs="Times New Roman"/>
          <w:sz w:val="20"/>
          <w:szCs w:val="20"/>
        </w:rPr>
        <w:fldChar w:fldCharType="end"/>
      </w:r>
      <w:r w:rsidR="00C00F7F" w:rsidRPr="004D19FF">
        <w:rPr>
          <w:rFonts w:ascii="Times New Roman" w:hAnsi="Times New Roman" w:cs="Times New Roman"/>
          <w:sz w:val="20"/>
          <w:szCs w:val="20"/>
        </w:rPr>
        <w:t xml:space="preserve">. </w:t>
      </w:r>
      <w:r w:rsidR="00F7590D" w:rsidRPr="004D19FF">
        <w:rPr>
          <w:rFonts w:ascii="Times New Roman" w:hAnsi="Times New Roman" w:cs="Times New Roman"/>
          <w:sz w:val="20"/>
          <w:szCs w:val="20"/>
        </w:rPr>
        <w:t xml:space="preserve">The </w:t>
      </w:r>
      <w:r w:rsidR="00E14924" w:rsidRPr="004D19FF">
        <w:rPr>
          <w:rFonts w:ascii="Times New Roman" w:hAnsi="Times New Roman" w:cs="Times New Roman"/>
          <w:sz w:val="20"/>
          <w:szCs w:val="20"/>
        </w:rPr>
        <w:t xml:space="preserve">liquid </w:t>
      </w:r>
      <w:r w:rsidR="00F832AA">
        <w:rPr>
          <w:rFonts w:ascii="Times New Roman" w:hAnsi="Times New Roman" w:cs="Times New Roman"/>
          <w:sz w:val="20"/>
          <w:szCs w:val="20"/>
        </w:rPr>
        <w:t xml:space="preserve">bio-crude </w:t>
      </w:r>
      <w:r w:rsidR="00E14924" w:rsidRPr="004D19FF">
        <w:rPr>
          <w:rFonts w:ascii="Times New Roman" w:hAnsi="Times New Roman" w:cs="Times New Roman"/>
          <w:sz w:val="20"/>
          <w:szCs w:val="20"/>
        </w:rPr>
        <w:t>oil phase</w:t>
      </w:r>
      <w:r w:rsidR="00F7590D" w:rsidRPr="004D19FF">
        <w:rPr>
          <w:rFonts w:ascii="Times New Roman" w:hAnsi="Times New Roman" w:cs="Times New Roman"/>
          <w:sz w:val="20"/>
          <w:szCs w:val="20"/>
        </w:rPr>
        <w:t xml:space="preserve"> is further </w:t>
      </w:r>
      <w:r w:rsidR="00F832AA">
        <w:rPr>
          <w:rFonts w:ascii="Times New Roman" w:hAnsi="Times New Roman" w:cs="Times New Roman"/>
          <w:sz w:val="20"/>
          <w:szCs w:val="20"/>
        </w:rPr>
        <w:t>refined</w:t>
      </w:r>
      <w:r w:rsidR="00F7590D" w:rsidRPr="004D19FF">
        <w:rPr>
          <w:rFonts w:ascii="Times New Roman" w:hAnsi="Times New Roman" w:cs="Times New Roman"/>
          <w:sz w:val="20"/>
          <w:szCs w:val="20"/>
        </w:rPr>
        <w:t xml:space="preserve"> by hydrotreating to increase </w:t>
      </w:r>
      <w:r w:rsidR="00F832AA">
        <w:rPr>
          <w:rFonts w:ascii="Times New Roman" w:hAnsi="Times New Roman" w:cs="Times New Roman"/>
          <w:sz w:val="20"/>
          <w:szCs w:val="20"/>
        </w:rPr>
        <w:t xml:space="preserve">its </w:t>
      </w:r>
      <w:r w:rsidR="00F7590D" w:rsidRPr="004D19FF">
        <w:rPr>
          <w:rFonts w:ascii="Times New Roman" w:hAnsi="Times New Roman" w:cs="Times New Roman"/>
          <w:sz w:val="20"/>
          <w:szCs w:val="20"/>
        </w:rPr>
        <w:t>alkane composition, by reduction of heteroatom-containing molecules and by hydrogenatio</w:t>
      </w:r>
      <w:r w:rsidR="005824D0" w:rsidRPr="004D19FF">
        <w:rPr>
          <w:rFonts w:ascii="Times New Roman" w:hAnsi="Times New Roman" w:cs="Times New Roman"/>
          <w:sz w:val="20"/>
          <w:szCs w:val="20"/>
        </w:rPr>
        <w:t>n of unsaturated molecules. H</w:t>
      </w:r>
      <w:r w:rsidR="00F7590D" w:rsidRPr="004D19FF">
        <w:rPr>
          <w:rFonts w:ascii="Times New Roman" w:hAnsi="Times New Roman" w:cs="Times New Roman"/>
          <w:sz w:val="20"/>
          <w:szCs w:val="20"/>
        </w:rPr>
        <w:t>ydrotreated hydrocarbons are distilled into liquid f</w:t>
      </w:r>
      <w:r w:rsidR="005824D0" w:rsidRPr="004D19FF">
        <w:rPr>
          <w:rFonts w:ascii="Times New Roman" w:hAnsi="Times New Roman" w:cs="Times New Roman"/>
          <w:sz w:val="20"/>
          <w:szCs w:val="20"/>
        </w:rPr>
        <w:t>uels including naphtha, kerosene</w:t>
      </w:r>
      <w:r w:rsidR="00F7590D" w:rsidRPr="004D19FF">
        <w:rPr>
          <w:rFonts w:ascii="Times New Roman" w:hAnsi="Times New Roman" w:cs="Times New Roman"/>
          <w:sz w:val="20"/>
          <w:szCs w:val="20"/>
        </w:rPr>
        <w:t xml:space="preserve"> and diesel.</w:t>
      </w:r>
    </w:p>
    <w:p w14:paraId="61BFA1CF" w14:textId="658B9D9A" w:rsidR="00D33BDC" w:rsidRPr="004D19FF" w:rsidRDefault="0055183C" w:rsidP="00290530">
      <w:pPr>
        <w:spacing w:after="120" w:line="276" w:lineRule="auto"/>
        <w:jc w:val="thaiDistribute"/>
        <w:rPr>
          <w:rFonts w:ascii="Times New Roman" w:hAnsi="Times New Roman" w:cs="Times New Roman"/>
          <w:sz w:val="20"/>
          <w:szCs w:val="20"/>
        </w:rPr>
      </w:pPr>
      <w:r w:rsidRPr="004D19FF">
        <w:rPr>
          <w:rFonts w:ascii="Times New Roman" w:hAnsi="Times New Roman" w:cs="Times New Roman"/>
          <w:b/>
          <w:bCs/>
          <w:sz w:val="20"/>
          <w:szCs w:val="20"/>
        </w:rPr>
        <w:t>2</w:t>
      </w:r>
      <w:r w:rsidR="00D33BDC" w:rsidRPr="004D19FF">
        <w:rPr>
          <w:rFonts w:ascii="Times New Roman" w:hAnsi="Times New Roman" w:cs="Times New Roman"/>
          <w:b/>
          <w:bCs/>
          <w:sz w:val="20"/>
          <w:szCs w:val="20"/>
        </w:rPr>
        <w:t xml:space="preserve">.3 </w:t>
      </w:r>
      <w:r w:rsidR="002D1621">
        <w:rPr>
          <w:rFonts w:ascii="Times New Roman" w:hAnsi="Times New Roman"/>
          <w:b/>
          <w:bCs/>
          <w:sz w:val="20"/>
          <w:szCs w:val="20"/>
        </w:rPr>
        <w:t>Pathways involving oil feedstock</w:t>
      </w:r>
      <w:r w:rsidR="00F832AA">
        <w:rPr>
          <w:rFonts w:ascii="Times New Roman" w:hAnsi="Times New Roman"/>
          <w:b/>
          <w:bCs/>
          <w:sz w:val="20"/>
          <w:szCs w:val="20"/>
        </w:rPr>
        <w:t xml:space="preserve"> </w:t>
      </w:r>
    </w:p>
    <w:p w14:paraId="0FAF7D4F" w14:textId="274D257A" w:rsidR="008A681E" w:rsidRPr="004D19FF" w:rsidRDefault="002D1621" w:rsidP="00290530">
      <w:pPr>
        <w:spacing w:after="120" w:line="276" w:lineRule="auto"/>
        <w:jc w:val="thaiDistribute"/>
        <w:rPr>
          <w:rFonts w:ascii="Times New Roman" w:hAnsi="Times New Roman"/>
          <w:sz w:val="20"/>
          <w:szCs w:val="20"/>
        </w:rPr>
      </w:pPr>
      <w:r>
        <w:rPr>
          <w:rFonts w:ascii="Times New Roman" w:hAnsi="Times New Roman" w:cs="Times New Roman"/>
          <w:sz w:val="20"/>
          <w:szCs w:val="20"/>
        </w:rPr>
        <w:t>Oil</w:t>
      </w:r>
      <w:r w:rsidR="002A21D6" w:rsidRPr="004D19FF">
        <w:rPr>
          <w:rFonts w:ascii="Times New Roman" w:hAnsi="Times New Roman" w:cs="Times New Roman"/>
          <w:sz w:val="20"/>
          <w:szCs w:val="20"/>
        </w:rPr>
        <w:t xml:space="preserve"> feedstock </w:t>
      </w:r>
      <w:r w:rsidR="009F2166" w:rsidRPr="004D19FF">
        <w:rPr>
          <w:rFonts w:ascii="Times New Roman" w:hAnsi="Times New Roman" w:cs="Times New Roman"/>
          <w:sz w:val="20"/>
          <w:szCs w:val="20"/>
        </w:rPr>
        <w:t>may be</w:t>
      </w:r>
      <w:r w:rsidR="00C9148B" w:rsidRPr="004D19FF">
        <w:rPr>
          <w:rFonts w:ascii="Times New Roman" w:hAnsi="Times New Roman" w:cs="Times New Roman"/>
          <w:sz w:val="20"/>
          <w:szCs w:val="20"/>
        </w:rPr>
        <w:t xml:space="preserve"> </w:t>
      </w:r>
      <w:r w:rsidR="00A855E4" w:rsidRPr="004D19FF">
        <w:rPr>
          <w:rFonts w:ascii="Times New Roman" w:hAnsi="Times New Roman" w:cs="Times New Roman"/>
          <w:sz w:val="20"/>
          <w:szCs w:val="20"/>
        </w:rPr>
        <w:t>derived f</w:t>
      </w:r>
      <w:r w:rsidR="00C9148B" w:rsidRPr="004D19FF">
        <w:rPr>
          <w:rFonts w:ascii="Times New Roman" w:hAnsi="Times New Roman" w:cs="Times New Roman"/>
          <w:sz w:val="20"/>
          <w:szCs w:val="20"/>
        </w:rPr>
        <w:t>rom many sources, for example, non-edible oil crops (</w:t>
      </w:r>
      <w:r w:rsidR="001734E1" w:rsidRPr="004D19FF">
        <w:rPr>
          <w:rFonts w:ascii="Times New Roman" w:hAnsi="Times New Roman" w:cs="Times New Roman"/>
          <w:sz w:val="20"/>
          <w:szCs w:val="20"/>
        </w:rPr>
        <w:t xml:space="preserve">e.g. </w:t>
      </w:r>
      <w:r w:rsidR="00C9148B" w:rsidRPr="004D19FF">
        <w:rPr>
          <w:rFonts w:ascii="Times New Roman" w:hAnsi="Times New Roman" w:cs="Times New Roman"/>
          <w:sz w:val="20"/>
          <w:szCs w:val="20"/>
        </w:rPr>
        <w:t>camelina, jatrop</w:t>
      </w:r>
      <w:r w:rsidR="00435B00" w:rsidRPr="004D19FF">
        <w:rPr>
          <w:rFonts w:ascii="Times New Roman" w:hAnsi="Times New Roman" w:cs="Times New Roman"/>
          <w:sz w:val="20"/>
          <w:szCs w:val="20"/>
        </w:rPr>
        <w:t>ha</w:t>
      </w:r>
      <w:r w:rsidR="00842BB8" w:rsidRPr="004D19FF">
        <w:rPr>
          <w:rFonts w:ascii="Times New Roman" w:hAnsi="Times New Roman" w:cs="Times New Roman"/>
          <w:sz w:val="20"/>
          <w:szCs w:val="20"/>
        </w:rPr>
        <w:t xml:space="preserve">, </w:t>
      </w:r>
      <w:r w:rsidR="009F2166" w:rsidRPr="004D19FF">
        <w:rPr>
          <w:rFonts w:ascii="Times New Roman" w:hAnsi="Times New Roman" w:cs="Times New Roman"/>
          <w:sz w:val="20"/>
          <w:szCs w:val="20"/>
        </w:rPr>
        <w:t>car</w:t>
      </w:r>
      <w:r w:rsidR="00137043">
        <w:rPr>
          <w:rFonts w:ascii="Times New Roman" w:hAnsi="Times New Roman" w:cs="Times New Roman"/>
          <w:sz w:val="20"/>
          <w:szCs w:val="20"/>
        </w:rPr>
        <w:t>inata, pongamia, pennycress) or</w:t>
      </w:r>
      <w:r w:rsidR="00C9148B" w:rsidRPr="004D19FF">
        <w:rPr>
          <w:rFonts w:ascii="Times New Roman" w:hAnsi="Times New Roman" w:cs="Times New Roman"/>
          <w:sz w:val="20"/>
          <w:szCs w:val="20"/>
        </w:rPr>
        <w:t xml:space="preserve"> </w:t>
      </w:r>
      <w:r w:rsidR="00187B2D" w:rsidRPr="004D19FF">
        <w:rPr>
          <w:rFonts w:ascii="Times New Roman" w:hAnsi="Times New Roman" w:cs="Times New Roman"/>
          <w:sz w:val="20"/>
          <w:szCs w:val="20"/>
        </w:rPr>
        <w:t xml:space="preserve">oleochemical </w:t>
      </w:r>
      <w:r w:rsidR="00C9148B" w:rsidRPr="004D19FF">
        <w:rPr>
          <w:rFonts w:ascii="Times New Roman" w:hAnsi="Times New Roman" w:cs="Times New Roman"/>
          <w:sz w:val="20"/>
          <w:szCs w:val="20"/>
        </w:rPr>
        <w:t>wastes (</w:t>
      </w:r>
      <w:r w:rsidR="001734E1" w:rsidRPr="004D19FF">
        <w:rPr>
          <w:rFonts w:ascii="Times New Roman" w:hAnsi="Times New Roman" w:cs="Times New Roman"/>
          <w:sz w:val="20"/>
          <w:szCs w:val="20"/>
        </w:rPr>
        <w:t xml:space="preserve">e.g. </w:t>
      </w:r>
      <w:r w:rsidR="00EC556B">
        <w:rPr>
          <w:rFonts w:ascii="Times New Roman" w:hAnsi="Times New Roman" w:cs="Times New Roman"/>
          <w:sz w:val="20"/>
          <w:szCs w:val="20"/>
        </w:rPr>
        <w:t xml:space="preserve">waste </w:t>
      </w:r>
      <w:r w:rsidR="00C9148B" w:rsidRPr="004D19FF">
        <w:rPr>
          <w:rFonts w:ascii="Times New Roman" w:hAnsi="Times New Roman" w:cs="Times New Roman"/>
          <w:sz w:val="20"/>
          <w:szCs w:val="20"/>
        </w:rPr>
        <w:t>cooking oils</w:t>
      </w:r>
      <w:r w:rsidR="0083225C">
        <w:rPr>
          <w:rFonts w:ascii="Times New Roman" w:hAnsi="Times New Roman" w:cs="Times New Roman"/>
          <w:sz w:val="20"/>
          <w:szCs w:val="20"/>
        </w:rPr>
        <w:t>; WCO</w:t>
      </w:r>
      <w:r w:rsidR="00B81AAD" w:rsidRPr="004D19FF">
        <w:rPr>
          <w:rFonts w:ascii="Times New Roman" w:hAnsi="Times New Roman" w:cs="Times New Roman"/>
          <w:sz w:val="20"/>
          <w:szCs w:val="20"/>
        </w:rPr>
        <w:t xml:space="preserve">, </w:t>
      </w:r>
      <w:r w:rsidR="00C9148B" w:rsidRPr="004D19FF">
        <w:rPr>
          <w:rFonts w:ascii="Times New Roman" w:hAnsi="Times New Roman" w:cs="Times New Roman"/>
          <w:sz w:val="20"/>
          <w:szCs w:val="20"/>
        </w:rPr>
        <w:t>waste animal fats</w:t>
      </w:r>
      <w:r w:rsidR="00B81AAD" w:rsidRPr="004D19FF">
        <w:rPr>
          <w:rFonts w:ascii="Times New Roman" w:hAnsi="Times New Roman" w:cs="Times New Roman"/>
          <w:sz w:val="20"/>
          <w:szCs w:val="20"/>
        </w:rPr>
        <w:t xml:space="preserve">, </w:t>
      </w:r>
      <w:r w:rsidR="009F2166" w:rsidRPr="004D19FF">
        <w:rPr>
          <w:rFonts w:ascii="Times New Roman" w:hAnsi="Times New Roman" w:cs="Times New Roman"/>
          <w:sz w:val="20"/>
          <w:szCs w:val="20"/>
        </w:rPr>
        <w:t>greases stemming</w:t>
      </w:r>
      <w:r w:rsidR="00A855E4" w:rsidRPr="004D19FF">
        <w:rPr>
          <w:rFonts w:ascii="Times New Roman" w:hAnsi="Times New Roman" w:cs="Times New Roman"/>
          <w:sz w:val="20"/>
          <w:szCs w:val="20"/>
        </w:rPr>
        <w:t xml:space="preserve"> </w:t>
      </w:r>
      <w:r w:rsidR="00B81AAD" w:rsidRPr="004D19FF">
        <w:rPr>
          <w:rFonts w:ascii="Times New Roman" w:hAnsi="Times New Roman" w:cs="Times New Roman"/>
          <w:sz w:val="20"/>
          <w:szCs w:val="20"/>
        </w:rPr>
        <w:t>from municipal waste facilities</w:t>
      </w:r>
      <w:r w:rsidR="009F2166" w:rsidRPr="004D19FF">
        <w:rPr>
          <w:rFonts w:ascii="Times New Roman" w:hAnsi="Times New Roman" w:cs="Times New Roman"/>
          <w:sz w:val="20"/>
          <w:szCs w:val="20"/>
        </w:rPr>
        <w:t>)</w:t>
      </w:r>
      <w:r w:rsidR="00775173" w:rsidRPr="004D19FF">
        <w:rPr>
          <w:rFonts w:ascii="Times New Roman" w:hAnsi="Times New Roman"/>
          <w:sz w:val="20"/>
          <w:szCs w:val="20"/>
        </w:rPr>
        <w:t xml:space="preserve">. </w:t>
      </w:r>
      <w:r w:rsidR="009F2166" w:rsidRPr="004D19FF">
        <w:rPr>
          <w:rFonts w:ascii="Times New Roman" w:hAnsi="Times New Roman"/>
          <w:sz w:val="20"/>
          <w:szCs w:val="20"/>
        </w:rPr>
        <w:t>Crops are converted to oil through several processes such as, mechanical processes (e.g.</w:t>
      </w:r>
      <w:r w:rsidR="00386C75" w:rsidRPr="004D19FF">
        <w:rPr>
          <w:rFonts w:ascii="Times New Roman" w:hAnsi="Times New Roman"/>
          <w:sz w:val="20"/>
          <w:szCs w:val="20"/>
        </w:rPr>
        <w:t xml:space="preserve"> chopping, pressing, chipping), chemical extraction with solvent and/or enzymatic methods </w:t>
      </w:r>
      <w:r w:rsidR="008001E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L5BJGxN","properties":{"formattedCitation":"[124]","plainCitation":"[124]","noteIndex":0},"citationItems":[{"id":"968HXJ10/ANTGvFmf","uris":["http://www.mendeley.com/documents/?uuid=a31a9ae3-7aa7-437b-86bf-f10a90ced444"],"uri":["http://www.mendeley.com/documents/?uuid=a31a9ae3-7aa7-437b-86bf-f10a90ced444"],"itemData":{"DOI":"10.1016/j.indcrop.2011.03.009","ISSN":"09266690","abstract":"The objective of this study was to optimize the mechanical oil extraction of Jatropha curcas seeds by increasing the efficiency of oil recovery and decreasing oil residues in press cake. The experiments were carried out with mechanical screw press type - Komet D85-1G. Four setups were created by parameter combination of two different screws (16 and 21.5. mm choke ring size), with two different press cylinders (1 and 1.5. mm bore size), three different nozzles (8, 10 and 12. mm nozzle diameter) and three rotational speeds (low, medium and high). Oil recovery reduced when rotational speed increases for all setups; highest oil was 89.4% (m/m). The oil recovery was increasing when energy input increased and decreasing when seed material throughput increased. The relations between energy input and seed material throughput followed a strict pattern, which correlated with oil recovery. This correlation can be used for determining the optimal operation parameters. © 2011 Elsevier B.V.","author":[{"dropping-particle":"","family":"Karaj","given":"S.","non-dropping-particle":"","parse-names":false,"suffix":""},{"dropping-particle":"","family":"Müller","given":"J.","non-dropping-particle":"","parse-names":false,"suffix":""}],"container-title":"Industrial Crops and Products","id":"ITEM-1","issue":"1","issued":{"date-parts":[["2011"]]},"page":"1010-1016","publisher":"Elsevier B.V.","title":"Optimizing mechanical oil extraction of Jatropha curcas L. seeds with respect to press capacity, oil recovery and energy efficiency","type":"article-journal","volume":"34"}}],"schema":"https://github.com/citation-style-language/schema/raw/master/csl-citation.json"} </w:instrText>
      </w:r>
      <w:r w:rsidR="008001EA" w:rsidRPr="004D19FF">
        <w:rPr>
          <w:rFonts w:ascii="Times New Roman" w:hAnsi="Times New Roman"/>
          <w:sz w:val="20"/>
          <w:szCs w:val="20"/>
        </w:rPr>
        <w:fldChar w:fldCharType="separate"/>
      </w:r>
      <w:r w:rsidR="00623E85" w:rsidRPr="00623E85">
        <w:rPr>
          <w:rFonts w:ascii="Times New Roman" w:hAnsi="Times New Roman" w:cs="Times New Roman"/>
          <w:sz w:val="20"/>
        </w:rPr>
        <w:t>[124]</w:t>
      </w:r>
      <w:r w:rsidR="008001EA" w:rsidRPr="004D19FF">
        <w:rPr>
          <w:rFonts w:ascii="Times New Roman" w:hAnsi="Times New Roman"/>
          <w:sz w:val="20"/>
          <w:szCs w:val="20"/>
        </w:rPr>
        <w:fldChar w:fldCharType="end"/>
      </w:r>
      <w:r w:rsidR="00540CDC" w:rsidRPr="004D19FF">
        <w:rPr>
          <w:rFonts w:ascii="Times New Roman" w:hAnsi="Times New Roman"/>
          <w:sz w:val="20"/>
          <w:szCs w:val="20"/>
        </w:rPr>
        <w:t xml:space="preserve">. </w:t>
      </w:r>
    </w:p>
    <w:p w14:paraId="5A6703E2" w14:textId="77777777" w:rsidR="000B3FCE" w:rsidRPr="004D19FF" w:rsidRDefault="0055183C" w:rsidP="00290530">
      <w:pPr>
        <w:spacing w:after="120" w:line="276" w:lineRule="auto"/>
        <w:jc w:val="thaiDistribute"/>
        <w:rPr>
          <w:rFonts w:ascii="Times New Roman" w:hAnsi="Times New Roman" w:cs="Times New Roman"/>
          <w:i/>
          <w:iCs/>
          <w:sz w:val="20"/>
          <w:szCs w:val="20"/>
        </w:rPr>
      </w:pPr>
      <w:r w:rsidRPr="004D19FF">
        <w:rPr>
          <w:rFonts w:ascii="Times New Roman" w:hAnsi="Times New Roman" w:cs="Times New Roman"/>
          <w:i/>
          <w:iCs/>
          <w:sz w:val="20"/>
          <w:szCs w:val="20"/>
        </w:rPr>
        <w:t>2</w:t>
      </w:r>
      <w:r w:rsidR="000B3FCE" w:rsidRPr="004D19FF">
        <w:rPr>
          <w:rFonts w:ascii="Times New Roman" w:hAnsi="Times New Roman" w:cs="Times New Roman"/>
          <w:i/>
          <w:iCs/>
          <w:sz w:val="20"/>
          <w:szCs w:val="20"/>
        </w:rPr>
        <w:t>.3.1 Hydroprocessed renewable jet (HRJ)/ Hydroprocessed ester</w:t>
      </w:r>
      <w:r w:rsidR="009B1D64">
        <w:rPr>
          <w:rFonts w:ascii="Times New Roman" w:hAnsi="Times New Roman" w:cs="Times New Roman"/>
          <w:i/>
          <w:iCs/>
          <w:sz w:val="20"/>
          <w:szCs w:val="20"/>
        </w:rPr>
        <w:t>s</w:t>
      </w:r>
      <w:r w:rsidR="000B3FCE" w:rsidRPr="004D19FF">
        <w:rPr>
          <w:rFonts w:ascii="Times New Roman" w:hAnsi="Times New Roman" w:cs="Times New Roman"/>
          <w:i/>
          <w:iCs/>
          <w:sz w:val="20"/>
          <w:szCs w:val="20"/>
        </w:rPr>
        <w:t xml:space="preserve"> and fatty acid</w:t>
      </w:r>
      <w:r w:rsidR="009B1D64">
        <w:rPr>
          <w:rFonts w:ascii="Times New Roman" w:hAnsi="Times New Roman" w:cs="Times New Roman"/>
          <w:i/>
          <w:iCs/>
          <w:sz w:val="20"/>
          <w:szCs w:val="20"/>
        </w:rPr>
        <w:t>s</w:t>
      </w:r>
      <w:r w:rsidR="000B3FCE" w:rsidRPr="004D19FF">
        <w:rPr>
          <w:rFonts w:ascii="Times New Roman" w:hAnsi="Times New Roman" w:cs="Times New Roman"/>
          <w:i/>
          <w:iCs/>
          <w:sz w:val="20"/>
          <w:szCs w:val="20"/>
        </w:rPr>
        <w:t xml:space="preserve"> (HEFA)</w:t>
      </w:r>
    </w:p>
    <w:p w14:paraId="3D0CDA2E" w14:textId="2A013B4C" w:rsidR="0053593C" w:rsidRPr="004D19FF" w:rsidRDefault="009705AE" w:rsidP="00290530">
      <w:pPr>
        <w:spacing w:after="120" w:line="276" w:lineRule="auto"/>
        <w:jc w:val="thaiDistribute"/>
        <w:rPr>
          <w:rFonts w:ascii="Times New Roman" w:hAnsi="Times New Roman"/>
          <w:sz w:val="20"/>
          <w:szCs w:val="20"/>
        </w:rPr>
      </w:pPr>
      <w:r w:rsidRPr="004D19FF">
        <w:rPr>
          <w:rFonts w:ascii="Times New Roman" w:hAnsi="Times New Roman" w:cs="Times New Roman"/>
          <w:sz w:val="20"/>
          <w:szCs w:val="20"/>
        </w:rPr>
        <w:t>T</w:t>
      </w:r>
      <w:r w:rsidR="0004450A" w:rsidRPr="004D19FF">
        <w:rPr>
          <w:rFonts w:ascii="Times New Roman" w:hAnsi="Times New Roman" w:cs="Times New Roman"/>
          <w:sz w:val="20"/>
          <w:szCs w:val="20"/>
        </w:rPr>
        <w:t>riglycerides containing saturated and/or unsaturated fatty acids can be converted to liquid</w:t>
      </w:r>
      <w:r w:rsidR="00EA0F80" w:rsidRPr="004D19FF">
        <w:rPr>
          <w:rFonts w:ascii="Times New Roman" w:hAnsi="Times New Roman" w:cs="Times New Roman"/>
          <w:sz w:val="20"/>
          <w:szCs w:val="20"/>
        </w:rPr>
        <w:t xml:space="preserve"> hydrocarbons (naphtha, kerosene</w:t>
      </w:r>
      <w:r w:rsidR="0004450A" w:rsidRPr="004D19FF">
        <w:rPr>
          <w:rFonts w:ascii="Times New Roman" w:hAnsi="Times New Roman" w:cs="Times New Roman"/>
          <w:sz w:val="20"/>
          <w:szCs w:val="20"/>
        </w:rPr>
        <w:t>, diesel) by hydroprocessing under various conditions</w:t>
      </w:r>
      <w:r w:rsidR="001535DE" w:rsidRPr="004D19FF">
        <w:rPr>
          <w:rFonts w:ascii="Times New Roman" w:hAnsi="Times New Roman" w:cs="Times New Roman"/>
          <w:sz w:val="20"/>
          <w:szCs w:val="20"/>
        </w:rPr>
        <w:t xml:space="preserve"> </w:t>
      </w:r>
      <w:r w:rsidR="00317EC5"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5JLsWxrt","properties":{"formattedCitation":"[114,125,126]","plainCitation":"[114,125,126]","noteIndex":0},"citationItems":[{"id":"968HXJ10/IfwDZ8Cp","uris":["http://www.mendeley.com/documents/?uuid=551d2f1a-bbc9-4d3d-9dc7-d820efc8d1ea"],"uri":["http://www.mendeley.com/documents/?uuid=551d2f1a-bbc9-4d3d-9dc7-d820efc8d1ea"],"itemData":{"DOI":"10.1016/j.fuel.2016.01.040","ISSN":"00162361","abstract":"Oxidation and thermal stability (OTS) are key concerns for the development of alternative jet fuels, as they imply complex physical and chemical phenomena such as autoxidation, pyrolysis, cooxidation reactions and transfer-limitation. The OTS of an alternative aviation fuel was characterized using PetroOxy test from 120 to 160°C and JFTOT test at 325°C. The alternative jet fuel is a Synthetic Paraffinic Kerosene produced from Hydroprocessed Esters and Fatty Acids (HEFA-SPK). Results showed a high thermal stability of HEFA-SPK. However, a low oxidation stability was also observed. The oxidation stability of 8 model cyclic molecules was evaluated. Results allowed to estimate the influence of the molecular structure of cyclic molecules on liquid phase reactivity involving the number and the hydrogenation of the aromatic rings and the number and chain-length of the aromatic alkyl groups. The addition of several alkylbenzenes increased almost linearly the induction period of HEFA-SPK. Tetralin and decalin acted as inhibitors of the radical chain mechanism at low concentration, although having inherently low oxidation stability. Besides offering a better oxidation stability, the addition of specific low fractions of several alkylbenzenes, tetralin and decalin to HEFA-SPK allowed to achieve a good thermal stability as well. These molecules represent good candidates to improve OTS of HEFA-SPK. This work opens the way for the development of future fit-for-purpose formulations of alternative jet fuels with an increased fraction of renewables.","author":[{"dropping-particle":"","family":"Amara","given":"Arij","non-dropping-particle":"Ben","parse-names":false,"suffix":""},{"dropping-particle":"","family":"Kaoubi","given":"Skander","non-dropping-particle":"","parse-names":false,"suffix":""},{"dropping-particle":"","family":"Starck","given":"Laurie","non-dropping-particle":"","parse-names":false,"suffix":""}],"container-title":"Fuel","id":"ITEM-1","issued":{"date-parts":[["2016"]]},"page":"98-105","publisher":"Elsevier Ltd","title":"Toward an optimal formulation of alternative jet fuels: Enhanced oxidation and thermal stability by the addition of cyclic molecules","type":"article-journal","volume":"173"}},{"id":"968HXJ10/45sjePiD","uris":["http://www.mendeley.com/documents/?uuid=f584839a-b974-4fa0-8bd5-d6034547624f"],"uri":["http://www.mendeley.com/documents/?uuid=f584839a-b974-4fa0-8bd5-d6034547624f"],"itemData":{"DOI":"10.1016/j.apenergy.2017.05.104","abstract":"Experimental trials have been conducted using an optical swirl burner to compare the heat release and emission profiles from the application of four different aviation fuel blends with changing inlet condi- tions. The mixtures comprised fossil Jet A-1 and a HRJ (Hydrotreated Renewable Jet fuel) batch produced from used cooking oil processing, and blended in discrete ratios. Changes in the produced emissions were quantified with varying combustor pressure and equivalence ratio, in addition to analysing the distribu- tion of combustion heat release using OH⁄ chemiluminescence, and monitoring operational rig temper- atures. Results suggest the presence of HRJ can reduce emissions and lead to a more compacted and homogenous heat release zone, beneficial as localised hot-spots can lead to the generation of soot and thermal NOx. An increase in pressure was also shown to compact the flame brush at constant thermal power, due to density changes in the combustion air, and reduced bulk flow. The presented heat release distributions and experimental data are useful for the validation of numerical simulations, particularly for the use of alternative fuels. The work also highlights the correlation of flow/acoustic perturbations with heat release, crucial in characterising global combustion behaviour","author":[{"dropping-particle":"","family":"Buffi, M., Valera-Medina, A., Marsh, R., Pugh, D., Giles, A., Runyon, J., chiaramonti.","given":"D","non-dropping-particle":"","parse-names":false,"suffix":""}],"container-title":"Applied Energy","id":"ITEM-2","issued":{"date-parts":[["2017"]]},"page":"84-93","title":"Emissions characterization tests for HRJ fuel from used cooking oil and its blends.pdf","type":"article-journal","volume":"201"}},{"id":"968HXJ10/zcaYdgvG","uris":["http://www.mendeley.com/documents/?uuid=240085d2-974e-4f8e-8c13-e2f1f03f1e90"],"uri":["http://www.mendeley.com/documents/?uuid=240085d2-974e-4f8e-8c13-e2f1f03f1e90"],"itemData":{"author":[{"dropping-particle":"","family":"Baldino","given":"Authors Chelsea","non-dropping-particle":"","parse-names":false,"suffix":""},{"dropping-particle":"","family":"Berg","given":"Rosalie","non-dropping-particle":"","parse-names":false,"suffix":""},{"dropping-particle":"","family":"Pavlenko","given":"Nikita","non-dropping-particle":"","parse-names":false,"suffix":""},{"dropping-particle":"","family":"Searle","given":"Stephanie","non-dropping-particle":"","parse-names":false,"suffix":""}],"id":"ITEM-3","issued":{"date-parts":[["2019"]]},"title":"Advanced alternative fuel pathways: Technology overview and status","type":"article-journal"}}],"schema":"https://github.com/citation-style-language/schema/raw/master/csl-citation.json"} </w:instrText>
      </w:r>
      <w:r w:rsidR="00317EC5"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[114,125,126]</w:t>
      </w:r>
      <w:r w:rsidR="00317EC5" w:rsidRPr="004D19FF">
        <w:rPr>
          <w:rFonts w:ascii="Times New Roman" w:hAnsi="Times New Roman" w:cs="Times New Roman"/>
          <w:sz w:val="20"/>
          <w:szCs w:val="20"/>
        </w:rPr>
        <w:fldChar w:fldCharType="end"/>
      </w:r>
      <w:r w:rsidR="006D4D25" w:rsidRPr="004D19FF">
        <w:rPr>
          <w:rFonts w:ascii="Times New Roman" w:hAnsi="Times New Roman" w:cs="Times New Roman"/>
          <w:sz w:val="20"/>
          <w:szCs w:val="20"/>
        </w:rPr>
        <w:t>, as illustrated in Fig. 8. In the literature, this is typically referred to as hydroprocessed ester</w:t>
      </w:r>
      <w:r w:rsidR="00B43FA5">
        <w:rPr>
          <w:rFonts w:ascii="Times New Roman" w:hAnsi="Times New Roman" w:cs="Times New Roman"/>
          <w:sz w:val="20"/>
          <w:szCs w:val="20"/>
        </w:rPr>
        <w:t>s</w:t>
      </w:r>
      <w:r w:rsidR="006D4D25" w:rsidRPr="004D19FF">
        <w:rPr>
          <w:rFonts w:ascii="Times New Roman" w:hAnsi="Times New Roman" w:cs="Times New Roman"/>
          <w:sz w:val="20"/>
          <w:szCs w:val="20"/>
        </w:rPr>
        <w:t xml:space="preserve"> and fatty acid</w:t>
      </w:r>
      <w:r w:rsidR="00B43FA5">
        <w:rPr>
          <w:rFonts w:ascii="Times New Roman" w:hAnsi="Times New Roman" w:cs="Times New Roman"/>
          <w:sz w:val="20"/>
          <w:szCs w:val="20"/>
        </w:rPr>
        <w:t>s</w:t>
      </w:r>
      <w:r w:rsidR="006D4D25" w:rsidRPr="004D19FF">
        <w:rPr>
          <w:rFonts w:ascii="Times New Roman" w:hAnsi="Times New Roman" w:cs="Times New Roman"/>
          <w:sz w:val="20"/>
          <w:szCs w:val="20"/>
        </w:rPr>
        <w:t xml:space="preserve"> (HEFA) when related to terrestrial biofuels production, and as hydroprocessed renewable jet (HRJ) when relat</w:t>
      </w:r>
      <w:r w:rsidR="0003130D">
        <w:rPr>
          <w:rFonts w:ascii="Times New Roman" w:hAnsi="Times New Roman" w:cs="Times New Roman"/>
          <w:sz w:val="20"/>
          <w:szCs w:val="20"/>
        </w:rPr>
        <w:t xml:space="preserve">ed </w:t>
      </w:r>
      <w:r w:rsidR="006D4D25" w:rsidRPr="004D19FF">
        <w:rPr>
          <w:rFonts w:ascii="Times New Roman" w:hAnsi="Times New Roman" w:cs="Times New Roman"/>
          <w:sz w:val="20"/>
          <w:szCs w:val="20"/>
        </w:rPr>
        <w:t xml:space="preserve">to aviation fuels. In term of process pathway, these terminologies are here considered as equivalent. </w:t>
      </w:r>
    </w:p>
    <w:p w14:paraId="311AF1D3" w14:textId="26A090C9" w:rsidR="00C359AA" w:rsidRPr="004D19FF" w:rsidRDefault="009C07FC" w:rsidP="00290530">
      <w:pPr>
        <w:spacing w:after="120" w:line="276" w:lineRule="auto"/>
        <w:jc w:val="thaiDistribute"/>
        <w:rPr>
          <w:rFonts w:ascii="Times New Roman" w:hAnsi="Times New Roman" w:cs="Times New Roman"/>
          <w:sz w:val="20"/>
          <w:szCs w:val="20"/>
          <w:vertAlign w:val="superscript"/>
        </w:rPr>
      </w:pPr>
      <w:r>
        <w:rPr>
          <w:rFonts w:ascii="Times New Roman" w:hAnsi="Times New Roman" w:cs="Times New Roman"/>
          <w:sz w:val="20"/>
          <w:szCs w:val="20"/>
        </w:rPr>
        <w:t>Waste</w:t>
      </w:r>
      <w:r w:rsidR="00F34DD0" w:rsidRPr="004D19FF">
        <w:rPr>
          <w:rFonts w:ascii="Times New Roman" w:hAnsi="Times New Roman" w:cs="Times New Roman"/>
          <w:sz w:val="20"/>
          <w:szCs w:val="20"/>
        </w:rPr>
        <w:t xml:space="preserve"> fats and oils with different degrees of unsaturation </w:t>
      </w:r>
      <w:r w:rsidR="00315826" w:rsidRPr="004D19FF">
        <w:rPr>
          <w:rFonts w:ascii="Times New Roman" w:hAnsi="Times New Roman" w:cs="Times New Roman"/>
          <w:sz w:val="20"/>
          <w:szCs w:val="20"/>
        </w:rPr>
        <w:t xml:space="preserve">are </w:t>
      </w:r>
      <w:r w:rsidR="00C6504B" w:rsidRPr="004D19FF">
        <w:rPr>
          <w:rFonts w:ascii="Times New Roman" w:hAnsi="Times New Roman" w:cs="Times New Roman"/>
          <w:sz w:val="20"/>
          <w:szCs w:val="20"/>
        </w:rPr>
        <w:t xml:space="preserve">firstly </w:t>
      </w:r>
      <w:r w:rsidR="00F34DD0" w:rsidRPr="004D19FF">
        <w:rPr>
          <w:rFonts w:ascii="Times New Roman" w:hAnsi="Times New Roman" w:cs="Times New Roman"/>
          <w:sz w:val="20"/>
          <w:szCs w:val="20"/>
        </w:rPr>
        <w:t>hydrogenate</w:t>
      </w:r>
      <w:r w:rsidR="00315826" w:rsidRPr="004D19FF">
        <w:rPr>
          <w:rFonts w:ascii="Times New Roman" w:hAnsi="Times New Roman" w:cs="Times New Roman"/>
          <w:sz w:val="20"/>
          <w:szCs w:val="20"/>
        </w:rPr>
        <w:t xml:space="preserve">d to </w:t>
      </w:r>
      <w:r w:rsidR="00F34DD0" w:rsidRPr="004D19FF">
        <w:rPr>
          <w:rFonts w:ascii="Times New Roman" w:hAnsi="Times New Roman" w:cs="Times New Roman"/>
          <w:sz w:val="20"/>
          <w:szCs w:val="20"/>
        </w:rPr>
        <w:t xml:space="preserve">saturate the double bonds leading to </w:t>
      </w:r>
      <w:r w:rsidR="0003130D">
        <w:rPr>
          <w:rFonts w:ascii="Times New Roman" w:hAnsi="Times New Roman" w:cs="Times New Roman"/>
          <w:sz w:val="20"/>
          <w:szCs w:val="20"/>
        </w:rPr>
        <w:t xml:space="preserve">the </w:t>
      </w:r>
      <w:r w:rsidR="00F34DD0" w:rsidRPr="004D19FF">
        <w:rPr>
          <w:rFonts w:ascii="Times New Roman" w:hAnsi="Times New Roman" w:cs="Times New Roman"/>
          <w:sz w:val="20"/>
          <w:szCs w:val="20"/>
        </w:rPr>
        <w:t xml:space="preserve">production of propane </w:t>
      </w:r>
      <w:r w:rsidR="00D86A14" w:rsidRPr="004D19FF">
        <w:rPr>
          <w:rFonts w:ascii="Times New Roman" w:hAnsi="Times New Roman" w:cs="Times New Roman"/>
          <w:sz w:val="20"/>
          <w:szCs w:val="20"/>
        </w:rPr>
        <w:t xml:space="preserve">along with </w:t>
      </w:r>
      <w:r w:rsidR="00315826" w:rsidRPr="004D19FF">
        <w:rPr>
          <w:rFonts w:ascii="Times New Roman" w:hAnsi="Times New Roman" w:cs="Times New Roman"/>
          <w:sz w:val="20"/>
          <w:szCs w:val="20"/>
        </w:rPr>
        <w:t>free fatty acids</w:t>
      </w:r>
      <w:r w:rsidR="00D86A14" w:rsidRPr="004D19FF">
        <w:rPr>
          <w:rFonts w:ascii="Times New Roman" w:hAnsi="Times New Roman" w:cs="Times New Roman"/>
          <w:sz w:val="20"/>
          <w:szCs w:val="20"/>
        </w:rPr>
        <w:t xml:space="preserve">. </w:t>
      </w:r>
      <w:r w:rsidR="00CF737F" w:rsidRPr="004D19FF">
        <w:rPr>
          <w:rFonts w:ascii="Times New Roman" w:hAnsi="Times New Roman" w:cs="Times New Roman"/>
          <w:sz w:val="20"/>
          <w:szCs w:val="20"/>
        </w:rPr>
        <w:t xml:space="preserve">The hydrogenated fatty acids </w:t>
      </w:r>
      <w:r w:rsidR="00C359AA" w:rsidRPr="004D19FF">
        <w:rPr>
          <w:rFonts w:ascii="Times New Roman" w:hAnsi="Times New Roman" w:cs="Times New Roman"/>
          <w:sz w:val="20"/>
          <w:szCs w:val="20"/>
        </w:rPr>
        <w:t>are subsequently converted into straight chain hydrocarbon</w:t>
      </w:r>
      <w:r w:rsidR="00187B2D" w:rsidRPr="004D19FF">
        <w:rPr>
          <w:rFonts w:ascii="Times New Roman" w:hAnsi="Times New Roman" w:cs="Times New Roman"/>
          <w:sz w:val="20"/>
          <w:szCs w:val="20"/>
        </w:rPr>
        <w:t>s</w:t>
      </w:r>
      <w:r w:rsidR="00C359AA" w:rsidRPr="004D19FF">
        <w:rPr>
          <w:rFonts w:ascii="Times New Roman" w:hAnsi="Times New Roman" w:cs="Times New Roman"/>
          <w:sz w:val="20"/>
          <w:szCs w:val="20"/>
        </w:rPr>
        <w:t xml:space="preserve"> through </w:t>
      </w:r>
      <w:r w:rsidR="00BD246F" w:rsidRPr="004D19FF">
        <w:rPr>
          <w:rFonts w:ascii="Times New Roman" w:hAnsi="Times New Roman" w:cs="Times New Roman"/>
          <w:sz w:val="20"/>
          <w:szCs w:val="20"/>
        </w:rPr>
        <w:t xml:space="preserve">hydrotreating </w:t>
      </w:r>
      <w:r w:rsidR="00C359AA" w:rsidRPr="004D19FF">
        <w:rPr>
          <w:rFonts w:ascii="Times New Roman" w:hAnsi="Times New Roman" w:cs="Times New Roman"/>
          <w:sz w:val="20"/>
          <w:szCs w:val="20"/>
        </w:rPr>
        <w:t>processes including</w:t>
      </w:r>
      <w:r w:rsidR="00194E17" w:rsidRPr="004D19FF">
        <w:rPr>
          <w:rFonts w:ascii="Times New Roman" w:hAnsi="Times New Roman" w:cs="Times New Roman"/>
          <w:sz w:val="20"/>
          <w:szCs w:val="20"/>
        </w:rPr>
        <w:t xml:space="preserve"> </w:t>
      </w:r>
      <w:r w:rsidR="000E3661" w:rsidRPr="004D19FF">
        <w:rPr>
          <w:rFonts w:ascii="Times New Roman" w:hAnsi="Times New Roman" w:cs="Times New Roman"/>
          <w:sz w:val="20"/>
          <w:szCs w:val="20"/>
        </w:rPr>
        <w:t xml:space="preserve">deoxygenation, decarboxylation and decarbonylation </w:t>
      </w:r>
      <w:r w:rsidR="00C359AA" w:rsidRPr="004D19FF">
        <w:rPr>
          <w:rFonts w:ascii="Times New Roman" w:hAnsi="Times New Roman" w:cs="Times New Roman"/>
          <w:sz w:val="20"/>
          <w:szCs w:val="20"/>
        </w:rPr>
        <w:t>with the formation of H</w:t>
      </w:r>
      <w:r w:rsidR="00C359AA" w:rsidRPr="004D19FF">
        <w:rPr>
          <w:rFonts w:ascii="Times New Roman" w:hAnsi="Times New Roman" w:cs="Times New Roman"/>
          <w:sz w:val="20"/>
          <w:szCs w:val="20"/>
          <w:vertAlign w:val="subscript"/>
        </w:rPr>
        <w:t>2</w:t>
      </w:r>
      <w:r w:rsidR="00C359AA" w:rsidRPr="004D19FF">
        <w:rPr>
          <w:rFonts w:ascii="Times New Roman" w:hAnsi="Times New Roman" w:cs="Times New Roman"/>
          <w:sz w:val="20"/>
          <w:szCs w:val="20"/>
        </w:rPr>
        <w:t>O, CO</w:t>
      </w:r>
      <w:r w:rsidR="00C359AA" w:rsidRPr="004D19FF">
        <w:rPr>
          <w:rFonts w:ascii="Times New Roman" w:hAnsi="Times New Roman" w:cs="Times New Roman"/>
          <w:sz w:val="20"/>
          <w:szCs w:val="20"/>
          <w:vertAlign w:val="subscript"/>
        </w:rPr>
        <w:t>2</w:t>
      </w:r>
      <w:r w:rsidR="00C359AA" w:rsidRPr="004D19FF">
        <w:rPr>
          <w:rFonts w:ascii="Times New Roman" w:hAnsi="Times New Roman" w:cs="Times New Roman"/>
          <w:sz w:val="20"/>
          <w:szCs w:val="20"/>
        </w:rPr>
        <w:t xml:space="preserve"> and CO, respectively </w:t>
      </w:r>
      <w:r w:rsidR="001E5C83"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c2xzDVFR","properties":{"formattedCitation":"[40,127,128]","plainCitation":"[40,127,128]","noteIndex":0},"citationItems":[{"id":"968HXJ10/KEU2NP82","uris":["http://www.mendeley.com/documents/?uuid=a8d2344e-cb17-4751-abd3-329d525c47c0"],"uri":["http://www.mendeley.com/documents/?uuid=a8d2344e-cb17-4751-abd3-329d525c47c0"],"itemData":{"DOI":"10.1016/j.biortech.2015.08.115","ISSN":"18732976","abstract":"Three types of zeolites (Meso-Y, SAPO-34, and HY) loaded with nickel were used to convert waste cooking oil to jet biofuel. Mesoporous zeolite Y exhibited a high jet range alkane selectivity of 53% and a proper jet range aromatic hydrocarbon selectivity of 13.4% in liquid fuel products. Reaction temperature was optimized to produce quality jet biofuel. Zeolite Meso-Y exhibited a high jet range alkane yield of 40.5% and a low jet range aromatic hydrocarbon yield of 11.3% from waste cooking oil at 400°C. The reaction pathway for converting waste cooking oil to jet biofuel was proposed. Experimental results showed that waste cooking oil mainly deoxygenated to heptadecane (C17H36) and pentadecane (C15H30) through the decarbonylation pathway for the first 3h. Long chain alkanes cracked into jet range alkanes (C8-C16). Cycloalkanes and aromatic hydrocarbons were produced through cyclization and dehydrogenation pathways.","author":[{"dropping-particle":"","family":"Li","given":"Tao","non-dropping-particle":"","parse-names":false,"suffix":""},{"dropping-particle":"","family":"Cheng","given":"Jun","non-dropping-particle":"","parse-names":false,"suffix":""},{"dropping-particle":"","family":"Huang","given":"Rui","non-dropping-particle":"","parse-names":false,"suffix":""},{"dropping-particle":"","family":"Zhou","given":"Junhu","non-dropping-particle":"","parse-names":false,"suffix":""},{"dropping-particle":"","family":"Cen","given":"Kefa","non-dropping-particle":"","parse-names":false,"suffix":""}],"container-title":"Bioresource Technology","id":"ITEM-1","issued":{"date-parts":[["2015"]]},"page":"289-294","title":"Conversion of waste cooking oil to jet biofuel with nickel-based mesoporous zeolite Y catalyst","type":"article-journal","volume":"197"}},{"id":"968HXJ10/Lcb8p7eH","uris":["http://www.mendeley.com/documents/?uuid=862facf5-ede8-4080-b95b-8e52fa36d698"],"uri":["http://www.mendeley.com/documents/?uuid=862facf5-ede8-4080-b95b-8e52fa36d698"],"itemData":{"DOI":"10.1016/j.rser.2015.09.016","ISSN":"18790690","abstract":"Biomass-derived jet (bio-jet) fuel has become a key element in the aviation industry's strategy to reduce operating costs and environmental impacts. Researchers from the oil-refining industry, the aviation industry, government, biofuel companies, agricultural organizations, and academia are working toward developing a commercially viable and sustainable process that produces a long-lasting renewable jet fuel with low production costs and low greenhouse emissions. This jet fuel, additionally, must meet ASTM International specifications and potentially be a 100% drop-in replacement for current petroleum jet fuel. In this study, the current technologies for producing renewable jet fuels, categorized by alcohols-to-jet, oil-to-jet, syngas-to-jet, and sugar-to-jet pathways are reviewed. The main challenges for each technology pathway, including conceptual process design, process economics and life-cycle assessment of greenhouse gas emissions are discussed. Although the feedstock price and availability and energy intensity of the process are significant barriers, biomass-derived jet fuel has the potential to replace a significant portion of conventional jet fuel required to meet commercial and military demand.","author":[{"dropping-particle":"","family":"Wang","given":"Wei Cheng","non-dropping-particle":"","parse-names":false,"suffix":""},{"dropping-particle":"","family":"Tao","given":"Ling","non-dropping-particle":"","parse-names":false,"suffix":""}],"container-title":"Renewable and Sustainable Energy Reviews","id":"ITEM-2","issued":{"date-parts":[["2016"]]},"page":"801-822","title":"Bio-jet fuel conversion technologies","type":"article-journal","volume":"53"}},{"id":"968HXJ10/TSNMY3rY","uris":["http://www.mendeley.com/documents/?uuid=6c01d7e9-e3a8-41ad-903b-c109a071bb99"],"uri":["http://www.mendeley.com/documents/?uuid=6c01d7e9-e3a8-41ad-903b-c109a071bb99"],"itemData":{"DOI":"10.1016/j.renene.2018.12.048","ISSN":"18790682","abstract":"Renewable aviation fuel produced from hydro-processing has been a commercially available technique currently. Studies conducted recently were toward finding an appropriate catalysts to produce the jet fuel range products with high normal alkanes and low aromatics. This study focused on hydro-processing of waste cooking oil (WCO) into straight alkanes, which can serve as the blendstock for aviation fuel after further cracking and isomerizing, over two different catalysts, pre-sulfurized NiMo/γ-Al2O3 and Pd/C, under various experimental conditions such as reaction temperature, pressure, liquid hourly space velocity (LHSV) and H2-to-oil ratio. The resulting liquid and gas products from the two catalysts were analyzed through GC-MS/FID and GC-TCD for judging the performances of hydro-deoxygenation (HDO) as well as decarboxylation (DCO2)/decarbonylation (DCO). The fresh and spent catalysts were examined through XRD, FTIR, TGA and SEM to characterize the catalysts before and after hydro-processing. The performance of Pd/C, based on the concentrations of produced C15</w:instrText>
      </w:r>
      <w:r w:rsidR="00752A1E">
        <w:rPr>
          <w:rFonts w:ascii="Cambria Math" w:hAnsi="Cambria Math" w:cs="Cambria Math"/>
          <w:sz w:val="20"/>
          <w:szCs w:val="20"/>
        </w:rPr>
        <w:instrText>∼</w:instrText>
      </w:r>
      <w:r w:rsidR="00752A1E">
        <w:rPr>
          <w:rFonts w:ascii="Times New Roman" w:hAnsi="Times New Roman" w:cs="Times New Roman"/>
          <w:sz w:val="20"/>
          <w:szCs w:val="20"/>
        </w:rPr>
        <w:instrText xml:space="preserve">C18 normal alkanes, was higher than NiMo/γ-Al2O3 with low reaction temperature, low hydrogen pressure, low LHSV, low H2-to-oil ratio and short time-on-stream.","author":[{"dropping-particle":"","family":"Chen","given":"Rui Xin","non-dropping-particle":"","parse-names":false,"suffix":""},{"dropping-particle":"","family":"Wang","given":"Wei Cheng","non-dropping-particle":"","parse-names":false,"suffix":""}],"container-title":"Renewable Energy","id":"ITEM-3","issued":{"date-parts":[["2019"]]},"page":"819-835","title":"The production of renewable aviation fuel from waste cooking oil. Part I: Bio-alkane conversion through hydro-processing of oil","type":"article-journal","volume":"135"}}],"schema":"https://github.com/citation-style-language/schema/raw/master/csl-citation.json"} </w:instrText>
      </w:r>
      <w:r w:rsidR="001E5C83"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[40,127,128]</w:t>
      </w:r>
      <w:r w:rsidR="001E5C83" w:rsidRPr="004D19FF">
        <w:rPr>
          <w:rFonts w:ascii="Times New Roman" w:hAnsi="Times New Roman" w:cs="Times New Roman"/>
          <w:sz w:val="20"/>
          <w:szCs w:val="20"/>
        </w:rPr>
        <w:fldChar w:fldCharType="end"/>
      </w:r>
      <w:r w:rsidR="00C359AA" w:rsidRPr="004D19FF">
        <w:rPr>
          <w:rFonts w:ascii="Times New Roman" w:hAnsi="Times New Roman" w:cs="Times New Roman"/>
          <w:sz w:val="20"/>
          <w:szCs w:val="20"/>
        </w:rPr>
        <w:t xml:space="preserve">. Subsequently, the hydrocarbons produced </w:t>
      </w:r>
      <w:r w:rsidR="00CF737F" w:rsidRPr="004D19FF">
        <w:rPr>
          <w:rFonts w:ascii="Times New Roman" w:hAnsi="Times New Roman" w:cs="Times New Roman"/>
          <w:sz w:val="20"/>
          <w:szCs w:val="20"/>
        </w:rPr>
        <w:t xml:space="preserve">are transformed by </w:t>
      </w:r>
      <w:r w:rsidR="00C359AA" w:rsidRPr="004D19FF">
        <w:rPr>
          <w:rFonts w:ascii="Times New Roman" w:hAnsi="Times New Roman" w:cs="Times New Roman"/>
          <w:sz w:val="20"/>
          <w:szCs w:val="20"/>
        </w:rPr>
        <w:t xml:space="preserve">isomerization and hydrocracking reactions. </w:t>
      </w:r>
      <w:r w:rsidR="00971FAA" w:rsidRPr="004D19FF">
        <w:rPr>
          <w:rFonts w:ascii="Times New Roman" w:hAnsi="Times New Roman" w:cs="Times New Roman"/>
          <w:sz w:val="20"/>
          <w:szCs w:val="20"/>
        </w:rPr>
        <w:t>I</w:t>
      </w:r>
      <w:r w:rsidR="00C359AA" w:rsidRPr="004D19FF">
        <w:rPr>
          <w:rFonts w:ascii="Times New Roman" w:hAnsi="Times New Roman" w:cs="Times New Roman"/>
          <w:sz w:val="20"/>
          <w:szCs w:val="20"/>
        </w:rPr>
        <w:t xml:space="preserve">somerization </w:t>
      </w:r>
      <w:r w:rsidR="00CF737F" w:rsidRPr="004D19FF">
        <w:rPr>
          <w:rFonts w:ascii="Times New Roman" w:hAnsi="Times New Roman" w:cs="Times New Roman"/>
          <w:sz w:val="20"/>
          <w:szCs w:val="20"/>
        </w:rPr>
        <w:t>converts</w:t>
      </w:r>
      <w:r w:rsidR="00C359AA" w:rsidRPr="004D19FF">
        <w:rPr>
          <w:rFonts w:ascii="Times New Roman" w:hAnsi="Times New Roman" w:cs="Times New Roman"/>
          <w:sz w:val="20"/>
          <w:szCs w:val="20"/>
        </w:rPr>
        <w:t xml:space="preserve"> straight chain hydrocarbo</w:t>
      </w:r>
      <w:r w:rsidR="004D60DD" w:rsidRPr="004D19FF">
        <w:rPr>
          <w:rFonts w:ascii="Times New Roman" w:hAnsi="Times New Roman" w:cs="Times New Roman"/>
          <w:sz w:val="20"/>
          <w:szCs w:val="20"/>
        </w:rPr>
        <w:t>n</w:t>
      </w:r>
      <w:r w:rsidR="00971FAA" w:rsidRPr="004D19FF">
        <w:rPr>
          <w:rFonts w:ascii="Times New Roman" w:hAnsi="Times New Roman" w:cs="Times New Roman"/>
          <w:sz w:val="20"/>
          <w:szCs w:val="20"/>
        </w:rPr>
        <w:t xml:space="preserve">s into highly branched alkanes exhibiting a </w:t>
      </w:r>
      <w:r w:rsidR="00C359AA" w:rsidRPr="004D19FF">
        <w:rPr>
          <w:rFonts w:ascii="Times New Roman" w:hAnsi="Times New Roman" w:cs="Times New Roman"/>
          <w:sz w:val="20"/>
          <w:szCs w:val="20"/>
        </w:rPr>
        <w:t>low freezing poin</w:t>
      </w:r>
      <w:r w:rsidR="00361BF0" w:rsidRPr="004D19FF">
        <w:rPr>
          <w:rFonts w:ascii="Times New Roman" w:hAnsi="Times New Roman" w:cs="Times New Roman"/>
          <w:sz w:val="20"/>
          <w:szCs w:val="20"/>
        </w:rPr>
        <w:t>t</w:t>
      </w:r>
      <w:r w:rsidR="00971FAA" w:rsidRPr="004D19FF">
        <w:rPr>
          <w:rFonts w:ascii="Times New Roman" w:hAnsi="Times New Roman" w:cs="Times New Roman"/>
          <w:sz w:val="20"/>
          <w:szCs w:val="20"/>
        </w:rPr>
        <w:t>, a desired property as a blending component</w:t>
      </w:r>
      <w:r w:rsidR="00C359AA" w:rsidRPr="004D19FF">
        <w:rPr>
          <w:rFonts w:ascii="Times New Roman" w:hAnsi="Times New Roman" w:cs="Times New Roman"/>
          <w:sz w:val="20"/>
          <w:szCs w:val="20"/>
        </w:rPr>
        <w:t xml:space="preserve">. Long chain hydrocarbons are broken through </w:t>
      </w:r>
      <w:r w:rsidR="00971FAA" w:rsidRPr="004D19FF">
        <w:rPr>
          <w:rFonts w:ascii="Times New Roman" w:hAnsi="Times New Roman" w:cs="Times New Roman"/>
          <w:sz w:val="20"/>
          <w:szCs w:val="20"/>
        </w:rPr>
        <w:t xml:space="preserve">an </w:t>
      </w:r>
      <w:r w:rsidR="00C359AA" w:rsidRPr="004D19FF">
        <w:rPr>
          <w:rFonts w:ascii="Times New Roman" w:hAnsi="Times New Roman" w:cs="Times New Roman"/>
          <w:sz w:val="20"/>
          <w:szCs w:val="20"/>
        </w:rPr>
        <w:t xml:space="preserve">hydrocracking process to desirable carbon length compounds </w:t>
      </w:r>
      <w:r w:rsidR="00717AF2" w:rsidRPr="004D19FF">
        <w:rPr>
          <w:rFonts w:ascii="Times New Roman" w:hAnsi="Times New Roman" w:cs="Times New Roman"/>
          <w:sz w:val="20"/>
          <w:szCs w:val="20"/>
        </w:rPr>
        <w:t xml:space="preserve">(e.g. </w:t>
      </w:r>
      <w:r w:rsidR="00C359AA" w:rsidRPr="004D19FF">
        <w:rPr>
          <w:rFonts w:ascii="Times New Roman" w:hAnsi="Times New Roman" w:cs="Times New Roman"/>
          <w:sz w:val="20"/>
          <w:szCs w:val="20"/>
        </w:rPr>
        <w:t>in the range of C</w:t>
      </w:r>
      <w:r w:rsidR="00037466">
        <w:rPr>
          <w:rFonts w:ascii="Times New Roman" w:hAnsi="Times New Roman" w:cs="Times New Roman"/>
          <w:sz w:val="20"/>
          <w:szCs w:val="20"/>
          <w:vertAlign w:val="subscript"/>
        </w:rPr>
        <w:t>8</w:t>
      </w:r>
      <w:r w:rsidR="00C359AA" w:rsidRPr="004D19FF">
        <w:rPr>
          <w:rFonts w:ascii="Times New Roman" w:hAnsi="Times New Roman" w:cs="Times New Roman"/>
          <w:sz w:val="20"/>
          <w:szCs w:val="20"/>
        </w:rPr>
        <w:t xml:space="preserve"> to C</w:t>
      </w:r>
      <w:r w:rsidR="00C359AA" w:rsidRPr="004D19FF">
        <w:rPr>
          <w:rFonts w:ascii="Times New Roman" w:hAnsi="Times New Roman" w:cs="Times New Roman"/>
          <w:sz w:val="20"/>
          <w:szCs w:val="20"/>
          <w:vertAlign w:val="subscript"/>
        </w:rPr>
        <w:t>16</w:t>
      </w:r>
      <w:r w:rsidR="00A81B65">
        <w:rPr>
          <w:rFonts w:ascii="Times New Roman" w:hAnsi="Times New Roman" w:cs="Times New Roman"/>
          <w:sz w:val="20"/>
          <w:szCs w:val="20"/>
        </w:rPr>
        <w:t xml:space="preserve"> aviation kerosene</w:t>
      </w:r>
      <w:r w:rsidR="00717AF2" w:rsidRPr="004D19FF">
        <w:rPr>
          <w:rFonts w:ascii="Times New Roman" w:hAnsi="Times New Roman" w:cs="Times New Roman"/>
          <w:sz w:val="20"/>
          <w:szCs w:val="20"/>
        </w:rPr>
        <w:t>)</w:t>
      </w:r>
      <w:r w:rsidR="00C359AA" w:rsidRPr="004D19FF">
        <w:rPr>
          <w:rFonts w:ascii="Times New Roman" w:hAnsi="Times New Roman" w:cs="Times New Roman"/>
          <w:sz w:val="20"/>
          <w:szCs w:val="20"/>
        </w:rPr>
        <w:t xml:space="preserve"> </w:t>
      </w:r>
      <w:r w:rsidR="008001EA"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UOuISEWa","properties":{"formattedCitation":"[129]","plainCitation":"[129]","noteIndex":0},"citationItems":[{"id":"968HXJ10/XWpcBo5o","uris":["http://www.mendeley.com/documents/?uuid=4b4406b8-4871-4f8c-b926-89214c8f0f05"],"uri":["http://www.mendeley.com/documents/?uuid=4b4406b8-4871-4f8c-b926-89214c8f0f05"],"itemData":{"DOI":"10.1016/j.fuel.2018.10.079","ISSN":"00162361","abstract":"Bio-based aviation fuels are considered as a promising alternative for conventional aviation fuels due to their sustainability and environmental friendliness. This review evaluated bio-jet fuels’ performance based on their physicochemical properties, including low-temperature fluidity, thermal oxidation stability, combustion property, fuel compatibility and volatility, and energy density. The objective is to understand the effects of the chemical compositions of bio-jet fuels on their performance characteristics. This is of particular importance in that bio-jet fuels are generally derived from a broad spectrum of feedstock and thus have very different composition. In general, bio-jet fuels exhibit satisfactory characteristics in compliance with the American Society for Testing and Materials D7566-18 standard. The aromatic content has a critical influence on the performance of bio-jet fuels. Research efforts are needed to study the characteristics of recently certified bio-based blending components such as synthesized iso-paraffins and alcohol-to-jet. Storage stability, a rarely reported property also deserves further investigation.","author":[{"dropping-particle":"","family":"Yang","given":"Jie","non-dropping-particle":"","parse-names":false,"suffix":""},{"dropping-particle":"","family":"Xin","given":"Zhong","non-dropping-particle":"","parse-names":false,"suffix":""},{"dropping-particle":"","family":"He","given":"Quan (Sophia)","non-dropping-particle":"","parse-names":false,"suffix":""},{"dropping-particle":"","family":"Corscadden","given":"Kenneth","non-dropping-particle":"","parse-names":false,"suffix":""},{"dropping-particle":"","family":"Niu","given":"Haibo","non-dropping-particle":"","parse-names":false,"suffix":""}],"container-title":"Fuel","id":"ITEM-1","issue":"August 2018","issued":{"date-parts":[["2019"]]},"page":"916-936","publisher":"Elsevier","title":"An overview on performance characteristics of bio-jet fuels","type":"article-journal","volume":"237"}}],"schema":"https://github.com/citation-style-language/schema/raw/master/csl-citation.json"} </w:instrText>
      </w:r>
      <w:r w:rsidR="008001EA"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[129]</w:t>
      </w:r>
      <w:r w:rsidR="008001EA" w:rsidRPr="004D19FF">
        <w:rPr>
          <w:rFonts w:ascii="Times New Roman" w:hAnsi="Times New Roman" w:cs="Times New Roman"/>
          <w:sz w:val="20"/>
          <w:szCs w:val="20"/>
        </w:rPr>
        <w:fldChar w:fldCharType="end"/>
      </w:r>
      <w:r w:rsidR="00C359AA" w:rsidRPr="004D19FF">
        <w:rPr>
          <w:rFonts w:ascii="Times New Roman" w:hAnsi="Times New Roman" w:cs="Times New Roman"/>
          <w:sz w:val="20"/>
          <w:szCs w:val="20"/>
        </w:rPr>
        <w:t xml:space="preserve">. </w:t>
      </w:r>
      <w:r w:rsidR="00717AF2" w:rsidRPr="004D19FF">
        <w:rPr>
          <w:rFonts w:ascii="Times New Roman" w:hAnsi="Times New Roman" w:cs="Times New Roman"/>
          <w:sz w:val="20"/>
          <w:szCs w:val="20"/>
        </w:rPr>
        <w:t xml:space="preserve">The product is distilled into naphtha, </w:t>
      </w:r>
      <w:r w:rsidR="00361BF0" w:rsidRPr="004D19FF">
        <w:rPr>
          <w:rFonts w:ascii="Times New Roman" w:hAnsi="Times New Roman" w:cs="Times New Roman"/>
          <w:sz w:val="20"/>
          <w:szCs w:val="20"/>
        </w:rPr>
        <w:t>kerosene</w:t>
      </w:r>
      <w:r w:rsidR="00717AF2" w:rsidRPr="004D19FF">
        <w:rPr>
          <w:rFonts w:ascii="Times New Roman" w:hAnsi="Times New Roman" w:cs="Times New Roman"/>
          <w:sz w:val="20"/>
          <w:szCs w:val="20"/>
        </w:rPr>
        <w:t xml:space="preserve"> and diesel </w:t>
      </w:r>
      <w:r w:rsidR="007868F5"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cXH6PMNL","properties":{"formattedCitation":"[130,131]","plainCitation":"[130,131]","noteIndex":0},"citationItems":[{"id":"968HXJ10/bTgIWC9g","uris":["http://www.mendeley.com/documents/?uuid=2d549f14-18b0-461e-aa5c-590bd52c38f4"],"uri":["http://www.mendeley.com/documents/?uuid=2d549f14-18b0-461e-aa5c-590bd52c38f4"],"itemData":{"DOI":"10.1016/j.apcata.2014.11.007","ISSN":"0926860X","abstract":"Hydroprocessing of non-edible jatropha oil over sulphided NiMo and NiW catalysts supported on hierarchical mesoporous SAPO-11 was investigated under conditions of 375-450 °C, 60-80 bar and 1 h-1 in a fixed-bed reactor. High yield (about 84 wt%) of liquid hydrocarbon products was obtained over all the catalysts, with about 40% diesel and about 40% aviation kerosene, remaining 20% being lighter gasoline range hydrocarbons. Variation of Si content in the support (SAPO-11) did not have very significant impact on the hydroprocessing of jatropha oil. The liquid hydrocarbon products had suitable density and viscosity, and low sulphur content. The catalysts did not show any observable deactivation with time (</w:instrText>
      </w:r>
      <w:r w:rsidR="00752A1E">
        <w:rPr>
          <w:rFonts w:ascii="Cambria Math" w:hAnsi="Cambria Math" w:cs="Cambria Math"/>
          <w:sz w:val="20"/>
          <w:szCs w:val="20"/>
        </w:rPr>
        <w:instrText>∼</w:instrText>
      </w:r>
      <w:r w:rsidR="00752A1E">
        <w:rPr>
          <w:rFonts w:ascii="Times New Roman" w:hAnsi="Times New Roman" w:cs="Times New Roman"/>
          <w:sz w:val="20"/>
          <w:szCs w:val="20"/>
        </w:rPr>
        <w:instrText xml:space="preserve">6 days). It is the first report of a single catalyst based process, where the diesel fraction had desired pour point and high cetane value (&gt;100), while the kerosene fraction not only had desired freezing point for Jet A-1 fuel (&lt;-47 °C), but also desirable aromatics (8%) were produced. Aromatics formation indicates that, in addition to deoxygenation, mild cracking and isomerization, unexpected aromatization reaction is also taking place over this catalyst. Aromatization reaction reduces the hydrogen consumption in the process by as much 10%, which is a significant advantage of this process.","author":[{"dropping-particle":"","family":"Verma","given":"Deepak","non-dropping-particle":"","parse-names":false,"suffix":""},{"dropping-particle":"","family":"Rana","given":"Bharat Singh","non-dropping-particle":"","parse-names":false,"suffix":""},{"dropping-particle":"","family":"Kumar","given":"Rohit","non-dropping-particle":"","parse-names":false,"suffix":""},{"dropping-particle":"","family":"Sibi","given":"M. G.","non-dropping-particle":"","parse-names":false,"suffix":""},{"dropping-particle":"","family":"Sinha","given":"Anil Kumar","non-dropping-particle":"","parse-names":false,"suffix":""}],"container-title":"Applied Catalysis A: General","id":"ITEM-1","issue":"1","issued":{"date-parts":[["2015"]]},"page":"108-116","publisher":"Elsevier B.V.","title":"Diesel and aviation kerosene with desired aromatics from hydroprocessing of jatropha oil over hydrogenation catalysts supported on hierarchical mesoporous SAPO-11","type":"article-journal","volume":"490"}},{"id":"968HXJ10/gODezQrT","uris":["http://www.mendeley.com/documents/?uuid=a3da5326-308d-403d-9675-ee33913042e2"],"uri":["http://www.mendeley.com/documents/?uuid=a3da5326-308d-403d-9675-ee33913042e2"],"itemData":{"DOI":"10.1016/j.rser.2017.05.268","ISSN":"18790690","abstract":"The catalytic upgrading of vegetable oil to green diesel is one of the distinct research subjects in biorefineries. The catalytic conversion of triglycerides entails the method of hydrotreating such as hydrogenation, hydrodeoxygenation, decarboxylation and decarbonylation as well as isomerization. The product derived is renewable green diesel (straight chain hydrocarbon), of which its production addresses the sustainability of the future energy. The main challenges faced by hydrodeoxygenation are the selection and synthesis of suitable catalysts, selection of appropriate feedstocks, optimization of the thermodynamic parameters, and the reaction pathways. The literature on the selection of feedstock and model compounds is discussed in the sub-section. This review also includes the evaluation on several potential catalysts such as bimetallic solid acid, sulphided, non-sulphided, nitrides, phosphided, isomerization and hydrocracking catalysts as well as the noble metal catalysts. The selection of the metal supports catalysts, the catalyst designed practice and the overall performance is also reviewed and discussed. The most common supports used for the hydrodeoxygenation is solid acid composites such as Al2O3 and zeolites. In addition, the promoters tested yield different results with different reaction mechanisms demonstrated. The research on the hydrodeoxygenation pathways and the product distribution related with all kinds of catalysts are also addressed. In addition, the advancement of co-hydroprocessing of mix-vegetable oil and vacuumed gas oil is addressed and summarized as well. Overall, this review provides a comprehensive discussion on the hydrodeoxygenation issues and challenges in all relevant technical aspects.","author":[{"dropping-particle":"","family":"Ameen","given":"Mariam","non-dropping-particle":"","parse-names":false,"suffix":""},{"dropping-particle":"","family":"Azizan","given":"Mohammad Tazli","non-dropping-particle":"","parse-names":false,"suffix":""},{"dropping-particle":"","family":"Yusup","given":"Suzana","non-dropping-particle":"","parse-names":false,"suffix":""},{"dropping-particle":"","family":"Ramli","given":"Anita","non-dropping-particle":"","parse-names":false,"suffix":""},{"dropping-particle":"","family":"Yasir","given":"Madiha","non-dropping-particle":"","parse-names":false,"suffix":""}],"container-title":"Renewable and Sustainable Energy Reviews","id":"ITEM-2","issue":"May 2016","issued":{"date-parts":[["2017"]]},"page":"1072-1088","publisher":"Elsevier Ltd","title":"Catalytic hydrodeoxygenation of triglycerides: An approach to clean diesel fuel production","type":"article-journal","volume":"80"}}],"schema":"https://github.com/citation-style-language/schema/raw/master/csl-citation.json"} </w:instrText>
      </w:r>
      <w:r w:rsidR="007868F5"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[130,131]</w:t>
      </w:r>
      <w:r w:rsidR="007868F5" w:rsidRPr="004D19FF">
        <w:rPr>
          <w:rFonts w:ascii="Times New Roman" w:hAnsi="Times New Roman" w:cs="Times New Roman"/>
          <w:sz w:val="20"/>
          <w:szCs w:val="20"/>
        </w:rPr>
        <w:fldChar w:fldCharType="end"/>
      </w:r>
      <w:r w:rsidR="00C359AA" w:rsidRPr="004D19FF">
        <w:rPr>
          <w:rFonts w:ascii="Times New Roman" w:hAnsi="Times New Roman" w:cs="Times New Roman"/>
          <w:sz w:val="20"/>
          <w:szCs w:val="20"/>
        </w:rPr>
        <w:t xml:space="preserve">. </w:t>
      </w:r>
    </w:p>
    <w:p w14:paraId="71BC00B1" w14:textId="47759764" w:rsidR="000627E6" w:rsidRPr="004D19FF" w:rsidRDefault="00C359AA" w:rsidP="00290530">
      <w:pPr>
        <w:spacing w:after="120" w:line="276" w:lineRule="auto"/>
        <w:jc w:val="thaiDistribute"/>
        <w:rPr>
          <w:rFonts w:ascii="Times New Roman" w:hAnsi="Times New Roman" w:cs="Times New Roman"/>
          <w:sz w:val="20"/>
          <w:szCs w:val="20"/>
        </w:rPr>
      </w:pPr>
      <w:r w:rsidRPr="004D19FF">
        <w:rPr>
          <w:rFonts w:ascii="Times New Roman" w:hAnsi="Times New Roman"/>
          <w:sz w:val="20"/>
          <w:szCs w:val="20"/>
        </w:rPr>
        <w:t xml:space="preserve">Several parameters have an impact on product generation during </w:t>
      </w:r>
      <w:r w:rsidR="00971FAA" w:rsidRPr="004D19FF">
        <w:rPr>
          <w:rFonts w:ascii="Times New Roman" w:hAnsi="Times New Roman"/>
          <w:sz w:val="20"/>
          <w:szCs w:val="20"/>
        </w:rPr>
        <w:t xml:space="preserve">the </w:t>
      </w:r>
      <w:r w:rsidRPr="004D19FF">
        <w:rPr>
          <w:rFonts w:ascii="Times New Roman" w:hAnsi="Times New Roman"/>
          <w:sz w:val="20"/>
          <w:szCs w:val="20"/>
        </w:rPr>
        <w:t>HRJ</w:t>
      </w:r>
      <w:r w:rsidR="00DC5A2E" w:rsidRPr="004D19FF">
        <w:rPr>
          <w:rFonts w:ascii="Times New Roman" w:hAnsi="Times New Roman"/>
          <w:sz w:val="20"/>
          <w:szCs w:val="20"/>
        </w:rPr>
        <w:t>/HEFA</w:t>
      </w:r>
      <w:r w:rsidRPr="004D19FF">
        <w:rPr>
          <w:rFonts w:ascii="Times New Roman" w:hAnsi="Times New Roman"/>
          <w:sz w:val="20"/>
          <w:szCs w:val="20"/>
        </w:rPr>
        <w:t xml:space="preserve"> process, for instance, </w:t>
      </w:r>
      <w:r w:rsidR="00971FAA" w:rsidRPr="004D19FF">
        <w:rPr>
          <w:rFonts w:ascii="Times New Roman" w:hAnsi="Times New Roman"/>
          <w:sz w:val="20"/>
          <w:szCs w:val="20"/>
        </w:rPr>
        <w:t>the type</w:t>
      </w:r>
      <w:r w:rsidRPr="004D19FF">
        <w:rPr>
          <w:rFonts w:ascii="Times New Roman" w:hAnsi="Times New Roman"/>
          <w:sz w:val="20"/>
          <w:szCs w:val="20"/>
        </w:rPr>
        <w:t xml:space="preserve"> of catalyst used, </w:t>
      </w:r>
      <w:r w:rsidR="00971FAA" w:rsidRPr="004D19FF">
        <w:rPr>
          <w:rFonts w:ascii="Times New Roman" w:hAnsi="Times New Roman"/>
          <w:sz w:val="20"/>
          <w:szCs w:val="20"/>
        </w:rPr>
        <w:t>the fatty acids profile</w:t>
      </w:r>
      <w:r w:rsidRPr="004D19FF">
        <w:rPr>
          <w:rFonts w:ascii="Times New Roman" w:hAnsi="Times New Roman"/>
          <w:sz w:val="20"/>
          <w:szCs w:val="20"/>
        </w:rPr>
        <w:t xml:space="preserve"> </w:t>
      </w:r>
      <w:r w:rsidR="00DC5A2E" w:rsidRPr="004D19FF">
        <w:rPr>
          <w:rFonts w:ascii="Times New Roman" w:hAnsi="Times New Roman"/>
          <w:sz w:val="20"/>
          <w:szCs w:val="20"/>
        </w:rPr>
        <w:t>of the</w:t>
      </w:r>
      <w:r w:rsidRPr="004D19FF">
        <w:rPr>
          <w:rFonts w:ascii="Times New Roman" w:hAnsi="Times New Roman"/>
          <w:sz w:val="20"/>
          <w:szCs w:val="20"/>
        </w:rPr>
        <w:t xml:space="preserve"> feedstock</w:t>
      </w:r>
      <w:r w:rsidR="00DC5A2E" w:rsidRPr="004D19FF">
        <w:rPr>
          <w:rFonts w:ascii="Times New Roman" w:hAnsi="Times New Roman"/>
          <w:sz w:val="20"/>
          <w:szCs w:val="20"/>
        </w:rPr>
        <w:t xml:space="preserve"> used</w:t>
      </w:r>
      <w:r w:rsidR="00971FAA" w:rsidRPr="004D19FF">
        <w:rPr>
          <w:rFonts w:ascii="Times New Roman" w:hAnsi="Times New Roman"/>
          <w:sz w:val="20"/>
          <w:szCs w:val="20"/>
        </w:rPr>
        <w:t xml:space="preserve"> and the operating </w:t>
      </w:r>
      <w:r w:rsidR="00685825" w:rsidRPr="004D19FF">
        <w:rPr>
          <w:rFonts w:ascii="Times New Roman" w:hAnsi="Times New Roman"/>
          <w:sz w:val="20"/>
          <w:szCs w:val="20"/>
        </w:rPr>
        <w:t xml:space="preserve">conditions </w:t>
      </w:r>
      <w:r w:rsidR="0086350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cpmgPPnB","properties":{"formattedCitation":"[130,132,133]","plainCitation":"[130,132,133]","noteIndex":0},"citationItems":[{"id":"968HXJ10/NaNynylZ","uris":["http://www.mendeley.com/documents/?uuid=96ecf72c-2ba2-491c-ba44-9c1a69c98cbb"],"uri":["http://www.mendeley.com/documents/?uuid=96ecf72c-2ba2-491c-ba44-9c1a69c98cbb"],"itemData":{"DOI":"10.1016/j.fuel.2015.08.063","ISSN":"00162361","abstract":"Vegetable oils are excellent feedstock for production of diesel and jet fuels. However, catalysts and processes published in the literature do not produce drop-in fuels. One of the major problems is the selectivity and stability of the catalysts. It is vital that the hydrotreating is tested after at least 200 h on stream to measure the steady-state performance of the catalyst rather than its initial activity. The presence of aromatics is a critical issue. This study addresses specifically the issue of aromatics related to the composition of the vegetable oils. A novel Pt/Al2O3/SAPO-11 is used. Testing six different oils indicates that a certain level of poly-unsaturation of the fatty acids is required to produce relatively high aromatics content. This was further supported in specific tests of vegetable oils, fatty acids and C16 hydrocarbons dissolved in decane. Therefore, poly-unsaturated soybean, sunflower and camelina oils produce fuels containing about 15 wt% aromatics while the content of aromatics in the product of palm or castor oils hydrotreating is 2 wt%. A tentative reactions sequence was suggested leading to triglycerides aromatization on the basis of measured dependency of hydrotreated oil products on the process space time, structure of aromatic hydrocarbons and published chemical transformations of triglycerides. Three stage processes were proposed to produce jet fuels that meet the standards. 42-48 wt% yield of the jet fuel is reported. This is a basis for commercial production of drop-in diesel and jet fuel.","author":[{"dropping-particle":"","family":"Rabaev","given":"Moshe","non-dropping-particle":"","parse-names":false,"suffix":""},{"dropping-particle":"V.","family":"Landau","given":"Miron","non-dropping-particle":"","parse-names":false,"suffix":""},{"dropping-particle":"","family":"Vidruk-Nehemya","given":"Roxana","non-dropping-particle":"","parse-names":false,"suffix":""},{"dropping-particle":"","family":"Koukouliev","given":"Viatcheslav","non-dropping-particle":"","parse-names":false,"suffix":""},{"dropping-particle":"","family":"Zarchin","given":"Ruby","non-dropping-particle":"","parse-names":false,"suffix":""},{"dropping-particle":"","family":"Herskowitz","given":"Moti","non-dropping-particle":"","parse-names":false,"suffix":""}],"container-title":"Fuel","id":"ITEM-1","issued":{"date-parts":[["2015"]]},"page":"287-294","title":"Conversion of vegetable oils on Pt/Al2O3/SAPO-11 to diesel and jet fuels containing aromatics","type":"article-journal","volume":"161"}},{"id":"968HXJ10/bTgIWC9g","uris":["http://www.mendeley.com/documents/?uuid=2d549f14-18b0-461e-aa5c-590bd52c38f4"],"uri":["http://www.mendeley.com/documents/?uuid=2d549f14-18b0-461e-aa5c-590bd52c38f4"],"itemData":{"DOI":"10.1016/j.apcata.2014.11.007","ISSN":"0926860X","abstract":"Hydroprocessing of non-edible jatropha oil over sulphided NiMo and NiW catalysts supported on hierarchical mesoporous SAPO-11 was investigated under conditions of 375-450 °C, 60-80 bar and 1 h-1 in a fixed-bed reactor. High yield (about 84 wt%) of liquid hydrocarbon products was obtained over all the catalysts, with about 40% diesel and about 40% aviation kerosene, remaining 20% being lighter gasoline range hydrocarbons. Variation of Si content in the support (SAPO-11) did not have very significant impact on the hydroprocessing of jatropha oil. The liquid hydrocarbon products had suitable density and viscosity, and low sulphur content. The catalysts did not show any observable deactivation with time (</w:instrText>
      </w:r>
      <w:r w:rsidR="00752A1E">
        <w:rPr>
          <w:rFonts w:ascii="Cambria Math" w:hAnsi="Cambria Math" w:cs="Cambria Math"/>
          <w:sz w:val="20"/>
          <w:szCs w:val="20"/>
        </w:rPr>
        <w:instrText>∼</w:instrText>
      </w:r>
      <w:r w:rsidR="00752A1E">
        <w:rPr>
          <w:rFonts w:ascii="Times New Roman" w:hAnsi="Times New Roman"/>
          <w:sz w:val="20"/>
          <w:szCs w:val="20"/>
        </w:rPr>
        <w:instrText xml:space="preserve">6 days). It is the first report of a single catalyst based process, where the diesel fraction had desired pour point and high cetane value (&gt;100), while the kerosene fraction not only had desired freezing point for Jet A-1 fuel (&lt;-47 °C), but also desirable aromatics (8%) were produced. Aromatics formation indicates that, in addition to deoxygenation, mild cracking and isomerization, unexpected aromatization reaction is also taking place over this catalyst. Aromatization reaction reduces the hydrogen consumption in the process by as much 10%, which is a significant advantage of this process.","author":[{"dropping-particle":"","family":"Verma","given":"Deepak","non-dropping-particle":"","parse-names":false,"suffix":""},{"dropping-particle":"","family":"Rana","given":"Bharat Singh","non-dropping-particle":"","parse-names":false,"suffix":""},{"dropping-particle":"","family":"Kumar","given":"Rohit","non-dropping-particle":"","parse-names":false,"suffix":""},{"dropping-particle":"","family":"Sibi","given":"M. G.","non-dropping-particle":"","parse-names":false,"suffix":""},{"dropping-particle":"","family":"Sinha","given":"Anil Kumar","non-dropping-particle":"","parse-names":false,"suffix":""}],"container-title":"Applied Catalysis A: General","id":"ITEM-2","issue":"1","issued":{"date-parts":[["2015"]]},"page":"108-116","publisher":"Elsevier B.V.","title":"Diesel and aviation kerosene with desired aromatics from hydroprocessing of jatropha oil over hydrogenation catalysts supported on hierarchical mesoporous SAPO-11","type":"article-journal","volume":"490"}},{"id":"968HXJ10/2vJJka7w","uris":["http://www.mendeley.com/documents/?uuid=1ffbe4db-d794-411a-95b5-1e44106da554"],"uri":["http://www.mendeley.com/documents/?uuid=1ffbe4db-d794-411a-95b5-1e44106da554"],"itemData":{"DOI":"10.1016/j.nbt.2015.01.004","ISSN":"18764347","abstract":"Non-edible sunflower oils that were extracted from sunflower residual wastes were catalytically cracked over a ZSM-5 catalyst in a fixed-bed reactor at three different reaction temperatures: 450°C, 500°C and 550°C. The catalyst was characterized using XRD, FT-IR, BET and SEM. Characterizations of the upgraded sunflower oils, hydrocarbon fuels, distillation residues and non-condensable gases were carried out. The effect of the reaction temperature on the yield and quality of liquid products was discussed. The results showed that the reaction temperature affected the hydrocarbon fuel yield but had a minor influence on its properties. The highest conversion efficiency from sunflower oils to hydrocarbon fuels was 30.1%, which was obtained at 550°C. The reaction temperature affected the component content of the non-condensable gases. The non-condensable gases generated at 550°C contained the highest content of light hydrocarbons (C1C5), CO, CO2 and H2. Compared to raw sunflower oils, the properties of hydrocarbon fuels including the dynamic viscosity, pH, moisture content, density, oxygen content and heating value were improved.","author":[{"dropping-particle":"","family":"Zhao","given":"Xianhui","non-dropping-particle":"","parse-names":false,"suffix":""},{"dropping-particle":"","family":"Wei","given":"Lin","non-dropping-particle":"","parse-names":false,"suffix":""},{"dropping-particle":"","family":"Julson","given":"James","non-dropping-particle":"","parse-names":false,"suffix":""},{"dropping-particle":"","family":"Qiao","given":"Qiquan","non-dropping-particle":"","parse-names":false,"suffix":""},{"dropping-particle":"","family":"Dubey","given":"Ashish","non-dropping-particle":"","parse-names":false,"suffix":""},{"dropping-particle":"","family":"Anderson","given":"Gary","non-dropping-particle":"","parse-names":false,"suffix":""}],"container-title":"New Biotechnology","id":"ITEM-3","issue":"2","issued":{"date-parts":[["2015"]]},"page":"300-312","publisher":"Elsevier B.V.","title":"Catalytic cracking of non-edible sunflower oil over ZSM-5 for hydrocarbon bio-jet fuel","type":"article-journal","volume":"32"}}],"schema":"https://github.com/citation-style-language/schema/raw/master/csl-citation.json"} </w:instrText>
      </w:r>
      <w:r w:rsidR="0086350A" w:rsidRPr="004D19FF">
        <w:rPr>
          <w:rFonts w:ascii="Times New Roman" w:hAnsi="Times New Roman"/>
          <w:sz w:val="20"/>
          <w:szCs w:val="20"/>
        </w:rPr>
        <w:fldChar w:fldCharType="separate"/>
      </w:r>
      <w:r w:rsidR="00623E85" w:rsidRPr="00623E85">
        <w:rPr>
          <w:rFonts w:ascii="Times New Roman" w:hAnsi="Times New Roman" w:cs="Times New Roman"/>
          <w:sz w:val="20"/>
        </w:rPr>
        <w:t>[130,132,133]</w:t>
      </w:r>
      <w:r w:rsidR="0086350A" w:rsidRPr="004D19FF">
        <w:rPr>
          <w:rFonts w:ascii="Times New Roman" w:hAnsi="Times New Roman"/>
          <w:sz w:val="20"/>
          <w:szCs w:val="20"/>
        </w:rPr>
        <w:fldChar w:fldCharType="end"/>
      </w:r>
      <w:r w:rsidR="0033022B" w:rsidRPr="004D19FF">
        <w:rPr>
          <w:rFonts w:ascii="Times New Roman" w:hAnsi="Times New Roman"/>
          <w:sz w:val="20"/>
          <w:szCs w:val="20"/>
        </w:rPr>
        <w:t xml:space="preserve">. </w:t>
      </w:r>
      <w:r w:rsidR="00971FAA" w:rsidRPr="004D19FF">
        <w:rPr>
          <w:rFonts w:ascii="Times New Roman" w:hAnsi="Times New Roman"/>
          <w:sz w:val="20"/>
          <w:szCs w:val="20"/>
        </w:rPr>
        <w:t>A variety of research and industrial experiments resulting in the production of aviation biofuels with the HRJ/HEFA pathway under various conditions are summarized in the SM</w:t>
      </w:r>
      <w:r w:rsidR="00683236">
        <w:rPr>
          <w:rFonts w:ascii="Times New Roman" w:hAnsi="Times New Roman"/>
          <w:sz w:val="20"/>
          <w:szCs w:val="20"/>
        </w:rPr>
        <w:t>1</w:t>
      </w:r>
      <w:r w:rsidR="00971FAA" w:rsidRPr="004D19FF">
        <w:rPr>
          <w:rFonts w:ascii="Times New Roman" w:hAnsi="Times New Roman"/>
          <w:sz w:val="20"/>
          <w:szCs w:val="20"/>
        </w:rPr>
        <w:t xml:space="preserve">. </w:t>
      </w:r>
    </w:p>
    <w:p w14:paraId="54738CB9" w14:textId="77777777" w:rsidR="000B3FCE" w:rsidRPr="004D19FF" w:rsidRDefault="00DE0BE7" w:rsidP="00290530">
      <w:pPr>
        <w:tabs>
          <w:tab w:val="left" w:pos="3420"/>
        </w:tabs>
        <w:spacing w:after="120" w:line="276" w:lineRule="auto"/>
        <w:jc w:val="thaiDistribute"/>
        <w:rPr>
          <w:rFonts w:ascii="Times New Roman" w:hAnsi="Times New Roman" w:cs="Times New Roman"/>
          <w:sz w:val="20"/>
          <w:szCs w:val="20"/>
        </w:rPr>
      </w:pPr>
      <w:r w:rsidRPr="004D19FF">
        <w:rPr>
          <w:rFonts w:ascii="Times New Roman" w:hAnsi="Times New Roman"/>
          <w:sz w:val="20"/>
          <w:szCs w:val="20"/>
        </w:rPr>
        <w:t xml:space="preserve">The </w:t>
      </w:r>
      <w:r w:rsidR="00DE6C03" w:rsidRPr="004D19FF">
        <w:rPr>
          <w:rFonts w:ascii="Times New Roman" w:hAnsi="Times New Roman"/>
          <w:sz w:val="20"/>
          <w:szCs w:val="20"/>
        </w:rPr>
        <w:t>HRJ</w:t>
      </w:r>
      <w:r w:rsidR="006132B7" w:rsidRPr="004D19FF">
        <w:rPr>
          <w:rFonts w:ascii="Times New Roman" w:hAnsi="Times New Roman"/>
          <w:sz w:val="20"/>
          <w:szCs w:val="20"/>
        </w:rPr>
        <w:t>/HEFA</w:t>
      </w:r>
      <w:r w:rsidR="00DE6C03" w:rsidRPr="004D19FF">
        <w:rPr>
          <w:rFonts w:ascii="Times New Roman" w:hAnsi="Times New Roman"/>
          <w:sz w:val="20"/>
          <w:szCs w:val="20"/>
        </w:rPr>
        <w:t xml:space="preserve"> </w:t>
      </w:r>
      <w:r w:rsidRPr="004D19FF">
        <w:rPr>
          <w:rFonts w:ascii="Times New Roman" w:hAnsi="Times New Roman"/>
          <w:sz w:val="20"/>
          <w:szCs w:val="20"/>
        </w:rPr>
        <w:t>pathway</w:t>
      </w:r>
      <w:r w:rsidR="00DE6C03" w:rsidRPr="004D19FF">
        <w:rPr>
          <w:rFonts w:ascii="Times New Roman" w:hAnsi="Times New Roman"/>
          <w:sz w:val="20"/>
          <w:szCs w:val="20"/>
        </w:rPr>
        <w:t xml:space="preserve"> is considered </w:t>
      </w:r>
      <w:r w:rsidR="00273AE0" w:rsidRPr="004D19FF">
        <w:rPr>
          <w:rFonts w:ascii="Times New Roman" w:hAnsi="Times New Roman"/>
          <w:sz w:val="20"/>
          <w:szCs w:val="20"/>
        </w:rPr>
        <w:t xml:space="preserve">as </w:t>
      </w:r>
      <w:r w:rsidR="00DE6C03" w:rsidRPr="004D19FF">
        <w:rPr>
          <w:rFonts w:ascii="Times New Roman" w:hAnsi="Times New Roman"/>
          <w:sz w:val="20"/>
          <w:szCs w:val="20"/>
        </w:rPr>
        <w:t xml:space="preserve">a </w:t>
      </w:r>
      <w:r w:rsidR="006744A8" w:rsidRPr="004D19FF">
        <w:rPr>
          <w:rFonts w:ascii="Times New Roman" w:hAnsi="Times New Roman"/>
          <w:sz w:val="20"/>
          <w:szCs w:val="20"/>
        </w:rPr>
        <w:t>relative</w:t>
      </w:r>
      <w:r w:rsidRPr="004D19FF">
        <w:rPr>
          <w:rFonts w:ascii="Times New Roman" w:hAnsi="Times New Roman"/>
          <w:sz w:val="20"/>
          <w:szCs w:val="20"/>
        </w:rPr>
        <w:t>ly</w:t>
      </w:r>
      <w:r w:rsidR="006744A8" w:rsidRPr="004D19FF">
        <w:rPr>
          <w:rFonts w:ascii="Times New Roman" w:hAnsi="Times New Roman"/>
          <w:sz w:val="20"/>
          <w:szCs w:val="20"/>
        </w:rPr>
        <w:t xml:space="preserve"> </w:t>
      </w:r>
      <w:r w:rsidR="00DE6C03" w:rsidRPr="004D19FF">
        <w:rPr>
          <w:rFonts w:ascii="Times New Roman" w:hAnsi="Times New Roman"/>
          <w:sz w:val="20"/>
          <w:szCs w:val="20"/>
        </w:rPr>
        <w:t xml:space="preserve">mature technology </w:t>
      </w:r>
      <w:r w:rsidRPr="004D19FF">
        <w:rPr>
          <w:rFonts w:ascii="Times New Roman" w:hAnsi="Times New Roman"/>
          <w:sz w:val="20"/>
          <w:szCs w:val="20"/>
        </w:rPr>
        <w:t>at commercial scale</w:t>
      </w:r>
      <w:r w:rsidR="00A720A9" w:rsidRPr="004D19FF">
        <w:rPr>
          <w:rFonts w:ascii="Times New Roman" w:hAnsi="Times New Roman"/>
          <w:sz w:val="20"/>
          <w:szCs w:val="20"/>
        </w:rPr>
        <w:t xml:space="preserve">. </w:t>
      </w:r>
      <w:r w:rsidR="008D6261" w:rsidRPr="004D19FF">
        <w:rPr>
          <w:rFonts w:ascii="Times New Roman" w:hAnsi="Times New Roman" w:cs="Times New Roman"/>
          <w:sz w:val="20"/>
          <w:szCs w:val="20"/>
        </w:rPr>
        <w:t xml:space="preserve">However, the availability </w:t>
      </w:r>
      <w:r w:rsidR="00191535" w:rsidRPr="004D19FF">
        <w:rPr>
          <w:rFonts w:ascii="Times New Roman" w:hAnsi="Times New Roman" w:cs="Times New Roman"/>
          <w:sz w:val="20"/>
          <w:szCs w:val="20"/>
        </w:rPr>
        <w:t xml:space="preserve">and </w:t>
      </w:r>
      <w:r w:rsidR="00764E1C" w:rsidRPr="004D19FF">
        <w:rPr>
          <w:rFonts w:ascii="Times New Roman" w:hAnsi="Times New Roman" w:cs="Times New Roman"/>
          <w:sz w:val="20"/>
          <w:szCs w:val="20"/>
        </w:rPr>
        <w:t>the cost</w:t>
      </w:r>
      <w:r w:rsidR="00191535" w:rsidRPr="004D19FF">
        <w:rPr>
          <w:rFonts w:ascii="Times New Roman" w:hAnsi="Times New Roman" w:cs="Times New Roman"/>
          <w:sz w:val="20"/>
          <w:szCs w:val="20"/>
        </w:rPr>
        <w:t xml:space="preserve"> of </w:t>
      </w:r>
      <w:r w:rsidR="00764E1C" w:rsidRPr="004D19FF">
        <w:rPr>
          <w:rFonts w:ascii="Times New Roman" w:hAnsi="Times New Roman" w:cs="Times New Roman"/>
          <w:sz w:val="20"/>
          <w:szCs w:val="20"/>
        </w:rPr>
        <w:t xml:space="preserve">the </w:t>
      </w:r>
      <w:r w:rsidRPr="004D19FF">
        <w:rPr>
          <w:rFonts w:ascii="Times New Roman" w:hAnsi="Times New Roman" w:cs="Times New Roman"/>
          <w:sz w:val="20"/>
          <w:szCs w:val="20"/>
        </w:rPr>
        <w:t xml:space="preserve">sustainable </w:t>
      </w:r>
      <w:r w:rsidR="00D26B3E" w:rsidRPr="004D19FF">
        <w:rPr>
          <w:rFonts w:ascii="Times New Roman" w:hAnsi="Times New Roman" w:cs="Times New Roman"/>
          <w:sz w:val="20"/>
          <w:szCs w:val="20"/>
        </w:rPr>
        <w:t>oleochemical</w:t>
      </w:r>
      <w:r w:rsidR="00AC21E4" w:rsidRPr="004D19FF">
        <w:rPr>
          <w:rFonts w:ascii="Times New Roman" w:hAnsi="Times New Roman" w:cs="Times New Roman"/>
          <w:sz w:val="20"/>
          <w:szCs w:val="20"/>
        </w:rPr>
        <w:t xml:space="preserve"> feedstock</w:t>
      </w:r>
      <w:r w:rsidRPr="004D19FF">
        <w:rPr>
          <w:rFonts w:ascii="Times New Roman" w:hAnsi="Times New Roman" w:cs="Times New Roman"/>
          <w:sz w:val="20"/>
          <w:szCs w:val="20"/>
        </w:rPr>
        <w:t xml:space="preserve">, in particular if waste-based or relying on limited marginal lands to grow the feedstock, may become a limiting factor in the perspective of increased </w:t>
      </w:r>
      <w:r w:rsidR="002508B5" w:rsidRPr="004D19FF">
        <w:rPr>
          <w:rFonts w:ascii="Times New Roman" w:hAnsi="Times New Roman" w:cs="Times New Roman"/>
          <w:sz w:val="20"/>
          <w:szCs w:val="20"/>
        </w:rPr>
        <w:t>biofuels</w:t>
      </w:r>
      <w:r w:rsidRPr="004D19FF">
        <w:rPr>
          <w:rFonts w:ascii="Times New Roman" w:hAnsi="Times New Roman" w:cs="Times New Roman"/>
          <w:sz w:val="20"/>
          <w:szCs w:val="20"/>
        </w:rPr>
        <w:t xml:space="preserve"> demand in the future.</w:t>
      </w:r>
      <w:r w:rsidR="00AC21E4" w:rsidRPr="004D19FF">
        <w:rPr>
          <w:rFonts w:ascii="Times New Roman" w:hAnsi="Times New Roman" w:cs="Times New Roman"/>
          <w:sz w:val="20"/>
          <w:szCs w:val="20"/>
        </w:rPr>
        <w:t xml:space="preserve"> </w:t>
      </w:r>
    </w:p>
    <w:p w14:paraId="6FEA69F3" w14:textId="77777777" w:rsidR="00953073" w:rsidRPr="004D19FF" w:rsidRDefault="0055183C" w:rsidP="00290530">
      <w:pPr>
        <w:tabs>
          <w:tab w:val="left" w:pos="3420"/>
        </w:tabs>
        <w:spacing w:after="120" w:line="276" w:lineRule="auto"/>
        <w:jc w:val="thaiDistribute"/>
        <w:rPr>
          <w:rFonts w:ascii="Times New Roman" w:hAnsi="Times New Roman"/>
          <w:i/>
          <w:iCs/>
          <w:sz w:val="20"/>
          <w:szCs w:val="20"/>
        </w:rPr>
      </w:pPr>
      <w:r w:rsidRPr="004D19FF">
        <w:rPr>
          <w:rFonts w:ascii="Times New Roman" w:hAnsi="Times New Roman"/>
          <w:i/>
          <w:iCs/>
          <w:sz w:val="20"/>
          <w:szCs w:val="20"/>
        </w:rPr>
        <w:t>2</w:t>
      </w:r>
      <w:r w:rsidR="00953073" w:rsidRPr="004D19FF">
        <w:rPr>
          <w:rFonts w:ascii="Times New Roman" w:hAnsi="Times New Roman"/>
          <w:i/>
          <w:iCs/>
          <w:sz w:val="20"/>
          <w:szCs w:val="20"/>
        </w:rPr>
        <w:t xml:space="preserve">.3.2 </w:t>
      </w:r>
      <w:r w:rsidR="003B492D" w:rsidRPr="004D19FF">
        <w:rPr>
          <w:rFonts w:ascii="Times New Roman" w:hAnsi="Times New Roman"/>
          <w:i/>
          <w:iCs/>
          <w:sz w:val="20"/>
          <w:szCs w:val="20"/>
        </w:rPr>
        <w:t xml:space="preserve">Catalytic hydrothermolysis </w:t>
      </w:r>
      <w:r w:rsidR="004A5181" w:rsidRPr="004D19FF">
        <w:rPr>
          <w:rFonts w:ascii="Times New Roman" w:hAnsi="Times New Roman"/>
          <w:i/>
          <w:iCs/>
          <w:sz w:val="20"/>
          <w:szCs w:val="20"/>
        </w:rPr>
        <w:t xml:space="preserve">jet </w:t>
      </w:r>
      <w:r w:rsidR="003B492D" w:rsidRPr="004D19FF">
        <w:rPr>
          <w:rFonts w:ascii="Times New Roman" w:hAnsi="Times New Roman"/>
          <w:i/>
          <w:iCs/>
          <w:sz w:val="20"/>
          <w:szCs w:val="20"/>
        </w:rPr>
        <w:t>(CH</w:t>
      </w:r>
      <w:r w:rsidR="004A5181" w:rsidRPr="004D19FF">
        <w:rPr>
          <w:rFonts w:ascii="Times New Roman" w:hAnsi="Times New Roman"/>
          <w:i/>
          <w:iCs/>
          <w:sz w:val="20"/>
          <w:szCs w:val="20"/>
        </w:rPr>
        <w:t>J</w:t>
      </w:r>
      <w:r w:rsidR="003B492D" w:rsidRPr="004D19FF">
        <w:rPr>
          <w:rFonts w:ascii="Times New Roman" w:hAnsi="Times New Roman"/>
          <w:i/>
          <w:iCs/>
          <w:sz w:val="20"/>
          <w:szCs w:val="20"/>
        </w:rPr>
        <w:t xml:space="preserve">) </w:t>
      </w:r>
    </w:p>
    <w:p w14:paraId="0EEF79D4" w14:textId="77777777" w:rsidR="00190549" w:rsidRPr="004D19FF" w:rsidRDefault="00151884" w:rsidP="00290530">
      <w:pPr>
        <w:spacing w:after="120" w:line="276" w:lineRule="auto"/>
        <w:jc w:val="thaiDistribute"/>
        <w:rPr>
          <w:rFonts w:ascii="Times New Roman" w:hAnsi="Times New Roman"/>
          <w:sz w:val="20"/>
          <w:szCs w:val="20"/>
        </w:rPr>
      </w:pPr>
      <w:r w:rsidRPr="004D19FF">
        <w:rPr>
          <w:rFonts w:ascii="Times New Roman" w:hAnsi="Times New Roman"/>
          <w:sz w:val="20"/>
          <w:szCs w:val="20"/>
        </w:rPr>
        <w:lastRenderedPageBreak/>
        <w:t xml:space="preserve">The </w:t>
      </w:r>
      <w:r w:rsidR="002F7F06" w:rsidRPr="004D19FF">
        <w:rPr>
          <w:rFonts w:ascii="Times New Roman" w:hAnsi="Times New Roman"/>
          <w:sz w:val="20"/>
          <w:szCs w:val="20"/>
        </w:rPr>
        <w:t>CH</w:t>
      </w:r>
      <w:r w:rsidR="004A5181" w:rsidRPr="004D19FF">
        <w:rPr>
          <w:rFonts w:ascii="Times New Roman" w:hAnsi="Times New Roman"/>
          <w:sz w:val="20"/>
          <w:szCs w:val="20"/>
        </w:rPr>
        <w:t>J</w:t>
      </w:r>
      <w:r w:rsidRPr="004D19FF">
        <w:rPr>
          <w:rFonts w:ascii="Times New Roman" w:hAnsi="Times New Roman"/>
          <w:sz w:val="20"/>
          <w:szCs w:val="20"/>
        </w:rPr>
        <w:t xml:space="preserve"> pathway, similarly to the HTL process,</w:t>
      </w:r>
      <w:r w:rsidR="002F7F06" w:rsidRPr="004D19FF">
        <w:rPr>
          <w:rFonts w:ascii="Times New Roman" w:hAnsi="Times New Roman"/>
          <w:sz w:val="20"/>
          <w:szCs w:val="20"/>
        </w:rPr>
        <w:t xml:space="preserve"> </w:t>
      </w:r>
      <w:r w:rsidRPr="004D19FF">
        <w:rPr>
          <w:rFonts w:ascii="Times New Roman" w:hAnsi="Times New Roman"/>
          <w:sz w:val="20"/>
          <w:szCs w:val="20"/>
        </w:rPr>
        <w:t xml:space="preserve">is based on </w:t>
      </w:r>
      <w:r w:rsidR="002F7F06" w:rsidRPr="004D19FF">
        <w:rPr>
          <w:rFonts w:ascii="Times New Roman" w:hAnsi="Times New Roman"/>
          <w:sz w:val="20"/>
          <w:szCs w:val="20"/>
        </w:rPr>
        <w:t>high temperature water chemistry</w:t>
      </w:r>
      <w:r w:rsidR="0061293B" w:rsidRPr="004D19FF">
        <w:rPr>
          <w:rFonts w:ascii="Times New Roman" w:hAnsi="Times New Roman"/>
          <w:sz w:val="20"/>
          <w:szCs w:val="20"/>
        </w:rPr>
        <w:t xml:space="preserve"> (hydrothermal processes)</w:t>
      </w:r>
      <w:r w:rsidR="00FC1661" w:rsidRPr="004D19FF">
        <w:rPr>
          <w:rFonts w:ascii="Times New Roman" w:hAnsi="Times New Roman"/>
          <w:sz w:val="20"/>
          <w:szCs w:val="20"/>
        </w:rPr>
        <w:t>, converting oil</w:t>
      </w:r>
      <w:r w:rsidR="00190549" w:rsidRPr="004D19FF">
        <w:rPr>
          <w:rFonts w:ascii="Times New Roman" w:hAnsi="Times New Roman"/>
          <w:sz w:val="20"/>
          <w:szCs w:val="20"/>
        </w:rPr>
        <w:t xml:space="preserve">-based feedstock into a mixture of straight, </w:t>
      </w:r>
      <w:r w:rsidR="00273AE0" w:rsidRPr="004D19FF">
        <w:rPr>
          <w:rFonts w:ascii="Times New Roman" w:hAnsi="Times New Roman"/>
          <w:sz w:val="20"/>
          <w:szCs w:val="20"/>
        </w:rPr>
        <w:t xml:space="preserve">branched and cyclic hydrocarbons </w:t>
      </w:r>
      <w:r w:rsidR="00A51E4C" w:rsidRPr="004D19FF">
        <w:rPr>
          <w:rFonts w:ascii="Times New Roman" w:hAnsi="Times New Roman"/>
          <w:sz w:val="20"/>
          <w:szCs w:val="20"/>
        </w:rPr>
        <w:t xml:space="preserve">as shown in </w:t>
      </w:r>
      <w:r w:rsidR="00BB3847" w:rsidRPr="004D19FF">
        <w:rPr>
          <w:rFonts w:ascii="Times New Roman" w:hAnsi="Times New Roman"/>
          <w:sz w:val="20"/>
          <w:szCs w:val="20"/>
        </w:rPr>
        <w:t>Fig.</w:t>
      </w:r>
      <w:r w:rsidR="00B1485A" w:rsidRPr="004D19FF">
        <w:rPr>
          <w:rFonts w:ascii="Times New Roman" w:hAnsi="Times New Roman"/>
          <w:sz w:val="20"/>
          <w:szCs w:val="20"/>
        </w:rPr>
        <w:t xml:space="preserve"> 9</w:t>
      </w:r>
      <w:r w:rsidR="002F7F06" w:rsidRPr="004D19FF">
        <w:rPr>
          <w:rFonts w:ascii="Times New Roman" w:hAnsi="Times New Roman"/>
          <w:sz w:val="20"/>
          <w:szCs w:val="20"/>
        </w:rPr>
        <w:t xml:space="preserve">. </w:t>
      </w:r>
      <w:r w:rsidR="00190549" w:rsidRPr="004D19FF">
        <w:rPr>
          <w:rFonts w:ascii="Times New Roman" w:hAnsi="Times New Roman"/>
          <w:sz w:val="20"/>
          <w:szCs w:val="20"/>
        </w:rPr>
        <w:t>The process is composed of</w:t>
      </w:r>
      <w:r w:rsidR="00273AE0" w:rsidRPr="004D19FF">
        <w:rPr>
          <w:rFonts w:ascii="Times New Roman" w:hAnsi="Times New Roman"/>
          <w:sz w:val="20"/>
          <w:szCs w:val="20"/>
        </w:rPr>
        <w:t xml:space="preserve"> </w:t>
      </w:r>
      <w:r w:rsidR="003B2C63" w:rsidRPr="004D19FF">
        <w:rPr>
          <w:rFonts w:ascii="Times New Roman" w:hAnsi="Times New Roman"/>
          <w:sz w:val="20"/>
          <w:szCs w:val="20"/>
        </w:rPr>
        <w:t xml:space="preserve">four </w:t>
      </w:r>
      <w:r w:rsidR="00273AE0" w:rsidRPr="004D19FF">
        <w:rPr>
          <w:rFonts w:ascii="Times New Roman" w:hAnsi="Times New Roman"/>
          <w:sz w:val="20"/>
          <w:szCs w:val="20"/>
        </w:rPr>
        <w:t xml:space="preserve">steps including </w:t>
      </w:r>
      <w:r w:rsidR="00190549" w:rsidRPr="004D19FF">
        <w:rPr>
          <w:rFonts w:ascii="Times New Roman" w:hAnsi="Times New Roman"/>
          <w:sz w:val="20"/>
          <w:szCs w:val="20"/>
        </w:rPr>
        <w:t>hydrothermal pre-conditioning, catalytic hydrothermolysis</w:t>
      </w:r>
      <w:r w:rsidR="00303B2E" w:rsidRPr="004D19FF">
        <w:rPr>
          <w:rFonts w:ascii="Times New Roman" w:hAnsi="Times New Roman"/>
          <w:sz w:val="20"/>
          <w:szCs w:val="20"/>
        </w:rPr>
        <w:t xml:space="preserve"> (CH)</w:t>
      </w:r>
      <w:r w:rsidR="00190549" w:rsidRPr="004D19FF">
        <w:rPr>
          <w:rFonts w:ascii="Times New Roman" w:hAnsi="Times New Roman"/>
          <w:sz w:val="20"/>
          <w:szCs w:val="20"/>
        </w:rPr>
        <w:t>, upgrading through hydrotreatment and products fractionation.</w:t>
      </w:r>
    </w:p>
    <w:p w14:paraId="142178E2" w14:textId="4280F674" w:rsidR="00903214" w:rsidRPr="004D19FF" w:rsidRDefault="00F838DD" w:rsidP="00290530">
      <w:pPr>
        <w:spacing w:after="120" w:line="276" w:lineRule="auto"/>
        <w:jc w:val="thaiDistribute"/>
        <w:rPr>
          <w:rFonts w:ascii="Times New Roman" w:hAnsi="Times New Roman" w:cs="Times New Roman"/>
          <w:sz w:val="20"/>
          <w:szCs w:val="20"/>
        </w:rPr>
      </w:pPr>
      <w:r w:rsidRPr="004D19FF">
        <w:rPr>
          <w:rFonts w:ascii="Times New Roman" w:hAnsi="Times New Roman"/>
          <w:sz w:val="20"/>
          <w:szCs w:val="20"/>
        </w:rPr>
        <w:t>During the pre-conditioning stage, t</w:t>
      </w:r>
      <w:r w:rsidR="00AC109F" w:rsidRPr="004D19FF">
        <w:rPr>
          <w:rFonts w:ascii="Times New Roman" w:hAnsi="Times New Roman"/>
          <w:sz w:val="20"/>
          <w:szCs w:val="20"/>
        </w:rPr>
        <w:t>he oil</w:t>
      </w:r>
      <w:r w:rsidR="000E4777" w:rsidRPr="004D19FF">
        <w:rPr>
          <w:rFonts w:ascii="Times New Roman" w:hAnsi="Times New Roman"/>
          <w:sz w:val="20"/>
          <w:szCs w:val="20"/>
        </w:rPr>
        <w:t xml:space="preserve">-based </w:t>
      </w:r>
      <w:r w:rsidR="00FF2FF9" w:rsidRPr="004D19FF">
        <w:rPr>
          <w:rFonts w:ascii="Times New Roman" w:hAnsi="Times New Roman"/>
          <w:sz w:val="20"/>
          <w:szCs w:val="20"/>
        </w:rPr>
        <w:t xml:space="preserve">material </w:t>
      </w:r>
      <w:r w:rsidR="000E4777" w:rsidRPr="004D19FF">
        <w:rPr>
          <w:rFonts w:ascii="Times New Roman" w:hAnsi="Times New Roman"/>
          <w:sz w:val="20"/>
          <w:szCs w:val="20"/>
        </w:rPr>
        <w:t>is cracked resulti</w:t>
      </w:r>
      <w:r w:rsidR="00BF3559" w:rsidRPr="004D19FF">
        <w:rPr>
          <w:rFonts w:ascii="Times New Roman" w:hAnsi="Times New Roman"/>
          <w:sz w:val="20"/>
          <w:szCs w:val="20"/>
        </w:rPr>
        <w:t xml:space="preserve">ng in the production of free </w:t>
      </w:r>
      <w:r w:rsidR="000E4777" w:rsidRPr="004D19FF">
        <w:rPr>
          <w:rFonts w:ascii="Times New Roman" w:hAnsi="Times New Roman"/>
          <w:sz w:val="20"/>
          <w:szCs w:val="20"/>
        </w:rPr>
        <w:t>fatty</w:t>
      </w:r>
      <w:r w:rsidR="00FF2FF9" w:rsidRPr="004D19FF">
        <w:rPr>
          <w:rFonts w:ascii="Times New Roman" w:hAnsi="Times New Roman"/>
          <w:sz w:val="20"/>
          <w:szCs w:val="20"/>
        </w:rPr>
        <w:t xml:space="preserve"> acids </w:t>
      </w:r>
      <w:r w:rsidR="00AE6CD5" w:rsidRPr="004D19FF">
        <w:rPr>
          <w:rFonts w:ascii="Times New Roman" w:hAnsi="Times New Roman"/>
          <w:sz w:val="20"/>
          <w:szCs w:val="20"/>
        </w:rPr>
        <w:t xml:space="preserve">with the removal of </w:t>
      </w:r>
      <w:r w:rsidR="00FF2FF9" w:rsidRPr="004D19FF">
        <w:rPr>
          <w:rFonts w:ascii="Times New Roman" w:hAnsi="Times New Roman"/>
          <w:sz w:val="20"/>
          <w:szCs w:val="20"/>
        </w:rPr>
        <w:t>heteroatoms (S, N, metals, etc</w:t>
      </w:r>
      <w:r w:rsidR="000E4777" w:rsidRPr="004D19FF">
        <w:rPr>
          <w:rFonts w:ascii="Times New Roman" w:hAnsi="Times New Roman"/>
          <w:sz w:val="20"/>
          <w:szCs w:val="20"/>
        </w:rPr>
        <w:t>.</w:t>
      </w:r>
      <w:r w:rsidR="00FF2FF9" w:rsidRPr="004D19FF">
        <w:rPr>
          <w:rFonts w:ascii="Times New Roman" w:hAnsi="Times New Roman"/>
          <w:sz w:val="20"/>
          <w:szCs w:val="20"/>
        </w:rPr>
        <w:t>)</w:t>
      </w:r>
      <w:r w:rsidR="0069461B" w:rsidRPr="004D19FF">
        <w:rPr>
          <w:rFonts w:ascii="Times New Roman" w:hAnsi="Times New Roman"/>
          <w:sz w:val="20"/>
          <w:szCs w:val="20"/>
        </w:rPr>
        <w:t xml:space="preserve"> in the presence of steam and catalyst</w:t>
      </w:r>
      <w:r w:rsidR="00250358" w:rsidRPr="004D19FF">
        <w:rPr>
          <w:rFonts w:ascii="Times New Roman" w:hAnsi="Times New Roman"/>
          <w:sz w:val="20"/>
          <w:szCs w:val="20"/>
        </w:rPr>
        <w:t xml:space="preserve"> under operating temperatures</w:t>
      </w:r>
      <w:r w:rsidR="00221A2E" w:rsidRPr="004D19FF">
        <w:rPr>
          <w:rFonts w:ascii="Times New Roman" w:hAnsi="Times New Roman"/>
          <w:sz w:val="20"/>
          <w:szCs w:val="20"/>
        </w:rPr>
        <w:t xml:space="preserve"> of </w:t>
      </w:r>
      <w:r w:rsidR="00250358" w:rsidRPr="004D19FF">
        <w:rPr>
          <w:rFonts w:ascii="Times New Roman" w:hAnsi="Times New Roman"/>
          <w:sz w:val="20"/>
          <w:szCs w:val="20"/>
        </w:rPr>
        <w:t xml:space="preserve"> 150-300 </w:t>
      </w:r>
      <w:r w:rsidR="00250358" w:rsidRPr="004D19FF">
        <w:rPr>
          <w:rFonts w:ascii="Times New Roman" w:hAnsi="Times New Roman" w:cs="Times New Roman"/>
          <w:sz w:val="20"/>
          <w:szCs w:val="20"/>
        </w:rPr>
        <w:t>°</w:t>
      </w:r>
      <w:r w:rsidR="00250358" w:rsidRPr="004D19FF">
        <w:rPr>
          <w:rFonts w:ascii="Times New Roman" w:hAnsi="Times New Roman"/>
          <w:sz w:val="20"/>
          <w:szCs w:val="20"/>
        </w:rPr>
        <w:t>C and pressure</w:t>
      </w:r>
      <w:r w:rsidR="00221A2E" w:rsidRPr="004D19FF">
        <w:rPr>
          <w:rFonts w:ascii="Times New Roman" w:hAnsi="Times New Roman"/>
          <w:sz w:val="20"/>
          <w:szCs w:val="20"/>
        </w:rPr>
        <w:t>s</w:t>
      </w:r>
      <w:r w:rsidR="00250358" w:rsidRPr="004D19FF">
        <w:rPr>
          <w:rFonts w:ascii="Times New Roman" w:hAnsi="Times New Roman"/>
          <w:sz w:val="20"/>
          <w:szCs w:val="20"/>
        </w:rPr>
        <w:t xml:space="preserve"> </w:t>
      </w:r>
      <w:r w:rsidR="00AA6CA7" w:rsidRPr="004D19FF">
        <w:rPr>
          <w:rFonts w:ascii="Times New Roman" w:hAnsi="Times New Roman"/>
          <w:sz w:val="20"/>
          <w:szCs w:val="20"/>
        </w:rPr>
        <w:t xml:space="preserve">of </w:t>
      </w:r>
      <w:r w:rsidR="00250358" w:rsidRPr="004D19FF">
        <w:rPr>
          <w:rFonts w:ascii="Times New Roman" w:hAnsi="Times New Roman"/>
          <w:sz w:val="20"/>
          <w:szCs w:val="20"/>
        </w:rPr>
        <w:t>5-50 bar</w:t>
      </w:r>
      <w:r w:rsidR="0069461B" w:rsidRPr="004D19FF">
        <w:rPr>
          <w:rFonts w:ascii="Times New Roman" w:hAnsi="Times New Roman"/>
          <w:sz w:val="20"/>
          <w:szCs w:val="20"/>
        </w:rPr>
        <w:t xml:space="preserve"> </w:t>
      </w:r>
      <w:r w:rsidR="00247E4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kD9AgWpb","properties":{"formattedCitation":"[134]","plainCitation":"[134]","noteIndex":0},"citationItems":[{"id":"968HXJ10/5GlXygRA","uris":["http://www.mendeley.com/documents/?uuid=140320e0-8e0f-4b57-9c8e-337b2160333d"],"uri":["http://www.mendeley.com/documents/?uuid=140320e0-8e0f-4b57-9c8e-337b2160333d"],"itemData":{"DOI":"10.1021/ef901163a","ISSN":"08870624","abstract":"This paper describes a catalytic hydrothermolysis (CH) process aimed at converting triglycerides to nonester biofuels. The CH conversion was carried out at temperatures ranging from 450 to 475 °C and a pressure of 210 bar in the presence of water with and without a catalyst. The organic phase (biocrude) from the CH process underwent post-treatment involving decarboxylation and hydrotreating. Results derived from soybean oil, jatropha oil, and tung oil show that certain biofuel fractions met JP-8 specifications and Navy distillate specifications. One of the CH biofuel characteristics is their high levels of cyclics and aromatics. Tung-oil-based biofuels derived from the CH process contain up to 60% aromatics, which can be a desirable ingredient for fuel blends involving biofuels derived from other processes or feedstocks. Results from these crop oils also suggest that the CH process can be adapted to a variety of other triglyceride feedstocks. Copyrigh © 2010 American Chemical Society.","author":[{"dropping-particle":"","family":"Li","given":"Lixiong","non-dropping-particle":"","parse-names":false,"suffix":""},{"dropping-particle":"","family":"Coppola","given":"Edward","non-dropping-particle":"","parse-names":false,"suffix":""},{"dropping-particle":"","family":"Rine","given":"Jeffrey","non-dropping-particle":"","parse-names":false,"suffix":""},{"dropping-particle":"","family":"Miller","given":"Jonathan L.","non-dropping-particle":"","parse-names":false,"suffix":""},{"dropping-particle":"","family":"Walker","given":"Devin","non-dropping-particle":"","parse-names":false,"suffix":""}],"container-title":"Energy and Fuels","id":"ITEM-1","issue":"2","issued":{"date-parts":[["2010"]]},"page":"1305-1315","title":"Catalytic hydrothermal conversion of triglycerides to non-ester biofuels","type":"article-journal","volume":"24"}}],"schema":"https://github.com/citation-style-language/schema/raw/master/csl-citation.json"} </w:instrText>
      </w:r>
      <w:r w:rsidR="00247E4A" w:rsidRPr="004D19FF">
        <w:rPr>
          <w:rFonts w:ascii="Times New Roman" w:hAnsi="Times New Roman"/>
          <w:sz w:val="20"/>
          <w:szCs w:val="20"/>
        </w:rPr>
        <w:fldChar w:fldCharType="separate"/>
      </w:r>
      <w:r w:rsidR="00623E85" w:rsidRPr="00623E85">
        <w:rPr>
          <w:rFonts w:ascii="Times New Roman" w:hAnsi="Times New Roman" w:cs="Times New Roman"/>
          <w:sz w:val="20"/>
        </w:rPr>
        <w:t>[134]</w:t>
      </w:r>
      <w:r w:rsidR="00247E4A" w:rsidRPr="004D19FF">
        <w:rPr>
          <w:rFonts w:ascii="Times New Roman" w:hAnsi="Times New Roman"/>
          <w:sz w:val="20"/>
          <w:szCs w:val="20"/>
        </w:rPr>
        <w:fldChar w:fldCharType="end"/>
      </w:r>
      <w:r w:rsidR="00FF2FF9" w:rsidRPr="004D19FF">
        <w:rPr>
          <w:rFonts w:ascii="Times New Roman" w:hAnsi="Times New Roman"/>
          <w:sz w:val="20"/>
          <w:szCs w:val="20"/>
        </w:rPr>
        <w:t>.</w:t>
      </w:r>
      <w:r w:rsidR="000E4777" w:rsidRPr="004D19FF">
        <w:rPr>
          <w:rFonts w:ascii="Times New Roman" w:hAnsi="Times New Roman"/>
          <w:sz w:val="20"/>
          <w:szCs w:val="20"/>
        </w:rPr>
        <w:t xml:space="preserve"> These generated </w:t>
      </w:r>
      <w:r w:rsidR="0016756B" w:rsidRPr="004D19FF">
        <w:rPr>
          <w:rFonts w:ascii="Times New Roman" w:hAnsi="Times New Roman"/>
          <w:sz w:val="20"/>
          <w:szCs w:val="20"/>
        </w:rPr>
        <w:t>fatty acids are converted in</w:t>
      </w:r>
      <w:r w:rsidR="000E4777" w:rsidRPr="004D19FF">
        <w:rPr>
          <w:rFonts w:ascii="Times New Roman" w:hAnsi="Times New Roman"/>
          <w:sz w:val="20"/>
          <w:szCs w:val="20"/>
        </w:rPr>
        <w:t xml:space="preserve"> </w:t>
      </w:r>
      <w:r w:rsidR="00AA6CA7" w:rsidRPr="004D19FF">
        <w:rPr>
          <w:rFonts w:ascii="Times New Roman" w:hAnsi="Times New Roman"/>
          <w:sz w:val="20"/>
          <w:szCs w:val="20"/>
        </w:rPr>
        <w:t>a</w:t>
      </w:r>
      <w:r w:rsidR="000E4777" w:rsidRPr="004D19FF">
        <w:rPr>
          <w:rFonts w:ascii="Times New Roman" w:hAnsi="Times New Roman"/>
          <w:sz w:val="20"/>
          <w:szCs w:val="20"/>
        </w:rPr>
        <w:t xml:space="preserve"> </w:t>
      </w:r>
      <w:r w:rsidR="00303B2E" w:rsidRPr="004D19FF">
        <w:rPr>
          <w:rFonts w:ascii="Times New Roman" w:hAnsi="Times New Roman"/>
          <w:sz w:val="20"/>
          <w:szCs w:val="20"/>
        </w:rPr>
        <w:t xml:space="preserve">CH </w:t>
      </w:r>
      <w:r w:rsidR="00221A2E" w:rsidRPr="004D19FF">
        <w:rPr>
          <w:rFonts w:ascii="Times New Roman" w:hAnsi="Times New Roman"/>
          <w:sz w:val="20"/>
          <w:szCs w:val="20"/>
        </w:rPr>
        <w:t xml:space="preserve">unit </w:t>
      </w:r>
      <w:r w:rsidR="00AA6CA7" w:rsidRPr="004D19FF">
        <w:rPr>
          <w:rFonts w:ascii="Times New Roman" w:hAnsi="Times New Roman"/>
          <w:sz w:val="20"/>
          <w:szCs w:val="20"/>
        </w:rPr>
        <w:t>at</w:t>
      </w:r>
      <w:r w:rsidR="000E4777" w:rsidRPr="004D19FF">
        <w:rPr>
          <w:rFonts w:ascii="Times New Roman" w:hAnsi="Times New Roman"/>
          <w:sz w:val="20"/>
          <w:szCs w:val="20"/>
        </w:rPr>
        <w:t xml:space="preserve"> elevated temperature </w:t>
      </w:r>
      <w:r w:rsidR="00B15123" w:rsidRPr="004D19FF">
        <w:rPr>
          <w:rFonts w:ascii="Times New Roman" w:hAnsi="Times New Roman"/>
          <w:sz w:val="20"/>
          <w:szCs w:val="20"/>
        </w:rPr>
        <w:t>(240-450</w:t>
      </w:r>
      <w:r w:rsidR="000E4777" w:rsidRPr="004D19FF">
        <w:rPr>
          <w:rFonts w:ascii="Times New Roman" w:hAnsi="Times New Roman"/>
          <w:sz w:val="20"/>
          <w:szCs w:val="20"/>
        </w:rPr>
        <w:t xml:space="preserve"> </w:t>
      </w:r>
      <w:r w:rsidR="000E4777" w:rsidRPr="004D19FF">
        <w:rPr>
          <w:rFonts w:ascii="Times New Roman" w:hAnsi="Times New Roman" w:cs="Times New Roman"/>
          <w:sz w:val="20"/>
          <w:szCs w:val="20"/>
        </w:rPr>
        <w:t>°</w:t>
      </w:r>
      <w:r w:rsidR="00B15123" w:rsidRPr="004D19FF">
        <w:rPr>
          <w:rFonts w:ascii="Times New Roman" w:hAnsi="Times New Roman"/>
          <w:sz w:val="20"/>
          <w:szCs w:val="20"/>
        </w:rPr>
        <w:t>C) and pressure (15-25</w:t>
      </w:r>
      <w:r w:rsidR="0016756B" w:rsidRPr="004D19FF">
        <w:rPr>
          <w:rFonts w:ascii="Times New Roman" w:hAnsi="Times New Roman"/>
          <w:sz w:val="20"/>
          <w:szCs w:val="20"/>
        </w:rPr>
        <w:t>0 bar)</w:t>
      </w:r>
      <w:r w:rsidR="00F035D1" w:rsidRPr="004D19FF">
        <w:rPr>
          <w:rFonts w:ascii="Times New Roman" w:hAnsi="Times New Roman"/>
          <w:sz w:val="20"/>
          <w:szCs w:val="20"/>
        </w:rPr>
        <w:t xml:space="preserve"> </w:t>
      </w:r>
      <w:r w:rsidR="008001E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8uZIztZw","properties":{"formattedCitation":"[134]","plainCitation":"[134]","noteIndex":0},"citationItems":[{"id":"968HXJ10/5GlXygRA","uris":["http://www.mendeley.com/documents/?uuid=140320e0-8e0f-4b57-9c8e-337b2160333d"],"uri":["http://www.mendeley.com/documents/?uuid=140320e0-8e0f-4b57-9c8e-337b2160333d"],"itemData":{"DOI":"10.1021/ef901163a","ISSN":"08870624","abstract":"This paper describes a catalytic hydrothermolysis (CH) process aimed at converting triglycerides to nonester biofuels. The CH conversion was carried out at temperatures ranging from 450 to 475 °C and a pressure of 210 bar in the presence of water with and without a catalyst. The organic phase (biocrude) from the CH process underwent post-treatment involving decarboxylation and hydrotreating. Results derived from soybean oil, jatropha oil, and tung oil show that certain biofuel fractions met JP-8 specifications and Navy distillate specifications. One of the CH biofuel characteristics is their high levels of cyclics and aromatics. Tung-oil-based biofuels derived from the CH process contain up to 60% aromatics, which can be a desirable ingredient for fuel blends involving biofuels derived from other processes or feedstocks. Results from these crop oils also suggest that the CH process can be adapted to a variety of other triglyceride feedstocks. Copyrigh © 2010 American Chemical Society.","author":[{"dropping-particle":"","family":"Li","given":"Lixiong","non-dropping-particle":"","parse-names":false,"suffix":""},{"dropping-particle":"","family":"Coppola","given":"Edward","non-dropping-particle":"","parse-names":false,"suffix":""},{"dropping-particle":"","family":"Rine","given":"Jeffrey","non-dropping-particle":"","parse-names":false,"suffix":""},{"dropping-particle":"","family":"Miller","given":"Jonathan L.","non-dropping-particle":"","parse-names":false,"suffix":""},{"dropping-particle":"","family":"Walker","given":"Devin","non-dropping-particle":"","parse-names":false,"suffix":""}],"container-title":"Energy and Fuels","id":"ITEM-1","issue":"2","issued":{"date-parts":[["2010"]]},"page":"1305-1315","title":"Catalytic hydrothermal conversion of triglycerides to non-ester biofuels","type":"article-journal","volume":"24"}}],"schema":"https://github.com/citation-style-language/schema/raw/master/csl-citation.json"} </w:instrText>
      </w:r>
      <w:r w:rsidR="008001EA" w:rsidRPr="004D19FF">
        <w:rPr>
          <w:rFonts w:ascii="Times New Roman" w:hAnsi="Times New Roman"/>
          <w:sz w:val="20"/>
          <w:szCs w:val="20"/>
        </w:rPr>
        <w:fldChar w:fldCharType="separate"/>
      </w:r>
      <w:r w:rsidR="00623E85" w:rsidRPr="00623E85">
        <w:rPr>
          <w:rFonts w:ascii="Times New Roman" w:hAnsi="Times New Roman" w:cs="Times New Roman"/>
          <w:sz w:val="20"/>
        </w:rPr>
        <w:t>[134]</w:t>
      </w:r>
      <w:r w:rsidR="008001EA" w:rsidRPr="004D19FF">
        <w:rPr>
          <w:rFonts w:ascii="Times New Roman" w:hAnsi="Times New Roman"/>
          <w:sz w:val="20"/>
          <w:szCs w:val="20"/>
        </w:rPr>
        <w:fldChar w:fldCharType="end"/>
      </w:r>
      <w:r w:rsidR="00E90DF6" w:rsidRPr="004D19FF">
        <w:rPr>
          <w:rFonts w:ascii="Times New Roman" w:hAnsi="Times New Roman"/>
          <w:sz w:val="20"/>
          <w:szCs w:val="20"/>
        </w:rPr>
        <w:t xml:space="preserve">. </w:t>
      </w:r>
      <w:r w:rsidR="00221A2E" w:rsidRPr="004D19FF">
        <w:rPr>
          <w:rFonts w:ascii="Times New Roman" w:hAnsi="Times New Roman"/>
          <w:sz w:val="20"/>
          <w:szCs w:val="20"/>
        </w:rPr>
        <w:t>Within the CH unit</w:t>
      </w:r>
      <w:r w:rsidR="00AE6CD5" w:rsidRPr="004D19FF">
        <w:rPr>
          <w:rFonts w:ascii="Times New Roman" w:hAnsi="Times New Roman"/>
          <w:sz w:val="20"/>
          <w:szCs w:val="20"/>
        </w:rPr>
        <w:t xml:space="preserve">, </w:t>
      </w:r>
      <w:r w:rsidR="00B15123" w:rsidRPr="004D19FF">
        <w:rPr>
          <w:rFonts w:ascii="Times New Roman" w:hAnsi="Times New Roman"/>
          <w:sz w:val="20"/>
          <w:szCs w:val="20"/>
        </w:rPr>
        <w:t xml:space="preserve">numerous reactions </w:t>
      </w:r>
      <w:r w:rsidR="0016756B" w:rsidRPr="004D19FF">
        <w:rPr>
          <w:rFonts w:ascii="Times New Roman" w:hAnsi="Times New Roman"/>
          <w:sz w:val="20"/>
          <w:szCs w:val="20"/>
        </w:rPr>
        <w:t xml:space="preserve">take place </w:t>
      </w:r>
      <w:r w:rsidR="00B15123" w:rsidRPr="004D19FF">
        <w:rPr>
          <w:rFonts w:ascii="Times New Roman" w:hAnsi="Times New Roman"/>
          <w:sz w:val="20"/>
          <w:szCs w:val="20"/>
        </w:rPr>
        <w:t xml:space="preserve">including cracking, hydrolysis, decarboxylation, isomerization, and cyclization </w:t>
      </w:r>
      <w:r w:rsidR="00221A2E" w:rsidRPr="004D19FF">
        <w:rPr>
          <w:rFonts w:ascii="Times New Roman" w:hAnsi="Times New Roman"/>
          <w:sz w:val="20"/>
          <w:szCs w:val="20"/>
        </w:rPr>
        <w:t xml:space="preserve">to produce </w:t>
      </w:r>
      <w:r w:rsidR="0074653B" w:rsidRPr="004D19FF">
        <w:rPr>
          <w:rFonts w:ascii="Times New Roman" w:hAnsi="Times New Roman"/>
          <w:sz w:val="20"/>
          <w:szCs w:val="20"/>
        </w:rPr>
        <w:t>a mixture of</w:t>
      </w:r>
      <w:r w:rsidR="00FC5541">
        <w:rPr>
          <w:rFonts w:ascii="Times New Roman" w:hAnsi="Times New Roman"/>
          <w:sz w:val="20"/>
          <w:szCs w:val="20"/>
        </w:rPr>
        <w:t xml:space="preserve"> paraffin </w:t>
      </w:r>
      <w:r w:rsidR="0074653B" w:rsidRPr="004D19FF">
        <w:rPr>
          <w:rFonts w:ascii="Times New Roman" w:hAnsi="Times New Roman"/>
          <w:sz w:val="20"/>
          <w:szCs w:val="20"/>
        </w:rPr>
        <w:t>and cyclic hydrocarbons</w:t>
      </w:r>
      <w:r w:rsidR="000E4777" w:rsidRPr="004D19FF">
        <w:rPr>
          <w:rFonts w:ascii="Times New Roman" w:hAnsi="Times New Roman"/>
          <w:sz w:val="20"/>
          <w:szCs w:val="20"/>
        </w:rPr>
        <w:t xml:space="preserve">. </w:t>
      </w:r>
      <w:r w:rsidR="00A60655" w:rsidRPr="004D19FF">
        <w:rPr>
          <w:rFonts w:ascii="Times New Roman" w:hAnsi="Times New Roman"/>
          <w:sz w:val="20"/>
          <w:szCs w:val="20"/>
        </w:rPr>
        <w:t>In a nutshell, the outputs of the</w:t>
      </w:r>
      <w:r w:rsidR="00221A2E" w:rsidRPr="004D19FF">
        <w:rPr>
          <w:rFonts w:ascii="Times New Roman" w:hAnsi="Times New Roman"/>
          <w:sz w:val="20"/>
          <w:szCs w:val="20"/>
        </w:rPr>
        <w:t xml:space="preserve"> </w:t>
      </w:r>
      <w:r w:rsidR="00C17614" w:rsidRPr="004D19FF">
        <w:rPr>
          <w:rFonts w:ascii="Times New Roman" w:hAnsi="Times New Roman" w:cs="Times New Roman"/>
          <w:sz w:val="20"/>
          <w:szCs w:val="20"/>
        </w:rPr>
        <w:t xml:space="preserve">CH </w:t>
      </w:r>
      <w:r w:rsidR="00AE0C5C" w:rsidRPr="004D19FF">
        <w:rPr>
          <w:rFonts w:ascii="Times New Roman" w:hAnsi="Times New Roman" w:cs="Times New Roman"/>
          <w:sz w:val="20"/>
          <w:szCs w:val="20"/>
        </w:rPr>
        <w:t xml:space="preserve">unit </w:t>
      </w:r>
      <w:r w:rsidR="00A60655" w:rsidRPr="004D19FF">
        <w:rPr>
          <w:rFonts w:ascii="Times New Roman" w:hAnsi="Times New Roman" w:cs="Times New Roman"/>
          <w:sz w:val="20"/>
          <w:szCs w:val="20"/>
        </w:rPr>
        <w:t>consist of</w:t>
      </w:r>
      <w:r w:rsidR="0016756B" w:rsidRPr="004D19FF">
        <w:rPr>
          <w:rFonts w:ascii="Times New Roman" w:hAnsi="Times New Roman" w:cs="Times New Roman"/>
          <w:sz w:val="20"/>
          <w:szCs w:val="20"/>
        </w:rPr>
        <w:t xml:space="preserve"> an</w:t>
      </w:r>
      <w:r w:rsidR="00C17614" w:rsidRPr="004D19FF">
        <w:rPr>
          <w:rFonts w:ascii="Times New Roman" w:hAnsi="Times New Roman" w:cs="Times New Roman"/>
          <w:sz w:val="20"/>
          <w:szCs w:val="20"/>
        </w:rPr>
        <w:t xml:space="preserve"> organic </w:t>
      </w:r>
      <w:r w:rsidR="008F35C1" w:rsidRPr="004D19FF">
        <w:rPr>
          <w:rFonts w:ascii="Times New Roman" w:hAnsi="Times New Roman" w:cs="Times New Roman"/>
          <w:sz w:val="20"/>
          <w:szCs w:val="20"/>
        </w:rPr>
        <w:t xml:space="preserve">phase </w:t>
      </w:r>
      <w:r w:rsidR="00C17614" w:rsidRPr="004D19FF">
        <w:rPr>
          <w:rFonts w:ascii="Times New Roman" w:hAnsi="Times New Roman" w:cs="Times New Roman"/>
          <w:sz w:val="20"/>
          <w:szCs w:val="20"/>
        </w:rPr>
        <w:t xml:space="preserve">and </w:t>
      </w:r>
      <w:r w:rsidR="0016756B" w:rsidRPr="004D19FF">
        <w:rPr>
          <w:rFonts w:ascii="Times New Roman" w:hAnsi="Times New Roman" w:cs="Times New Roman"/>
          <w:sz w:val="20"/>
          <w:szCs w:val="20"/>
        </w:rPr>
        <w:t xml:space="preserve">an </w:t>
      </w:r>
      <w:r w:rsidR="00A60655" w:rsidRPr="004D19FF">
        <w:rPr>
          <w:rFonts w:ascii="Times New Roman" w:hAnsi="Times New Roman" w:cs="Times New Roman"/>
          <w:sz w:val="20"/>
          <w:szCs w:val="20"/>
        </w:rPr>
        <w:t>aqueous phase</w:t>
      </w:r>
      <w:r w:rsidR="00C17614" w:rsidRPr="004D19FF">
        <w:rPr>
          <w:rFonts w:ascii="Times New Roman" w:hAnsi="Times New Roman" w:cs="Times New Roman"/>
          <w:sz w:val="20"/>
          <w:szCs w:val="20"/>
        </w:rPr>
        <w:t xml:space="preserve">. </w:t>
      </w:r>
      <w:r w:rsidR="00961BB5" w:rsidRPr="004D19FF">
        <w:rPr>
          <w:rFonts w:ascii="Times New Roman" w:hAnsi="Times New Roman" w:cs="Times New Roman"/>
          <w:sz w:val="20"/>
          <w:szCs w:val="20"/>
        </w:rPr>
        <w:t xml:space="preserve">The aqueous phase </w:t>
      </w:r>
      <w:r w:rsidR="00C17614" w:rsidRPr="004D19FF">
        <w:rPr>
          <w:rFonts w:ascii="Times New Roman" w:hAnsi="Times New Roman" w:cs="Times New Roman"/>
          <w:sz w:val="20"/>
          <w:szCs w:val="20"/>
        </w:rPr>
        <w:t>is composed most</w:t>
      </w:r>
      <w:r w:rsidR="005D51B6" w:rsidRPr="004D19FF">
        <w:rPr>
          <w:rFonts w:ascii="Times New Roman" w:hAnsi="Times New Roman" w:cs="Times New Roman"/>
          <w:sz w:val="20"/>
          <w:szCs w:val="20"/>
        </w:rPr>
        <w:t xml:space="preserve">ly of low </w:t>
      </w:r>
      <w:r w:rsidR="00C17614" w:rsidRPr="004D19FF">
        <w:rPr>
          <w:rFonts w:ascii="Times New Roman" w:hAnsi="Times New Roman" w:cs="Times New Roman"/>
          <w:sz w:val="20"/>
          <w:szCs w:val="20"/>
        </w:rPr>
        <w:t>molecular weight carboxylic acids (C</w:t>
      </w:r>
      <w:r w:rsidR="00C17614" w:rsidRPr="004D19FF">
        <w:rPr>
          <w:rFonts w:ascii="Times New Roman" w:hAnsi="Times New Roman" w:cs="Times New Roman"/>
          <w:sz w:val="20"/>
          <w:szCs w:val="20"/>
          <w:vertAlign w:val="subscript"/>
        </w:rPr>
        <w:t>2</w:t>
      </w:r>
      <w:r w:rsidR="00C17614" w:rsidRPr="004D19FF">
        <w:rPr>
          <w:rFonts w:ascii="Times New Roman" w:hAnsi="Times New Roman" w:cs="Times New Roman"/>
          <w:sz w:val="20"/>
          <w:szCs w:val="20"/>
        </w:rPr>
        <w:t>-C</w:t>
      </w:r>
      <w:r w:rsidR="00C17614" w:rsidRPr="004D19FF">
        <w:rPr>
          <w:rFonts w:ascii="Times New Roman" w:hAnsi="Times New Roman" w:cs="Times New Roman"/>
          <w:sz w:val="20"/>
          <w:szCs w:val="20"/>
          <w:vertAlign w:val="subscript"/>
        </w:rPr>
        <w:t>5</w:t>
      </w:r>
      <w:r w:rsidR="00C17614" w:rsidRPr="004D19FF">
        <w:rPr>
          <w:rFonts w:ascii="Times New Roman" w:hAnsi="Times New Roman" w:cs="Times New Roman"/>
          <w:sz w:val="20"/>
          <w:szCs w:val="20"/>
        </w:rPr>
        <w:t>), glycerol, and some of small polar molecules</w:t>
      </w:r>
      <w:r w:rsidR="00E60A17" w:rsidRPr="004D19FF">
        <w:rPr>
          <w:rFonts w:ascii="Times New Roman" w:hAnsi="Times New Roman" w:cs="Times New Roman"/>
          <w:sz w:val="20"/>
          <w:szCs w:val="20"/>
        </w:rPr>
        <w:t xml:space="preserve"> </w:t>
      </w:r>
      <w:r w:rsidR="00E60A17"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tMUdQTNJ","properties":{"formattedCitation":"[134]","plainCitation":"[134]","noteIndex":0},"citationItems":[{"id":"968HXJ10/5GlXygRA","uris":["http://www.mendeley.com/documents/?uuid=140320e0-8e0f-4b57-9c8e-337b2160333d"],"uri":["http://www.mendeley.com/documents/?uuid=140320e0-8e0f-4b57-9c8e-337b2160333d"],"itemData":{"DOI":"10.1021/ef901163a","ISSN":"08870624","abstract":"This paper describes a catalytic hydrothermolysis (CH) process aimed at converting triglycerides to nonester biofuels. The CH conversion was carried out at temperatures ranging from 450 to 475 °C and a pressure of 210 bar in the presence of water with and without a catalyst. The organic phase (biocrude) from the CH process underwent post-treatment involving decarboxylation and hydrotreating. Results derived from soybean oil, jatropha oil, and tung oil show that certain biofuel fractions met JP-8 specifications and Navy distillate specifications. One of the CH biofuel characteristics is their high levels of cyclics and aromatics. Tung-oil-based biofuels derived from the CH process contain up to 60% aromatics, which can be a desirable ingredient for fuel blends involving biofuels derived from other processes or feedstocks. Results from these crop oils also suggest that the CH process can be adapted to a variety of other triglyceride feedstocks. Copyrigh © 2010 American Chemical Society.","author":[{"dropping-particle":"","family":"Li","given":"Lixiong","non-dropping-particle":"","parse-names":false,"suffix":""},{"dropping-particle":"","family":"Coppola","given":"Edward","non-dropping-particle":"","parse-names":false,"suffix":""},{"dropping-particle":"","family":"Rine","given":"Jeffrey","non-dropping-particle":"","parse-names":false,"suffix":""},{"dropping-particle":"","family":"Miller","given":"Jonathan L.","non-dropping-particle":"","parse-names":false,"suffix":""},{"dropping-particle":"","family":"Walker","given":"Devin","non-dropping-particle":"","parse-names":false,"suffix":""}],"container-title":"Energy and Fuels","id":"ITEM-1","issue":"2","issued":{"date-parts":[["2010"]]},"page":"1305-1315","title":"Catalytic hydrothermal conversion of triglycerides to non-ester biofuels","type":"article-journal","volume":"24"}}],"schema":"https://github.com/citation-style-language/schema/raw/master/csl-citation.json"} </w:instrText>
      </w:r>
      <w:r w:rsidR="00E60A17"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[134]</w:t>
      </w:r>
      <w:r w:rsidR="00E60A17" w:rsidRPr="004D19FF">
        <w:rPr>
          <w:rFonts w:ascii="Times New Roman" w:hAnsi="Times New Roman" w:cs="Times New Roman"/>
          <w:sz w:val="20"/>
          <w:szCs w:val="20"/>
        </w:rPr>
        <w:fldChar w:fldCharType="end"/>
      </w:r>
      <w:r w:rsidR="00C17614" w:rsidRPr="004D19FF">
        <w:rPr>
          <w:rFonts w:ascii="Times New Roman" w:hAnsi="Times New Roman" w:cs="Times New Roman"/>
          <w:sz w:val="20"/>
          <w:szCs w:val="20"/>
        </w:rPr>
        <w:t xml:space="preserve">. They </w:t>
      </w:r>
      <w:r w:rsidR="00961BB5" w:rsidRPr="004D19FF">
        <w:rPr>
          <w:rFonts w:ascii="Times New Roman" w:hAnsi="Times New Roman" w:cs="Times New Roman"/>
          <w:sz w:val="20"/>
          <w:szCs w:val="20"/>
        </w:rPr>
        <w:t xml:space="preserve">are </w:t>
      </w:r>
      <w:r w:rsidR="00C96218" w:rsidRPr="004D19FF">
        <w:rPr>
          <w:rFonts w:ascii="Times New Roman" w:hAnsi="Times New Roman" w:cs="Times New Roman"/>
          <w:sz w:val="20"/>
          <w:szCs w:val="20"/>
        </w:rPr>
        <w:t xml:space="preserve">transformed through </w:t>
      </w:r>
      <w:r w:rsidR="002475BE" w:rsidRPr="004D19FF">
        <w:rPr>
          <w:rFonts w:ascii="Times New Roman" w:hAnsi="Times New Roman" w:cs="Times New Roman"/>
          <w:sz w:val="20"/>
          <w:szCs w:val="20"/>
        </w:rPr>
        <w:t xml:space="preserve">decarboxylation and dehydration </w:t>
      </w:r>
      <w:r w:rsidR="00C96218" w:rsidRPr="004D19FF">
        <w:rPr>
          <w:rFonts w:ascii="Times New Roman" w:hAnsi="Times New Roman" w:cs="Times New Roman"/>
          <w:sz w:val="20"/>
          <w:szCs w:val="20"/>
        </w:rPr>
        <w:t>into alkene products</w:t>
      </w:r>
      <w:r w:rsidR="00961BB5" w:rsidRPr="004D19FF">
        <w:rPr>
          <w:rFonts w:ascii="Times New Roman" w:hAnsi="Times New Roman" w:cs="Times New Roman"/>
          <w:sz w:val="20"/>
          <w:szCs w:val="20"/>
        </w:rPr>
        <w:t>.</w:t>
      </w:r>
      <w:r w:rsidR="00C96218" w:rsidRPr="004D19FF">
        <w:rPr>
          <w:rFonts w:ascii="Times New Roman" w:hAnsi="Times New Roman" w:cs="Times New Roman"/>
          <w:sz w:val="20"/>
          <w:szCs w:val="20"/>
        </w:rPr>
        <w:t xml:space="preserve"> These intermediates </w:t>
      </w:r>
      <w:r w:rsidR="002475BE" w:rsidRPr="004D19FF">
        <w:rPr>
          <w:rFonts w:ascii="Times New Roman" w:hAnsi="Times New Roman" w:cs="Times New Roman"/>
          <w:sz w:val="20"/>
          <w:szCs w:val="20"/>
        </w:rPr>
        <w:t xml:space="preserve">could be upgraded to </w:t>
      </w:r>
      <w:r w:rsidR="003C7230" w:rsidRPr="004D19FF">
        <w:rPr>
          <w:rFonts w:ascii="Times New Roman" w:hAnsi="Times New Roman" w:cs="Times New Roman"/>
          <w:sz w:val="20"/>
          <w:szCs w:val="20"/>
        </w:rPr>
        <w:t>aviation biofuels</w:t>
      </w:r>
      <w:r w:rsidR="002475BE" w:rsidRPr="004D19FF">
        <w:rPr>
          <w:rFonts w:ascii="Times New Roman" w:hAnsi="Times New Roman" w:cs="Times New Roman"/>
          <w:sz w:val="20"/>
          <w:szCs w:val="20"/>
        </w:rPr>
        <w:t xml:space="preserve"> through alcohol recovery stage</w:t>
      </w:r>
      <w:r w:rsidR="000B4A2E" w:rsidRPr="004D19FF">
        <w:rPr>
          <w:rFonts w:ascii="Times New Roman" w:hAnsi="Times New Roman" w:cs="Times New Roman"/>
          <w:sz w:val="20"/>
          <w:szCs w:val="20"/>
        </w:rPr>
        <w:t xml:space="preserve"> (oligomerization, hydrogenation and distillation)</w:t>
      </w:r>
      <w:r w:rsidR="002475BE" w:rsidRPr="004D19FF">
        <w:rPr>
          <w:rFonts w:ascii="Times New Roman" w:hAnsi="Times New Roman" w:cs="Times New Roman"/>
          <w:sz w:val="20"/>
          <w:szCs w:val="20"/>
        </w:rPr>
        <w:t xml:space="preserve"> as described above.</w:t>
      </w:r>
      <w:r w:rsidR="00961BB5" w:rsidRPr="004D19FF">
        <w:rPr>
          <w:rFonts w:ascii="Times New Roman" w:hAnsi="Times New Roman" w:cs="Times New Roman"/>
          <w:sz w:val="20"/>
          <w:szCs w:val="20"/>
        </w:rPr>
        <w:t xml:space="preserve"> </w:t>
      </w:r>
      <w:r w:rsidR="00903214" w:rsidRPr="004D19FF">
        <w:rPr>
          <w:rFonts w:ascii="Times New Roman" w:hAnsi="Times New Roman" w:cs="Times New Roman"/>
          <w:sz w:val="20"/>
          <w:szCs w:val="20"/>
        </w:rPr>
        <w:t>The</w:t>
      </w:r>
      <w:r w:rsidR="00961BB5" w:rsidRPr="004D19FF">
        <w:rPr>
          <w:rFonts w:ascii="Times New Roman" w:hAnsi="Times New Roman" w:cs="Times New Roman"/>
          <w:sz w:val="20"/>
          <w:szCs w:val="20"/>
        </w:rPr>
        <w:t xml:space="preserve"> organic </w:t>
      </w:r>
      <w:r w:rsidR="002475BE" w:rsidRPr="004D19FF">
        <w:rPr>
          <w:rFonts w:ascii="Times New Roman" w:hAnsi="Times New Roman" w:cs="Times New Roman"/>
          <w:sz w:val="20"/>
          <w:szCs w:val="20"/>
        </w:rPr>
        <w:t>phase</w:t>
      </w:r>
      <w:r w:rsidR="00256D35" w:rsidRPr="004D19FF">
        <w:rPr>
          <w:rFonts w:ascii="Times New Roman" w:hAnsi="Times New Roman" w:cs="Times New Roman"/>
          <w:sz w:val="20"/>
          <w:szCs w:val="20"/>
        </w:rPr>
        <w:t>,</w:t>
      </w:r>
      <w:r w:rsidR="002475BE" w:rsidRPr="004D19FF">
        <w:rPr>
          <w:rFonts w:ascii="Times New Roman" w:hAnsi="Times New Roman" w:cs="Times New Roman"/>
          <w:sz w:val="20"/>
          <w:szCs w:val="20"/>
        </w:rPr>
        <w:t xml:space="preserve"> </w:t>
      </w:r>
      <w:r w:rsidR="00D942A4" w:rsidRPr="004D19FF">
        <w:rPr>
          <w:rFonts w:ascii="Times New Roman" w:hAnsi="Times New Roman" w:cs="Times New Roman"/>
          <w:sz w:val="20"/>
          <w:szCs w:val="20"/>
        </w:rPr>
        <w:t xml:space="preserve">referred </w:t>
      </w:r>
      <w:r w:rsidR="00256D35" w:rsidRPr="004D19FF">
        <w:rPr>
          <w:rFonts w:ascii="Times New Roman" w:hAnsi="Times New Roman" w:cs="Times New Roman"/>
          <w:sz w:val="20"/>
          <w:szCs w:val="20"/>
        </w:rPr>
        <w:t xml:space="preserve">to as </w:t>
      </w:r>
      <w:r w:rsidR="00D942A4" w:rsidRPr="004D19FF">
        <w:rPr>
          <w:rFonts w:ascii="Times New Roman" w:hAnsi="Times New Roman" w:cs="Times New Roman"/>
          <w:sz w:val="20"/>
          <w:szCs w:val="20"/>
        </w:rPr>
        <w:t>CH bio</w:t>
      </w:r>
      <w:r w:rsidR="00FA6410">
        <w:rPr>
          <w:rFonts w:ascii="Times New Roman" w:hAnsi="Times New Roman" w:cs="Times New Roman"/>
          <w:sz w:val="20"/>
          <w:szCs w:val="20"/>
        </w:rPr>
        <w:t>-</w:t>
      </w:r>
      <w:r w:rsidR="00D942A4" w:rsidRPr="004D19FF">
        <w:rPr>
          <w:rFonts w:ascii="Times New Roman" w:hAnsi="Times New Roman" w:cs="Times New Roman"/>
          <w:sz w:val="20"/>
          <w:szCs w:val="20"/>
        </w:rPr>
        <w:t>crude</w:t>
      </w:r>
      <w:r w:rsidR="00256D35" w:rsidRPr="004D19FF">
        <w:rPr>
          <w:rFonts w:ascii="Times New Roman" w:hAnsi="Times New Roman" w:cs="Times New Roman"/>
          <w:sz w:val="20"/>
          <w:szCs w:val="20"/>
        </w:rPr>
        <w:t>,</w:t>
      </w:r>
      <w:r w:rsidR="00935CF7" w:rsidRPr="004D19FF">
        <w:rPr>
          <w:rFonts w:ascii="Times New Roman" w:hAnsi="Times New Roman" w:cs="Times New Roman"/>
          <w:sz w:val="20"/>
          <w:szCs w:val="20"/>
        </w:rPr>
        <w:t xml:space="preserve"> is </w:t>
      </w:r>
      <w:r w:rsidR="00AB4C12" w:rsidRPr="004D19FF">
        <w:rPr>
          <w:rFonts w:ascii="Times New Roman" w:hAnsi="Times New Roman" w:cs="Times New Roman"/>
          <w:sz w:val="20"/>
          <w:szCs w:val="20"/>
        </w:rPr>
        <w:t xml:space="preserve">further </w:t>
      </w:r>
      <w:r w:rsidR="00903214" w:rsidRPr="004D19FF">
        <w:rPr>
          <w:rFonts w:ascii="Times New Roman" w:hAnsi="Times New Roman" w:cs="Times New Roman"/>
          <w:sz w:val="20"/>
          <w:szCs w:val="20"/>
        </w:rPr>
        <w:t>decarboxylated</w:t>
      </w:r>
      <w:r w:rsidR="0033590A" w:rsidRPr="004D19FF">
        <w:rPr>
          <w:rFonts w:ascii="Times New Roman" w:hAnsi="Times New Roman" w:cs="Times New Roman"/>
          <w:sz w:val="20"/>
          <w:szCs w:val="20"/>
        </w:rPr>
        <w:t xml:space="preserve">, </w:t>
      </w:r>
      <w:r w:rsidR="00903214" w:rsidRPr="004D19FF">
        <w:rPr>
          <w:rFonts w:ascii="Times New Roman" w:hAnsi="Times New Roman" w:cs="Times New Roman"/>
          <w:sz w:val="20"/>
          <w:szCs w:val="20"/>
        </w:rPr>
        <w:t>hydrogenated, and finally distilled into</w:t>
      </w:r>
      <w:r w:rsidR="00E63904" w:rsidRPr="004D19FF">
        <w:rPr>
          <w:rFonts w:ascii="Times New Roman" w:hAnsi="Times New Roman" w:cs="Times New Roman"/>
          <w:sz w:val="20"/>
          <w:szCs w:val="20"/>
        </w:rPr>
        <w:t xml:space="preserve"> several product fractions </w:t>
      </w:r>
      <w:r w:rsidR="00334E74">
        <w:rPr>
          <w:rFonts w:ascii="Times New Roman" w:hAnsi="Times New Roman" w:cs="Times New Roman"/>
          <w:sz w:val="20"/>
          <w:szCs w:val="20"/>
        </w:rPr>
        <w:t>including</w:t>
      </w:r>
      <w:r w:rsidR="00E63904" w:rsidRPr="004D19FF">
        <w:rPr>
          <w:rFonts w:ascii="Times New Roman" w:hAnsi="Times New Roman" w:cs="Times New Roman"/>
          <w:sz w:val="20"/>
          <w:szCs w:val="20"/>
        </w:rPr>
        <w:t xml:space="preserve"> nap</w:t>
      </w:r>
      <w:r w:rsidR="00961BB5" w:rsidRPr="004D19FF">
        <w:rPr>
          <w:rFonts w:ascii="Times New Roman" w:hAnsi="Times New Roman" w:cs="Times New Roman"/>
          <w:sz w:val="20"/>
          <w:szCs w:val="20"/>
        </w:rPr>
        <w:t>htha,</w:t>
      </w:r>
      <w:r w:rsidR="00221A2E" w:rsidRPr="004D19FF">
        <w:rPr>
          <w:rFonts w:ascii="Times New Roman" w:hAnsi="Times New Roman" w:cs="Times New Roman"/>
          <w:sz w:val="20"/>
          <w:szCs w:val="20"/>
        </w:rPr>
        <w:t xml:space="preserve"> kerosene</w:t>
      </w:r>
      <w:r w:rsidR="005417E4" w:rsidRPr="004D19FF">
        <w:rPr>
          <w:rFonts w:ascii="Times New Roman" w:hAnsi="Times New Roman" w:cs="Times New Roman"/>
          <w:sz w:val="20"/>
          <w:szCs w:val="20"/>
        </w:rPr>
        <w:t xml:space="preserve"> (denoted as </w:t>
      </w:r>
      <w:r w:rsidR="009841BA">
        <w:rPr>
          <w:rFonts w:ascii="Times New Roman" w:hAnsi="Times New Roman" w:cs="Times New Roman"/>
          <w:sz w:val="20"/>
          <w:szCs w:val="20"/>
        </w:rPr>
        <w:t>catalytic hydrothermolysis synthesized kerosene; CH-SK</w:t>
      </w:r>
      <w:r w:rsidR="005417E4" w:rsidRPr="004D19FF">
        <w:rPr>
          <w:rFonts w:ascii="Times New Roman" w:hAnsi="Times New Roman" w:cs="Times New Roman"/>
          <w:sz w:val="20"/>
          <w:szCs w:val="20"/>
        </w:rPr>
        <w:t>)</w:t>
      </w:r>
      <w:r w:rsidR="00B50AF4" w:rsidRPr="004D19FF">
        <w:rPr>
          <w:rFonts w:ascii="Times New Roman" w:hAnsi="Times New Roman" w:cs="Times New Roman"/>
          <w:sz w:val="20"/>
          <w:szCs w:val="20"/>
        </w:rPr>
        <w:t xml:space="preserve"> and diesel</w:t>
      </w:r>
      <w:r w:rsidR="00542D17" w:rsidRPr="004D19FF">
        <w:rPr>
          <w:rFonts w:ascii="Times New Roman" w:hAnsi="Times New Roman" w:cs="Times New Roman"/>
          <w:sz w:val="20"/>
          <w:szCs w:val="20"/>
        </w:rPr>
        <w:t xml:space="preserve"> </w:t>
      </w:r>
      <w:r w:rsidR="00E60A17"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oFxgdoVT","properties":{"formattedCitation":"[135]","plainCitation":"[135]","noteIndex":0},"citationItems":[{"id":"968HXJ10/taKcUsWR","uris":["http://www.mendeley.com/documents/?uuid=7ac1ff39-19f3-4ace-b115-959743e363ce"],"uri":["http://www.mendeley.com/documents/?uuid=7ac1ff39-19f3-4ace-b115-959743e363ce"],"itemData":{"author":[{"dropping-particle":"","family":"Li","given":"Lixiong","non-dropping-particle":"","parse-names":false,"suffix":""}],"id":"ITEM-1","issued":{"date-parts":[["2010"]]},"number":"US 7,691,159 B2","publisher-place":"Panama City, FL (US)","title":"Method of converting triglycerides to biofuels","type":"patent"}}],"schema":"https://github.com/citation-style-language/schema/raw/master/csl-citation.json"} </w:instrText>
      </w:r>
      <w:r w:rsidR="00E60A17"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[135]</w:t>
      </w:r>
      <w:r w:rsidR="00E60A17" w:rsidRPr="004D19FF">
        <w:rPr>
          <w:rFonts w:ascii="Times New Roman" w:hAnsi="Times New Roman" w:cs="Times New Roman"/>
          <w:sz w:val="20"/>
          <w:szCs w:val="20"/>
        </w:rPr>
        <w:fldChar w:fldCharType="end"/>
      </w:r>
      <w:r w:rsidR="00542D17" w:rsidRPr="004D19FF">
        <w:rPr>
          <w:rFonts w:ascii="Times New Roman" w:hAnsi="Times New Roman" w:cs="Times New Roman"/>
          <w:sz w:val="20"/>
          <w:szCs w:val="20"/>
        </w:rPr>
        <w:t xml:space="preserve">. </w:t>
      </w:r>
    </w:p>
    <w:p w14:paraId="632738C9" w14:textId="4087D508" w:rsidR="00173A42" w:rsidRPr="00173A42" w:rsidRDefault="00221A2E" w:rsidP="00290530">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t>A</w:t>
      </w:r>
      <w:r w:rsidR="004614BA" w:rsidRPr="004D19FF">
        <w:rPr>
          <w:rFonts w:ascii="Times New Roman" w:hAnsi="Times New Roman" w:cs="Times New Roman"/>
          <w:sz w:val="20"/>
          <w:szCs w:val="20"/>
        </w:rPr>
        <w:t xml:space="preserve">viation biofuels </w:t>
      </w:r>
      <w:r w:rsidR="00CC11C2" w:rsidRPr="004D19FF">
        <w:rPr>
          <w:rFonts w:ascii="Times New Roman" w:hAnsi="Times New Roman" w:cs="Times New Roman"/>
          <w:sz w:val="20"/>
          <w:szCs w:val="20"/>
        </w:rPr>
        <w:t xml:space="preserve">obtained </w:t>
      </w:r>
      <w:r w:rsidR="005D51B6" w:rsidRPr="004D19FF">
        <w:rPr>
          <w:rFonts w:ascii="Times New Roman" w:hAnsi="Times New Roman" w:cs="Times New Roman"/>
          <w:sz w:val="20"/>
          <w:szCs w:val="20"/>
        </w:rPr>
        <w:t xml:space="preserve">with this process contain high </w:t>
      </w:r>
      <w:r w:rsidR="004614BA" w:rsidRPr="004D19FF">
        <w:rPr>
          <w:rFonts w:ascii="Times New Roman" w:hAnsi="Times New Roman" w:cs="Times New Roman"/>
          <w:sz w:val="20"/>
          <w:szCs w:val="20"/>
        </w:rPr>
        <w:t>density aromatic</w:t>
      </w:r>
      <w:r w:rsidR="00B40749" w:rsidRPr="004D19FF">
        <w:rPr>
          <w:rFonts w:ascii="Times New Roman" w:hAnsi="Times New Roman" w:cs="Times New Roman"/>
          <w:sz w:val="20"/>
          <w:szCs w:val="20"/>
        </w:rPr>
        <w:t>s</w:t>
      </w:r>
      <w:r w:rsidR="004614BA" w:rsidRPr="004D19FF">
        <w:rPr>
          <w:rFonts w:ascii="Times New Roman" w:hAnsi="Times New Roman" w:cs="Times New Roman"/>
          <w:sz w:val="20"/>
          <w:szCs w:val="20"/>
        </w:rPr>
        <w:t xml:space="preserve">, </w:t>
      </w:r>
      <w:r w:rsidR="003A2393" w:rsidRPr="004D19FF">
        <w:rPr>
          <w:rFonts w:ascii="Times New Roman" w:hAnsi="Times New Roman" w:cs="Times New Roman"/>
          <w:sz w:val="20"/>
          <w:szCs w:val="20"/>
        </w:rPr>
        <w:t>iso</w:t>
      </w:r>
      <w:r w:rsidR="003A2393">
        <w:rPr>
          <w:rFonts w:ascii="Times New Roman" w:hAnsi="Times New Roman" w:cs="Times New Roman"/>
          <w:sz w:val="20"/>
          <w:szCs w:val="20"/>
        </w:rPr>
        <w:t>-</w:t>
      </w:r>
      <w:r w:rsidR="003A2393" w:rsidRPr="004D19FF">
        <w:rPr>
          <w:rFonts w:ascii="Times New Roman" w:hAnsi="Times New Roman" w:cs="Times New Roman"/>
          <w:sz w:val="20"/>
          <w:szCs w:val="20"/>
        </w:rPr>
        <w:t>paraffin</w:t>
      </w:r>
      <w:r w:rsidR="00127936">
        <w:rPr>
          <w:rFonts w:ascii="Times New Roman" w:hAnsi="Times New Roman" w:cs="Times New Roman"/>
          <w:sz w:val="20"/>
          <w:szCs w:val="20"/>
        </w:rPr>
        <w:t>s</w:t>
      </w:r>
      <w:r w:rsidR="003A2393" w:rsidRPr="004D19FF">
        <w:rPr>
          <w:rFonts w:ascii="Times New Roman" w:hAnsi="Times New Roman" w:cs="Times New Roman"/>
          <w:sz w:val="20"/>
          <w:szCs w:val="20"/>
        </w:rPr>
        <w:t xml:space="preserve"> </w:t>
      </w:r>
      <w:r w:rsidR="003A2393">
        <w:rPr>
          <w:rFonts w:ascii="Times New Roman" w:hAnsi="Times New Roman" w:cs="Times New Roman"/>
          <w:sz w:val="20"/>
          <w:szCs w:val="20"/>
        </w:rPr>
        <w:t>and cycloparaffin</w:t>
      </w:r>
      <w:r w:rsidR="00127936">
        <w:rPr>
          <w:rFonts w:ascii="Times New Roman" w:hAnsi="Times New Roman" w:cs="Times New Roman"/>
          <w:sz w:val="20"/>
          <w:szCs w:val="20"/>
        </w:rPr>
        <w:t>s</w:t>
      </w:r>
      <w:r w:rsidR="003A2393">
        <w:rPr>
          <w:rFonts w:ascii="Times New Roman" w:hAnsi="Times New Roman" w:cs="Times New Roman"/>
          <w:sz w:val="20"/>
          <w:szCs w:val="20"/>
        </w:rPr>
        <w:t xml:space="preserve"> </w:t>
      </w:r>
      <w:r w:rsidR="0086350A"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PbiMmhkS","properties":{"formattedCitation":"[134,136]","plainCitation":"[134,136]","noteIndex":0},"citationItems":[{"id":"968HXJ10/5GlXygRA","uris":["http://www.mendeley.com/documents/?uuid=140320e0-8e0f-4b57-9c8e-337b2160333d"],"uri":["http://www.mendeley.com/documents/?uuid=140320e0-8e0f-4b57-9c8e-337b2160333d"],"itemData":{"DOI":"10.1021/ef901163a","ISSN":"08870624","abstract":"This paper describes a catalytic hydrothermolysis (CH) process aimed at converting triglycerides to nonester biofuels. The CH conversion was carried out at temperatures ranging from 450 to 475 °C and a pressure of 210 bar in the presence of water with and without a catalyst. The organic phase (biocrude) from the CH process underwent post-treatment involving decarboxylation and hydrotreating. Results derived from soybean oil, jatropha oil, and tung oil show that certain biofuel fractions met JP-8 specifications and Navy distillate specifications. One of the CH biofuel characteristics is their high levels of cyclics and aromatics. Tung-oil-based biofuels derived from the CH process contain up to 60% aromatics, which can be a desirable ingredient for fuel blends involving biofuels derived from other processes or feedstocks. Results from these crop oils also suggest that the CH process can be adapted to a variety of other triglyceride feedstocks. Copyrigh © 2010 American Chemical Society.","author":[{"dropping-particle":"","family":"Li","given":"Lixiong","non-dropping-particle":"","parse-names":false,"suffix":""},{"dropping-particle":"","family":"Coppola","given":"Edward","non-dropping-particle":"","parse-names":false,"suffix":""},{"dropping-particle":"","family":"Rine","given":"Jeffrey","non-dropping-particle":"","parse-names":false,"suffix":""},{"dropping-particle":"","family":"Miller","given":"Jonathan L.","non-dropping-particle":"","parse-names":false,"suffix":""},{"dropping-particle":"","family":"Walker","given":"Devin","non-dropping-particle":"","parse-names":false,"suffix":""}],"container-title":"Energy and Fuels","id":"ITEM-1","issue":"2","issued":{"date-parts":[["2010"]]},"page":"1305-1315","title":"Catalytic hydrothermal conversion of triglycerides to non-ester biofuels","type":"article-journal","volume":"24"}},{"id":"968HXJ10/8c3pm6WA","uris":["http://www.mendeley.com/documents/?uuid=6a5b2f38-c6ef-492b-bdbe-03ce3cb05735"],"uri":["http://www.mendeley.com/documents/?uuid=6a5b2f38-c6ef-492b-bdbe-03ce3cb05735"],"itemData":{"DOI":"10.1002/bbb.1863","ISSN":"19321031","abstract":"This study analyzed the financial feasibility of catalytic hydrothermolysis (CH) aviation biofuel technology. Three feedstocks were assessed: brown grease (rendered from grease trap waste), yellow grease (rendered from used cooking oil), and carinata oil. Since the technology carries risk, a stochastic analysis was conducted, which resulted in a distribution of net present values (NPVs) and breakeven prices. The breakeven price was the price of jet fuel per gallon that made the NPV equal to zero. A scenario where fuel price grew over time and a scenario where fuel price did not grow were both analyzed. Four plant scenarios were analyzed: 1. pioneer brownfield, 2. Nth brownfield, 3. pioneer greenfield, 4. Nth greenfield. Brown grease was the most promising feedstock scenario, in terms of financial feasibility. Breakeven prices in each feedstock scenario were lowest in the brownfield nth plant scenario, and highest in the greenfield pioneer plant scenario. Across the four plant scenarios and two fuel price growth scenarios, mean breakeven prices ranged from $2.02 to $2.83/gal in the brown grease scenario, $2.82 to $3.81/gal in the yellow grease scenario, and $3.90 to $5.66/gal in the carinata oil scenario. With the addition of RINs and LCFS credits, the probability of loss was as low as 0.0%, 18.9%, and 74.6% in the brown grease, yellow grease, and carinata oil scenarios, respectively. However, without RIN or LCFS credits, the process was not found to be financially viable. © 2018 Society of Chemical Industry and John Wiley &amp; Sons, Ltd.","author":[{"dropping-particle":"","family":"McGarvey","given":"Elspeth","non-dropping-particle":"","parse-names":false,"suffix":""},{"dropping-particle":"","family":"Tyner","given":"Wallace E.","non-dropping-particle":"","parse-names":false,"suffix":""}],"container-title":"Biofuels, Bioproducts and Biorefining","id":"ITEM-2","issue":"3","issued":{"date-parts":[["2018"]]},"page":"474-484","title":"A stochastic techno-economic analysis of the catalytic hydrothermolysis aviation biofuel technology","type":"article-journal","volume":"12"}}],"schema":"https://github.com/citation-style-language/schema/raw/master/csl-citation.json"} </w:instrText>
      </w:r>
      <w:r w:rsidR="0086350A"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[134,136]</w:t>
      </w:r>
      <w:r w:rsidR="0086350A" w:rsidRPr="004D19FF">
        <w:rPr>
          <w:rFonts w:ascii="Times New Roman" w:hAnsi="Times New Roman" w:cs="Times New Roman"/>
          <w:sz w:val="20"/>
          <w:szCs w:val="20"/>
        </w:rPr>
        <w:fldChar w:fldCharType="end"/>
      </w:r>
      <w:r w:rsidR="00106AEE" w:rsidRPr="004D19FF">
        <w:rPr>
          <w:rFonts w:ascii="Times New Roman" w:hAnsi="Times New Roman" w:cs="Times New Roman"/>
          <w:sz w:val="20"/>
          <w:szCs w:val="20"/>
        </w:rPr>
        <w:t xml:space="preserve">. </w:t>
      </w:r>
      <w:r w:rsidR="00CC11C2" w:rsidRPr="004D19FF">
        <w:rPr>
          <w:rFonts w:ascii="Times New Roman" w:hAnsi="Times New Roman" w:cs="Times New Roman"/>
          <w:sz w:val="20"/>
          <w:szCs w:val="20"/>
        </w:rPr>
        <w:t>Additional details</w:t>
      </w:r>
      <w:r w:rsidR="008360ED" w:rsidRPr="004D19FF">
        <w:rPr>
          <w:rFonts w:ascii="Times New Roman" w:hAnsi="Times New Roman" w:cs="Times New Roman"/>
          <w:sz w:val="20"/>
          <w:szCs w:val="20"/>
        </w:rPr>
        <w:t xml:space="preserve"> on the CHJ pathway</w:t>
      </w:r>
      <w:r w:rsidR="00CC11C2" w:rsidRPr="004D19FF">
        <w:rPr>
          <w:rFonts w:ascii="Times New Roman" w:hAnsi="Times New Roman" w:cs="Times New Roman"/>
          <w:sz w:val="20"/>
          <w:szCs w:val="20"/>
        </w:rPr>
        <w:t xml:space="preserve"> and </w:t>
      </w:r>
      <w:r w:rsidR="008360ED" w:rsidRPr="004D19FF">
        <w:rPr>
          <w:rFonts w:ascii="Times New Roman" w:hAnsi="Times New Roman" w:cs="Times New Roman"/>
          <w:sz w:val="20"/>
          <w:szCs w:val="20"/>
        </w:rPr>
        <w:t xml:space="preserve">its </w:t>
      </w:r>
      <w:r w:rsidR="00CC11C2" w:rsidRPr="004D19FF">
        <w:rPr>
          <w:rFonts w:ascii="Times New Roman" w:hAnsi="Times New Roman" w:cs="Times New Roman"/>
          <w:sz w:val="20"/>
          <w:szCs w:val="20"/>
        </w:rPr>
        <w:t xml:space="preserve">industrial developments </w:t>
      </w:r>
      <w:r w:rsidR="008360ED" w:rsidRPr="004D19FF">
        <w:rPr>
          <w:rFonts w:ascii="Times New Roman" w:hAnsi="Times New Roman" w:cs="Times New Roman"/>
          <w:sz w:val="20"/>
          <w:szCs w:val="20"/>
        </w:rPr>
        <w:t>are presented</w:t>
      </w:r>
      <w:r w:rsidR="003836B6" w:rsidRPr="004D19FF">
        <w:rPr>
          <w:rFonts w:ascii="Times New Roman" w:hAnsi="Times New Roman" w:cs="Times New Roman"/>
          <w:sz w:val="20"/>
          <w:szCs w:val="20"/>
        </w:rPr>
        <w:t xml:space="preserve"> in the SM</w:t>
      </w:r>
      <w:r w:rsidR="00683236">
        <w:rPr>
          <w:rFonts w:ascii="Times New Roman" w:hAnsi="Times New Roman" w:cs="Times New Roman"/>
          <w:sz w:val="20"/>
          <w:szCs w:val="20"/>
        </w:rPr>
        <w:t>1</w:t>
      </w:r>
      <w:r w:rsidR="003836B6" w:rsidRPr="004D19FF">
        <w:rPr>
          <w:rFonts w:ascii="Times New Roman" w:hAnsi="Times New Roman" w:cs="Times New Roman"/>
          <w:sz w:val="20"/>
          <w:szCs w:val="20"/>
        </w:rPr>
        <w:t xml:space="preserve">. </w:t>
      </w:r>
    </w:p>
    <w:p w14:paraId="72BA6A2E" w14:textId="77777777" w:rsidR="00073B88" w:rsidRPr="004D19FF" w:rsidRDefault="00907A00" w:rsidP="00B0794D">
      <w:pPr>
        <w:spacing w:before="240" w:after="120" w:line="276" w:lineRule="auto"/>
        <w:jc w:val="thaiDistribute"/>
        <w:rPr>
          <w:rFonts w:ascii="Times New Roman" w:hAnsi="Times New Roman" w:cs="Times New Roman"/>
          <w:b/>
          <w:bCs/>
          <w:sz w:val="20"/>
          <w:szCs w:val="20"/>
        </w:rPr>
      </w:pPr>
      <w:r w:rsidRPr="004D19FF">
        <w:rPr>
          <w:rFonts w:ascii="Times New Roman" w:hAnsi="Times New Roman" w:cs="Times New Roman"/>
          <w:b/>
          <w:bCs/>
          <w:sz w:val="20"/>
          <w:szCs w:val="20"/>
        </w:rPr>
        <w:t>3</w:t>
      </w:r>
      <w:r w:rsidR="0055183C" w:rsidRPr="004D19FF">
        <w:rPr>
          <w:rFonts w:ascii="Times New Roman" w:hAnsi="Times New Roman" w:cs="Times New Roman"/>
          <w:b/>
          <w:bCs/>
          <w:sz w:val="20"/>
          <w:szCs w:val="20"/>
        </w:rPr>
        <w:t>.</w:t>
      </w:r>
      <w:r w:rsidR="000C3DC0" w:rsidRPr="004D19FF">
        <w:rPr>
          <w:rFonts w:ascii="Times New Roman" w:hAnsi="Times New Roman" w:cs="Times New Roman"/>
          <w:b/>
          <w:bCs/>
          <w:sz w:val="20"/>
          <w:szCs w:val="20"/>
        </w:rPr>
        <w:t xml:space="preserve"> </w:t>
      </w:r>
      <w:r w:rsidR="007403C1" w:rsidRPr="004D19FF">
        <w:rPr>
          <w:rFonts w:ascii="Times New Roman" w:hAnsi="Times New Roman" w:cs="Times New Roman"/>
          <w:b/>
          <w:bCs/>
          <w:sz w:val="20"/>
          <w:szCs w:val="20"/>
        </w:rPr>
        <w:t xml:space="preserve">Aviation </w:t>
      </w:r>
      <w:r w:rsidR="00423CFC" w:rsidRPr="004D19FF">
        <w:rPr>
          <w:rFonts w:ascii="Times New Roman" w:hAnsi="Times New Roman" w:cs="Times New Roman"/>
          <w:b/>
          <w:bCs/>
          <w:sz w:val="20"/>
          <w:szCs w:val="20"/>
        </w:rPr>
        <w:t xml:space="preserve">liquid </w:t>
      </w:r>
      <w:r w:rsidR="007403C1" w:rsidRPr="004D19FF">
        <w:rPr>
          <w:rFonts w:ascii="Times New Roman" w:hAnsi="Times New Roman" w:cs="Times New Roman"/>
          <w:b/>
          <w:bCs/>
          <w:sz w:val="20"/>
          <w:szCs w:val="20"/>
        </w:rPr>
        <w:t>electrofuels</w:t>
      </w:r>
      <w:r w:rsidR="001E6C1A" w:rsidRPr="004D19FF">
        <w:rPr>
          <w:rFonts w:ascii="Times New Roman" w:hAnsi="Times New Roman" w:cs="Times New Roman"/>
          <w:b/>
          <w:bCs/>
          <w:sz w:val="20"/>
          <w:szCs w:val="20"/>
        </w:rPr>
        <w:t xml:space="preserve"> </w:t>
      </w:r>
    </w:p>
    <w:p w14:paraId="74886DE1" w14:textId="656ED4D3" w:rsidR="00E212C2" w:rsidRPr="004D19FF" w:rsidRDefault="00907A00" w:rsidP="00B0794D">
      <w:pPr>
        <w:spacing w:after="120" w:line="276" w:lineRule="auto"/>
        <w:jc w:val="thaiDistribute"/>
        <w:rPr>
          <w:rFonts w:ascii="Times New Roman" w:hAnsi="Times New Roman"/>
          <w:sz w:val="20"/>
          <w:szCs w:val="20"/>
        </w:rPr>
      </w:pPr>
      <w:r w:rsidRPr="004D19FF">
        <w:rPr>
          <w:rFonts w:ascii="Times New Roman" w:hAnsi="Times New Roman" w:cs="Times New Roman"/>
          <w:sz w:val="20"/>
          <w:szCs w:val="20"/>
        </w:rPr>
        <w:t>This pathway (</w:t>
      </w:r>
      <w:r w:rsidR="00D728FF" w:rsidRPr="004D19FF">
        <w:rPr>
          <w:rFonts w:ascii="Times New Roman" w:hAnsi="Times New Roman" w:cs="Times New Roman"/>
          <w:sz w:val="20"/>
          <w:szCs w:val="20"/>
        </w:rPr>
        <w:t>Fig. 10</w:t>
      </w:r>
      <w:r w:rsidRPr="004D19FF">
        <w:rPr>
          <w:rFonts w:ascii="Times New Roman" w:hAnsi="Times New Roman" w:cs="Times New Roman"/>
          <w:sz w:val="20"/>
          <w:szCs w:val="20"/>
        </w:rPr>
        <w:t xml:space="preserve">) is known as power-to-liquid electrofuels, also denoted as synthetic fuels, </w:t>
      </w:r>
      <w:r w:rsidR="005D471F" w:rsidRPr="004D19FF">
        <w:rPr>
          <w:rFonts w:ascii="Times New Roman" w:hAnsi="Times New Roman" w:cs="Times New Roman"/>
          <w:sz w:val="20"/>
          <w:szCs w:val="20"/>
        </w:rPr>
        <w:t xml:space="preserve">where a liquid fuel is produced </w:t>
      </w:r>
      <w:r w:rsidR="00DD3B7C" w:rsidRPr="004D19FF">
        <w:rPr>
          <w:rFonts w:ascii="Times New Roman" w:hAnsi="Times New Roman" w:cs="Times New Roman"/>
          <w:sz w:val="20"/>
          <w:szCs w:val="20"/>
        </w:rPr>
        <w:t>from hydrogen and carbon</w:t>
      </w:r>
      <w:r w:rsidR="00F1489F" w:rsidRPr="004D19FF">
        <w:rPr>
          <w:rFonts w:ascii="Times New Roman" w:hAnsi="Times New Roman" w:cs="Times New Roman"/>
          <w:sz w:val="20"/>
          <w:szCs w:val="20"/>
        </w:rPr>
        <w:t xml:space="preserve"> sources</w:t>
      </w:r>
      <w:r w:rsidR="00DD3B7C" w:rsidRPr="004D19FF">
        <w:rPr>
          <w:rFonts w:ascii="Times New Roman" w:hAnsi="Times New Roman" w:cs="Times New Roman"/>
          <w:sz w:val="20"/>
          <w:szCs w:val="20"/>
        </w:rPr>
        <w:t xml:space="preserve">. </w:t>
      </w:r>
      <w:r w:rsidR="005D471F" w:rsidRPr="004D19FF">
        <w:rPr>
          <w:rFonts w:ascii="Times New Roman" w:hAnsi="Times New Roman" w:cs="Times New Roman"/>
          <w:sz w:val="20"/>
          <w:szCs w:val="20"/>
        </w:rPr>
        <w:t xml:space="preserve">Aviation electrofuels thus involve the storage of electrical energy within chemical bonds in the form of liquid fuels, providing more energy density and lower aircraft weight, compared to emerging </w:t>
      </w:r>
      <w:r w:rsidR="005B30E3">
        <w:rPr>
          <w:rFonts w:ascii="Times New Roman" w:hAnsi="Times New Roman" w:cs="Times New Roman"/>
          <w:sz w:val="20"/>
          <w:szCs w:val="20"/>
        </w:rPr>
        <w:t xml:space="preserve">electric and </w:t>
      </w:r>
      <w:r w:rsidR="005D471F" w:rsidRPr="004D19FF">
        <w:rPr>
          <w:rFonts w:ascii="Times New Roman" w:hAnsi="Times New Roman" w:cs="Times New Roman"/>
          <w:sz w:val="20"/>
          <w:szCs w:val="20"/>
        </w:rPr>
        <w:t xml:space="preserve">carbon-free alternatives (e.g. </w:t>
      </w:r>
      <w:r w:rsidR="00FC7AC6">
        <w:rPr>
          <w:rFonts w:ascii="Times New Roman" w:hAnsi="Times New Roman" w:cs="Times New Roman"/>
          <w:sz w:val="20"/>
          <w:szCs w:val="20"/>
        </w:rPr>
        <w:t>solar</w:t>
      </w:r>
      <w:r w:rsidR="00526142">
        <w:rPr>
          <w:rFonts w:ascii="Times New Roman" w:hAnsi="Times New Roman" w:cs="Times New Roman"/>
          <w:sz w:val="20"/>
          <w:szCs w:val="20"/>
        </w:rPr>
        <w:t xml:space="preserve"> </w:t>
      </w:r>
      <w:r w:rsidR="005D471F" w:rsidRPr="004D19FF">
        <w:rPr>
          <w:rFonts w:ascii="Times New Roman" w:hAnsi="Times New Roman" w:cs="Times New Roman"/>
          <w:sz w:val="20"/>
          <w:szCs w:val="20"/>
        </w:rPr>
        <w:t xml:space="preserve">powered </w:t>
      </w:r>
      <w:r w:rsidR="00526142">
        <w:rPr>
          <w:rFonts w:ascii="Times New Roman" w:hAnsi="Times New Roman" w:cs="Times New Roman"/>
          <w:sz w:val="20"/>
          <w:szCs w:val="20"/>
        </w:rPr>
        <w:t>aviation</w:t>
      </w:r>
      <w:r w:rsidR="005D471F" w:rsidRPr="004D19FF">
        <w:rPr>
          <w:rFonts w:ascii="Times New Roman" w:hAnsi="Times New Roman" w:cs="Times New Roman"/>
          <w:sz w:val="20"/>
          <w:szCs w:val="20"/>
        </w:rPr>
        <w:t xml:space="preserve">) </w:t>
      </w:r>
      <w:r w:rsidR="007F063F" w:rsidRPr="004D19FF">
        <w:rPr>
          <w:rStyle w:val="FootnoteReference"/>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PyNZBM4y","properties":{"formattedCitation":"[137]","plainCitation":"[137]","noteIndex":0},"citationItems":[{"id":"968HXJ10/kVf5wNDQ","uris":["http://www.mendeley.com/documents/?uuid=d1b6ea6b-b9ba-36af-805c-20b628a97f9e"],"uri":["http://www.mendeley.com/documents/?uuid=d1b6ea6b-b9ba-36af-805c-20b628a97f9e"],"itemData":{"URL":"https://www.atag.org/our-activities/sustainable-aviation-fuels.html","accessed":{"date-parts":[["2019","11","10"]]},"author":[{"dropping-particle":"","family":"ATAG","given":"","non-dropping-particle":"","parse-names":false,"suffix":""}],"id":"ITEM-1","issued":{"date-parts":[["2019"]]},"title":"Sustainable Aviation Fuel (SAF)","type":"webpage"}}],"schema":"https://github.com/citation-style-language/schema/raw/master/csl-citation.json"} </w:instrText>
      </w:r>
      <w:r w:rsidR="007F063F" w:rsidRPr="004D19FF">
        <w:rPr>
          <w:rStyle w:val="FootnoteReference"/>
          <w:rFonts w:ascii="Times New Roman" w:hAnsi="Times New Roman"/>
          <w:sz w:val="20"/>
          <w:szCs w:val="20"/>
        </w:rPr>
        <w:fldChar w:fldCharType="separate"/>
      </w:r>
      <w:r w:rsidR="00623E85" w:rsidRPr="00623E85">
        <w:rPr>
          <w:rFonts w:ascii="Times New Roman" w:hAnsi="Times New Roman" w:cs="Times New Roman"/>
          <w:sz w:val="20"/>
        </w:rPr>
        <w:t>[137]</w:t>
      </w:r>
      <w:r w:rsidR="007F063F" w:rsidRPr="004D19FF">
        <w:rPr>
          <w:rStyle w:val="FootnoteReference"/>
          <w:rFonts w:ascii="Times New Roman" w:hAnsi="Times New Roman"/>
          <w:sz w:val="20"/>
          <w:szCs w:val="20"/>
        </w:rPr>
        <w:fldChar w:fldCharType="end"/>
      </w:r>
      <w:r w:rsidR="00233129" w:rsidRPr="004D19FF">
        <w:rPr>
          <w:rFonts w:ascii="Times New Roman" w:hAnsi="Times New Roman"/>
          <w:sz w:val="20"/>
          <w:szCs w:val="20"/>
        </w:rPr>
        <w:t>.</w:t>
      </w:r>
      <w:r w:rsidR="00DA18C2" w:rsidRPr="004D19FF">
        <w:rPr>
          <w:rFonts w:ascii="Times New Roman" w:hAnsi="Times New Roman"/>
          <w:sz w:val="20"/>
          <w:szCs w:val="20"/>
        </w:rPr>
        <w:t xml:space="preserve"> </w:t>
      </w:r>
    </w:p>
    <w:p w14:paraId="30EC44A7" w14:textId="77777777" w:rsidR="00041C04" w:rsidRPr="004D19FF" w:rsidRDefault="00AF19F3" w:rsidP="00D851BF">
      <w:pPr>
        <w:spacing w:after="120" w:line="276" w:lineRule="auto"/>
        <w:jc w:val="thaiDistribute"/>
        <w:rPr>
          <w:rFonts w:ascii="Times New Roman" w:hAnsi="Times New Roman"/>
          <w:i/>
          <w:sz w:val="20"/>
          <w:szCs w:val="20"/>
        </w:rPr>
      </w:pPr>
      <w:r w:rsidRPr="004D19FF">
        <w:rPr>
          <w:rFonts w:ascii="Times New Roman" w:hAnsi="Times New Roman"/>
          <w:i/>
          <w:sz w:val="20"/>
          <w:szCs w:val="20"/>
        </w:rPr>
        <w:t>3</w:t>
      </w:r>
      <w:r w:rsidR="00041C04" w:rsidRPr="004D19FF">
        <w:rPr>
          <w:rFonts w:ascii="Times New Roman" w:hAnsi="Times New Roman"/>
          <w:i/>
          <w:sz w:val="20"/>
          <w:szCs w:val="20"/>
        </w:rPr>
        <w:t xml:space="preserve">.1 Hydrogen </w:t>
      </w:r>
      <w:r w:rsidR="00FF6E56" w:rsidRPr="004D19FF">
        <w:rPr>
          <w:rFonts w:ascii="Times New Roman" w:hAnsi="Times New Roman"/>
          <w:i/>
          <w:sz w:val="20"/>
          <w:szCs w:val="20"/>
        </w:rPr>
        <w:t>supply</w:t>
      </w:r>
    </w:p>
    <w:p w14:paraId="73129481" w14:textId="1BAE30BE" w:rsidR="00D0749F" w:rsidRPr="004D19FF" w:rsidRDefault="00D0749F" w:rsidP="00B0794D">
      <w:pPr>
        <w:spacing w:after="120" w:line="276" w:lineRule="auto"/>
        <w:jc w:val="thaiDistribute"/>
        <w:rPr>
          <w:rFonts w:ascii="Times New Roman" w:hAnsi="Times New Roman"/>
          <w:sz w:val="20"/>
          <w:szCs w:val="20"/>
        </w:rPr>
      </w:pPr>
      <w:r w:rsidRPr="004D19FF">
        <w:rPr>
          <w:rFonts w:ascii="Times New Roman" w:hAnsi="Times New Roman"/>
          <w:sz w:val="20"/>
          <w:szCs w:val="20"/>
        </w:rPr>
        <w:t>There are several pathways to produce hydrogen</w:t>
      </w:r>
      <w:r w:rsidR="0070358C" w:rsidRPr="004D19FF">
        <w:rPr>
          <w:rFonts w:ascii="Times New Roman" w:hAnsi="Times New Roman"/>
          <w:sz w:val="20"/>
          <w:szCs w:val="20"/>
        </w:rPr>
        <w:t xml:space="preserve"> with different resources</w:t>
      </w:r>
      <w:r w:rsidRPr="004D19FF">
        <w:rPr>
          <w:rFonts w:ascii="Times New Roman" w:hAnsi="Times New Roman"/>
          <w:sz w:val="20"/>
          <w:szCs w:val="20"/>
        </w:rPr>
        <w:t xml:space="preserve">, e.g. </w:t>
      </w:r>
      <w:r w:rsidR="0070358C" w:rsidRPr="004D19FF">
        <w:rPr>
          <w:rFonts w:ascii="Times New Roman" w:hAnsi="Times New Roman"/>
          <w:sz w:val="20"/>
          <w:szCs w:val="20"/>
        </w:rPr>
        <w:t xml:space="preserve">from fossil </w:t>
      </w:r>
      <w:r w:rsidR="00025C27" w:rsidRPr="004D19FF">
        <w:rPr>
          <w:rFonts w:ascii="Times New Roman" w:hAnsi="Times New Roman"/>
          <w:sz w:val="20"/>
          <w:szCs w:val="20"/>
        </w:rPr>
        <w:t>fuel resources</w:t>
      </w:r>
      <w:r w:rsidR="0070358C" w:rsidRPr="004D19FF">
        <w:rPr>
          <w:rFonts w:ascii="Times New Roman" w:hAnsi="Times New Roman"/>
          <w:sz w:val="20"/>
          <w:szCs w:val="20"/>
        </w:rPr>
        <w:t xml:space="preserve"> through steam reformi</w:t>
      </w:r>
      <w:r w:rsidR="005C10DB">
        <w:rPr>
          <w:rFonts w:ascii="Times New Roman" w:hAnsi="Times New Roman"/>
          <w:sz w:val="20"/>
          <w:szCs w:val="20"/>
        </w:rPr>
        <w:t xml:space="preserve">ng and/or partial oxidation, </w:t>
      </w:r>
      <w:r w:rsidR="0070358C" w:rsidRPr="004D19FF">
        <w:rPr>
          <w:rFonts w:ascii="Times New Roman" w:hAnsi="Times New Roman"/>
          <w:sz w:val="20"/>
          <w:szCs w:val="20"/>
        </w:rPr>
        <w:t xml:space="preserve">from non-fossil </w:t>
      </w:r>
      <w:r w:rsidR="00A2014C" w:rsidRPr="004D19FF">
        <w:rPr>
          <w:rFonts w:ascii="Times New Roman" w:hAnsi="Times New Roman"/>
          <w:sz w:val="20"/>
          <w:szCs w:val="20"/>
        </w:rPr>
        <w:t>resources</w:t>
      </w:r>
      <w:r w:rsidR="0070358C" w:rsidRPr="004D19FF">
        <w:rPr>
          <w:rFonts w:ascii="Times New Roman" w:hAnsi="Times New Roman"/>
          <w:sz w:val="20"/>
          <w:szCs w:val="20"/>
        </w:rPr>
        <w:t xml:space="preserve"> </w:t>
      </w:r>
      <w:r w:rsidR="005C10DB">
        <w:rPr>
          <w:rFonts w:ascii="Times New Roman" w:hAnsi="Times New Roman"/>
          <w:sz w:val="20"/>
          <w:szCs w:val="20"/>
        </w:rPr>
        <w:t>through biomass gasification or</w:t>
      </w:r>
      <w:r w:rsidR="0070358C" w:rsidRPr="004D19FF">
        <w:rPr>
          <w:rFonts w:ascii="Times New Roman" w:hAnsi="Times New Roman"/>
          <w:sz w:val="20"/>
          <w:szCs w:val="20"/>
        </w:rPr>
        <w:t xml:space="preserve"> fermentation</w:t>
      </w:r>
      <w:r w:rsidR="003D0068">
        <w:rPr>
          <w:rFonts w:ascii="Times New Roman" w:hAnsi="Times New Roman"/>
          <w:sz w:val="20"/>
          <w:szCs w:val="20"/>
        </w:rPr>
        <w:t xml:space="preserve">, </w:t>
      </w:r>
      <w:r w:rsidR="005C10DB">
        <w:rPr>
          <w:rFonts w:ascii="Times New Roman" w:hAnsi="Times New Roman"/>
          <w:sz w:val="20"/>
          <w:szCs w:val="20"/>
        </w:rPr>
        <w:t>and from</w:t>
      </w:r>
      <w:r w:rsidRPr="004D19FF">
        <w:rPr>
          <w:rFonts w:ascii="Times New Roman" w:hAnsi="Times New Roman"/>
          <w:sz w:val="20"/>
          <w:szCs w:val="20"/>
        </w:rPr>
        <w:t xml:space="preserve"> </w:t>
      </w:r>
      <w:r w:rsidR="00001464">
        <w:rPr>
          <w:rFonts w:ascii="Times New Roman" w:hAnsi="Times New Roman"/>
          <w:sz w:val="20"/>
          <w:szCs w:val="20"/>
        </w:rPr>
        <w:t>water-</w:t>
      </w:r>
      <w:r w:rsidR="0070358C" w:rsidRPr="004D19FF">
        <w:rPr>
          <w:rFonts w:ascii="Times New Roman" w:hAnsi="Times New Roman"/>
          <w:sz w:val="20"/>
          <w:szCs w:val="20"/>
        </w:rPr>
        <w:t xml:space="preserve">splitting technologies </w:t>
      </w:r>
      <w:r w:rsidR="006E0D9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ew0IrQX","properties":{"formattedCitation":"[138\\uc0\\u8211{}142]","plainCitation":"[138–142]","noteIndex":0},"citationItems":[{"id":"968HXJ10/qUoHDC14","uris":["http://www.mendeley.com/documents/?uuid=7d5a7668-a5a9-4213-b5fc-c9fb601ef36d"],"uri":["http://www.mendeley.com/documents/?uuid=7d5a7668-a5a9-4213-b5fc-c9fb601ef36d"],"itemData":{"DOI":"10.1016/j.ijhydene.2010.03.008","ISSN":"03603199","abstract":"The degradation of the natural environment and the energy crisis are two vital issues for sustainable development worldwide. Hydrogen is considered as one of the most promising candidates as a substitute for fossil fuels. In this context, biological processes are considered as the most environmentally friendly alternatives for satisfying future hydrogen demands. In particular, biohydrogen production from agricultural waste is very advantageous since agri-wastes are abundant, cheap, renewable and highly biodegradable. Considering that such wastes are complex substrates and can be degraded biologically by complex microbial ecosystems, the present paper focuses on dark fermentation as a key technology for producing hydrogen from crop residues, livestock waste and food waste. In this review, recent findings on biohydrogen production from agricultural wastes by dark fermentation are reported. Key operational parameters such as pH, partial pressure, temperature and microbial actors are discussed to facilitate further research in this domain. © 2010 Professor T. Nejat Veziroglu. Published by Elsevier Ltd. All rights reserved.","author":[{"dropping-particle":"","family":"Guo","given":"Xin Mei","non-dropping-particle":"","parse-names":false,"suffix":""},{"dropping-particle":"","family":"Trably","given":"Eric","non-dropping-particle":"","parse-names":false,"suffix":""},{"dropping-particle":"","family":"Latrille","given":"Eric","non-dropping-particle":"","parse-names":false,"suffix":""},{"dropping-particle":"","family":"Carrre","given":"Hélne","non-dropping-particle":"","parse-names":false,"suffix":""},{"dropping-particle":"","family":"Steyer","given":"Jean Philippe","non-dropping-particle":"","parse-names":false,"suffix":""}],"container-title":"International Journal of Hydrogen Energy","id":"ITEM-1","issue":"19","issued":{"date-parts":[["2010"]]},"page":"10660-10673","title":"Hydrogen production from agricultural waste by dark fermentation: A review","type":"article-journal","volume":"35"}},{"id":"968HXJ10/NxgwUuwu","uris":["http://www.mendeley.com/documents/?uuid=6c2807f6-1a7c-4ba1-b75e-d142abb44922"],"uri":["http://www.mendeley.com/documents/?uuid=6c2807f6-1a7c-4ba1-b75e-d142abb44922"],"itemData":{"DOI":"10.1021/acs.energyfuels.5b00351","ISSN":"15205029","abstract":"The European consortium SOLARJET has experimentally demonstrated the first ever production of jet fuel via a thermochemical H2O/CO2-splitting cycle using simulated concentrated solar radiation. The key component of the production process of sustainable \"solar kerosene\" is a high-temperature solar reactor containing a reticulated porous ceramic (RPC) foam structure made of pure CeO2 undergoing a 2-step redox cyclic process. During the first endothermic reduction step at 1450-1600 °C, the RPC was directly exposed to concentrated thermal radiation with power inputs ranging from 2.8 to 3.8 kW and mean solar flux concentration ratios of up to 3000 suns. In the subsequent exothermic oxidation step at 700-1200 °C, the reduced ceria was stoichiometrically reoxidized with CO2 and/or H2O to generate CO and/or H2. The RPC featured dual-scale porosity: millimeter-size pores for volumetric radiation absorption during reduction and micrometer-size pores within its struts for enhanced oxidation rates. For a cycle duration of 25 min, mean reduction rates were 0.17 mLO2 min-1 g-1CeO2 and mean oxidation rates were 0.60 mLCO min-1 g-1CeO2. The solar-to-fuel energy conversion efficiency was 1.72%, without sensible heat recovery. A total of 291 stable redox cycles were performed, yielding 700 standard liters of syngas of composition 33.7% H2, 19.2% CO, 30.5% CO2, 0.06% O2, 0.09% CH4, and 16.5% Ar, which was compressed to 150 bar and further processed via Fischer-Tropsch synthesis to a mixture of naphtha, gasoil, and kerosene.","author":[{"dropping-particle":"","family":"Marxer","given":"Daniel","non-dropping-particle":"","parse-names":false,"suffix":""},{"dropping-particle":"","family":"Furler","given":"Philipp","non-dropping-particle":"","parse-names":false,"suffix":""},{"dropping-particle":"","family":"Scheffe","given":"Jonathan","non-dropping-particle":"","parse-names":false,"suffix":""},{"dropping-particle":"","family":"Geerlings","given":"Hans","non-dropping-particle":"","parse-names":false,"suffix":""},{"dropping-particle":"","family":"Falter","given":"Christoph","non-dropping-particle":"","parse-names":false,"suffix":""},{"dropping-particle":"","family":"Batteiger","given":"Valentin","non-dropping-particle":"","parse-names":false,"suffix":""},{"dropping-particle":"","family":"Sizmann","given":"Andreas","non-dropping-particle":"","parse-names":false,"suffix":""},{"dropping-particle":"","family":"Steinfeld","given":"Aldo","non-dropping-particle":"","parse-names":false,"suffix":""}],"container-title":"Energy and Fuels","id":"ITEM-2","issue":"5","issued":{"date-parts":[["2015"]]},"page":"3241-3250","title":"Demonstration of the entire production chain to renewable kerosene via solar thermochemical splitting of H2O and CO2","type":"article-journal","volume":"29"}},{"id":"968HXJ10/PZjMkH6F","uris":["http://www.mendeley.com/documents/?uuid=c4fbe68a-f559-4528-9e35-03ecb769b20e"],"uri":["http://www.mendeley.com/documents/?uuid=c4fbe68a-f559-4528-9e35-03ecb769b20e"],"itemData":{"DOI":"10.1016/j.rser.2017.05.069","ISSN":"18790690","abstract":"Tremendous research efforts have been dedicated towards development and utilization of sustainable alternative energy resources. Depletion of fossil fuels and the rising environmental concerns such as global warming are among the reasons that necessitated such. Hydrogen (H2) has been widely considered a clean fuel for the future, with the highest mass based energy density among known fuels. Bio-oil components are the most renewable energy carriers produced from bio-mass which have been selected for hydrogen production. Phenol and acetic acid are among the major liquid waste components of the bio oil. Catalytic steam reforming of these components in a fixed bed reactor provides a promising technique for hydrogen production from renewable sources. Due to the vital interaction that exists between catalyst and supports, Rh and Ni active metals and ZrO2, La2O3 and CeO2 supports were found to be appropriate catalysts with long-term stability for the hydrogen production via steam reforming of phenol and acetic acid. The process is advantageous due to its high hydrocarbon conversion and H2/CO2 product ratio. The present work provides extensive information about the phenol and acetic acid steam reforming process for producing hydrogen as a renewal energy carrier.","author":[{"dropping-particle":"","family":"Nabgan","given":"Walid","non-dropping-particle":"","parse-names":false,"suffix":""},{"dropping-particle":"","family":"Tuan Abdullah","given":"Tuan Amran","non-dropping-particle":"","parse-names":false,"suffix":""},{"dropping-particle":"","family":"Mat","given":"Ramli","non-dropping-particle":"","parse-names":false,"suffix":""},{"dropping-particle":"","family":"Nabgan","given":"Bahador","non-dropping-particle":"","parse-names":false,"suffix":""},{"dropping-particle":"","family":"Gambo","given":"Yahya","non-dropping-particle":"","parse-names":false,"suffix":""},{"dropping-particle":"","family":"Ibrahim","given":"Maryam","non-dropping-particle":"","parse-names":false,"suffix":""},{"dropping-particle":"","family":"Ahmad","given":"Arshad","non-dropping-particle":"","parse-names":false,"suffix":""},{"dropping-particle":"","family":"Jalil","given":"Aishah Abdul","non-dropping-particle":"","parse-names":false,"suffix":""},{"dropping-particle":"","family":"Triwahyono","given":"Sugeng","non-dropping-particle":"","parse-names":false,"suffix":""},{"dropping-particle":"","family":"Saeh","given":"Ibrahim","non-dropping-particle":"","parse-names":false,"suffix":""}],"container-title":"Renewable and Sustainable Energy Reviews","id":"ITEM-3","issue":"May","issued":{"date-parts":[["2017"]]},"page":"347-357","publisher":"Elsevier Ltd","title":"Renewable hydrogen production from bio-oil derivative via catalytic steam reforming: An overview","type":"article-journal","volume":"79"}},{"id":"968HXJ10/5sS8Cb9H","uris":["http://www.mendeley.com/documents/?uuid=60a1dce2-f580-4bc9-bb7c-7b8e4cef7c67"],"uri":["http://www.mendeley.com/documents/?uuid=60a1dce2-f580-4bc9-bb7c-7b8e4cef7c67"],"itemData":{"DOI":"10.1016/j.rser.2016.09.044","ISSN":"18790690","abstract":"Climate change and fossil fuel depletion are the main reasons leading to hydrogen technology. There are many processes for hydrogen production from both conventional and alternative energy resources such as natural gas, coal, nuclear, biomass, solar and wind. In this work, a comparative overview of the major hydrogen production methods is carried out. The process descriptions along with the technical and economic aspects of 14 different production methods are discussed. An overall comparison is carried out, and the results regarding both the conventional and renewable methods are presented. The thermochemical pyrolysis and gasification are economically viable approaches providing the highest potential to become competitive on a large scale in the near future while conventional methods retain their dominant role in H2 production with costs in the range of 1.34–2.27 $/kg. Biological methods appear to be a promising pathway but further research studies are needed to improve their production rates, while the low conversion efficiencies in combination with the high investment costs are the key restrictions for water-splitting technologies to compete with conventional methods. However, further development of these technologies along with significant innovations concerning H2 storage, transportation and utilization, implies the decrease of the national dependence on fossil fuel imports and green hydrogen will dominate over the traditional energy resources.","author":[{"dropping-particle":"","family":"Nikolaidis","given":"Pavlos","non-dropping-particle":"","parse-names":false,"suffix":""},{"dropping-particle":"","family":"Poullikkas","given":"Andreas","non-dropping-particle":"","parse-names":false,"suffix":""}],"container-title":"Renewable and Sustainable Energy Reviews","id":"ITEM-4","issued":{"date-parts":[["2017"]]},"page":"597-611","publisher":"Elsevier","title":"A comparative overview of hydrogen production processes","type":"article-journal","volume":"67"}},{"id":"968HXJ10/DJMuiUJG","uris":["http://www.mendeley.com/documents/?uuid=6f283d06-1096-428d-965b-3cfaf805cb06"],"uri":["http://www.mendeley.com/documents/?uuid=6f283d06-1096-428d-965b-3cfaf805cb06"],"itemData":{"DOI":"10.1002/ente.201900484","ISSN":"21944296","abstract":"Porous structures made of redox active ceria are attractive for high-temperature concentrating solar applications and particularly for the thermochemical splitting of H2O and CO2 as their enhanced heat and mass transport properties lead to fast reaction rates, especially with regard to the absorption of concentrated solar radiation during the endothermic reduction step. Hierarchically ordered porous structures, fabricated by the Schwartzwald replica method on 3D-printed polymer scaffolds, are experimentally assessed for their ability to volumetrically absorb high-flux irradiation of up to 670 suns. Temperature distributions across the porosity-gradient path are measured (peak 1724 K) and compared with that obtained for a reticulated porous ceramic (RPC) structure with a uniform porosity. To assist the analysis, a Monte Carlo ray-tracing model is developed for pore-level numerical simulations of the ordered geometries and applied to analyze the absorbing–emitting–scattering exchange and determine the radiation attenuation and the temperature distribution at a radiative equilibrium. In contrast to the Bouguer's law exponential-decay attenuation of incident radiation observed for the RPC, the ordered structures with a porosity gradient exhibit a step-wise radiative attenuation that leads to a more uniform temperature distribution across the structure. This in turn predicts a superior redox performance.","author":[{"dropping-particle":"","family":"Hoes","given":"Marie","non-dropping-particle":"","parse-names":false,"suffix":""},{"dropping-particle":"","family":"Ackermann","given":"Simon","non-dropping-particle":"","parse-names":false,"suffix":""},{"dropping-particle":"","family":"Theiler","given":"David","non-dropping-particle":"","parse-names":false,"suffix":""},{"dropping-particle":"","family":"Furler","given":"Philipp","non-dropping-particle":"","parse-names":false,"suffix":""},{"dropping-particle":"","family":"Steinfeld","given":"Aldo","non-dropping-particle":"","parse-names":false,"suffix":""}],"container-title":"Energy Technology","id":"ITEM-5","issue":"9","issued":{"date-parts":[["2019"]]},"title":"Additive-Manufactured Ordered Porous Structures Made of Ceria for Concentrating Solar Applications","type":"article-journal","volume":"7"}}],"schema":"https://github.com/citation-style-language/schema/raw/master/csl-citation.json"} </w:instrText>
      </w:r>
      <w:r w:rsidR="006E0D9F" w:rsidRPr="004D19FF">
        <w:rPr>
          <w:rFonts w:ascii="Times New Roman" w:hAnsi="Times New Roman"/>
          <w:sz w:val="20"/>
          <w:szCs w:val="20"/>
        </w:rPr>
        <w:fldChar w:fldCharType="separate"/>
      </w:r>
      <w:r w:rsidR="00623E85" w:rsidRPr="00623E85">
        <w:rPr>
          <w:rFonts w:ascii="Times New Roman" w:hAnsi="Times New Roman" w:cs="Times New Roman"/>
          <w:sz w:val="20"/>
          <w:szCs w:val="24"/>
        </w:rPr>
        <w:t>[138–142]</w:t>
      </w:r>
      <w:r w:rsidR="006E0D9F" w:rsidRPr="004D19FF">
        <w:rPr>
          <w:rFonts w:ascii="Times New Roman" w:hAnsi="Times New Roman"/>
          <w:sz w:val="20"/>
          <w:szCs w:val="20"/>
        </w:rPr>
        <w:fldChar w:fldCharType="end"/>
      </w:r>
      <w:r w:rsidRPr="004D19FF">
        <w:rPr>
          <w:rFonts w:ascii="Times New Roman" w:hAnsi="Times New Roman"/>
          <w:sz w:val="20"/>
          <w:szCs w:val="20"/>
        </w:rPr>
        <w:t xml:space="preserve">. </w:t>
      </w:r>
      <w:r w:rsidR="005C10DB">
        <w:rPr>
          <w:rFonts w:ascii="Times New Roman" w:hAnsi="Times New Roman"/>
          <w:sz w:val="20"/>
          <w:szCs w:val="20"/>
        </w:rPr>
        <w:t>Today, around</w:t>
      </w:r>
      <w:r w:rsidR="005C10DB" w:rsidRPr="004D19FF">
        <w:rPr>
          <w:rFonts w:ascii="Times New Roman" w:hAnsi="Times New Roman"/>
          <w:sz w:val="20"/>
          <w:szCs w:val="20"/>
        </w:rPr>
        <w:t xml:space="preserve"> one-third of global hydrogen supply is obtained as a by-product from industrial processes (e.g. chlorine production from electrolysis of brine; </w:t>
      </w:r>
      <w:r w:rsidR="005C10DB"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cYEz5wqh","properties":{"formattedCitation":"[143\\uc0\\u8211{}145]","plainCitation":"[143–145]","noteIndex":0},"citationItems":[{"id":"968HXJ10/lvGG3PPO","uris":["http://www.mendeley.com/documents/?uuid=eac783ab-7989-4f05-bf73-8973c1cb5e21"],"uri":["http://www.mendeley.com/documents/?uuid=eac783ab-7989-4f05-bf73-8973c1cb5e21"],"itemData":{"ISSN":"14642859","author":[{"dropping-particle":"","family":"International Energy Agency","given":"","non-dropping-particle":"","parse-names":false,"suffix":""}],"container-title":"International Energy Agency (IEA)","id":"ITEM-1","issued":{"date-parts":[["2019"]]},"title":"The future of hydrogen Seizing today's opportunities","type":"report"}},{"id":"968HXJ10/xQEdeyhj","uris":["http://www.mendeley.com/documents/?uuid=6bc3f288-db55-4495-aee0-a43ae66ef33b"],"uri":["http://www.mendeley.com/documents/?uuid=6bc3f288-db55-4495-aee0-a43ae66ef33b"],"itemData":{"DOI":"10.1115/1.4042923","ISSN":"23816910","abstract":"The chlor-alkali industry produces significant amounts of hydrogen as by-product which can potentially feed a polymeric electrolyte membrane (PEM) fuel cell (FC) unit, whose electricity and heat production can cover part of the chemical plant consumptions yielding remarkable energy and emission savings. This work presents the modeling, development, and experimental results of a large-scale (2 MW) PEM fuel cell power plant installed at the premises of a chlor-alkali industry. It is first discussed an overview of project's membrane- electrode assembly and fuel cell development for long life stationary applications, focusing on the design-for-manufacture process and related high-volume manufacturing routes. The work then discusses the modeling of the power plant, including a specific lumped model predicting FC stack behavior as a function of inlet stream conditions and power set point, according to regressed polarization curves. Cells' performance decay versus lifetime reflects long-term stack test data, aiming to evidence the impact on overall energy balances and efficiency of the progression of lifetime. Balance of plant is modeled to simulate auxiliary consumptions, pressure drops, and components' operating conditions. The model allows studying different operational strategies that maintain the power production during lifetime, minimizing efficiency losses, as well as to investigate the optimized operating setpoint of the plant at full load and during part-load operation. The last section of the paper discusses the experimental results, through a complete analysis of the plant performance after startup, including energy and mass balances and allowing to validate the model. Cumulated indicators over the first two years of operations regarding energy production, hydrogen consumption, and efficiency are also discussed.","author":[{"dropping-particle":"","family":"Campanari","given":"Stefano","non-dropping-particle":"","parse-names":false,"suffix":""},{"dropping-particle":"","family":"Guandalini","given":"Giulio","non-dropping-particle":"","parse-names":false,"suffix":""},{"dropping-particle":"","family":"Coolegem","given":"Jorg","non-dropping-particle":"","parse-names":false,"suffix":""},{"dropping-particle":"","family":"Have","given":"Jan","non-dropping-particle":"Ten","parse-names":false,"suffix":""},{"dropping-particle":"","family":"Hayes","given":"Patrick","non-dropping-particle":"","parse-names":false,"suffix":""},{"dropping-particle":"","family":"Pichel","given":"A. H.","non-dropping-particle":"","parse-names":false,"suffix":""}],"container-title":"Journal of Electrochemical Energy Conversion and Storage","id":"ITEM-2","issue":"4","issued":{"date-parts":[["2019"]]},"page":"1-9","title":"Modeling, Development, and Testing of a 2 MW Polymeric Electrolyte Membrane Fuel Cell Plant Fueled with Hydrogen from a Chlor-Alkali Industry","type":"article-journal","volume":"16"}},{"id":"968HXJ10/fFw6e9JR","uris":["http://www.mendeley.com/documents/?uuid=1c426d6a-3936-4a61-940a-7a1d16fd670c"],"uri":["http://www.mendeley.com/documents/?uuid=1c426d6a-3936-4a61-940a-7a1d16fd670c"],"itemData":{"DOI":"10.1016/j.ijhydene.2016.10.142","ISSN":"03603199","abstract":"The potential of an energy system that comprises a hydrogen-fueled PEFC (H2-PEFC), a boiler, and a gas turbine combined heat and power system (GT), using by-product hydrogen produced from a caustic soda plant was evaluated using a mathematical model based on linear programming. Based on the optimization results to minimize the system cost by optimizing the equipment capacity and energy balance of the energy system, the system cost reduction effect and CO2 reduction effect were calculated in relation to the power generation efficiency and the installation cost of the H2-PEFC. As a result, the conditions for the H2-PEFC where a system cost reduction could be achieved in the PEFC, boiler, and GT system, compared with the boiler system, were clearly shown to be an initial cost lower than 3500 $/kW or a power generation efficiency greater than 50%.","author":[{"dropping-particle":"","family":"Haneda","given":"Takahide","non-dropping-particle":"","parse-names":false,"suffix":""},{"dropping-particle":"","family":"Akisawa","given":"Atsushi","non-dropping-particle":"","parse-names":false,"suffix":""}],"container-title":"International Journal of Hydrogen Energy","id":"ITEM-3","issue":"5","issued":{"date-parts":[["2017"]]},"page":"3240-3249","publisher":"Elsevier Ltd","title":"Technological assessment of PEFC power generation system using by-product hydrogen produced from a caustic soda plant","type":"article-journal","volume":"42"}}],"schema":"https://github.com/citation-style-language/schema/raw/master/csl-citation.json"} </w:instrText>
      </w:r>
      <w:r w:rsidR="005C10DB" w:rsidRPr="004D19FF">
        <w:rPr>
          <w:rFonts w:ascii="Times New Roman" w:hAnsi="Times New Roman"/>
          <w:sz w:val="20"/>
          <w:szCs w:val="20"/>
        </w:rPr>
        <w:fldChar w:fldCharType="separate"/>
      </w:r>
      <w:r w:rsidR="00623E85" w:rsidRPr="00623E85">
        <w:rPr>
          <w:rFonts w:ascii="Times New Roman" w:hAnsi="Times New Roman" w:cs="Times New Roman"/>
          <w:sz w:val="20"/>
          <w:szCs w:val="24"/>
        </w:rPr>
        <w:t>[143–145]</w:t>
      </w:r>
      <w:r w:rsidR="005C10DB" w:rsidRPr="004D19FF">
        <w:rPr>
          <w:rFonts w:ascii="Times New Roman" w:hAnsi="Times New Roman"/>
          <w:sz w:val="20"/>
          <w:szCs w:val="20"/>
        </w:rPr>
        <w:fldChar w:fldCharType="end"/>
      </w:r>
      <w:r w:rsidR="00DC0C1F">
        <w:rPr>
          <w:rFonts w:ascii="Times New Roman" w:hAnsi="Times New Roman"/>
          <w:sz w:val="20"/>
          <w:szCs w:val="20"/>
        </w:rPr>
        <w:t>)</w:t>
      </w:r>
      <w:r w:rsidR="005C10DB">
        <w:rPr>
          <w:rFonts w:ascii="Times New Roman" w:hAnsi="Times New Roman"/>
          <w:sz w:val="20"/>
          <w:szCs w:val="20"/>
        </w:rPr>
        <w:t xml:space="preserve">. </w:t>
      </w:r>
      <w:r w:rsidRPr="004D19FF">
        <w:rPr>
          <w:rFonts w:ascii="Times New Roman" w:hAnsi="Times New Roman"/>
          <w:sz w:val="20"/>
          <w:szCs w:val="20"/>
        </w:rPr>
        <w:t xml:space="preserve">Here, the focus is on hydrogen production </w:t>
      </w:r>
      <w:r w:rsidR="00B22123">
        <w:rPr>
          <w:rFonts w:ascii="Times New Roman" w:hAnsi="Times New Roman"/>
          <w:sz w:val="20"/>
          <w:szCs w:val="20"/>
        </w:rPr>
        <w:t xml:space="preserve">decoupled from a carbon source, and as the main product driving the production process. </w:t>
      </w:r>
    </w:p>
    <w:p w14:paraId="2AD810E6" w14:textId="45BB41F4" w:rsidR="00F146FF" w:rsidRDefault="00F146FF" w:rsidP="00B0794D">
      <w:pPr>
        <w:spacing w:after="120" w:line="276" w:lineRule="auto"/>
        <w:jc w:val="thaiDistribute"/>
        <w:rPr>
          <w:rFonts w:ascii="Times New Roman" w:hAnsi="Times New Roman"/>
          <w:sz w:val="20"/>
          <w:szCs w:val="20"/>
        </w:rPr>
      </w:pPr>
      <w:r>
        <w:rPr>
          <w:rFonts w:ascii="Times New Roman" w:hAnsi="Times New Roman"/>
          <w:sz w:val="20"/>
          <w:szCs w:val="20"/>
        </w:rPr>
        <w:t>Water is a</w:t>
      </w:r>
      <w:r w:rsidR="00D0749F" w:rsidRPr="004D19FF">
        <w:rPr>
          <w:rFonts w:ascii="Times New Roman" w:hAnsi="Times New Roman"/>
          <w:sz w:val="20"/>
          <w:szCs w:val="20"/>
        </w:rPr>
        <w:t xml:space="preserve"> promising resource </w:t>
      </w:r>
      <w:r>
        <w:rPr>
          <w:rFonts w:ascii="Times New Roman" w:hAnsi="Times New Roman"/>
          <w:sz w:val="20"/>
          <w:szCs w:val="20"/>
        </w:rPr>
        <w:t xml:space="preserve">generating growing interest </w:t>
      </w:r>
      <w:r w:rsidR="00D0749F" w:rsidRPr="004D19FF">
        <w:rPr>
          <w:rFonts w:ascii="Times New Roman" w:hAnsi="Times New Roman"/>
          <w:sz w:val="20"/>
          <w:szCs w:val="20"/>
        </w:rPr>
        <w:t>for hydrogen production</w:t>
      </w:r>
      <w:r>
        <w:rPr>
          <w:rFonts w:ascii="Times New Roman" w:hAnsi="Times New Roman"/>
          <w:sz w:val="20"/>
          <w:szCs w:val="20"/>
        </w:rPr>
        <w:t>. Several pathways are possible, such as</w:t>
      </w:r>
      <w:r w:rsidR="00D0749F" w:rsidRPr="004D19FF">
        <w:rPr>
          <w:rFonts w:ascii="Times New Roman" w:hAnsi="Times New Roman"/>
          <w:sz w:val="20"/>
          <w:szCs w:val="20"/>
        </w:rPr>
        <w:t xml:space="preserve"> </w:t>
      </w:r>
      <w:r>
        <w:rPr>
          <w:rFonts w:ascii="Times New Roman" w:hAnsi="Times New Roman"/>
          <w:sz w:val="20"/>
          <w:szCs w:val="20"/>
        </w:rPr>
        <w:t>electrochemistry</w:t>
      </w:r>
      <w:r w:rsidR="00D0749F" w:rsidRPr="004D19FF">
        <w:rPr>
          <w:rFonts w:ascii="Times New Roman" w:hAnsi="Times New Roman"/>
          <w:sz w:val="20"/>
          <w:szCs w:val="20"/>
        </w:rPr>
        <w:t xml:space="preserve"> </w:t>
      </w:r>
      <w:r>
        <w:rPr>
          <w:rFonts w:ascii="Times New Roman" w:hAnsi="Times New Roman"/>
          <w:sz w:val="20"/>
          <w:szCs w:val="20"/>
        </w:rPr>
        <w:t>(</w:t>
      </w:r>
      <w:r w:rsidR="00DB3D8E" w:rsidRPr="004D19FF">
        <w:rPr>
          <w:rFonts w:ascii="Times New Roman" w:hAnsi="Times New Roman"/>
          <w:sz w:val="20"/>
          <w:szCs w:val="20"/>
        </w:rPr>
        <w:t>including</w:t>
      </w:r>
      <w:r w:rsidR="00D0749F" w:rsidRPr="004D19FF">
        <w:rPr>
          <w:rFonts w:ascii="Times New Roman" w:hAnsi="Times New Roman"/>
          <w:sz w:val="20"/>
          <w:szCs w:val="20"/>
        </w:rPr>
        <w:t xml:space="preserve"> </w:t>
      </w:r>
      <w:r w:rsidR="00186482" w:rsidRPr="004D19FF">
        <w:rPr>
          <w:rFonts w:ascii="Times New Roman" w:hAnsi="Times New Roman"/>
          <w:sz w:val="20"/>
          <w:szCs w:val="20"/>
        </w:rPr>
        <w:t xml:space="preserve">water </w:t>
      </w:r>
      <w:r w:rsidR="00D0749F" w:rsidRPr="004D19FF">
        <w:rPr>
          <w:rFonts w:ascii="Times New Roman" w:hAnsi="Times New Roman"/>
          <w:sz w:val="20"/>
          <w:szCs w:val="20"/>
        </w:rPr>
        <w:t>electrolysis</w:t>
      </w:r>
      <w:r>
        <w:rPr>
          <w:rFonts w:ascii="Times New Roman" w:hAnsi="Times New Roman"/>
          <w:sz w:val="20"/>
          <w:szCs w:val="20"/>
        </w:rPr>
        <w:t xml:space="preserve"> </w:t>
      </w:r>
      <w:r w:rsidR="00DB3D8E" w:rsidRPr="004D19FF">
        <w:rPr>
          <w:rFonts w:ascii="Times New Roman" w:hAnsi="Times New Roman"/>
          <w:sz w:val="20"/>
          <w:szCs w:val="20"/>
        </w:rPr>
        <w:t xml:space="preserve">and </w:t>
      </w:r>
      <w:r w:rsidR="00D0749F" w:rsidRPr="004D19FF">
        <w:rPr>
          <w:rFonts w:ascii="Times New Roman" w:hAnsi="Times New Roman"/>
          <w:sz w:val="20"/>
          <w:szCs w:val="20"/>
        </w:rPr>
        <w:t>photo electrolysis</w:t>
      </w:r>
      <w:r>
        <w:rPr>
          <w:rFonts w:ascii="Times New Roman" w:hAnsi="Times New Roman"/>
          <w:sz w:val="20"/>
          <w:szCs w:val="20"/>
        </w:rPr>
        <w:t>)</w:t>
      </w:r>
      <w:r w:rsidR="00D0749F" w:rsidRPr="004D19FF">
        <w:rPr>
          <w:rFonts w:ascii="Times New Roman" w:hAnsi="Times New Roman"/>
          <w:sz w:val="20"/>
          <w:szCs w:val="20"/>
        </w:rPr>
        <w:t xml:space="preserve"> </w:t>
      </w:r>
      <w:r w:rsidR="00D0749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KPMRw46S","properties":{"formattedCitation":"[146,147]","plainCitation":"[146,147]","noteIndex":0},"citationItems":[{"id":"968HXJ10/GBVN7I8T","uris":["http://www.mendeley.com/documents/?uuid=7f226223-6522-42d6-bd9d-56165db4f874"],"uri":["http://www.mendeley.com/documents/?uuid=7f226223-6522-42d6-bd9d-56165db4f874"],"itemData":{"DOI":"10.1021/nl051807y","ISSN":"15306984","abstract":"The photocatalytic splitting of water into hydrogen and oxygen using solar light is a potentially clean and renewable source for hydrogen fuel. 1,2 There has been extensive investigation into metal-oxide semiconductors such as TiO 2, WO 3, and Fe 2O 3, which can be used as photoanodes in thin-film form. 3-5 Of the materials being developed for photoanodes, TiO 2 remains one of the most promising because of its low cost, chemical inertness, and photostability. 6 However, the widespread technological use of TiO 2 is hindered by its low utilization of solar energy in the visible region. In this study, we report the preparation of vertically grown carbon-doped TiO 2 (TiO 2-xC x) nanotube arrays with high aspect ratios for maximizing the photocleavage of water under white-light irradiation. The synthesized TiO 2-xC x nanotube arrays showed much higher photocurrent densities and more efficient water splitting under visible-light illumination (&gt; 420 nm) than pure TiO 2 nanotube arrays. The total photocurrent was more than 20 times higher than that with a P-25 nanoparticulate film under white-light illumination. © 2006 American Chemical Society.","author":[{"dropping-particle":"","family":"Park","given":"Jong Hyeok","non-dropping-particle":"","parse-names":false,"suffix":""},{"dropping-particle":"","family":"Kim","given":"Sungwook","non-dropping-particle":"","parse-names":false,"suffix":""},{"dropping-particle":"","family":"Bard","given":"Allen J.","non-dropping-particle":"","parse-names":false,"suffix":""}],"container-title":"Nano Letters","id":"ITEM-1","issue":"1","issued":{"date-parts":[["2006"]]},"page":"24-28","title":"Novel carbon-doped TiO 2 nanotube arrays with high aspect ratios for efficient solar water splitting","type":"article-journal","volume":"6"}},{"id":"968HXJ10/fk7CDoab","uris":["http://www.mendeley.com/documents/?uuid=d2cccb6a-eea2-4a47-93a3-fcffa5406935"],"uri":["http://www.mendeley.com/documents/?uuid=d2cccb6a-eea2-4a47-93a3-fcffa5406935"],"itemData":{"DOI":"10.1016/j.ijhydene.2018.01.099","ISSN":"03603199","abstract":"Photoelectrochemical (PEC) water splitting using nanomaterials is one of the promising techniques to generate hydrogen in an easier, cheaper and sustainable way. By modifying a photocatalyst with a suitable band width material can improve the overall solar-to-hydrogen (STH) energy conversion efficiency. Nanomaterials can tune their band width by controlling its size and morphology. In many studies, the importance of nanostructured materials, their morphological and crystalline effects in water splitting is highlighted. Charge separation and transportation is the major concern in PEC water splitting. Nanomaterials are having high surface to volume ratio which facilitates charge separation and suppress electron-hole pair recombination. This review focuses on the recent developments in water splitting techniques using PEC based nanomaterials as well as different strategies to improve hydrogen evolution.","author":[{"dropping-particle":"","family":"Joy","given":"Josny","non-dropping-particle":"","parse-names":false,"suffix":""},{"dropping-particle":"","family":"Mathew","given":"Jinu","non-dropping-particle":"","parse-names":false,"suffix":""},{"dropping-particle":"","family":"George","given":"Soney C.","non-dropping-particle":"","parse-names":false,"suffix":""}],"container-title":"International Journal of Hydrogen Energy","id":"ITEM-2","issue":"10","issued":{"date-parts":[["2018"]]},"page":"4804-4817","publisher":"Elsevier Ltd","title":"Nanomaterials for photoelectrochemical water splitting – review","type":"article-journal","volume":"43"}}],"schema":"https://github.com/citation-style-language/schema/raw/master/csl-citation.json"} </w:instrText>
      </w:r>
      <w:r w:rsidR="00D0749F" w:rsidRPr="004D19FF">
        <w:rPr>
          <w:rFonts w:ascii="Times New Roman" w:hAnsi="Times New Roman"/>
          <w:sz w:val="20"/>
          <w:szCs w:val="20"/>
        </w:rPr>
        <w:fldChar w:fldCharType="separate"/>
      </w:r>
      <w:r w:rsidR="00623E85" w:rsidRPr="00623E85">
        <w:rPr>
          <w:rFonts w:ascii="Times New Roman" w:hAnsi="Times New Roman" w:cs="Times New Roman"/>
          <w:sz w:val="20"/>
        </w:rPr>
        <w:t>[146,147]</w:t>
      </w:r>
      <w:r w:rsidR="00D0749F" w:rsidRPr="004D19FF">
        <w:rPr>
          <w:rFonts w:ascii="Times New Roman" w:hAnsi="Times New Roman"/>
          <w:sz w:val="20"/>
          <w:szCs w:val="20"/>
        </w:rPr>
        <w:fldChar w:fldCharType="end"/>
      </w:r>
      <w:r w:rsidR="00D0749F" w:rsidRPr="004D19FF">
        <w:rPr>
          <w:rFonts w:ascii="Times New Roman" w:hAnsi="Times New Roman"/>
          <w:sz w:val="20"/>
          <w:szCs w:val="20"/>
        </w:rPr>
        <w:t xml:space="preserve">, </w:t>
      </w:r>
      <w:r>
        <w:rPr>
          <w:rFonts w:ascii="Times New Roman" w:hAnsi="Times New Roman"/>
          <w:sz w:val="20"/>
          <w:szCs w:val="20"/>
        </w:rPr>
        <w:t>thermochemistry</w:t>
      </w:r>
      <w:r w:rsidR="00D0749F" w:rsidRPr="004D19FF">
        <w:rPr>
          <w:rFonts w:ascii="Times New Roman" w:hAnsi="Times New Roman"/>
          <w:sz w:val="20"/>
          <w:szCs w:val="20"/>
        </w:rPr>
        <w:t xml:space="preserve"> </w:t>
      </w:r>
      <w:r w:rsidR="00D0749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GdJEAycP","properties":{"formattedCitation":"[148]","plainCitation":"[148]","noteIndex":0},"citationItems":[{"id":"968HXJ10/5LCRoKpH","uris":["http://www.mendeley.com/documents/?uuid=acbece70-0d35-464b-9f3b-cd469153ba30"],"uri":["http://www.mendeley.com/documents/?uuid=acbece70-0d35-464b-9f3b-cd469153ba30"],"itemData":{"DOI":"10.1016/j.enconman.2019.112182","ISSN":"01968904","abstract":"Thermochemical cycles are considered as promising technologies for long-term, large-scale hydrogen production in a clean and sustainable manner. In this study, various hydrogen production methods through thermochemical and hybrid cycles, including two step (Zinc oxide), Three step (Sulfur-Iodine), four-step (Iron-Chlorine, Magnesium-Chlorine and Copper-Chlorine) and hybrid types (Hybrid Sulfur) are discussed and comparatively evaluated. In this regard, major challenges, recent advancements and future directions of these methods are presented and discussed for design, analysis and assessment purposes. Moreover, a comparative evaluation of the selected thermochemical cycles is extensively performed based on the cycle's energy and exergy efficiencies, hydrogen production cost and global warming potential (GWP). A comparative study shows that vanadium-chlorine offers the highest exergy efficiency of 77% while in terms of GWP, Sulfur-Iodine and hybrid sulfur cycles become the most promising with GWP of 0.48 and 0.50 kg CO2·eq/kg H2, respectively. The hybrid Cu-Cl cycle offers a great potential in terms of integration with nuclear heat or industrial process heat or renewable or waste heats.","author":[{"dropping-particle":"","family":"Safari","given":"Farid","non-dropping-particle":"","parse-names":false,"suffix":""},{"dropping-particle":"","family":"Dincer","given":"Ibrahim","non-dropping-particle":"","parse-names":false,"suffix":""}],"container-title":"Energy Conversion and Management","id":"ITEM-1","issue":"October 2019","issued":{"date-parts":[["2020"]]},"page":"112182","publisher":"Elsevier","title":"A review and comparative evaluation of thermochemical water splitting cycles for hydrogen production","type":"article-journal","volume":"205"}}],"schema":"https://github.com/citation-style-language/schema/raw/master/csl-citation.json"} </w:instrText>
      </w:r>
      <w:r w:rsidR="00D0749F" w:rsidRPr="004D19FF">
        <w:rPr>
          <w:rFonts w:ascii="Times New Roman" w:hAnsi="Times New Roman"/>
          <w:sz w:val="20"/>
          <w:szCs w:val="20"/>
        </w:rPr>
        <w:fldChar w:fldCharType="separate"/>
      </w:r>
      <w:r w:rsidR="00623E85" w:rsidRPr="00623E85">
        <w:rPr>
          <w:rFonts w:ascii="Times New Roman" w:hAnsi="Times New Roman" w:cs="Times New Roman"/>
          <w:sz w:val="20"/>
        </w:rPr>
        <w:t>[148]</w:t>
      </w:r>
      <w:r w:rsidR="00D0749F" w:rsidRPr="004D19FF">
        <w:rPr>
          <w:rFonts w:ascii="Times New Roman" w:hAnsi="Times New Roman"/>
          <w:sz w:val="20"/>
          <w:szCs w:val="20"/>
        </w:rPr>
        <w:fldChar w:fldCharType="end"/>
      </w:r>
      <w:r w:rsidR="00001464">
        <w:rPr>
          <w:rFonts w:ascii="Times New Roman" w:hAnsi="Times New Roman"/>
          <w:sz w:val="20"/>
          <w:szCs w:val="20"/>
        </w:rPr>
        <w:t>, or biological water-</w:t>
      </w:r>
      <w:r w:rsidR="00D0749F" w:rsidRPr="004D19FF">
        <w:rPr>
          <w:rFonts w:ascii="Times New Roman" w:hAnsi="Times New Roman"/>
          <w:sz w:val="20"/>
          <w:szCs w:val="20"/>
        </w:rPr>
        <w:t xml:space="preserve">splitting such as </w:t>
      </w:r>
      <w:r w:rsidR="00906E4A" w:rsidRPr="004D19FF">
        <w:rPr>
          <w:rFonts w:ascii="Times New Roman" w:hAnsi="Times New Roman"/>
          <w:sz w:val="20"/>
          <w:szCs w:val="20"/>
        </w:rPr>
        <w:t>bio</w:t>
      </w:r>
      <w:r w:rsidR="00936284">
        <w:rPr>
          <w:rFonts w:ascii="Times New Roman" w:hAnsi="Times New Roman"/>
          <w:sz w:val="20"/>
          <w:szCs w:val="20"/>
        </w:rPr>
        <w:t>-</w:t>
      </w:r>
      <w:r w:rsidR="00906E4A" w:rsidRPr="004D19FF">
        <w:rPr>
          <w:rFonts w:ascii="Times New Roman" w:hAnsi="Times New Roman"/>
          <w:sz w:val="20"/>
          <w:szCs w:val="20"/>
        </w:rPr>
        <w:t xml:space="preserve">photolysis </w:t>
      </w:r>
      <w:r w:rsidR="00891239"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Dn4jR3K","properties":{"formattedCitation":"[18,141]","plainCitation":"[18,141]","noteIndex":0},"citationItems":[{"id":"968HXJ10/15779W06","uris":["http://www.mendeley.com/documents/?uuid=c3f5226a-d52a-4b09-a8cf-02ae156539a5"],"uri":["http://www.mendeley.com/documents/?uuid=c3f5226a-d52a-4b09-a8cf-02ae156539a5"],"itemData":{"DOI":"10.1007/978-3-030-14463-0_5","ISBN":"9783030144630","abstract":"Hydrogen is the most abundant element in the universe, comprising approximately 75% of all matter by weight, molecular hydrogen (H2) exists in only trace amounts within the Earth’s atmosphere. As a gaseous and carbon-free fuel, hydrogen can be combusted with water and therefore is regarded as a clean nonpolluting fuel. Hydrogen is produced by steam reformation of methane, gasification of coal and biomass, and metabolic pathway of special type of microorganisms, commonly known as biological hydrogen production. Biological hydrogen evolution provides a sustainable and environmentally friendly way to produce clean energy from renewable resources. Biological hydrogen production processes are mostly controlled by either photosynthetic or fermentative organisms. Hydrogen can be produced biologically by direct biophotolysis, indirect biophotolysis, photofermentation, dark fermentation, combination of these processes (such as integration of dark- and photofermentation, etc.) or by water–gas shift reaction. Among a selection of biological systems, cyanobacteria have become a major source as potential cell factories for hydrogen production. They are highly promising microorganisms for biological photohydrogen production. Cyanobacteria grow by photosynthesis, and essentially contain chlorophyll and various carotenoids whose main functions are light-harvesting and photoprotection. They produce chlorophyll a, and most also have characteristic pigments called phycobilins, which function as accessory pigments in photosynthesis. Cyanobacteria produce hydrogen gas using nitrogenase and/or hydrogenase. This study explains the potential of cyanobacteria to produce biohydrogen and focuses on biophotolysis-based hydrogen production by cyanobacteria.","author":[{"dropping-particle":"","family":"Ghiasian","given":"Mozhgan","non-dropping-particle":"","parse-names":false,"suffix":""}],"id":"ITEM-1","issued":{"date-parts":[["2019"]]},"number-of-pages":"161-184","publisher":"Springer International Publishing","title":"Biophotolysis-Based Hydrogen Production by Cyanobacteria","type":"book"}},{"id":"968HXJ10/5sS8Cb9H","uris":["http://www.mendeley.com/documents/?uuid=60a1dce2-f580-4bc9-bb7c-7b8e4cef7c67"],"uri":["http://www.mendeley.com/documents/?uuid=60a1dce2-f580-4bc9-bb7c-7b8e4cef7c67"],"itemData":{"DOI":"10.1016/j.rser.2016.09.044","ISSN":"18790690","abstract":"Climate change and fossil fuel depletion are the main reasons leading to hydrogen technology. There are many processes for hydrogen production from both conventional and alternative energy resources such as natural gas, coal, nuclear, biomass, solar and wind. In this work, a comparative overview of the major hydrogen production methods is carried out. The process descriptions along with the technical and economic aspects of 14 different production methods are discussed. An overall comparison is carried out, and the results regarding both the conventional and renewable methods are presented. The thermochemical pyrolysis and gasification are economically viable approaches providing the highest potential to become competitive on a large scale in the near future while conventional methods retain their dominant role in H2 production with costs in the range of 1.34–2.27 $/kg. Biological methods appear to be a promising pathway but further research studies are needed to improve their production rates, while the low conversion efficiencies in combination with the high investment costs are the key restrictions for water-splitting technologies to compete with conventional methods. However, further development of these technologies along with significant innovations concerning H2 storage, transportation and utilization, implies the decrease of the national dependence on fossil fuel imports and green hydrogen will dominate over the traditional energy resources.","author":[{"dropping-particle":"","family":"Nikolaidis","given":"Pavlos","non-dropping-particle":"","parse-names":false,"suffix":""},{"dropping-particle":"","family":"Poullikkas","given":"Andreas","non-dropping-particle":"","parse-names":false,"suffix":""}],"container-title":"Renewable and Sustainable Energy Reviews","id":"ITEM-2","issued":{"date-parts":[["2017"]]},"page":"597-611","publisher":"Elsevier","title":"A comparative overview of hydrogen production processes","type":"article-journal","volume":"67"}}],"schema":"https://github.com/citation-style-language/schema/raw/master/csl-citation.json"} </w:instrText>
      </w:r>
      <w:r w:rsidR="00891239" w:rsidRPr="004D19FF">
        <w:rPr>
          <w:rFonts w:ascii="Times New Roman" w:hAnsi="Times New Roman"/>
          <w:sz w:val="20"/>
          <w:szCs w:val="20"/>
        </w:rPr>
        <w:fldChar w:fldCharType="separate"/>
      </w:r>
      <w:r w:rsidR="0051129D" w:rsidRPr="0051129D">
        <w:rPr>
          <w:rFonts w:ascii="Times New Roman" w:hAnsi="Times New Roman" w:cs="Times New Roman"/>
          <w:sz w:val="20"/>
        </w:rPr>
        <w:t>[18,141]</w:t>
      </w:r>
      <w:r w:rsidR="00891239" w:rsidRPr="004D19FF">
        <w:rPr>
          <w:rFonts w:ascii="Times New Roman" w:hAnsi="Times New Roman"/>
          <w:sz w:val="20"/>
          <w:szCs w:val="20"/>
        </w:rPr>
        <w:fldChar w:fldCharType="end"/>
      </w:r>
      <w:r w:rsidR="006C19F1">
        <w:rPr>
          <w:rFonts w:ascii="Times New Roman" w:hAnsi="Times New Roman"/>
          <w:sz w:val="20"/>
          <w:szCs w:val="20"/>
        </w:rPr>
        <w:t xml:space="preserve"> as summarized</w:t>
      </w:r>
      <w:r w:rsidR="002461CF" w:rsidRPr="004D19FF">
        <w:rPr>
          <w:rFonts w:ascii="Times New Roman" w:hAnsi="Times New Roman"/>
          <w:sz w:val="20"/>
          <w:szCs w:val="20"/>
        </w:rPr>
        <w:t xml:space="preserve"> in Fig. 1</w:t>
      </w:r>
      <w:r w:rsidR="00D728FF" w:rsidRPr="004D19FF">
        <w:rPr>
          <w:rFonts w:ascii="Times New Roman" w:hAnsi="Times New Roman"/>
          <w:sz w:val="20"/>
          <w:szCs w:val="20"/>
        </w:rPr>
        <w:t>1</w:t>
      </w:r>
      <w:r w:rsidR="00B02F2F" w:rsidRPr="004D19FF">
        <w:rPr>
          <w:rFonts w:ascii="Times New Roman" w:hAnsi="Times New Roman"/>
          <w:sz w:val="20"/>
          <w:szCs w:val="20"/>
        </w:rPr>
        <w:t>.</w:t>
      </w:r>
      <w:r w:rsidR="0088176F">
        <w:rPr>
          <w:rFonts w:ascii="Times New Roman" w:hAnsi="Times New Roman"/>
          <w:sz w:val="20"/>
          <w:szCs w:val="20"/>
        </w:rPr>
        <w:t xml:space="preserve"> The latter, along with photo-electrolysis, have however not been considered any further herein, being still in early development stages.</w:t>
      </w:r>
      <w:r w:rsidR="00B02F2F" w:rsidRPr="004D19FF">
        <w:rPr>
          <w:rFonts w:ascii="Times New Roman" w:hAnsi="Times New Roman"/>
          <w:sz w:val="20"/>
          <w:szCs w:val="20"/>
        </w:rPr>
        <w:t xml:space="preserve"> </w:t>
      </w:r>
    </w:p>
    <w:p w14:paraId="1C39D75E" w14:textId="74803287" w:rsidR="006C19F1" w:rsidRDefault="00FF6E56" w:rsidP="00B0794D">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Water electrolysis, in particular if </w:t>
      </w:r>
      <w:r w:rsidR="0068587C" w:rsidRPr="004D19FF">
        <w:rPr>
          <w:rFonts w:ascii="Times New Roman" w:hAnsi="Times New Roman"/>
          <w:sz w:val="20"/>
          <w:szCs w:val="20"/>
        </w:rPr>
        <w:t xml:space="preserve">powered with fluctuating power in excess </w:t>
      </w:r>
      <w:r w:rsidRPr="004D19FF">
        <w:rPr>
          <w:rFonts w:ascii="Times New Roman" w:hAnsi="Times New Roman"/>
          <w:sz w:val="20"/>
          <w:szCs w:val="20"/>
        </w:rPr>
        <w:t>of demand,</w:t>
      </w:r>
      <w:r w:rsidR="0068587C" w:rsidRPr="004D19FF">
        <w:rPr>
          <w:rFonts w:ascii="Times New Roman" w:hAnsi="Times New Roman"/>
          <w:sz w:val="20"/>
          <w:szCs w:val="20"/>
        </w:rPr>
        <w:t xml:space="preserve"> has</w:t>
      </w:r>
      <w:r w:rsidR="0033133C" w:rsidRPr="004D19FF">
        <w:rPr>
          <w:rFonts w:ascii="Times New Roman" w:hAnsi="Times New Roman"/>
          <w:sz w:val="20"/>
          <w:szCs w:val="20"/>
        </w:rPr>
        <w:t xml:space="preserve"> attracted growing attention as a process to ge</w:t>
      </w:r>
      <w:r w:rsidR="007E74ED">
        <w:rPr>
          <w:rFonts w:ascii="Times New Roman" w:hAnsi="Times New Roman"/>
          <w:sz w:val="20"/>
          <w:szCs w:val="20"/>
        </w:rPr>
        <w:t xml:space="preserve">nerate so-called green hydrogen </w:t>
      </w:r>
      <w:r w:rsidR="007E74ED">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uanOQiVE","properties":{"formattedCitation":"[140,149]","plainCitation":"[140,149]","noteIndex":0},"citationItems":[{"id":"968HXJ10/hQPkwX11","uris":["http://www.mendeley.com/documents/?uuid=6eb4cc9c-4cfb-4092-92f3-88e1ba251de8"],"uri":["http://www.mendeley.com/documents/?uuid=6eb4cc9c-4cfb-4092-92f3-88e1ba251de8"],"itemData":{"DOI":"10.1016/j.jclepro.2019.02.046","ISSN":"09596526","abstract":"In this study, different hydrogen production sources and systems and some hydrogen storage options are comparatively investigated in detail. Economic, environmental, social, and technical performance and reliability of the selected options are compared in detail. Biomass, geothermal, hydro, nuclear, solar, and wind are the selected hydrogen production sources; biological, thermal, photonic, and electrical are the selected hydrogen production methods; and chemical hydrides, compressed gas, cryogenic liquid, metal hydrides, and nanomaterials are the selected hydrogen storage systems. In addition, some case studies and basic research needs to enhance the performance of hydrogen energy systems and to tackle the major challenges of the hydrogen economy are provided. The results show that solar has the highest environmental performance (8/10) and the total average ranking (7.40/10), nuclear has the lowest environmental performance (3/10), and geothermal has the lowest total average ranking (4/10/10) among selected hydrogen production sources. Hydrogen production systems’ comparison indicates that photonic options have the highest environmental performance ranking (8/10), thermal options have the lowest environmental performance ranking (5/10), electrical options have the highest average ranking (7.60/10), and biological options have the lowest average ranking (4.80/10).","author":[{"dropping-particle":"","family":"Acar","given":"Canan","non-dropping-particle":"","parse-names":false,"suffix":""},{"dropping-particle":"","family":"Dincer","given":"Ibrahim","non-dropping-particle":"","parse-names":false,"suffix":""}],"container-title":"Journal of Cleaner Production","id":"ITEM-1","issued":{"date-parts":[["2019"]]},"page":"835-849","publisher":"Elsevier Ltd","title":"Review and evaluation of hydrogen production options for better environment","type":"article-journal","volume":"218"}},{"id":"968HXJ10/PZjMkH6F","uris":["http://www.mendeley.com/documents/?uuid=c4fbe68a-f559-4528-9e35-03ecb769b20e"],"uri":["http://www.mendeley.com/documents/?uuid=c4fbe68a-f559-4528-9e35-03ecb769b20e"],"itemData":{"DOI":"10.1016/j.rser.2017.05.069","ISSN":"18790690","abstract":"Tremendous research efforts have been dedicated towards development and utilization of sustainable alternative energy resources. Depletion of fossil fuels and the rising environmental concerns such as global warming are among the reasons that necessitated such. Hydrogen (H2) has been widely considered a clean fuel for the future, with the highest mass based energy density among known fuels. Bio-oil components are the most renewable energy carriers produced from bio-mass which have been selected for hydrogen production. Phenol and acetic acid are among the major liquid waste components of the bio oil. Catalytic steam reforming of these components in a fixed bed reactor provides a promising technique for hydrogen production from renewable sources. Due to the vital interaction that exists between catalyst and supports, Rh and Ni active metals and ZrO2, La2O3 and CeO2 supports were found to be appropriate catalysts with long-term stability for the hydrogen production via steam reforming of phenol and acetic acid. The process is advantageous due to its high hydrocarbon conversion and H2/CO2 product ratio. The present work provides extensive information about the phenol and acetic acid steam reforming process for producing hydrogen as a renewal energy carrier.","author":[{"dropping-particle":"","family":"Nabgan","given":"Walid","non-dropping-particle":"","parse-names":false,"suffix":""},{"dropping-particle":"","family":"Tuan Abdullah","given":"Tuan Amran","non-dropping-particle":"","parse-names":false,"suffix":""},{"dropping-particle":"","family":"Mat","given":"Ramli","non-dropping-particle":"","parse-names":false,"suffix":""},{"dropping-particle":"","family":"Nabgan","given":"Bahador","non-dropping-particle":"","parse-names":false,"suffix":""},{"dropping-particle":"","family":"Gambo","given":"Yahya","non-dropping-particle":"","parse-names":false,"suffix":""},{"dropping-particle":"","family":"Ibrahim","given":"Maryam","non-dropping-particle":"","parse-names":false,"suffix":""},{"dropping-particle":"","family":"Ahmad","given":"Arshad","non-dropping-particle":"","parse-names":false,"suffix":""},{"dropping-particle":"","family":"Jalil","given":"Aishah Abdul","non-dropping-particle":"","parse-names":false,"suffix":""},{"dropping-particle":"","family":"Triwahyono","given":"Sugeng","non-dropping-particle":"","parse-names":false,"suffix":""},{"dropping-particle":"","family":"Saeh","given":"Ibrahim","non-dropping-particle":"","parse-names":false,"suffix":""}],"container-title":"Renewable and Sustainable Energy Reviews","id":"ITEM-2","issue":"May","issued":{"date-parts":[["2017"]]},"page":"347-357","publisher":"Elsevier Ltd","title":"Renewable hydrogen production from bio-oil derivative via catalytic steam reforming: An overview","type":"article-journal","volume":"79"}}],"schema":"https://github.com/citation-style-language/schema/raw/master/csl-citation.json"} </w:instrText>
      </w:r>
      <w:r w:rsidR="007E74ED">
        <w:rPr>
          <w:rFonts w:ascii="Times New Roman" w:hAnsi="Times New Roman"/>
          <w:sz w:val="20"/>
          <w:szCs w:val="20"/>
        </w:rPr>
        <w:fldChar w:fldCharType="separate"/>
      </w:r>
      <w:r w:rsidR="00623E85" w:rsidRPr="00623E85">
        <w:rPr>
          <w:rFonts w:ascii="Times New Roman" w:hAnsi="Times New Roman" w:cs="Times New Roman"/>
          <w:sz w:val="20"/>
        </w:rPr>
        <w:t>[140,149]</w:t>
      </w:r>
      <w:r w:rsidR="007E74ED">
        <w:rPr>
          <w:rFonts w:ascii="Times New Roman" w:hAnsi="Times New Roman"/>
          <w:sz w:val="20"/>
          <w:szCs w:val="20"/>
        </w:rPr>
        <w:fldChar w:fldCharType="end"/>
      </w:r>
      <w:r w:rsidR="007E74ED">
        <w:rPr>
          <w:rFonts w:ascii="Times New Roman" w:hAnsi="Times New Roman"/>
          <w:sz w:val="20"/>
          <w:szCs w:val="20"/>
        </w:rPr>
        <w:t xml:space="preserve">. </w:t>
      </w:r>
      <w:r w:rsidR="0033133C" w:rsidRPr="004D19FF">
        <w:rPr>
          <w:rFonts w:ascii="Times New Roman" w:hAnsi="Times New Roman"/>
          <w:sz w:val="20"/>
          <w:szCs w:val="20"/>
        </w:rPr>
        <w:t xml:space="preserve">There are different water electrolysis technologies available such as alkaline electrolysis </w:t>
      </w:r>
      <w:r w:rsidR="002D610E"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JmbMPWRJ","properties":{"formattedCitation":"[150]","plainCitation":"[150]","noteIndex":0},"citationItems":[{"id":"968HXJ10/bKRzfo49","uris":["http://www.mendeley.com/documents/?uuid=819b08a7-dbc7-42ca-9f30-dd7be5d798c4"],"uri":["http://www.mendeley.com/documents/?uuid=819b08a7-dbc7-42ca-9f30-dd7be5d798c4"],"itemData":{"DOI":"10.1109/JPROC.2011.2156750","ISSN":"00189219","abstract":"This paper reviews water electrolysis technologies for hydrogen production and also surveys the state of the art of water electrolysis integration with renewable energies. First, attention is paid to the thermodynamic and electrochemical processes to better understand how electrolysis cells work and how they can be combined to build big electrolysis modules. The electrolysis process and the characteristics, advantages, drawbacks, and challenges of the three main existing electrolysis technologies, namely alkaline, polymer electrolyte membrane, and solid oxide electrolyte, are then discussed. Current manufacturers and the main features of commercially available electrolyzers are extensively reviewed. Finally, the possible configurations allowing the integration of water electrolysis units with renewable energy sources in both autonomous and grid-connected systems are presented and some relevant demonstration projects are commented. © 2006 IEEE.","author":[{"dropping-particle":"","family":"Ursúa","given":"Alfredo","non-dropping-particle":"","parse-names":false,"suffix":""},{"dropping-particle":"","family":"Gandía","given":"Luis M.","non-dropping-particle":"","parse-names":false,"suffix":""},{"dropping-particle":"","family":"Sanchis","given":"Pablo","non-dropping-particle":"","parse-names":false,"suffix":""}],"container-title":"Proceedings of the IEEE","id":"ITEM-1","issue":"2","issued":{"date-parts":[["2012"]]},"page":"410-426","title":"Hydrogen production from water electrolysis: Current status and future trends","type":"article-journal","volume":"100"}}],"schema":"https://github.com/citation-style-language/schema/raw/master/csl-citation.json"} </w:instrText>
      </w:r>
      <w:r w:rsidR="002D610E" w:rsidRPr="004D19FF">
        <w:rPr>
          <w:rFonts w:ascii="Times New Roman" w:hAnsi="Times New Roman"/>
          <w:sz w:val="20"/>
          <w:szCs w:val="20"/>
        </w:rPr>
        <w:fldChar w:fldCharType="separate"/>
      </w:r>
      <w:r w:rsidR="00623E85" w:rsidRPr="00623E85">
        <w:rPr>
          <w:rFonts w:ascii="Times New Roman" w:hAnsi="Times New Roman" w:cs="Times New Roman"/>
          <w:sz w:val="20"/>
        </w:rPr>
        <w:t>[150]</w:t>
      </w:r>
      <w:r w:rsidR="002D610E" w:rsidRPr="004D19FF">
        <w:rPr>
          <w:rFonts w:ascii="Times New Roman" w:hAnsi="Times New Roman"/>
          <w:sz w:val="20"/>
          <w:szCs w:val="20"/>
        </w:rPr>
        <w:fldChar w:fldCharType="end"/>
      </w:r>
      <w:r w:rsidR="0033133C" w:rsidRPr="007E74ED">
        <w:rPr>
          <w:rFonts w:ascii="Times New Roman" w:hAnsi="Times New Roman"/>
          <w:sz w:val="20"/>
          <w:szCs w:val="20"/>
        </w:rPr>
        <w:t xml:space="preserve">, proton/polymer exchange membrane (PEM) electrolysis </w:t>
      </w:r>
      <w:r w:rsidR="00B429FB"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bx3kMvr2","properties":{"formattedCitation":"[151]","plainCitation":"[151]","noteIndex":0},"citationItems":[{"id":"968HXJ10/fKhaJPXX","uris":["http://www.mendeley.com/documents/?uuid=7e25def0-aced-4c85-bf42-f412eaec7640"],"uri":["http://www.mendeley.com/documents/?uuid=7e25def0-aced-4c85-bf42-f412eaec7640"],"itemData":{"DOI":"10.1016/j.ijhydene.2013.01.151","ISSN":"03603199","abstract":"Hydrogen is often considered the best means by which to store energy coming from renewable and intermittent power sources. With the growing capacity of localized renewable energy sources surpassing the gigawatt range, a storage system of equal magnitude is required. PEM electrolysis provides a sustainable solution for the production of hydrogen, and is well suited to couple with energy sources such as wind and solar. However, due to low demand in electrolytic hydrogen in the last century, little research has been done on PEM electrolysis with many challenges still unexplored. The ever increasing desire for green energy has rekindled the interest on PEM electrolysis, thus the compilation and recovery of past research and developments is important and necessary. In this review, PEM water electrolysis is comprehensively highlighted and discussed. The challenges new and old related to electrocatalysts, solid electrolyte, current collectors, separator plates and modeling efforts will also be addressed. The main message is to clearly set the state-of-the-art for the PEM electrolysis technology, be insightful of the research that is already done and the challenges that still exist. This information will provide several future research directions and a road map in order to aid scientists in establishing PEM electrolysis as a commercially viable hydrogen production solution. Copyright © 2013, Hydrogen Energy Publications, LLC. Published by Elsevier Ltd. All rights reserved.","author":[{"dropping-particle":"","family":"Carmo","given":"Marcelo","non-dropping-particle":"","parse-names":false,"suffix":""},{"dropping-particle":"","family":"Fritz","given":"David L.","non-dropping-particle":"","parse-names":false,"suffix":""},{"dropping-particle":"","family":"Mergel","given":"Jürgen","non-dropping-particle":"","parse-names":false,"suffix":""},{"dropping-particle":"","family":"Stolten","given":"Detlef","non-dropping-particle":"","parse-names":false,"suffix":""}],"container-title":"International Journal of Hydrogen Energy","id":"ITEM-1","issue":"12","issued":{"date-parts":[["2013"]]},"page":"4901-4934","title":"A comprehensive review on PEM water electrolysis","type":"article-journal","volume":"38"}}],"schema":"https://github.com/citation-style-language/schema/raw/master/csl-citation.json"} </w:instrText>
      </w:r>
      <w:r w:rsidR="00B429FB" w:rsidRPr="004D19FF">
        <w:rPr>
          <w:rFonts w:ascii="Times New Roman" w:hAnsi="Times New Roman"/>
          <w:sz w:val="20"/>
          <w:szCs w:val="20"/>
        </w:rPr>
        <w:fldChar w:fldCharType="separate"/>
      </w:r>
      <w:r w:rsidR="00623E85" w:rsidRPr="00623E85">
        <w:rPr>
          <w:rFonts w:ascii="Times New Roman" w:hAnsi="Times New Roman" w:cs="Times New Roman"/>
          <w:sz w:val="20"/>
        </w:rPr>
        <w:t>[151]</w:t>
      </w:r>
      <w:r w:rsidR="00B429FB" w:rsidRPr="004D19FF">
        <w:rPr>
          <w:rFonts w:ascii="Times New Roman" w:hAnsi="Times New Roman"/>
          <w:sz w:val="20"/>
          <w:szCs w:val="20"/>
        </w:rPr>
        <w:fldChar w:fldCharType="end"/>
      </w:r>
      <w:r w:rsidR="0033133C" w:rsidRPr="004D19FF">
        <w:rPr>
          <w:rFonts w:ascii="Times New Roman" w:hAnsi="Times New Roman"/>
          <w:sz w:val="20"/>
          <w:szCs w:val="20"/>
          <w:lang w:val="fr-FR"/>
        </w:rPr>
        <w:t xml:space="preserve">, or solid oxide electrolysis (SOE) </w:t>
      </w:r>
      <w:r w:rsidR="00B429FB" w:rsidRPr="004D19FF">
        <w:rPr>
          <w:rFonts w:ascii="Times New Roman" w:hAnsi="Times New Roman"/>
          <w:sz w:val="20"/>
          <w:szCs w:val="20"/>
        </w:rPr>
        <w:fldChar w:fldCharType="begin" w:fldLock="1"/>
      </w:r>
      <w:r w:rsidR="00752A1E">
        <w:rPr>
          <w:rFonts w:ascii="Times New Roman" w:hAnsi="Times New Roman"/>
          <w:sz w:val="20"/>
          <w:szCs w:val="20"/>
          <w:lang w:val="fr-FR"/>
        </w:rPr>
        <w:instrText xml:space="preserve"> ADDIN ZOTERO_ITEM CSL_CITATION {"citationID":"VCouDlNg","properties":{"formattedCitation":"[152,153]","plainCitation":"[152,153]","noteIndex":0},"citationItems":[{"id":"968HXJ10/Pw1r7gAz","uris":["http://www.mendeley.com/documents/?uuid=3ea10122-06af-4e5a-8038-7990af64181d"],"uri":["http://www.mendeley.com/documents/?uuid=3ea10122-06af-4e5a-8038-7990af64181d"],"itemData":{"DOI":"10.1016/j.fuel.2015.05.020","ISSN":"00162361","abstract":"The catalytic conversion of non-edible oil was carried out over a Pd-based zeolite catalyst in a single-step process (SSP) with no added hydrogen to examine the possibility of the direct production of hydrocarbons in the ranges of jet fuel. The conversion of stearic acid, a model fatty acid compound, reached 100% and the proportion of hydrocarbons in the jet-fuel range was 69.3% over a Pd/beta-zeolite catalyst at 270 °C in a SSP. In addition, the obtained jet-fuel was composed of normal, isomer, and aromatic hydrocarbons, all of which were oxygen-free compounds. Through the catalytic conversion of raw materials, waste soy bean oil (SBO) and palm fatty acid distillate (PFAD), a high-quality jet-fuel product was also obtained in a SSP. The degree of oxygen removal was approximately 95% for the conversions of SBO and PFAD.","author":[{"dropping-particle":"","family":"Choi","given":"Il Ho","non-dropping-particle":"","parse-names":false,"suffix":""},{"dropping-particle":"","family":"Hwang","given":"Kyung Ran","non-dropping-particle":"","parse-names":false,"suffix":""},{"dropping-particle":"","family":"Han","given":"Jeong Sik","non-dropping-particle":"","parse-names":false,"suffix":""},{"dropping-particle":"","family":"Lee","given":"Kyong Hwan","non-dropping-particle":"","parse-names":false,"suffix":""},{"dropping-particle":"","family":"Yun","given":"Ji Sun","non-dropping-particle":"","parse-names":false,"suffix":""},{"dropping-particle":"","family":"Lee","given":"Jin Suk","non-dropping-particle":"","parse-names":false,"suffix":""}],"container-title":"Fuel","id":"ITEM-1","issued":{"date-parts":[["2015"]]},"page":"98-104","publisher":"Elsevier Ltd","title":"The direct production of jet-fuel from non-edible oil in a single-step process","type":"article-journal","volume":"158"}},{"id":"968HXJ10/WPstLAJT","uris":["http://www.mendeley.com/documents/?uuid=2dfe0615-eee8-4c26-8dd3-d14873410899"],"uri":["http://www.mendeley.com/documents/?uuid=2dfe0615-eee8-4c26-8dd3-d14873410899"],"itemData":{"DOI":"10.1002/adma.201902033","ISSN":"15214095","abstract":"High-temperature CO2 electrolysis in solid-oxide electrolysis cells (SOECs) could greatly assist in the reduction of CO2 emissions by electrochemically converting CO2 to valuable fuels through effective electrothermal activation of the stable CO bond. If powered by renewable energy resources, it could also provide an advanced energy-storage method for their intermittent output. Compared to low-temperature electrochemical CO2 reduction, CO2 electrolysis in SOECs at high temperature exhibits higher current density and energy efficiency and has thus attracted much recent a</w:instrText>
      </w:r>
      <w:r w:rsidR="00752A1E" w:rsidRPr="00752A1E">
        <w:rPr>
          <w:rFonts w:ascii="Times New Roman" w:hAnsi="Times New Roman"/>
          <w:sz w:val="20"/>
          <w:szCs w:val="20"/>
        </w:rPr>
        <w:instrText xml:space="preserve">ttention. The history of its development and its fundamental mechanisms, cathode materials, oxygen-ion-conducting electrolyte materials, and anode materials are highlighted. Electrode, electrolyte, and electrode–electrolyte interface degradation issues are comprehensively summarized. Fuel-assisted SOECs with low-cost fuels applied to the anode to decrease the overpotential and electricity consumption are introduced. Furthermore, the challenges and prospects for future research into high-temperature CO2 electrolysis in SOECs are included.","author":[{"dropping-particle":"","family":"Song","given":"Yuefeng","non-dropping-particle":"","parse-names":false,"suffix":""},{"dropping-particle":"","family":"Zhang","given":"Xiaomin","non-dropping-particle":"","parse-names":false,"suffix":""},{"dropping-particle":"","family":"Xie","given":"Kui","non-dropping-particle":"","parse-names":false,"suffix":""},{"dropping-particle":"","family":"Wang","given":"Guoxiong","non-dropping-particle":"","parse-names":false,"suffix":""},{"dropping-particle":"","family":"Bao","given":"Xinhe","non-dropping-particle":"","parse-names":false,"suffix":""}],"container-title":"Advanced Materials","id":"ITEM-2","issued":{"date-parts":[["2019"]]},"page":"1-18","title":"High-Temperature CO2 Electrolysis in Solid Oxide Electrolysis Cells: Developments, Challenges, and Prospects","type":"article-journal","volume":"1902033"}}],"schema":"https://github.com/citation-style-language/schema/raw/master/csl-citation.json"} </w:instrText>
      </w:r>
      <w:r w:rsidR="00B429FB" w:rsidRPr="004D19FF">
        <w:rPr>
          <w:rFonts w:ascii="Times New Roman" w:hAnsi="Times New Roman"/>
          <w:sz w:val="20"/>
          <w:szCs w:val="20"/>
        </w:rPr>
        <w:fldChar w:fldCharType="separate"/>
      </w:r>
      <w:r w:rsidR="00623E85" w:rsidRPr="00623E85">
        <w:rPr>
          <w:rFonts w:ascii="Times New Roman" w:hAnsi="Times New Roman" w:cs="Times New Roman"/>
          <w:sz w:val="20"/>
        </w:rPr>
        <w:t>[152,153]</w:t>
      </w:r>
      <w:r w:rsidR="00B429FB" w:rsidRPr="004D19FF">
        <w:rPr>
          <w:rFonts w:ascii="Times New Roman" w:hAnsi="Times New Roman"/>
          <w:sz w:val="20"/>
          <w:szCs w:val="20"/>
        </w:rPr>
        <w:fldChar w:fldCharType="end"/>
      </w:r>
      <w:r w:rsidR="00D0496E" w:rsidRPr="004D19FF">
        <w:rPr>
          <w:rFonts w:ascii="Times New Roman" w:hAnsi="Times New Roman"/>
          <w:sz w:val="20"/>
          <w:szCs w:val="20"/>
        </w:rPr>
        <w:t xml:space="preserve"> (details </w:t>
      </w:r>
      <w:r w:rsidRPr="004D19FF">
        <w:rPr>
          <w:rFonts w:ascii="Times New Roman" w:hAnsi="Times New Roman"/>
          <w:sz w:val="20"/>
          <w:szCs w:val="20"/>
        </w:rPr>
        <w:t xml:space="preserve">on these technologies </w:t>
      </w:r>
      <w:r w:rsidR="00D0496E" w:rsidRPr="004D19FF">
        <w:rPr>
          <w:rFonts w:ascii="Times New Roman" w:hAnsi="Times New Roman"/>
          <w:sz w:val="20"/>
          <w:szCs w:val="20"/>
        </w:rPr>
        <w:t>are presented in the SM</w:t>
      </w:r>
      <w:r w:rsidR="00940216">
        <w:rPr>
          <w:rFonts w:ascii="Times New Roman" w:hAnsi="Times New Roman"/>
          <w:sz w:val="20"/>
          <w:szCs w:val="20"/>
        </w:rPr>
        <w:t>1</w:t>
      </w:r>
      <w:r w:rsidR="00D0496E" w:rsidRPr="004D19FF">
        <w:rPr>
          <w:rFonts w:ascii="Times New Roman" w:hAnsi="Times New Roman"/>
          <w:sz w:val="20"/>
          <w:szCs w:val="20"/>
        </w:rPr>
        <w:t>).</w:t>
      </w:r>
      <w:r w:rsidR="001A54AD" w:rsidRPr="004D19FF">
        <w:rPr>
          <w:rFonts w:ascii="Times New Roman" w:hAnsi="Times New Roman"/>
          <w:sz w:val="20"/>
          <w:szCs w:val="20"/>
        </w:rPr>
        <w:t xml:space="preserve"> </w:t>
      </w:r>
    </w:p>
    <w:p w14:paraId="6A0CAE9C" w14:textId="77777777" w:rsidR="00041C04" w:rsidRPr="004D19FF" w:rsidRDefault="00AF19F3" w:rsidP="00B0794D">
      <w:pPr>
        <w:spacing w:after="120" w:line="276" w:lineRule="auto"/>
        <w:jc w:val="thaiDistribute"/>
        <w:rPr>
          <w:rFonts w:ascii="Times New Roman" w:hAnsi="Times New Roman"/>
          <w:i/>
          <w:sz w:val="20"/>
          <w:szCs w:val="20"/>
        </w:rPr>
      </w:pPr>
      <w:r w:rsidRPr="004D19FF">
        <w:rPr>
          <w:rFonts w:ascii="Times New Roman" w:hAnsi="Times New Roman"/>
          <w:i/>
          <w:sz w:val="20"/>
          <w:szCs w:val="20"/>
        </w:rPr>
        <w:t>3</w:t>
      </w:r>
      <w:r w:rsidR="00BE215B" w:rsidRPr="004D19FF">
        <w:rPr>
          <w:rFonts w:ascii="Times New Roman" w:hAnsi="Times New Roman"/>
          <w:i/>
          <w:sz w:val="20"/>
          <w:szCs w:val="20"/>
        </w:rPr>
        <w:t>.2 Carbon sourcing</w:t>
      </w:r>
    </w:p>
    <w:p w14:paraId="039389C4" w14:textId="533C15AC" w:rsidR="00114F5D" w:rsidRPr="004D19FF" w:rsidRDefault="0083181C" w:rsidP="00B0794D">
      <w:pPr>
        <w:spacing w:after="120" w:line="276" w:lineRule="auto"/>
        <w:jc w:val="thaiDistribute"/>
        <w:rPr>
          <w:rFonts w:ascii="Times New Roman" w:hAnsi="Times New Roman"/>
          <w:sz w:val="20"/>
          <w:szCs w:val="20"/>
        </w:rPr>
      </w:pPr>
      <w:r w:rsidRPr="004D19FF">
        <w:rPr>
          <w:rFonts w:ascii="Times New Roman" w:hAnsi="Times New Roman"/>
          <w:sz w:val="20"/>
          <w:szCs w:val="20"/>
        </w:rPr>
        <w:t>The supply of CO</w:t>
      </w:r>
      <w:r w:rsidRPr="004D19FF">
        <w:rPr>
          <w:rFonts w:ascii="Times New Roman" w:hAnsi="Times New Roman"/>
          <w:sz w:val="20"/>
          <w:szCs w:val="20"/>
          <w:vertAlign w:val="subscript"/>
        </w:rPr>
        <w:t>2</w:t>
      </w:r>
      <w:r w:rsidR="00BE215B" w:rsidRPr="004D19FF">
        <w:rPr>
          <w:rFonts w:ascii="Times New Roman" w:hAnsi="Times New Roman"/>
          <w:sz w:val="20"/>
          <w:szCs w:val="20"/>
        </w:rPr>
        <w:t xml:space="preserve"> may stem from a variety of sources including air</w:t>
      </w:r>
      <w:r w:rsidR="001B244B" w:rsidRPr="004D19FF">
        <w:rPr>
          <w:rFonts w:ascii="Times New Roman" w:hAnsi="Times New Roman"/>
          <w:sz w:val="20"/>
          <w:szCs w:val="20"/>
        </w:rPr>
        <w:t xml:space="preserve"> (DAC)</w:t>
      </w:r>
      <w:r w:rsidR="00BE215B" w:rsidRPr="004D19FF">
        <w:rPr>
          <w:rFonts w:ascii="Times New Roman" w:hAnsi="Times New Roman"/>
          <w:sz w:val="20"/>
          <w:szCs w:val="20"/>
        </w:rPr>
        <w:t xml:space="preserve">, </w:t>
      </w:r>
      <w:r w:rsidRPr="004D19FF">
        <w:rPr>
          <w:rFonts w:ascii="Times New Roman" w:hAnsi="Times New Roman"/>
          <w:sz w:val="20"/>
          <w:szCs w:val="20"/>
        </w:rPr>
        <w:t xml:space="preserve">gas </w:t>
      </w:r>
      <w:r w:rsidR="001B244B" w:rsidRPr="004D19FF">
        <w:rPr>
          <w:rFonts w:ascii="Times New Roman" w:hAnsi="Times New Roman"/>
          <w:sz w:val="20"/>
          <w:szCs w:val="20"/>
        </w:rPr>
        <w:t xml:space="preserve">mixture </w:t>
      </w:r>
      <w:r w:rsidRPr="004D19FF">
        <w:rPr>
          <w:rFonts w:ascii="Times New Roman" w:hAnsi="Times New Roman"/>
          <w:sz w:val="20"/>
          <w:szCs w:val="20"/>
        </w:rPr>
        <w:t xml:space="preserve">from </w:t>
      </w:r>
      <w:r w:rsidR="00BE215B" w:rsidRPr="004D19FF">
        <w:rPr>
          <w:rFonts w:ascii="Times New Roman" w:hAnsi="Times New Roman"/>
          <w:sz w:val="20"/>
          <w:szCs w:val="20"/>
        </w:rPr>
        <w:t xml:space="preserve">gasified/digested biomass (as detailed in </w:t>
      </w:r>
      <w:r w:rsidR="007E73A4" w:rsidRPr="004D19FF">
        <w:rPr>
          <w:rFonts w:ascii="Times New Roman" w:hAnsi="Times New Roman"/>
          <w:sz w:val="20"/>
          <w:szCs w:val="20"/>
        </w:rPr>
        <w:t>section 2.2.1</w:t>
      </w:r>
      <w:r w:rsidR="00BE215B" w:rsidRPr="004D19FF">
        <w:rPr>
          <w:rFonts w:ascii="Times New Roman" w:hAnsi="Times New Roman"/>
          <w:sz w:val="20"/>
          <w:szCs w:val="20"/>
        </w:rPr>
        <w:t>)</w:t>
      </w:r>
      <w:r w:rsidR="001B244B" w:rsidRPr="004D19FF">
        <w:rPr>
          <w:rFonts w:ascii="Times New Roman" w:hAnsi="Times New Roman"/>
          <w:sz w:val="20"/>
          <w:szCs w:val="20"/>
        </w:rPr>
        <w:t>, mine gases,</w:t>
      </w:r>
      <w:r w:rsidR="00BE215B" w:rsidRPr="004D19FF">
        <w:rPr>
          <w:rFonts w:ascii="Times New Roman" w:hAnsi="Times New Roman"/>
          <w:sz w:val="20"/>
          <w:szCs w:val="20"/>
        </w:rPr>
        <w:t xml:space="preserve"> or </w:t>
      </w:r>
      <w:r w:rsidRPr="004D19FF">
        <w:rPr>
          <w:rFonts w:ascii="Times New Roman" w:hAnsi="Times New Roman"/>
          <w:sz w:val="20"/>
          <w:szCs w:val="20"/>
        </w:rPr>
        <w:t xml:space="preserve">from </w:t>
      </w:r>
      <w:r w:rsidR="00BE215B" w:rsidRPr="004D19FF">
        <w:rPr>
          <w:rFonts w:ascii="Times New Roman" w:hAnsi="Times New Roman"/>
          <w:sz w:val="20"/>
          <w:szCs w:val="20"/>
        </w:rPr>
        <w:t xml:space="preserve">industrial waste </w:t>
      </w:r>
      <w:r w:rsidR="001B244B" w:rsidRPr="004D19FF">
        <w:rPr>
          <w:rFonts w:ascii="Times New Roman" w:hAnsi="Times New Roman"/>
          <w:sz w:val="20"/>
          <w:szCs w:val="20"/>
        </w:rPr>
        <w:t xml:space="preserve">(such as biofuel/bioethanol </w:t>
      </w:r>
      <w:r w:rsidR="00BE215B" w:rsidRPr="004D19FF">
        <w:rPr>
          <w:rFonts w:ascii="Times New Roman" w:hAnsi="Times New Roman"/>
          <w:sz w:val="20"/>
          <w:szCs w:val="20"/>
        </w:rPr>
        <w:t>production, was</w:t>
      </w:r>
      <w:r w:rsidRPr="004D19FF">
        <w:rPr>
          <w:rFonts w:ascii="Times New Roman" w:hAnsi="Times New Roman"/>
          <w:sz w:val="20"/>
          <w:szCs w:val="20"/>
        </w:rPr>
        <w:t xml:space="preserve">te </w:t>
      </w:r>
      <w:r w:rsidR="009E21CB">
        <w:rPr>
          <w:rFonts w:ascii="Times New Roman" w:hAnsi="Times New Roman"/>
          <w:sz w:val="20"/>
          <w:szCs w:val="20"/>
        </w:rPr>
        <w:t>gases from steel production and</w:t>
      </w:r>
      <w:r w:rsidRPr="004D19FF">
        <w:rPr>
          <w:rFonts w:ascii="Times New Roman" w:hAnsi="Times New Roman"/>
          <w:sz w:val="20"/>
          <w:szCs w:val="20"/>
        </w:rPr>
        <w:t xml:space="preserve"> </w:t>
      </w:r>
      <w:r w:rsidR="00BE215B" w:rsidRPr="004D19FF">
        <w:rPr>
          <w:rFonts w:ascii="Times New Roman" w:hAnsi="Times New Roman"/>
          <w:sz w:val="20"/>
          <w:szCs w:val="20"/>
        </w:rPr>
        <w:t xml:space="preserve">cement industry, </w:t>
      </w:r>
      <w:r w:rsidRPr="004D19FF">
        <w:rPr>
          <w:rFonts w:ascii="Times New Roman" w:hAnsi="Times New Roman"/>
          <w:sz w:val="20"/>
          <w:szCs w:val="20"/>
        </w:rPr>
        <w:t xml:space="preserve">from </w:t>
      </w:r>
      <w:r w:rsidR="00BE215B" w:rsidRPr="004D19FF">
        <w:rPr>
          <w:rFonts w:ascii="Times New Roman" w:hAnsi="Times New Roman"/>
          <w:sz w:val="20"/>
          <w:szCs w:val="20"/>
        </w:rPr>
        <w:t>biogas upgrading process, etc.)</w:t>
      </w:r>
      <w:r w:rsidR="00DA18C2" w:rsidRPr="004D19FF">
        <w:rPr>
          <w:rFonts w:ascii="Times New Roman" w:hAnsi="Times New Roman"/>
          <w:sz w:val="20"/>
          <w:szCs w:val="20"/>
        </w:rPr>
        <w:t xml:space="preserve"> </w:t>
      </w:r>
      <w:r w:rsidR="00214C77"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DS7LScNV","properties":{"formattedCitation":"[83,154]","plainCitation":"[83,154]","noteIndex":0},"citationItems":[{"id":"968HXJ10/DUfwVv3U","uris":["http://www.mendeley.com/documents/?uuid=de6b0d57-2dc5-4f01-ae2d-0cb5b469df62"],"uri":["http://www.mendeley.com/documents/?uuid=de6b0d57-2dc5-4f01-ae2d-0cb5b469df62"],"itemData":{"DOI":"10.1021/acs.iecr.5b03215","ISSN":"15205045","abstract":"LanzaTech has developed novel microbial bioreactor systems capable of direct gas fermentation to produce ethanol from carbon-containing gases. In this study, a life-cycle assessment method is used to quantify the global warming potential of several scenarios for producing renewable ethanol with the LanzaTech process. Scenarios considering ethanol produced from steel mill waste gases or biomass (corn stover, forest residue, or switchgrass, via gasification) have been considered, using input data from peer-reviewed literature, government reports, life cycle inventory databases, and LanzaTech process engineering estimates. Using standardized life-cycle assessment methods, ethanol produced via LanzaTech fermentation appears to result in greenhouse gas emissions that are at least 60% lower than that of conventional fossil gasoline, with biomass-based ethanol achieving close to 90% emission reductions. Results indicate that the LanzaTech gas fermentation technology can be a viable alternative for producing next-generation biofuels that satisfy United States Renewable Fuels Standard policies concerning fuels with a reduced greenhouse gas emissions footprint.","author":[{"dropping-particle":"","family":"Handler","given":"Robert M.","non-dropping-particle":"","parse-names":false,"suffix":""},{"dropping-particle":"","family":"Shonnard","given":"David R.","non-dropping-particle":"","parse-names":false,"suffix":""},{"dropping-particle":"","family":"Griffing","given":"Evan M.","non-dropping-particle":"","parse-names":false,"suffix":""},{"dropping-particle":"","family":"Lai","given":"Andrea","non-dropping-particle":"","parse-names":false,"suffix":""},{"dropping-particle":"","family":"Palou-Rivera","given":"Ignasi","non-dropping-particle":"","parse-names":false,"suffix":""}],"container-title":"Industrial and Engineering Chemistry Research","id":"ITEM-1","issue":"12","issued":{"date-parts":[["2016"]]},"page":"3253-3261","title":"Life Cycle Assessments of Ethanol Production via Gas Fermentation: Anticipated Greenhouse Gas Emissions for Cellulosic and Waste Gas Feedstocks","type":"article-journal","volume":"55"}},{"id":"968HXJ10/G9b21h5D","uris":["http://www.mendeley.com/documents/?uuid=d063c1d3-4a85-441b-a308-3cb7d29b194b"],"uri":["http://www.mendeley.com/documents/?uuid=d063c1d3-4a85-441b-a308-3cb7d29b194b"],"itemData":{"author":[{"dropping-particle":"","family":"Malins","given":"Chris","non-dropping-particle":"","parse-names":false,"suffix":""}],"container-title":"Cerulogy","id":"ITEM-2","issue":"November","issued":{"date-parts":[["2017"]]},"title":"What role is there for electrofuel technologies in European transport’s low carbon future?","type":"article-journal"}}],"schema":"https://github.com/citation-style-language/schema/raw/master/csl-citation.json"} </w:instrText>
      </w:r>
      <w:r w:rsidR="00214C77" w:rsidRPr="004D19FF">
        <w:rPr>
          <w:rFonts w:ascii="Times New Roman" w:hAnsi="Times New Roman"/>
          <w:sz w:val="20"/>
          <w:szCs w:val="20"/>
        </w:rPr>
        <w:fldChar w:fldCharType="separate"/>
      </w:r>
      <w:r w:rsidR="005D3B73" w:rsidRPr="005D3B73">
        <w:rPr>
          <w:rFonts w:ascii="Times New Roman" w:hAnsi="Times New Roman" w:cs="Times New Roman"/>
          <w:sz w:val="20"/>
        </w:rPr>
        <w:t>[83,154]</w:t>
      </w:r>
      <w:r w:rsidR="00214C77" w:rsidRPr="004D19FF">
        <w:rPr>
          <w:rFonts w:ascii="Times New Roman" w:hAnsi="Times New Roman"/>
          <w:sz w:val="20"/>
          <w:szCs w:val="20"/>
        </w:rPr>
        <w:fldChar w:fldCharType="end"/>
      </w:r>
      <w:r w:rsidR="00652B48" w:rsidRPr="004D19FF">
        <w:rPr>
          <w:rFonts w:ascii="Times New Roman" w:hAnsi="Times New Roman"/>
          <w:sz w:val="20"/>
          <w:szCs w:val="20"/>
        </w:rPr>
        <w:t>.</w:t>
      </w:r>
      <w:r w:rsidR="00DA18C2" w:rsidRPr="004D19FF">
        <w:rPr>
          <w:rFonts w:ascii="Times New Roman" w:hAnsi="Times New Roman"/>
          <w:sz w:val="20"/>
          <w:szCs w:val="20"/>
        </w:rPr>
        <w:t xml:space="preserve"> </w:t>
      </w:r>
      <w:r w:rsidR="00544146" w:rsidRPr="004D19FF">
        <w:rPr>
          <w:rFonts w:ascii="Times New Roman" w:hAnsi="Times New Roman"/>
          <w:sz w:val="20"/>
          <w:szCs w:val="20"/>
        </w:rPr>
        <w:t>Except DAC, these C sources</w:t>
      </w:r>
      <w:r w:rsidR="00BE215B" w:rsidRPr="004D19FF">
        <w:rPr>
          <w:rFonts w:ascii="Times New Roman" w:hAnsi="Times New Roman"/>
          <w:sz w:val="20"/>
          <w:szCs w:val="20"/>
        </w:rPr>
        <w:t xml:space="preserve"> involve the recovery at point sources and requires </w:t>
      </w:r>
      <w:r w:rsidRPr="004D19FF">
        <w:rPr>
          <w:rFonts w:ascii="Times New Roman" w:hAnsi="Times New Roman"/>
          <w:sz w:val="20"/>
          <w:szCs w:val="20"/>
        </w:rPr>
        <w:t>CO</w:t>
      </w:r>
      <w:r w:rsidRPr="004D19FF">
        <w:rPr>
          <w:rFonts w:ascii="Times New Roman" w:hAnsi="Times New Roman"/>
          <w:sz w:val="20"/>
          <w:szCs w:val="20"/>
          <w:vertAlign w:val="subscript"/>
        </w:rPr>
        <w:t>2</w:t>
      </w:r>
      <w:r w:rsidR="00BE215B" w:rsidRPr="004D19FF">
        <w:rPr>
          <w:rFonts w:ascii="Times New Roman" w:hAnsi="Times New Roman"/>
          <w:sz w:val="20"/>
          <w:szCs w:val="20"/>
        </w:rPr>
        <w:t xml:space="preserve"> capture technologies, further described in the SM</w:t>
      </w:r>
      <w:r w:rsidR="00585DBF">
        <w:rPr>
          <w:rFonts w:ascii="Times New Roman" w:hAnsi="Times New Roman"/>
          <w:sz w:val="20"/>
          <w:szCs w:val="20"/>
        </w:rPr>
        <w:t>1</w:t>
      </w:r>
      <w:r w:rsidR="00BE215B" w:rsidRPr="004D19FF">
        <w:rPr>
          <w:rFonts w:ascii="Times New Roman" w:hAnsi="Times New Roman"/>
          <w:sz w:val="20"/>
          <w:szCs w:val="20"/>
        </w:rPr>
        <w:t>.</w:t>
      </w:r>
      <w:r w:rsidR="00DA18C2" w:rsidRPr="004D19FF">
        <w:rPr>
          <w:rFonts w:ascii="Times New Roman" w:hAnsi="Times New Roman"/>
          <w:sz w:val="20"/>
          <w:szCs w:val="20"/>
        </w:rPr>
        <w:t xml:space="preserve"> </w:t>
      </w:r>
      <w:r w:rsidR="00BA4948" w:rsidRPr="004D19FF">
        <w:rPr>
          <w:rFonts w:ascii="Times New Roman" w:hAnsi="Times New Roman"/>
          <w:sz w:val="20"/>
          <w:szCs w:val="20"/>
        </w:rPr>
        <w:t xml:space="preserve">There are two major technical approaches for </w:t>
      </w:r>
      <w:r w:rsidR="00C9240F" w:rsidRPr="004D19FF">
        <w:rPr>
          <w:rFonts w:ascii="Times New Roman" w:hAnsi="Times New Roman"/>
          <w:sz w:val="20"/>
          <w:szCs w:val="20"/>
        </w:rPr>
        <w:t>DAC</w:t>
      </w:r>
      <w:r w:rsidR="00C551EB" w:rsidRPr="004D19FF">
        <w:rPr>
          <w:rFonts w:ascii="Times New Roman" w:hAnsi="Times New Roman"/>
          <w:sz w:val="20"/>
          <w:szCs w:val="20"/>
        </w:rPr>
        <w:t>. One is based on the ab</w:t>
      </w:r>
      <w:r w:rsidR="00BA4948" w:rsidRPr="004D19FF">
        <w:rPr>
          <w:rFonts w:ascii="Times New Roman" w:hAnsi="Times New Roman"/>
          <w:sz w:val="20"/>
          <w:szCs w:val="20"/>
        </w:rPr>
        <w:t>sorption of CO</w:t>
      </w:r>
      <w:r w:rsidR="00BA4948" w:rsidRPr="004D19FF">
        <w:rPr>
          <w:rFonts w:ascii="Times New Roman" w:hAnsi="Times New Roman"/>
          <w:sz w:val="20"/>
          <w:szCs w:val="20"/>
          <w:vertAlign w:val="subscript"/>
        </w:rPr>
        <w:t>2</w:t>
      </w:r>
      <w:r w:rsidR="00BA4948" w:rsidRPr="004D19FF">
        <w:rPr>
          <w:rFonts w:ascii="Times New Roman" w:hAnsi="Times New Roman"/>
          <w:sz w:val="20"/>
          <w:szCs w:val="20"/>
        </w:rPr>
        <w:t xml:space="preserve"> using </w:t>
      </w:r>
      <w:r w:rsidR="00F3602C" w:rsidRPr="004D19FF">
        <w:rPr>
          <w:rFonts w:ascii="Times New Roman" w:hAnsi="Times New Roman"/>
          <w:sz w:val="20"/>
          <w:szCs w:val="20"/>
        </w:rPr>
        <w:t xml:space="preserve">low-toxicity </w:t>
      </w:r>
      <w:r w:rsidR="00BA4948" w:rsidRPr="004D19FF">
        <w:rPr>
          <w:rFonts w:ascii="Times New Roman" w:hAnsi="Times New Roman"/>
          <w:sz w:val="20"/>
          <w:szCs w:val="20"/>
        </w:rPr>
        <w:t xml:space="preserve">solvents such as water </w:t>
      </w:r>
      <w:r w:rsidR="00F3602C" w:rsidRPr="004D19FF">
        <w:rPr>
          <w:rFonts w:ascii="Times New Roman" w:hAnsi="Times New Roman"/>
          <w:sz w:val="20"/>
          <w:szCs w:val="20"/>
        </w:rPr>
        <w:t>(through a scrubbing process)</w:t>
      </w:r>
      <w:r w:rsidR="00BA4948" w:rsidRPr="004D19FF">
        <w:rPr>
          <w:rFonts w:ascii="Times New Roman" w:hAnsi="Times New Roman"/>
          <w:sz w:val="20"/>
          <w:szCs w:val="20"/>
        </w:rPr>
        <w:t xml:space="preserve"> </w:t>
      </w:r>
      <w:r w:rsidR="00F3602C" w:rsidRPr="004D19FF">
        <w:rPr>
          <w:rFonts w:ascii="Times New Roman" w:hAnsi="Times New Roman"/>
          <w:sz w:val="20"/>
          <w:szCs w:val="20"/>
        </w:rPr>
        <w:t xml:space="preserve">and </w:t>
      </w:r>
      <w:r w:rsidR="00BA4948" w:rsidRPr="004D19FF">
        <w:rPr>
          <w:rFonts w:ascii="Times New Roman" w:hAnsi="Times New Roman"/>
          <w:sz w:val="20"/>
          <w:szCs w:val="20"/>
        </w:rPr>
        <w:t>alkaline aqueous solution</w:t>
      </w:r>
      <w:r w:rsidR="00F3602C" w:rsidRPr="004D19FF">
        <w:rPr>
          <w:rFonts w:ascii="Times New Roman" w:hAnsi="Times New Roman"/>
          <w:sz w:val="20"/>
          <w:szCs w:val="20"/>
        </w:rPr>
        <w:t>s</w:t>
      </w:r>
      <w:r w:rsidR="00BA4948" w:rsidRPr="004D19FF">
        <w:rPr>
          <w:rFonts w:ascii="Times New Roman" w:hAnsi="Times New Roman"/>
          <w:sz w:val="20"/>
          <w:szCs w:val="20"/>
        </w:rPr>
        <w:t xml:space="preserve"> (NaOH, Ca(OH)</w:t>
      </w:r>
      <w:r w:rsidR="00BA4948" w:rsidRPr="004D19FF">
        <w:rPr>
          <w:rFonts w:ascii="Times New Roman" w:hAnsi="Times New Roman"/>
          <w:sz w:val="20"/>
          <w:szCs w:val="20"/>
          <w:vertAlign w:val="subscript"/>
        </w:rPr>
        <w:t>2</w:t>
      </w:r>
      <w:r w:rsidR="00BA4948" w:rsidRPr="004D19FF">
        <w:rPr>
          <w:rFonts w:ascii="Times New Roman" w:hAnsi="Times New Roman"/>
          <w:sz w:val="20"/>
          <w:szCs w:val="20"/>
        </w:rPr>
        <w:t xml:space="preserve"> KOH) with a </w:t>
      </w:r>
      <w:r w:rsidR="00BA4948" w:rsidRPr="004D19FF">
        <w:rPr>
          <w:rFonts w:ascii="Times New Roman" w:hAnsi="Times New Roman"/>
          <w:sz w:val="20"/>
          <w:szCs w:val="20"/>
        </w:rPr>
        <w:lastRenderedPageBreak/>
        <w:t>CO</w:t>
      </w:r>
      <w:r w:rsidR="00BA4948" w:rsidRPr="004D19FF">
        <w:rPr>
          <w:rFonts w:ascii="Times New Roman" w:hAnsi="Times New Roman"/>
          <w:sz w:val="20"/>
          <w:szCs w:val="20"/>
          <w:vertAlign w:val="subscript"/>
        </w:rPr>
        <w:t>2</w:t>
      </w:r>
      <w:r w:rsidR="00BA4948" w:rsidRPr="004D19FF">
        <w:rPr>
          <w:rFonts w:ascii="Times New Roman" w:hAnsi="Times New Roman"/>
          <w:sz w:val="20"/>
          <w:szCs w:val="20"/>
        </w:rPr>
        <w:t xml:space="preserve"> strong affinity.</w:t>
      </w:r>
      <w:r w:rsidR="00DA18C2" w:rsidRPr="004D19FF">
        <w:rPr>
          <w:rFonts w:ascii="Times New Roman" w:hAnsi="Times New Roman"/>
          <w:sz w:val="20"/>
          <w:szCs w:val="20"/>
        </w:rPr>
        <w:t xml:space="preserve"> In addition to water and alkaline solution</w:t>
      </w:r>
      <w:r w:rsidR="00F3602C" w:rsidRPr="004D19FF">
        <w:rPr>
          <w:rFonts w:ascii="Times New Roman" w:hAnsi="Times New Roman"/>
          <w:sz w:val="20"/>
          <w:szCs w:val="20"/>
        </w:rPr>
        <w:t>s</w:t>
      </w:r>
      <w:r w:rsidR="00DA18C2" w:rsidRPr="004D19FF">
        <w:rPr>
          <w:rFonts w:ascii="Times New Roman" w:hAnsi="Times New Roman"/>
          <w:sz w:val="20"/>
          <w:szCs w:val="20"/>
        </w:rPr>
        <w:t>, amino acid salt, ammonia, polyglycol ether and ionic liquid</w:t>
      </w:r>
      <w:r w:rsidR="00215B3F" w:rsidRPr="004D19FF">
        <w:rPr>
          <w:rFonts w:ascii="Times New Roman" w:hAnsi="Times New Roman"/>
          <w:sz w:val="20"/>
          <w:szCs w:val="20"/>
        </w:rPr>
        <w:t>s</w:t>
      </w:r>
      <w:r w:rsidR="00DA18C2" w:rsidRPr="004D19FF">
        <w:rPr>
          <w:rFonts w:ascii="Times New Roman" w:hAnsi="Times New Roman"/>
          <w:sz w:val="20"/>
          <w:szCs w:val="20"/>
        </w:rPr>
        <w:t xml:space="preserve"> can </w:t>
      </w:r>
      <w:r w:rsidR="00B71715" w:rsidRPr="004D19FF">
        <w:rPr>
          <w:rFonts w:ascii="Times New Roman" w:hAnsi="Times New Roman"/>
          <w:sz w:val="20"/>
          <w:szCs w:val="20"/>
        </w:rPr>
        <w:t xml:space="preserve">also </w:t>
      </w:r>
      <w:r w:rsidR="00DA18C2" w:rsidRPr="004D19FF">
        <w:rPr>
          <w:rFonts w:ascii="Times New Roman" w:hAnsi="Times New Roman"/>
          <w:sz w:val="20"/>
          <w:szCs w:val="20"/>
        </w:rPr>
        <w:t>be used as solvent for CO</w:t>
      </w:r>
      <w:r w:rsidR="00DA18C2" w:rsidRPr="004D19FF">
        <w:rPr>
          <w:rFonts w:ascii="Times New Roman" w:hAnsi="Times New Roman"/>
          <w:sz w:val="20"/>
          <w:szCs w:val="20"/>
          <w:vertAlign w:val="subscript"/>
        </w:rPr>
        <w:t>2</w:t>
      </w:r>
      <w:r w:rsidR="00DA18C2" w:rsidRPr="004D19FF">
        <w:rPr>
          <w:rFonts w:ascii="Times New Roman" w:hAnsi="Times New Roman"/>
          <w:sz w:val="20"/>
          <w:szCs w:val="20"/>
        </w:rPr>
        <w:t xml:space="preserve"> extraction </w:t>
      </w:r>
      <w:r w:rsidR="00A96127"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dAxk8sy7","properties":{"formattedCitation":"[155]","plainCitation":"[155]","noteIndex":0},"citationItems":[{"id":"968HXJ10/ExbaVYl9","uris":["http://www.mendeley.com/documents/?uuid=1e795808-23ae-48ae-8df1-4016c2604777"],"uri":["http://www.mendeley.com/documents/?uuid=1e795808-23ae-48ae-8df1-4016c2604777"],"itemData":{"DOI":"10.1016/j.apenergy.2012.09.009","ISSN":"03062619","abstract":"Carbon dioxide (CO2) emissions are believed to be a major contributor to global warming. As a consequence, large anthropogenic CO2 sources worldwide will eventually be required to implement CO2 capture and storage technologies to control CO2 emissions. In order to guide the establishment of policies for CO2 removal, we reviewed the current status of CO2 capture patents and technologies based on the Espacenet patent database and found that more than 1000 patents have been published on sorbent, solvent, and membrane. More than 60% of these patents were published since the year 2000, and a sharp increase in patent numbers was seen in the last several years; </w:instrText>
      </w:r>
      <w:r w:rsidR="00752A1E">
        <w:rPr>
          <w:rFonts w:ascii="Cambria Math" w:hAnsi="Cambria Math" w:cs="Cambria Math"/>
          <w:sz w:val="20"/>
          <w:szCs w:val="20"/>
        </w:rPr>
        <w:instrText>∼</w:instrText>
      </w:r>
      <w:r w:rsidR="00752A1E">
        <w:rPr>
          <w:rFonts w:ascii="Times New Roman" w:hAnsi="Times New Roman"/>
          <w:sz w:val="20"/>
          <w:szCs w:val="20"/>
        </w:rPr>
        <w:instrText xml:space="preserve">25% patents were published in the last 2 years. Substantially more patents on CO2 removal and separation technologies are expected in the coming years. Meanwhile, the top four major types of patents, which consist of more than 2/3 of these patents, were patents granted by Japan (JP), United States (US), World Intellectual Property Organization (WO), and China (CN), and approximately half of the patents were JP and US patents. Unfortunately, no current technologies for removing CO2 from large sources like coal-based power plants exist which satisfy the needs of safety, efficiency, and economy; further enhancement and innovation are much needed. © 2012 Elsevier Ltd.","author":[{"dropping-particle":"","family":"Li","given":"Bingyun","non-dropping-particle":"","parse-names":false,"suffix":""},{"dropping-particle":"","family":"Duan","given":"Yuhua","non-dropping-particle":"","parse-names":false,"suffix":""},{"dropping-particle":"","family":"Luebke","given":"David","non-dropping-particle":"","parse-names":false,"suffix":""},{"dropping-particle":"","family":"Morreale","given":"Bryan","non-dropping-particle":"","parse-names":false,"suffix":""}],"container-title":"Applied Energy","id":"ITEM-1","issued":{"date-parts":[["2013"]]},"page":"1439-1447","publisher":"Elsevier Ltd","title":"Advances in CO2 capture technology: A patent review","type":"article-journal","volume":"102"}}],"schema":"https://github.com/citation-style-language/schema/raw/master/csl-citation.json"} </w:instrText>
      </w:r>
      <w:r w:rsidR="00A96127" w:rsidRPr="004D19FF">
        <w:rPr>
          <w:rFonts w:ascii="Times New Roman" w:hAnsi="Times New Roman"/>
          <w:sz w:val="20"/>
          <w:szCs w:val="20"/>
        </w:rPr>
        <w:fldChar w:fldCharType="separate"/>
      </w:r>
      <w:r w:rsidR="005D3B73" w:rsidRPr="005D3B73">
        <w:rPr>
          <w:rFonts w:ascii="Times New Roman" w:hAnsi="Times New Roman" w:cs="Times New Roman"/>
          <w:sz w:val="20"/>
        </w:rPr>
        <w:t>[155]</w:t>
      </w:r>
      <w:r w:rsidR="00A96127" w:rsidRPr="004D19FF">
        <w:rPr>
          <w:rFonts w:ascii="Times New Roman" w:hAnsi="Times New Roman"/>
          <w:sz w:val="20"/>
          <w:szCs w:val="20"/>
        </w:rPr>
        <w:fldChar w:fldCharType="end"/>
      </w:r>
      <w:r w:rsidR="00DA18C2" w:rsidRPr="004D19FF">
        <w:rPr>
          <w:rFonts w:ascii="Times New Roman" w:hAnsi="Times New Roman"/>
          <w:sz w:val="20"/>
          <w:szCs w:val="20"/>
        </w:rPr>
        <w:t>. The solvent</w:t>
      </w:r>
      <w:r w:rsidR="00B71715" w:rsidRPr="004D19FF">
        <w:rPr>
          <w:rFonts w:ascii="Times New Roman" w:hAnsi="Times New Roman"/>
          <w:sz w:val="20"/>
          <w:szCs w:val="20"/>
        </w:rPr>
        <w:t>-based technology is mature</w:t>
      </w:r>
      <w:r w:rsidR="00DA18C2" w:rsidRPr="004D19FF">
        <w:rPr>
          <w:rFonts w:ascii="Times New Roman" w:hAnsi="Times New Roman"/>
          <w:sz w:val="20"/>
          <w:szCs w:val="20"/>
        </w:rPr>
        <w:t xml:space="preserve"> and </w:t>
      </w:r>
      <w:r w:rsidR="00BE221E" w:rsidRPr="004D19FF">
        <w:rPr>
          <w:rFonts w:ascii="Times New Roman" w:hAnsi="Times New Roman"/>
          <w:sz w:val="20"/>
          <w:szCs w:val="20"/>
        </w:rPr>
        <w:t xml:space="preserve">is already applied </w:t>
      </w:r>
      <w:r w:rsidR="004C24A9" w:rsidRPr="004D19FF">
        <w:rPr>
          <w:rFonts w:ascii="Times New Roman" w:hAnsi="Times New Roman"/>
          <w:sz w:val="20"/>
          <w:szCs w:val="20"/>
        </w:rPr>
        <w:t>in large-scale plants,</w:t>
      </w:r>
      <w:r w:rsidR="00DA18C2" w:rsidRPr="004D19FF">
        <w:rPr>
          <w:rFonts w:ascii="Times New Roman" w:hAnsi="Times New Roman"/>
          <w:sz w:val="20"/>
          <w:szCs w:val="20"/>
        </w:rPr>
        <w:t xml:space="preserve"> however</w:t>
      </w:r>
      <w:r w:rsidR="00B51DCE" w:rsidRPr="004D19FF">
        <w:rPr>
          <w:rFonts w:ascii="Times New Roman" w:hAnsi="Times New Roman"/>
          <w:sz w:val="20"/>
          <w:szCs w:val="20"/>
        </w:rPr>
        <w:t>, the solvent regeneration is a</w:t>
      </w:r>
      <w:r w:rsidR="00DA18C2" w:rsidRPr="004D19FF">
        <w:rPr>
          <w:rFonts w:ascii="Times New Roman" w:hAnsi="Times New Roman"/>
          <w:sz w:val="20"/>
          <w:szCs w:val="20"/>
        </w:rPr>
        <w:t xml:space="preserve"> </w:t>
      </w:r>
      <w:r w:rsidR="00B71715" w:rsidRPr="004D19FF">
        <w:rPr>
          <w:rFonts w:ascii="Times New Roman" w:hAnsi="Times New Roman"/>
          <w:sz w:val="20"/>
          <w:szCs w:val="20"/>
        </w:rPr>
        <w:t>high energy-consuming</w:t>
      </w:r>
      <w:r w:rsidR="00DA18C2" w:rsidRPr="004D19FF">
        <w:rPr>
          <w:rFonts w:ascii="Times New Roman" w:hAnsi="Times New Roman"/>
          <w:sz w:val="20"/>
          <w:szCs w:val="20"/>
        </w:rPr>
        <w:t xml:space="preserve"> process. The second approach utilizes an alkaline carbonate bonded to a mesoporous solid support in which </w:t>
      </w:r>
      <w:r w:rsidR="00B71715" w:rsidRPr="004D19FF">
        <w:rPr>
          <w:rFonts w:ascii="Times New Roman" w:hAnsi="Times New Roman"/>
          <w:sz w:val="20"/>
          <w:szCs w:val="20"/>
        </w:rPr>
        <w:t xml:space="preserve">the sorbents </w:t>
      </w:r>
      <w:r w:rsidR="00DA18C2" w:rsidRPr="004D19FF">
        <w:rPr>
          <w:rFonts w:ascii="Times New Roman" w:hAnsi="Times New Roman"/>
          <w:sz w:val="20"/>
          <w:szCs w:val="20"/>
        </w:rPr>
        <w:t>can be easily regenerated. The most promising technology is the use of supported amine materials</w:t>
      </w:r>
      <w:r w:rsidR="00544146" w:rsidRPr="004D19FF">
        <w:rPr>
          <w:rFonts w:ascii="Times New Roman" w:hAnsi="Times New Roman"/>
          <w:sz w:val="20"/>
          <w:szCs w:val="20"/>
        </w:rPr>
        <w:t>;</w:t>
      </w:r>
      <w:r w:rsidR="00DA18C2" w:rsidRPr="004D19FF">
        <w:rPr>
          <w:rFonts w:ascii="Times New Roman" w:hAnsi="Times New Roman"/>
          <w:sz w:val="20"/>
          <w:szCs w:val="20"/>
        </w:rPr>
        <w:t xml:space="preserve"> </w:t>
      </w:r>
      <w:r w:rsidR="00544146" w:rsidRPr="004D19FF">
        <w:rPr>
          <w:rFonts w:ascii="Times New Roman" w:hAnsi="Times New Roman"/>
          <w:sz w:val="20"/>
          <w:szCs w:val="20"/>
        </w:rPr>
        <w:t>this</w:t>
      </w:r>
      <w:r w:rsidR="00DA18C2" w:rsidRPr="004D19FF">
        <w:rPr>
          <w:rFonts w:ascii="Times New Roman" w:hAnsi="Times New Roman"/>
          <w:sz w:val="20"/>
          <w:szCs w:val="20"/>
        </w:rPr>
        <w:t xml:space="preserve"> solid </w:t>
      </w:r>
      <w:r w:rsidR="00544146" w:rsidRPr="004D19FF">
        <w:rPr>
          <w:rFonts w:ascii="Times New Roman" w:hAnsi="Times New Roman"/>
          <w:sz w:val="20"/>
          <w:szCs w:val="20"/>
        </w:rPr>
        <w:t>sorbent-based approach revealed</w:t>
      </w:r>
      <w:r w:rsidR="00DA18C2" w:rsidRPr="004D19FF">
        <w:rPr>
          <w:rFonts w:ascii="Times New Roman" w:hAnsi="Times New Roman"/>
          <w:sz w:val="20"/>
          <w:szCs w:val="20"/>
        </w:rPr>
        <w:t xml:space="preserve"> </w:t>
      </w:r>
      <w:r w:rsidR="00B71715" w:rsidRPr="004D19FF">
        <w:rPr>
          <w:rFonts w:ascii="Times New Roman" w:hAnsi="Times New Roman"/>
          <w:sz w:val="20"/>
          <w:szCs w:val="20"/>
        </w:rPr>
        <w:t>higher</w:t>
      </w:r>
      <w:r w:rsidR="00DA18C2" w:rsidRPr="004D19FF">
        <w:rPr>
          <w:rFonts w:ascii="Times New Roman" w:hAnsi="Times New Roman"/>
          <w:sz w:val="20"/>
          <w:szCs w:val="20"/>
        </w:rPr>
        <w:t xml:space="preserve"> sorption </w:t>
      </w:r>
      <w:r w:rsidR="00B71715" w:rsidRPr="004D19FF">
        <w:rPr>
          <w:rFonts w:ascii="Times New Roman" w:hAnsi="Times New Roman"/>
          <w:sz w:val="20"/>
          <w:szCs w:val="20"/>
        </w:rPr>
        <w:t>performance</w:t>
      </w:r>
      <w:r w:rsidR="00DA18C2" w:rsidRPr="004D19FF">
        <w:rPr>
          <w:rFonts w:ascii="Times New Roman" w:hAnsi="Times New Roman"/>
          <w:sz w:val="20"/>
          <w:szCs w:val="20"/>
        </w:rPr>
        <w:t xml:space="preserve"> with higher capacities and selectivity, and low</w:t>
      </w:r>
      <w:r w:rsidR="00544146" w:rsidRPr="004D19FF">
        <w:rPr>
          <w:rFonts w:ascii="Times New Roman" w:hAnsi="Times New Roman"/>
          <w:sz w:val="20"/>
          <w:szCs w:val="20"/>
        </w:rPr>
        <w:t>er heating requirement compared</w:t>
      </w:r>
      <w:r w:rsidR="00DA18C2" w:rsidRPr="004D19FF">
        <w:rPr>
          <w:rFonts w:ascii="Times New Roman" w:hAnsi="Times New Roman"/>
          <w:sz w:val="20"/>
          <w:szCs w:val="20"/>
        </w:rPr>
        <w:t xml:space="preserve"> to </w:t>
      </w:r>
      <w:r w:rsidR="00B71715" w:rsidRPr="004D19FF">
        <w:rPr>
          <w:rFonts w:ascii="Times New Roman" w:hAnsi="Times New Roman"/>
          <w:sz w:val="20"/>
          <w:szCs w:val="20"/>
        </w:rPr>
        <w:t xml:space="preserve">the </w:t>
      </w:r>
      <w:r w:rsidR="00DA18C2" w:rsidRPr="004D19FF">
        <w:rPr>
          <w:rFonts w:ascii="Times New Roman" w:hAnsi="Times New Roman"/>
          <w:sz w:val="20"/>
          <w:szCs w:val="20"/>
        </w:rPr>
        <w:t xml:space="preserve">solvent-based method </w:t>
      </w:r>
      <w:r w:rsidR="00A96127"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NFPklQl","properties":{"formattedCitation":"[20,156]","plainCitation":"[20,156]","noteIndex":0},"citationItems":[{"id":"968HXJ10/RympFKdo","uris":["http://www.mendeley.com/documents/?uuid=8a04848a-4398-4300-b00f-a63f39ae7d94"],"uri":["http://www.mendeley.com/documents/?uuid=8a04848a-4398-4300-b00f-a63f39ae7d94"],"itemData":{"DOI":"10.1126/science.1175680","ISSN":"00368075","abstract":"Air capture is an industrial process for capturing CO2 from ambient air; it is one of an emerging set of technologies for CO2 removal that includes geological storage of biotic carbon and the acceleration of geochemical weathering. Although air capture will cost more than capture from power plants when both are operated under the same economic conditions, air capture allows one to apply industrial economies of scale to small and mobile emission sources and enables a partial decoupling of carbon capture from the energy infrastructure, advantages that may compensate for the intrinsic difficulty of capturing carbon from the air.","author":[{"dropping-particle":"","family":"Keith","given":"David W.","non-dropping-particle":"","parse-names":false,"suffix":""}],"container-title":"Science","id":"ITEM-1","issue":"5948","issued":{"date-parts":[["2009"]]},"page":"1654-1655","title":"Why capture CO2 from the atmosphere?","type":"article-journal","volume":"325"}},{"id":"968HXJ10/kukSVVud","uris":["http://www.mendeley.com/documents/?uuid=cc5ef0f0-ffbb-4ce8-8151-4f514b9a6f99"],"uri":["http://www.mendeley.com/documents/?uuid=cc5ef0f0-ffbb-4ce8-8151-4f514b9a6f99"],"itemData":{"DOI":"10.1038/s41467-019-10842-5","ISBN":"4146701910","ISSN":"20411723","abstract":"The feasibility of large-scale biological CO2 removal to achieve stringent climate targets remains unclear. Direct Air Carbon Capture and Storage (DACCS) offers an alternative negative emissions technology (NET) option. Here we conduct the first inter-model comparison on the role of DACCS in 1.5 and 2 °C scenarios, under a variety of techno-economic assumptions. Deploying DACCS significantly reduces mitigation costs, and it complements rather than substitutes other NETs. The key factor limiting DACCS deployment is the rate at which it can be scaled up. Our scenarios’ average DACCS scale-up rates of 1.5 GtCO2/yr would require considerable sorbent production and up to 300 EJ/yr of energy input by 2100. The risk of assuming that DACCS can be deployed at scale, and finding it to be subsequently unavailable, leads to a global temperature overshoot of up to 0.8 °C. DACCS should therefore be developed and deployed alongside, rather than instead of, other mitigation options.","author":[{"dropping-particle":"","family":"Realmonte","given":"Giulia","non-dropping-particle":"","parse-names":false,"suffix":""},{"dropping-particle":"","family":"Drouet","given":"Laurent","non-dropping-particle":"","parse-names":false,"suffix":""},{"dropping-particle":"","family":"Gambhir","given":"Ajay","non-dropping-particle":"","parse-names":false,"suffix":""},{"dropping-particle":"","family":"Glynn","given":"James","non-dropping-particle":"","parse-names":false,"suffix":""},{"dropping-particle":"","family":"Hawkes","given":"Adam","non-dropping-particle":"","parse-names":false,"suffix":""},{"dropping-particle":"","family":"Köberle","given":"Alexandre C.","non-dropping-particle":"","parse-names":false,"suffix":""},{"dropping-particle":"","family":"Tavoni","given":"Massimo","non-dropping-particle":"","parse-names":false,"suffix":""}],"container-title":"Nature Communications","id":"ITEM-2","issue":"1","issued":{"date-parts":[["2019"]]},"page":"1-12","publisher":"Springer US","title":"An inter-model assessment of the role of direct air capture in deep mitigation pathways","type":"article-journal","volume":"10"}}],"schema":"https://github.com/citation-style-language/schema/raw/master/csl-citation.json"} </w:instrText>
      </w:r>
      <w:r w:rsidR="00A96127" w:rsidRPr="004D19FF">
        <w:rPr>
          <w:rFonts w:ascii="Times New Roman" w:hAnsi="Times New Roman"/>
          <w:sz w:val="20"/>
          <w:szCs w:val="20"/>
        </w:rPr>
        <w:fldChar w:fldCharType="separate"/>
      </w:r>
      <w:r w:rsidR="0051129D" w:rsidRPr="0051129D">
        <w:rPr>
          <w:rFonts w:ascii="Times New Roman" w:hAnsi="Times New Roman" w:cs="Times New Roman"/>
          <w:sz w:val="20"/>
        </w:rPr>
        <w:t>[20,156]</w:t>
      </w:r>
      <w:r w:rsidR="00A96127" w:rsidRPr="004D19FF">
        <w:rPr>
          <w:rFonts w:ascii="Times New Roman" w:hAnsi="Times New Roman"/>
          <w:sz w:val="20"/>
          <w:szCs w:val="20"/>
        </w:rPr>
        <w:fldChar w:fldCharType="end"/>
      </w:r>
      <w:r w:rsidR="00DA18C2" w:rsidRPr="004D19FF">
        <w:rPr>
          <w:rFonts w:ascii="Times New Roman" w:hAnsi="Times New Roman"/>
          <w:sz w:val="20"/>
          <w:szCs w:val="20"/>
        </w:rPr>
        <w:t xml:space="preserve">. </w:t>
      </w:r>
      <w:r w:rsidR="00544146" w:rsidRPr="004D19FF">
        <w:rPr>
          <w:rFonts w:ascii="Times New Roman" w:hAnsi="Times New Roman"/>
          <w:sz w:val="20"/>
          <w:szCs w:val="20"/>
        </w:rPr>
        <w:t xml:space="preserve">However, the tradeoff is the high operational expenditure resulting from sorbent degradation </w:t>
      </w:r>
      <w:r w:rsidR="00544146"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j8VEjSQB","properties":{"formattedCitation":"[156]","plainCitation":"[156]","noteIndex":0},"citationItems":[{"id":"968HXJ10/RympFKdo","uris":["http://www.mendeley.com/documents/?uuid=8a04848a-4398-4300-b00f-a63f39ae7d94"],"uri":["http://www.mendeley.com/documents/?uuid=8a04848a-4398-4300-b00f-a63f39ae7d94"],"itemData":{"DOI":"10.1126/science.1175680","ISSN":"00368075","abstract":"Air capture is an industrial process for capturing CO2 from ambient air; it is one of an emerging set of technologies for CO2 removal that includes geological storage of biotic carbon and the acceleration of geochemical weathering. Although air capture will cost more than capture from power plants when both are operated under the same economic conditions, air capture allows one to apply industrial economies of scale to small and mobile emission sources and enables a partial decoupling of carbon capture from the energy infrastructure, advantages that may compensate for the intrinsic difficulty of capturing carbon from the air.","author":[{"dropping-particle":"","family":"Keith","given":"David W.","non-dropping-particle":"","parse-names":false,"suffix":""}],"container-title":"Science","id":"ITEM-1","issue":"5948","issued":{"date-parts":[["2009"]]},"page":"1654-1655","title":"Why capture CO2 from the atmosphere?","type":"article-journal","volume":"325"}}],"schema":"https://github.com/citation-style-language/schema/raw/master/csl-citation.json"} </w:instrText>
      </w:r>
      <w:r w:rsidR="00544146" w:rsidRPr="004D19FF">
        <w:rPr>
          <w:rFonts w:ascii="Times New Roman" w:hAnsi="Times New Roman"/>
          <w:sz w:val="20"/>
          <w:szCs w:val="20"/>
        </w:rPr>
        <w:fldChar w:fldCharType="separate"/>
      </w:r>
      <w:r w:rsidR="005D3B73" w:rsidRPr="005D3B73">
        <w:rPr>
          <w:rFonts w:ascii="Times New Roman" w:hAnsi="Times New Roman" w:cs="Times New Roman"/>
          <w:sz w:val="20"/>
        </w:rPr>
        <w:t>[156]</w:t>
      </w:r>
      <w:r w:rsidR="00544146" w:rsidRPr="004D19FF">
        <w:rPr>
          <w:rFonts w:ascii="Times New Roman" w:hAnsi="Times New Roman"/>
          <w:sz w:val="20"/>
          <w:szCs w:val="20"/>
        </w:rPr>
        <w:fldChar w:fldCharType="end"/>
      </w:r>
      <w:r w:rsidR="00544146" w:rsidRPr="004D19FF">
        <w:rPr>
          <w:rFonts w:ascii="Times New Roman" w:hAnsi="Times New Roman"/>
          <w:sz w:val="20"/>
          <w:szCs w:val="20"/>
        </w:rPr>
        <w:t xml:space="preserve">. </w:t>
      </w:r>
    </w:p>
    <w:p w14:paraId="4E18D7AE" w14:textId="77777777" w:rsidR="00863C8F" w:rsidRPr="004D19FF" w:rsidRDefault="00AF19F3" w:rsidP="00B0794D">
      <w:pPr>
        <w:spacing w:after="120" w:line="276" w:lineRule="auto"/>
        <w:jc w:val="thaiDistribute"/>
        <w:rPr>
          <w:rFonts w:ascii="Times New Roman" w:hAnsi="Times New Roman"/>
          <w:i/>
          <w:sz w:val="20"/>
          <w:szCs w:val="20"/>
        </w:rPr>
      </w:pPr>
      <w:r w:rsidRPr="004D19FF">
        <w:rPr>
          <w:rFonts w:ascii="Times New Roman" w:hAnsi="Times New Roman"/>
          <w:i/>
          <w:sz w:val="20"/>
          <w:szCs w:val="20"/>
        </w:rPr>
        <w:t>3</w:t>
      </w:r>
      <w:r w:rsidR="00863C8F" w:rsidRPr="004D19FF">
        <w:rPr>
          <w:rFonts w:ascii="Times New Roman" w:hAnsi="Times New Roman"/>
          <w:i/>
          <w:sz w:val="20"/>
          <w:szCs w:val="20"/>
        </w:rPr>
        <w:t xml:space="preserve">.3 </w:t>
      </w:r>
      <w:r w:rsidR="00D05A86" w:rsidRPr="004D19FF">
        <w:rPr>
          <w:rFonts w:ascii="Times New Roman" w:hAnsi="Times New Roman"/>
          <w:i/>
          <w:sz w:val="20"/>
          <w:szCs w:val="20"/>
        </w:rPr>
        <w:t>Liquid hydrocarbon synthesis</w:t>
      </w:r>
    </w:p>
    <w:p w14:paraId="18859FB1" w14:textId="5AB7BAF6" w:rsidR="006C19F1" w:rsidRPr="004D19FF" w:rsidRDefault="006C19F1" w:rsidP="002D5F84">
      <w:pPr>
        <w:spacing w:after="120" w:line="276" w:lineRule="auto"/>
        <w:jc w:val="thaiDistribute"/>
        <w:rPr>
          <w:rFonts w:ascii="Times New Roman" w:hAnsi="Times New Roman"/>
          <w:sz w:val="20"/>
          <w:szCs w:val="20"/>
        </w:rPr>
      </w:pPr>
      <w:r>
        <w:rPr>
          <w:rFonts w:ascii="Times New Roman" w:hAnsi="Times New Roman"/>
          <w:sz w:val="20"/>
          <w:szCs w:val="20"/>
        </w:rPr>
        <w:t>In this step, h</w:t>
      </w:r>
      <w:r w:rsidRPr="004D19FF">
        <w:rPr>
          <w:rFonts w:ascii="Times New Roman" w:hAnsi="Times New Roman"/>
          <w:sz w:val="20"/>
          <w:szCs w:val="20"/>
        </w:rPr>
        <w:t xml:space="preserve">ydrogen </w:t>
      </w:r>
      <w:r w:rsidR="003E5DEB">
        <w:rPr>
          <w:rFonts w:ascii="Times New Roman" w:hAnsi="Times New Roman"/>
          <w:sz w:val="20"/>
          <w:szCs w:val="20"/>
        </w:rPr>
        <w:t xml:space="preserve">is combined with </w:t>
      </w:r>
      <w:r w:rsidR="003E5DEB" w:rsidRPr="004D19FF">
        <w:rPr>
          <w:rFonts w:ascii="Times New Roman" w:hAnsi="Times New Roman"/>
          <w:sz w:val="20"/>
          <w:szCs w:val="20"/>
        </w:rPr>
        <w:t>CO</w:t>
      </w:r>
      <w:r w:rsidR="003E5DEB" w:rsidRPr="004D19FF">
        <w:rPr>
          <w:rFonts w:ascii="Times New Roman" w:hAnsi="Times New Roman"/>
          <w:sz w:val="20"/>
          <w:szCs w:val="20"/>
          <w:vertAlign w:val="subscript"/>
        </w:rPr>
        <w:t>2</w:t>
      </w:r>
      <w:r w:rsidR="003E5DEB" w:rsidRPr="004D19FF">
        <w:rPr>
          <w:rFonts w:ascii="Times New Roman" w:hAnsi="Times New Roman"/>
          <w:sz w:val="20"/>
          <w:szCs w:val="20"/>
        </w:rPr>
        <w:t xml:space="preserve"> to produce syngas</w:t>
      </w:r>
      <w:r w:rsidR="003E5DEB">
        <w:rPr>
          <w:rFonts w:ascii="Times New Roman" w:hAnsi="Times New Roman"/>
          <w:sz w:val="20"/>
          <w:szCs w:val="20"/>
        </w:rPr>
        <w:t xml:space="preserve">. This happens with </w:t>
      </w:r>
      <w:r w:rsidR="00471DFD">
        <w:rPr>
          <w:rFonts w:ascii="Times New Roman" w:hAnsi="Times New Roman"/>
          <w:sz w:val="20"/>
          <w:szCs w:val="20"/>
        </w:rPr>
        <w:t xml:space="preserve">a reverse water gas </w:t>
      </w:r>
      <w:r w:rsidRPr="004D19FF">
        <w:rPr>
          <w:rFonts w:ascii="Times New Roman" w:hAnsi="Times New Roman"/>
          <w:sz w:val="20"/>
          <w:szCs w:val="20"/>
        </w:rPr>
        <w:t>shift reaction (</w:t>
      </w:r>
      <w:r w:rsidR="00471DFD">
        <w:rPr>
          <w:rFonts w:ascii="Times New Roman" w:hAnsi="Times New Roman"/>
          <w:sz w:val="20"/>
          <w:szCs w:val="20"/>
        </w:rPr>
        <w:t xml:space="preserve">i.e. </w:t>
      </w:r>
      <w:r w:rsidRPr="004D19FF">
        <w:rPr>
          <w:rFonts w:ascii="Times New Roman" w:hAnsi="Times New Roman"/>
          <w:sz w:val="20"/>
          <w:szCs w:val="20"/>
        </w:rPr>
        <w:t>reaction (6) below</w:t>
      </w:r>
      <w:r w:rsidR="00471DFD">
        <w:rPr>
          <w:rFonts w:ascii="Times New Roman" w:hAnsi="Times New Roman"/>
          <w:sz w:val="20"/>
          <w:szCs w:val="20"/>
        </w:rPr>
        <w:t>, from left to right</w:t>
      </w:r>
      <w:r w:rsidRPr="004D19FF">
        <w:rPr>
          <w:rFonts w:ascii="Times New Roman" w:hAnsi="Times New Roman"/>
          <w:sz w:val="20"/>
          <w:szCs w:val="20"/>
        </w:rPr>
        <w:t>)</w:t>
      </w:r>
      <w:r w:rsidR="003E5DEB">
        <w:rPr>
          <w:rFonts w:ascii="Times New Roman" w:hAnsi="Times New Roman"/>
          <w:sz w:val="20"/>
          <w:szCs w:val="20"/>
        </w:rPr>
        <w:t xml:space="preserve"> in the direct electrolysis pathway (Fig. 10a) or through a co-electrolysis process </w:t>
      </w:r>
      <w:r w:rsidR="003E5DEB" w:rsidRPr="004D19FF">
        <w:rPr>
          <w:rFonts w:ascii="Times New Roman" w:hAnsi="Times New Roman"/>
          <w:sz w:val="20"/>
          <w:szCs w:val="20"/>
        </w:rPr>
        <w:t xml:space="preserve">where water thermal splitting and reverse water gas shift reactions </w:t>
      </w:r>
      <w:r w:rsidR="003E5DEB">
        <w:rPr>
          <w:rFonts w:ascii="Times New Roman" w:hAnsi="Times New Roman"/>
          <w:sz w:val="20"/>
          <w:szCs w:val="20"/>
        </w:rPr>
        <w:t xml:space="preserve">jointly </w:t>
      </w:r>
      <w:r w:rsidR="003E5DEB" w:rsidRPr="004D19FF">
        <w:rPr>
          <w:rFonts w:ascii="Times New Roman" w:hAnsi="Times New Roman"/>
          <w:sz w:val="20"/>
          <w:szCs w:val="20"/>
        </w:rPr>
        <w:t>occur, thereby converting steam and CO</w:t>
      </w:r>
      <w:r w:rsidR="003E5DEB" w:rsidRPr="004D19FF">
        <w:rPr>
          <w:rFonts w:ascii="Times New Roman" w:hAnsi="Times New Roman"/>
          <w:sz w:val="20"/>
          <w:szCs w:val="20"/>
          <w:vertAlign w:val="subscript"/>
        </w:rPr>
        <w:t>2</w:t>
      </w:r>
      <w:r w:rsidR="003E5DEB" w:rsidRPr="004D19FF">
        <w:rPr>
          <w:rFonts w:ascii="Times New Roman" w:hAnsi="Times New Roman"/>
          <w:sz w:val="20"/>
          <w:szCs w:val="20"/>
        </w:rPr>
        <w:t xml:space="preserve"> into syngas </w:t>
      </w:r>
      <w:r w:rsidR="003E5DEB"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D9ZhlEUv","properties":{"formattedCitation":"[157]","plainCitation":"[157]","noteIndex":0},"citationItems":[{"id":"968HXJ10/bSwTV5Cl","uris":["http://www.mendeley.com/documents/?uuid=5f5c18c3-2f7f-4d40-b3b1-4b283be6ea47"],"uri":["http://www.mendeley.com/documents/?uuid=5f5c18c3-2f7f-4d40-b3b1-4b283be6ea47"],"itemData":{"DOI":"10.1039/c6cs00403b","ISSN":"14604744","abstract":"High-temperature solid oxide electrolysis cells (SOECs) are advanced electrochemical energy storage and conversion devices with high conversion/energy efficiencies. They offer attractive high-temperature co-electrolysis routes that reduce extra CO2 emissions, enable large-scale energy storage/conversion and facilitate the integration of renewable energies into the electric grid. Exciting new research has focused on CO2 electrochemical activation/conversion through a co-electrolysis process based on the assumption that difficult CO double bonds can be activated effectively through this electrochemical method. Based on existing investigations, this paper puts forth a comprehensive overview of recent and past developments in co-electrolysis with SOECs for CO2 conversion and utilization. Here, we discuss in detail the approaches of CO2 conversion, the developmental history, the basic principles, the economic feasibility of CO2/H2O co-electrolysis, and the diverse range of fuel electrodes as well as oxygen electrode materials. SOEC performance measurements, characterization and simulations are classified and presented in this paper. SOEC cell and stack designs, fabrications and scale-ups are also summarized and described. In particular, insights into CO2 electrochemical conversions, solid oxide cell material behaviors and degradation mechanisms are highlighted to obtain a better understanding of the high temperature electrolysis process in SOECs. Proposed research directions are also outlined to provide guidelines for future research.","author":[{"dropping-particle":"","family":"Zheng","given":"Yun","non-dropping-particle":"","parse-names":false,"suffix":""},{"dropping-particle":"","family":"Wang","given":"Jianchen","non-dropping-particle":"","parse-names":false,"suffix":""},{"dropping-particle":"","family":"Yu","given":"Bo","non-dropping-particle":"","parse-names":false,"suffix":""},{"dropping-particle":"","family":"Zhang","given":"Wenqiang","non-dropping-particle":"","parse-names":false,"suffix":""},{"dropping-particle":"","family":"Chen","given":"Jing","non-dropping-particle":"","parse-names":false,"suffix":""},{"dropping-particle":"","family":"Qiao","given":"Jinli","non-dropping-particle":"","parse-names":false,"suffix":""},{"dropping-particle":"","family":"Zhang","given":"Jiujun","non-dropping-particle":"","parse-names":false,"suffix":""}],"container-title":"Chemical Society Reviews","id":"ITEM-1","issue":"5","issued":{"date-parts":[["2017"]]},"page":"1427-1463","title":"A review of high temperature co-electrolysis of H2O and CO2 to produce sustainable fuels using solid oxide electrolysis cells (SOECs): Advanced materials and technology","type":"article-journal","volume":"46"}}],"schema":"https://github.com/citation-style-language/schema/raw/master/csl-citation.json"} </w:instrText>
      </w:r>
      <w:r w:rsidR="003E5DEB" w:rsidRPr="004D19FF">
        <w:rPr>
          <w:rFonts w:ascii="Times New Roman" w:hAnsi="Times New Roman"/>
          <w:sz w:val="20"/>
          <w:szCs w:val="20"/>
        </w:rPr>
        <w:fldChar w:fldCharType="separate"/>
      </w:r>
      <w:r w:rsidR="005D3B73" w:rsidRPr="005D3B73">
        <w:rPr>
          <w:rFonts w:ascii="Times New Roman" w:hAnsi="Times New Roman" w:cs="Times New Roman"/>
          <w:sz w:val="20"/>
        </w:rPr>
        <w:t>[157]</w:t>
      </w:r>
      <w:r w:rsidR="003E5DEB" w:rsidRPr="004D19FF">
        <w:rPr>
          <w:rFonts w:ascii="Times New Roman" w:hAnsi="Times New Roman"/>
          <w:sz w:val="20"/>
          <w:szCs w:val="20"/>
        </w:rPr>
        <w:fldChar w:fldCharType="end"/>
      </w:r>
      <w:r w:rsidR="003E5DEB">
        <w:rPr>
          <w:rFonts w:ascii="Times New Roman" w:hAnsi="Times New Roman"/>
          <w:sz w:val="20"/>
          <w:szCs w:val="20"/>
        </w:rPr>
        <w:t xml:space="preserve"> (Fig. 10b).</w:t>
      </w:r>
      <w:r w:rsidRPr="004D19FF">
        <w:rPr>
          <w:rFonts w:ascii="Times New Roman" w:hAnsi="Times New Roman"/>
          <w:sz w:val="20"/>
          <w:szCs w:val="20"/>
        </w:rPr>
        <w:t xml:space="preserve"> This is in particular possible with high temp</w:t>
      </w:r>
      <w:r>
        <w:rPr>
          <w:rFonts w:ascii="Times New Roman" w:hAnsi="Times New Roman"/>
          <w:sz w:val="20"/>
          <w:szCs w:val="20"/>
        </w:rPr>
        <w:t>erature electrolysis using SOE</w:t>
      </w:r>
      <w:r w:rsidRPr="004D19FF">
        <w:rPr>
          <w:rFonts w:ascii="Times New Roman" w:hAnsi="Times New Roman"/>
          <w:sz w:val="20"/>
          <w:szCs w:val="20"/>
        </w:rPr>
        <w:t xml:space="preserve"> (600-1,000 </w:t>
      </w:r>
      <w:r w:rsidRPr="004D19FF">
        <w:rPr>
          <w:rFonts w:ascii="Times New Roman" w:hAnsi="Times New Roman" w:cs="Times New Roman"/>
          <w:sz w:val="20"/>
          <w:szCs w:val="20"/>
        </w:rPr>
        <w:t>°</w:t>
      </w:r>
      <w:r w:rsidRPr="004D19FF">
        <w:rPr>
          <w:rFonts w:ascii="Times New Roman" w:hAnsi="Times New Roman"/>
          <w:sz w:val="20"/>
          <w:szCs w:val="20"/>
        </w:rPr>
        <w:t xml:space="preserve">C)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MMKcPjh","properties":{"formattedCitation":"[157]","plainCitation":"[157]","noteIndex":0},"citationItems":[{"id":"968HXJ10/bSwTV5Cl","uris":["http://www.mendeley.com/documents/?uuid=5f5c18c3-2f7f-4d40-b3b1-4b283be6ea47"],"uri":["http://www.mendeley.com/documents/?uuid=5f5c18c3-2f7f-4d40-b3b1-4b283be6ea47"],"itemData":{"DOI":"10.1039/c6cs00403b","ISSN":"14604744","abstract":"High-temperature solid oxide electrolysis cells (SOECs) are advanced electrochemical energy storage and conversion devices with high conversion/energy efficiencies. They offer attractive high-temperature co-electrolysis routes that reduce extra CO2 emissions, enable large-scale energy storage/conversion and facilitate the integration of renewable energies into the electric grid. Exciting new research has focused on CO2 electrochemical activation/conversion through a co-electrolysis process based on the assumption that difficult CO double bonds can be activated effectively through this electrochemical method. Based on existing investigations, this paper puts forth a comprehensive overview of recent and past developments in co-electrolysis with SOECs for CO2 conversion and utilization. Here, we discuss in detail the approaches of CO2 conversion, the developmental history, the basic principles, the economic feasibility of CO2/H2O co-electrolysis, and the diverse range of fuel electrodes as well as oxygen electrode materials. SOEC performance measurements, characterization and simulations are classified and presented in this paper. SOEC cell and stack designs, fabrications and scale-ups are also summarized and described. In particular, insights into CO2 electrochemical conversions, solid oxide cell material behaviors and degradation mechanisms are highlighted to obtain a better understanding of the high temperature electrolysis process in SOECs. Proposed research directions are also outlined to provide guidelines for future research.","author":[{"dropping-particle":"","family":"Zheng","given":"Yun","non-dropping-particle":"","parse-names":false,"suffix":""},{"dropping-particle":"","family":"Wang","given":"Jianchen","non-dropping-particle":"","parse-names":false,"suffix":""},{"dropping-particle":"","family":"Yu","given":"Bo","non-dropping-particle":"","parse-names":false,"suffix":""},{"dropping-particle":"","family":"Zhang","given":"Wenqiang","non-dropping-particle":"","parse-names":false,"suffix":""},{"dropping-particle":"","family":"Chen","given":"Jing","non-dropping-particle":"","parse-names":false,"suffix":""},{"dropping-particle":"","family":"Qiao","given":"Jinli","non-dropping-particle":"","parse-names":false,"suffix":""},{"dropping-particle":"","family":"Zhang","given":"Jiujun","non-dropping-particle":"","parse-names":false,"suffix":""}],"container-title":"Chemical Society Reviews","id":"ITEM-1","issue":"5","issued":{"date-parts":[["2017"]]},"page":"1427-1463","title":"A review of high temperature co-electrolysis of H2O and CO2 to produce sustainable fuels using solid oxide electrolysis cells (SOECs): Advanced materials and technology","type":"article-journal","volume":"46"}}],"schema":"https://github.com/citation-style-language/schema/raw/master/csl-citation.json"} </w:instrText>
      </w:r>
      <w:r w:rsidRPr="004D19FF">
        <w:rPr>
          <w:rFonts w:ascii="Times New Roman" w:hAnsi="Times New Roman"/>
          <w:sz w:val="20"/>
          <w:szCs w:val="20"/>
        </w:rPr>
        <w:fldChar w:fldCharType="separate"/>
      </w:r>
      <w:r w:rsidR="005D3B73" w:rsidRPr="005D3B73">
        <w:rPr>
          <w:rFonts w:ascii="Times New Roman" w:hAnsi="Times New Roman" w:cs="Times New Roman"/>
          <w:sz w:val="20"/>
        </w:rPr>
        <w:t>[157]</w:t>
      </w:r>
      <w:r w:rsidRPr="004D19FF">
        <w:rPr>
          <w:rFonts w:ascii="Times New Roman" w:hAnsi="Times New Roman"/>
          <w:sz w:val="20"/>
          <w:szCs w:val="20"/>
        </w:rPr>
        <w:fldChar w:fldCharType="end"/>
      </w:r>
      <w:r w:rsidRPr="004D19FF">
        <w:rPr>
          <w:rFonts w:ascii="Times New Roman" w:hAnsi="Times New Roman"/>
          <w:sz w:val="20"/>
          <w:szCs w:val="20"/>
        </w:rPr>
        <w:t xml:space="preserve">. </w:t>
      </w:r>
      <w:r w:rsidR="002D5F84">
        <w:rPr>
          <w:rFonts w:ascii="Times New Roman" w:hAnsi="Times New Roman"/>
          <w:sz w:val="20"/>
          <w:szCs w:val="20"/>
        </w:rPr>
        <w:t>Co-electrolysis</w:t>
      </w:r>
      <w:r w:rsidRPr="004D19FF">
        <w:rPr>
          <w:rFonts w:ascii="Times New Roman" w:hAnsi="Times New Roman"/>
          <w:sz w:val="20"/>
          <w:szCs w:val="20"/>
        </w:rPr>
        <w:t xml:space="preserve"> provides high conversion and energy efficiencies utilizing the industrial waste heat derived from other industrial processes such as the FT synthesis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Ma8O6p5x","properties":{"formattedCitation":"[40,153]","plainCitation":"[40,153]","noteIndex":0},"citationItems":[{"id":"968HXJ10/Lcb8p7eH","uris":["http://www.mendeley.com/documents/?uuid=862facf5-ede8-4080-b95b-8e52fa36d698"],"uri":["http://www.mendeley.com/documents/?uuid=862facf5-ede8-4080-b95b-8e52fa36d698"],"itemData":{"DOI":"10.1016/j.rser.2015.09.016","ISSN":"18790690","abstract":"Biomass-derived jet (bio-jet) fuel has become a key element in the aviation industry's strategy to reduce operating costs and environmental impacts. Researchers from the oil-refining industry, the aviation industry, government, biofuel companies, agricultural organizations, and academia are working toward developing a commercially viable and sustainable process that produces a long-lasting renewable jet fuel with low production costs and low greenhouse emissions. This jet fuel, additionally, must meet ASTM International specifications and potentially be a 100% drop-in replacement for current petroleum jet fuel. In this study, the current technologies for producing renewable jet fuels, categorized by alcohols-to-jet, oil-to-jet, syngas-to-jet, and sugar-to-jet pathways are reviewed. The main challenges for each technology pathway, including conceptual process design, process economics and life-cycle assessment of greenhouse gas emissions are discussed. Although the feedstock price and availability and energy intensity of the process are significant barriers, biomass-derived jet fuel has the potential to replace a significant portion of conventional jet fuel required to meet commercial and military demand.","author":[{"dropping-particle":"","family":"Wang","given":"Wei Cheng","non-dropping-particle":"","parse-names":false,"suffix":""},{"dropping-particle":"","family":"Tao","given":"Ling","non-dropping-particle":"","parse-names":false,"suffix":""}],"container-title":"Renewable and Sustainable Energy Reviews","id":"ITEM-1","issued":{"date-parts":[["2016"]]},"page":"801-822","title":"Bio-jet fuel conversion technologies","type":"article-journal","volume":"53"}},{"id":"968HXJ10/WPstLAJT","uris":["http://www.mendeley.com/documents/?uuid=2dfe0615-eee8-4c26-8dd3-d14873410899"],"uri":["http://www.mendeley.com/documents/?uuid=2dfe0615-eee8-4c26-8dd3-d14873410899"],"itemData":{"DOI":"10.1002/adma.201902033","ISSN":"15214095","abstract":"High-temperature CO2 electrolysis in solid-oxide electrolysis cells (SOECs) could greatly assist in the reduction of CO2 emissions by electrochemically converting CO2 to valuable fuels through effective electrothermal activation of the stable CO bond. If powered by renewable energy resources, it could also provide an advanced energy-storage method for their intermittent output. Compared to low-temperature electrochemical CO2 reduction, CO2 electrolysis in SOECs at high temperature exhibits higher current density and energy efficiency and has thus attracted much recent attention. The history of its development and its fundamental mechanisms, cathode materials, oxygen-ion-conducting electrolyte materials, and anode materials are highlighted. Electrode, electrolyte, and electrode–electrolyte interface degradation issues are comprehensively summarized. Fuel-assisted SOECs with low-cost fuels applied to the anode to decrease the overpotential and electricity consumption are introduced. Furthermore, the challenges and prospects for future research into high-temperature CO2 electrolysis in SOECs are included.","author":[{"dropping-particle":"","family":"Song","given":"Yuefeng","non-dropping-particle":"","parse-names":false,"suffix":""},{"dropping-particle":"","family":"Zhang","given":"Xiaomin","non-dropping-particle":"","parse-names":false,"suffix":""},{"dropping-particle":"","family":"Xie","given":"Kui","non-dropping-particle":"","parse-names":false,"suffix":""},{"dropping-particle":"","family":"Wang","given":"Guoxiong","non-dropping-particle":"","parse-names":false,"suffix":""},{"dropping-particle":"","family":"Bao","given":"Xinhe","non-dropping-particle":"","parse-names":false,"suffix":""}],"container-title":"Advanced Materials","id":"ITEM-2","issued":{"date-parts":[["2019"]]},"page":"1-18","title":"High-Temperature CO2 Electrolysis in Solid Oxide Electrolysis Cells: Developments, Challenges, and Prospects","type":"article-journal","volume":"1902033"}}],"schema":"https://github.com/citation-style-language/schema/raw/master/csl-citation.json"} </w:instrText>
      </w:r>
      <w:r w:rsidRPr="004D19FF">
        <w:rPr>
          <w:rFonts w:ascii="Times New Roman" w:hAnsi="Times New Roman"/>
          <w:sz w:val="20"/>
          <w:szCs w:val="20"/>
        </w:rPr>
        <w:fldChar w:fldCharType="separate"/>
      </w:r>
      <w:r w:rsidRPr="00623E85">
        <w:rPr>
          <w:rFonts w:ascii="Times New Roman" w:hAnsi="Times New Roman" w:cs="Times New Roman"/>
          <w:sz w:val="20"/>
        </w:rPr>
        <w:t>[40,153]</w:t>
      </w:r>
      <w:r w:rsidRPr="004D19FF">
        <w:rPr>
          <w:rFonts w:ascii="Times New Roman" w:hAnsi="Times New Roman"/>
          <w:sz w:val="20"/>
          <w:szCs w:val="20"/>
        </w:rPr>
        <w:fldChar w:fldCharType="end"/>
      </w:r>
      <w:r w:rsidRPr="004D19FF">
        <w:rPr>
          <w:rFonts w:ascii="Times New Roman" w:hAnsi="Times New Roman"/>
          <w:sz w:val="20"/>
          <w:szCs w:val="20"/>
        </w:rPr>
        <w:t xml:space="preserve">. </w:t>
      </w:r>
      <w:r w:rsidR="002D5F84">
        <w:rPr>
          <w:rFonts w:ascii="Times New Roman" w:hAnsi="Times New Roman"/>
          <w:sz w:val="20"/>
          <w:szCs w:val="20"/>
        </w:rPr>
        <w:t>As shown in (Fig. 10c), a third option is to thermochemically combine H</w:t>
      </w:r>
      <w:r w:rsidR="002D5F84" w:rsidRPr="002D5F84">
        <w:rPr>
          <w:rFonts w:ascii="Times New Roman" w:hAnsi="Times New Roman"/>
          <w:sz w:val="20"/>
          <w:szCs w:val="20"/>
          <w:vertAlign w:val="subscript"/>
        </w:rPr>
        <w:t>2</w:t>
      </w:r>
      <w:r w:rsidR="002D5F84">
        <w:rPr>
          <w:rFonts w:ascii="Times New Roman" w:hAnsi="Times New Roman"/>
          <w:sz w:val="20"/>
          <w:szCs w:val="20"/>
        </w:rPr>
        <w:t xml:space="preserve"> (from H</w:t>
      </w:r>
      <w:r w:rsidR="002D5F84" w:rsidRPr="002D5F84">
        <w:rPr>
          <w:rFonts w:ascii="Times New Roman" w:hAnsi="Times New Roman"/>
          <w:sz w:val="20"/>
          <w:szCs w:val="20"/>
          <w:vertAlign w:val="subscript"/>
        </w:rPr>
        <w:t>2</w:t>
      </w:r>
      <w:r w:rsidR="002D5F84">
        <w:rPr>
          <w:rFonts w:ascii="Times New Roman" w:hAnsi="Times New Roman"/>
          <w:sz w:val="20"/>
          <w:szCs w:val="20"/>
        </w:rPr>
        <w:t xml:space="preserve">O) and </w:t>
      </w:r>
      <w:r w:rsidR="002D5F84" w:rsidRPr="004D19FF">
        <w:rPr>
          <w:rFonts w:ascii="Times New Roman" w:hAnsi="Times New Roman"/>
          <w:sz w:val="20"/>
          <w:szCs w:val="20"/>
        </w:rPr>
        <w:t>CO</w:t>
      </w:r>
      <w:r w:rsidR="002D5F84" w:rsidRPr="004D19FF">
        <w:rPr>
          <w:rFonts w:ascii="Times New Roman" w:hAnsi="Times New Roman"/>
          <w:sz w:val="20"/>
          <w:szCs w:val="20"/>
          <w:vertAlign w:val="subscript"/>
        </w:rPr>
        <w:t>2</w:t>
      </w:r>
      <w:r w:rsidR="002D5F84">
        <w:rPr>
          <w:rFonts w:ascii="Times New Roman" w:hAnsi="Times New Roman"/>
          <w:sz w:val="20"/>
          <w:szCs w:val="20"/>
        </w:rPr>
        <w:t xml:space="preserve"> for syngas production through the direct use of</w:t>
      </w:r>
      <w:r w:rsidRPr="004D19FF">
        <w:rPr>
          <w:rFonts w:ascii="Times New Roman" w:hAnsi="Times New Roman"/>
          <w:sz w:val="20"/>
          <w:szCs w:val="20"/>
        </w:rPr>
        <w:t xml:space="preserve"> concentrated solar radiation as energy source</w:t>
      </w:r>
      <w:r>
        <w:rPr>
          <w:rFonts w:ascii="Times New Roman" w:hAnsi="Times New Roman"/>
          <w:sz w:val="20"/>
          <w:szCs w:val="20"/>
        </w:rPr>
        <w:t>.</w:t>
      </w:r>
      <w:r w:rsidRPr="004D19FF">
        <w:rPr>
          <w:rFonts w:ascii="Times New Roman" w:hAnsi="Times New Roman"/>
          <w:sz w:val="20"/>
          <w:szCs w:val="20"/>
        </w:rPr>
        <w:t xml:space="preserve"> Nuclear and geothermal resources are also possible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kK1BkP2u","properties":{"formattedCitation":"[158]","plainCitation":"[158]","noteIndex":0},"citationItems":[{"id":"968HXJ10/DD2YM8Xw","uris":["http://www.mendeley.com/documents/?uuid=f64ebac7-4d00-431b-bb34-fefcaf159016"],"uri":["http://www.mendeley.com/documents/?uuid=f64ebac7-4d00-431b-bb34-fefcaf159016"],"itemData":{"DOI":"10.1016/j.jclepro.2013.07.048","ISSN":"09596526","abstract":"There are several hydrogen production technologies. They range from the most widely used fossil fuel based systems such as natural gas steam methane reforming to the least used renewable energy based systems such as wind electrolysis. Currently almost all the industrial hydrogen need worldwide is produced using fossil fuels. Electrolytic hydrogen production based on electricity generated from renewable resources and hydrogen's energetic use could contribute to the global need for a sustainable energy supply. However, these technologies are also not free from environmental burdens. A life cycle assessment (LCA) helps to identify such impacts considering the entire life cycle of the process chains. This paper reviews twenty-one studies that address the LCA of hydrogen production technologies, a majority of them employing electrolytic technologies. It has been observed that global warming potential (GWP) is the impact category analyzed by almost all the authors. Acidification potential (AP) ranks second. Other categories such as toxicity potential are often not analyzed. The main environmental concern associated with electrolytic hydrogen production is electricity supply. The GWP contribution of the electrolyzer unit is relatively small (e.g. only about 4% in wind based electrolysis including hydrogen production and storage systems). From an LCA perspective, it can be concluded that electrolysis using wind or hydropower generated electricity is one of the best hydrogen production technologies, compared to those using conventional grid electricity mix or fossil fuel feedstocks.","author":[{"dropping-particle":"","family":"Bhandari","given":"Ramchandra","non-dropping-particle":"","parse-names":false,"suffix":""},{"dropping-particle":"","family":"Trudewind","given":"Clemens A.","non-dropping-particle":"","parse-names":false,"suffix":""},{"dropping-particle":"","family":"Zapp","given":"Petra","non-dropping-particle":"","parse-names":false,"suffix":""}],"container-title":"Journal of Cleaner Production","id":"ITEM-1","issued":{"date-parts":[["2014"]]},"page":"151-163","title":"Life cycle assessment of hydrogen production via electrolysis - A review","type":"article-journal","volume":"85"}}],"schema":"https://github.com/citation-style-language/schema/raw/master/csl-citation.json"} </w:instrText>
      </w:r>
      <w:r w:rsidRPr="004D19FF">
        <w:rPr>
          <w:rFonts w:ascii="Times New Roman" w:hAnsi="Times New Roman"/>
          <w:sz w:val="20"/>
          <w:szCs w:val="20"/>
        </w:rPr>
        <w:fldChar w:fldCharType="separate"/>
      </w:r>
      <w:r w:rsidR="005D3B73" w:rsidRPr="005D3B73">
        <w:rPr>
          <w:rFonts w:ascii="Times New Roman" w:hAnsi="Times New Roman" w:cs="Times New Roman"/>
          <w:sz w:val="20"/>
        </w:rPr>
        <w:t>[158]</w:t>
      </w:r>
      <w:r w:rsidRPr="004D19FF">
        <w:rPr>
          <w:rFonts w:ascii="Times New Roman" w:hAnsi="Times New Roman"/>
          <w:sz w:val="20"/>
          <w:szCs w:val="20"/>
        </w:rPr>
        <w:fldChar w:fldCharType="end"/>
      </w:r>
      <w:r w:rsidRPr="004D19FF">
        <w:rPr>
          <w:rFonts w:ascii="Times New Roman" w:hAnsi="Times New Roman"/>
          <w:sz w:val="20"/>
          <w:szCs w:val="20"/>
        </w:rPr>
        <w:t xml:space="preserve">. </w:t>
      </w:r>
      <w:r w:rsidR="002D5F84">
        <w:rPr>
          <w:rFonts w:ascii="Times New Roman" w:hAnsi="Times New Roman"/>
          <w:sz w:val="20"/>
          <w:szCs w:val="20"/>
        </w:rPr>
        <w:t>Here, t</w:t>
      </w:r>
      <w:r w:rsidRPr="004D19FF">
        <w:rPr>
          <w:rFonts w:ascii="Times New Roman" w:hAnsi="Times New Roman"/>
          <w:sz w:val="20"/>
          <w:szCs w:val="20"/>
        </w:rPr>
        <w:t>he H</w:t>
      </w:r>
      <w:r w:rsidRPr="004D19FF">
        <w:rPr>
          <w:rFonts w:ascii="Times New Roman" w:hAnsi="Times New Roman"/>
          <w:sz w:val="20"/>
          <w:szCs w:val="20"/>
          <w:vertAlign w:val="subscript"/>
        </w:rPr>
        <w:t>2</w:t>
      </w:r>
      <w:r w:rsidRPr="004D19FF">
        <w:rPr>
          <w:rFonts w:ascii="Times New Roman" w:hAnsi="Times New Roman"/>
          <w:sz w:val="20"/>
          <w:szCs w:val="20"/>
        </w:rPr>
        <w:t>O and CO</w:t>
      </w:r>
      <w:r w:rsidRPr="004D19FF">
        <w:rPr>
          <w:rFonts w:ascii="Times New Roman" w:hAnsi="Times New Roman"/>
          <w:sz w:val="20"/>
          <w:szCs w:val="20"/>
          <w:vertAlign w:val="subscript"/>
        </w:rPr>
        <w:t>2</w:t>
      </w:r>
      <w:r w:rsidRPr="004D19FF">
        <w:rPr>
          <w:rFonts w:ascii="Times New Roman" w:hAnsi="Times New Roman"/>
          <w:sz w:val="20"/>
          <w:szCs w:val="20"/>
        </w:rPr>
        <w:t xml:space="preserve"> conversion into syngas is carried out by multi-step thermochemical cycles such as cerium-chlorine, copper-chlorine, sulfur-iodine, iron-chlorine, etc.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zrprdodu","properties":{"formattedCitation":"[139,159\\uc0\\u8211{}161]","plainCitation":"[139,159–161]","noteIndex":0},"citationItems":[{"id":"968HXJ10/NxgwUuwu","uris":["http://www.mendeley.com/documents/?uuid=6c2807f6-1a7c-4ba1-b75e-d142abb44922"],"uri":["http://www.mendeley.com/documents/?uuid=6c2807f6-1a7c-4ba1-b75e-d142abb44922"],"itemData":{"DOI":"10.1021/acs.energyfuels.5b00351","ISSN":"15205029","abstract":"The European consortium SOLARJET has experimentally demonstrated the first ever production of jet fuel via a thermochemical H2O/CO2-splitting cycle using simulated concentrated solar radiation. The key component of the production process of sustainable \"solar kerosene\" is a high-temperature solar reactor containing a reticulated porous ceramic (RPC) foam structure made of pure CeO2 undergoing a 2-step redox cyclic process. During the first endothermic reduction step at 1450-1600 °C, the RPC was directly exposed to concentrated thermal radiation with power inputs ranging from 2.8 to 3.8 kW and mean solar flux concentration ratios of up to 3000 suns. In the subsequent exothermic oxidation step at 700-1200 °C, the reduced ceria was stoichiometrically reoxidized with CO2 and/or H2O to generate CO and/or H2. The RPC featured dual-scale porosity: millimeter-size pores for volumetric radiation absorption during reduction and micrometer-size pores within its struts for enhanced oxidation rates. For a cycle duration of 25 min, mean reduction rates were 0.17 mLO2 min-1 g-1CeO2 and mean oxidation rates were 0.60 mLCO min-1 g-1CeO2. The solar-to-fuel energy conversion efficiency was 1.72%, without sensible heat recovery. A total of 291 stable redox cycles were performed, yielding 700 standard liters of syngas of composition 33.7% H2, 19.2% CO, 30.5% CO2, 0.06% O2, 0.09% CH4, and 16.5% Ar, which was compressed to 150 bar and further processed via Fischer-Tropsch synthesis to a mixture of naphtha, gasoil, and kerosene.","author":[{"dropping-particle":"","family":"Marxer","given":"Daniel","non-dropping-particle":"","parse-names":false,"suffix":""},{"dropping-particle":"","family":"Furler","given":"Philipp","non-dropping-particle":"","parse-names":false,"suffix":""},{"dropping-particle":"","family":"Scheffe","given":"Jonathan","non-dropping-particle":"","parse-names":false,"suffix":""},{"dropping-particle":"","family":"Geerlings","given":"Hans","non-dropping-particle":"","parse-names":false,"suffix":""},{"dropping-particle":"","family":"Falter","given":"Christoph","non-dropping-particle":"","parse-names":false,"suffix":""},{"dropping-particle":"","family":"Batteiger","given":"Valentin","non-dropping-particle":"","parse-names":false,"suffix":""},{"dropping-particle":"","family":"Sizmann","given":"Andreas","non-dropping-particle":"","parse-names":false,"suffix":""},{"dropping-particle":"","family":"Steinfeld","given":"Aldo","non-dropping-particle":"","parse-names":false,"suffix":""}],"container-title":"Energy and Fuels","id":"ITEM-1","issue":"5","issued":{"date-parts":[["2015"]]},"page":"3241-3250","title":"Demonstration of the entire production chain to renewable kerosene via solar thermochemical splitting of H2O and CO2","type":"article-journal","volume":"29"}},{"id":"968HXJ10/5q4D8Wfu","uris":["http://www.mendeley.com/documents/?uuid=099ff7d8-d3af-48ff-bf91-e45787ab0fef"],"uri":["http://www.mendeley.com/documents/?uuid=099ff7d8-d3af-48ff-bf91-e45787ab0fef"],"itemData":{"DOI":"10.1016/j.jclepro.2013.07.048","ISSN":"09596526","abstract":"There are several hydrogen production technologies. They range from the most widely used fossil fuel based systems such as natural gas steam methane reforming to the least used renewable energy based systems such as wind electrolysis. Currently almost all the industrial hydrogen need worldwide is produced using fossil fuels. Electrolytic hydrogen production based on electricity generated from renewable resources and hydrogen's energetic use could contribute to the global need for a sustainable energy supply. However, these technologies are also not free from environmental burdens. A life cycle assessment (LCA) helps to identify such impacts considering the entire life cycle of the process chains. This paper reviews twenty-one studies that address the LCA of hydrogen production technologies, a majority of them employing electrolytic technologies. It has been observed that global warming potential (GWP) is the impact category analyzed by almost all the authors. Acidification potential (AP) ranks second. Other categories such as toxicity potential are often not analyzed. The main environmental concern associated with electrolytic hydrogen production is electricity supply. The GWP contribution of the electrolyzer unit is relatively small (e.g. only about 4% in wind based electrolysis including hydrogen production and storage systems). From an LCA perspective, it can be concluded that electrolysis using wind or hydropower generated electricity is one of the best hydrogen production technologies, compared to those using conventional grid electricity mix or fossil fuel feedstocks.","author":[{"dropping-particle":"","family":"Bhandari","given":"Ramchandra","non-dropping-particle":"","parse-names":false,"suffix":""},{"dropping-particle":"","family":"Trudewind","given":"Clemens A.","non-dropping-particle":"","parse-names":false,"suffix":""},{"dropping-particle":"","family":"Zapp","given":"Petra","non-dropping-particle":"","parse-names":false,"suffix":""}],"container-title":"Journal of Cleaner Production","id":"ITEM-2","issued":{"date-parts":[["2014"]]},"page":"151-163","publisher":"Elsevier Ltd","title":"Life cycle assessment of hydrogen production via electrolysis - A review","type":"article-journal","volume":"85"}},{"id":"968HXJ10/T8XwMMQm","uris":["http://www.mendeley.com/documents/?uuid=b00fc645-068c-44fb-a701-09b9291d4600"],"uri":["http://www.mendeley.com/documents/?uuid=b00fc645-068c-44fb-a701-09b9291d4600"],"itemData":{"author":[{"dropping-particle":"","family":"Parhad","given":"Prakash Santoshrao","non-dropping-particle":"","parse-names":false,"suffix":""},{"dropping-particle":"","family":"Nirukhe","given":"Ashwini Bhagavan","non-dropping-particle":"","parse-names":false,"suffix":""}],"id":"ITEM-3","issued":{"date-parts":[["2013"]]},"number":"WO 2013/054340 A2","publisher-place":"India","title":"Hydrogen production method by multi-step copper-chlorine thermochemical cycle","type":"patent"}},{"id":"968HXJ10/djMD9ODi","uris":["http://www.mendeley.com/documents/?uuid=4bfa8920-4f88-4d98-a5d3-26e53b51432a"],"uri":["http://www.mendeley.com/documents/?uuid=4bfa8920-4f88-4d98-a5d3-26e53b51432a"],"itemData":{"DOI":"10.1039/c1ee02620h","ISSN":"17545692","abstract":"Solar syngas production from H 2O and CO 2 is experimentally investigated using a two-step thermochemical cycle based on cerium oxide redox reactions. A solar cavity-receiver containing porous ceria felt is directly exposed to concentrated thermal radiation at a mean solar concentration ratio of 2865 suns. In the first endothermic step at 1800 K, ceria is thermally reduced to an oxygen deficient state. In the second exothermic step at 1100 K, syngas is produced by re-oxidizing ceria with a gas mixture of H 2O and CO 2. The syngas composition is experimentally determined as a function of the molar co-feeding ratio H 2O:CO 2 in the range of 0.8 to 7.7, yielding syngas with H 2:CO molar ratios from 0.25 to 2.34. Ten consecutive H 2O/CO 2-splitting cycles performed over an 8 hour solar experimental run are presented. © 2012 The Royal Society of Chemistry.","author":[{"dropping-particle":"","family":"Furler","given":"Philipp","non-dropping-particle":"","parse-names":false,"suffix":""},{"dropping-particle":"","family":"Scheffe","given":"Jonathan R.","non-dropping-particle":"","parse-names":false,"suffix":""},{"dropping-particle":"","family":"Steinfeld","given":"Aldo","non-dropping-particle":"","parse-names":false,"suffix":""}],"container-title":"Energy and Environmental Science","id":"ITEM-4","issue":"3","issued":{"date-parts":[["2012"]]},"page":"6098-6103","title":"Syngas production by simultaneous splitting of H 2O and CO 2via ceria redox reactions in a high-temperature solar reactor","type":"article-journal","volume":"5"}}],"schema":"https://github.com/citation-style-language/schema/raw/master/csl-citation.json"} </w:instrText>
      </w:r>
      <w:r w:rsidRPr="004D19FF">
        <w:rPr>
          <w:rFonts w:ascii="Times New Roman" w:hAnsi="Times New Roman"/>
          <w:sz w:val="20"/>
          <w:szCs w:val="20"/>
        </w:rPr>
        <w:fldChar w:fldCharType="separate"/>
      </w:r>
      <w:r w:rsidR="005D3B73" w:rsidRPr="005D3B73">
        <w:rPr>
          <w:rFonts w:ascii="Times New Roman" w:hAnsi="Times New Roman" w:cs="Times New Roman"/>
          <w:sz w:val="20"/>
          <w:szCs w:val="24"/>
        </w:rPr>
        <w:t>[139,159–161]</w:t>
      </w:r>
      <w:r w:rsidRPr="004D19FF">
        <w:rPr>
          <w:rFonts w:ascii="Times New Roman" w:hAnsi="Times New Roman"/>
          <w:sz w:val="20"/>
          <w:szCs w:val="20"/>
        </w:rPr>
        <w:fldChar w:fldCharType="end"/>
      </w:r>
      <w:r w:rsidRPr="004D19FF">
        <w:rPr>
          <w:rFonts w:ascii="Times New Roman" w:hAnsi="Times New Roman"/>
          <w:sz w:val="20"/>
          <w:szCs w:val="20"/>
        </w:rPr>
        <w:t>. Th</w:t>
      </w:r>
      <w:r w:rsidR="002D5F84">
        <w:rPr>
          <w:rFonts w:ascii="Times New Roman" w:hAnsi="Times New Roman"/>
          <w:sz w:val="20"/>
          <w:szCs w:val="20"/>
        </w:rPr>
        <w:t xml:space="preserve">is was demonstrated in the </w:t>
      </w:r>
      <w:r w:rsidR="002D5F84" w:rsidRPr="004D19FF">
        <w:rPr>
          <w:rFonts w:ascii="Times New Roman" w:hAnsi="Times New Roman"/>
          <w:sz w:val="20"/>
          <w:szCs w:val="20"/>
        </w:rPr>
        <w:t xml:space="preserve">SOLARJET project </w:t>
      </w:r>
      <w:r w:rsidR="002D5F84"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FfvuzO5I","properties":{"formattedCitation":"[139]","plainCitation":"[139]","noteIndex":0},"citationItems":[{"id":"968HXJ10/NxgwUuwu","uris":["http://www.mendeley.com/documents/?uuid=6c2807f6-1a7c-4ba1-b75e-d142abb44922"],"uri":["http://www.mendeley.com/documents/?uuid=6c2807f6-1a7c-4ba1-b75e-d142abb44922"],"itemData":{"DOI":"10.1021/acs.energyfuels.5b00351","ISSN":"15205029","abstract":"The European consortium SOLARJET has experimentally demonstrated the first ever production of jet fuel via a thermochemical H2O/CO2-splitting cycle using simulated concentrated solar radiation. The key component of the production process of sustainable \"solar kerosene\" is a high-temperature solar reactor containing a reticulated porous ceramic (RPC) foam structure made of pure CeO2 undergoing a 2-step redox cyclic process. During the first endothermic reduction step at 1450-1600 °C, the RPC was directly exposed to concentrated thermal radiation with power inputs ranging from 2.8 to 3.8 kW and mean solar flux concentration ratios of up to 3000 suns. In the subsequent exothermic oxidation step at 700-1200 °C, the reduced ceria was stoichiometrically reoxidized with CO2 and/or H2O to generate CO and/or H2. The RPC featured dual-scale porosity: millimeter-size pores for volumetric radiation absorption during reduction and micrometer-size pores within its struts for enhanced oxidation rates. For a cycle duration of 25 min, mean reduction rates were 0.17 mLO2 min-1 g-1CeO2 and mean oxidation rates were 0.60 mLCO min-1 g-1CeO2. The solar-to-fuel energy conversion efficiency was 1.72%, without sensible heat recovery. A total of 291 stable redox cycles were performed, yielding 700 standard liters of syngas of composition 33.7% H2, 19.2% CO, 30.5% CO2, 0.06% O2, 0.09% CH4, and 16.5% Ar, which was compressed to 150 bar and further processed via Fischer-Tropsch synthesis to a mixture of naphtha, gasoil, and kerosene.","author":[{"dropping-particle":"","family":"Marxer","given":"Daniel","non-dropping-particle":"","parse-names":false,"suffix":""},{"dropping-particle":"","family":"Furler","given":"Philipp","non-dropping-particle":"","parse-names":false,"suffix":""},{"dropping-particle":"","family":"Scheffe","given":"Jonathan","non-dropping-particle":"","parse-names":false,"suffix":""},{"dropping-particle":"","family":"Geerlings","given":"Hans","non-dropping-particle":"","parse-names":false,"suffix":""},{"dropping-particle":"","family":"Falter","given":"Christoph","non-dropping-particle":"","parse-names":false,"suffix":""},{"dropping-particle":"","family":"Batteiger","given":"Valentin","non-dropping-particle":"","parse-names":false,"suffix":""},{"dropping-particle":"","family":"Sizmann","given":"Andreas","non-dropping-particle":"","parse-names":false,"suffix":""},{"dropping-particle":"","family":"Steinfeld","given":"Aldo","non-dropping-particle":"","parse-names":false,"suffix":""}],"container-title":"Energy and Fuels","id":"ITEM-1","issue":"5","issued":{"date-parts":[["2015"]]},"page":"3241-3250","title":"Demonstration of the entire production chain to renewable kerosene via solar thermochemical splitting of H2O and CO2","type":"article-journal","volume":"29"}}],"schema":"https://github.com/citation-style-language/schema/raw/master/csl-citation.json"} </w:instrText>
      </w:r>
      <w:r w:rsidR="002D5F84" w:rsidRPr="004D19FF">
        <w:rPr>
          <w:rFonts w:ascii="Times New Roman" w:hAnsi="Times New Roman"/>
          <w:sz w:val="20"/>
          <w:szCs w:val="20"/>
        </w:rPr>
        <w:fldChar w:fldCharType="separate"/>
      </w:r>
      <w:r w:rsidR="002D5F84" w:rsidRPr="00623E85">
        <w:rPr>
          <w:rFonts w:ascii="Times New Roman" w:hAnsi="Times New Roman" w:cs="Times New Roman"/>
          <w:sz w:val="20"/>
        </w:rPr>
        <w:t>[139]</w:t>
      </w:r>
      <w:r w:rsidR="002D5F84" w:rsidRPr="004D19FF">
        <w:rPr>
          <w:rFonts w:ascii="Times New Roman" w:hAnsi="Times New Roman"/>
          <w:sz w:val="20"/>
          <w:szCs w:val="20"/>
        </w:rPr>
        <w:fldChar w:fldCharType="end"/>
      </w:r>
      <w:r w:rsidR="002D5F84">
        <w:rPr>
          <w:rFonts w:ascii="Times New Roman" w:hAnsi="Times New Roman"/>
          <w:sz w:val="20"/>
          <w:szCs w:val="20"/>
        </w:rPr>
        <w:t>, with a</w:t>
      </w:r>
      <w:r w:rsidRPr="004D19FF">
        <w:rPr>
          <w:rFonts w:ascii="Times New Roman" w:hAnsi="Times New Roman"/>
          <w:sz w:val="20"/>
          <w:szCs w:val="20"/>
        </w:rPr>
        <w:t xml:space="preserve"> </w:t>
      </w:r>
      <w:r w:rsidR="007455C3">
        <w:rPr>
          <w:rFonts w:ascii="Times New Roman" w:hAnsi="Times New Roman"/>
          <w:sz w:val="20"/>
          <w:szCs w:val="20"/>
        </w:rPr>
        <w:t xml:space="preserve">4 kW </w:t>
      </w:r>
      <w:r w:rsidR="002D5F84">
        <w:rPr>
          <w:rFonts w:ascii="Times New Roman" w:hAnsi="Times New Roman"/>
          <w:sz w:val="20"/>
          <w:szCs w:val="20"/>
        </w:rPr>
        <w:t xml:space="preserve">solar reactor prototype. </w:t>
      </w:r>
      <w:r w:rsidRPr="004D19FF">
        <w:rPr>
          <w:rFonts w:ascii="Times New Roman" w:hAnsi="Times New Roman"/>
          <w:sz w:val="20"/>
          <w:szCs w:val="20"/>
        </w:rPr>
        <w:t xml:space="preserve">The upscaling of </w:t>
      </w:r>
      <w:r w:rsidR="002D5F84">
        <w:rPr>
          <w:rFonts w:ascii="Times New Roman" w:hAnsi="Times New Roman"/>
          <w:sz w:val="20"/>
          <w:szCs w:val="20"/>
        </w:rPr>
        <w:t>this</w:t>
      </w:r>
      <w:r w:rsidRPr="004D19FF">
        <w:rPr>
          <w:rFonts w:ascii="Times New Roman" w:hAnsi="Times New Roman"/>
          <w:sz w:val="20"/>
          <w:szCs w:val="20"/>
        </w:rPr>
        <w:t xml:space="preserve"> solar thermochemical reactor (50 kW) is being</w:t>
      </w:r>
      <w:r w:rsidR="002D5F84">
        <w:rPr>
          <w:rFonts w:ascii="Times New Roman" w:hAnsi="Times New Roman"/>
          <w:sz w:val="20"/>
          <w:szCs w:val="20"/>
        </w:rPr>
        <w:t xml:space="preserve"> performed</w:t>
      </w:r>
      <w:r w:rsidRPr="004D19FF">
        <w:rPr>
          <w:rFonts w:ascii="Times New Roman" w:hAnsi="Times New Roman"/>
          <w:sz w:val="20"/>
          <w:szCs w:val="20"/>
        </w:rPr>
        <w:t xml:space="preserve"> within the SUN-to-LIQUID project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6i3joPsh","properties":{"formattedCitation":"[142,162]","plainCitation":"[142,162]","noteIndex":0},"citationItems":[{"id":"968HXJ10/DJMuiUJG","uris":["http://www.mendeley.com/documents/?uuid=6f283d06-1096-428d-965b-3cfaf805cb06"],"uri":["http://www.mendeley.com/documents/?uuid=6f283d06-1096-428d-965b-3cfaf805cb06"],"itemData":{"DOI":"10.1002/ente.201900484","ISSN":"21944296","abstract":"Porous structures made of redox active ceria are attractive for high-temperature concentrating solar applications and particularly for the thermochemical splitting of H2O and CO2 as their enhanced heat and mass transport properties lead to fast reaction rates, especially with regard to the absorption of concentrated solar radiation during the endothermic reduction step. Hierarchically ordered porous structures, fabricated by the Schwartzwald replica method on 3D-printed polymer scaffolds, are experimentally assessed for their ability to volumetrically absorb high-flux irradiation of up to 670 suns. Temperature distributions across the porosity-gradient path are measured (peak 1724 K) and compared with that obtained for a reticulated porous ceramic (RPC) structure with a uniform porosity. To assist the analysis, a Monte Carlo ray-tracing model is developed for pore-level numerical simulations of the ordered geometries and applied to analyze the absorbing–emitting–scattering exchange and determine the radiation attenuation and the temperature distribution at a radiative equilibrium. In contrast to the Bouguer's law exponential-decay attenuation of incident radiation observed for the RPC, the ordered structures with a porosity gradient exhibit a step-wise radiative attenuation that leads to a more uniform temperature distribution across the structure. This in turn predicts a superior redox performance.","author":[{"dropping-particle":"","family":"Hoes","given":"Marie","non-dropping-particle":"","parse-names":false,"suffix":""},{"dropping-particle":"","family":"Ackermann","given":"Simon","non-dropping-particle":"","parse-names":false,"suffix":""},{"dropping-particle":"","family":"Theiler","given":"David","non-dropping-particle":"","parse-names":false,"suffix":""},{"dropping-particle":"","family":"Furler","given":"Philipp","non-dropping-particle":"","parse-names":false,"suffix":""},{"dropping-particle":"","family":"Steinfeld","given":"Aldo","non-dropping-particle":"","parse-names":false,"suffix":""}],"container-title":"Energy Technology","id":"ITEM-1","issue":"9","issued":{"date-parts":[["2019"]]},"title":"Additive-Manufactured Ordered Porous Structures Made of Ceria for Concentrating Solar Applications","type":"article-journal","volume":"7"}},{"id":"968HXJ10/YWMsXwvW","uris":["http://www.mendeley.com/documents/?uuid=1ce6f6c1-1f63-31e6-9623-15fa955a8b44"],"uri":["http://www.mendeley.com/documents/?uuid=1ce6f6c1-1f63-31e6-9623-15fa955a8b44"],"itemData":{"URL":"http://www.sun-to-liquid.eu/","accessed":{"date-parts":[["2020","2","27"]]},"id":"ITEM-2","issued":{"date-parts":[["0"]]},"title":"SUN to LIQUID project - SUN to LIQUID project","type":"webpage"}}],"schema":"https://github.com/citation-style-language/schema/raw/master/csl-citation.json"} </w:instrText>
      </w:r>
      <w:r w:rsidRPr="004D19FF">
        <w:rPr>
          <w:rFonts w:ascii="Times New Roman" w:hAnsi="Times New Roman"/>
          <w:sz w:val="20"/>
          <w:szCs w:val="20"/>
        </w:rPr>
        <w:fldChar w:fldCharType="separate"/>
      </w:r>
      <w:r w:rsidR="005D3B73" w:rsidRPr="005D3B73">
        <w:rPr>
          <w:rFonts w:ascii="Times New Roman" w:hAnsi="Times New Roman" w:cs="Times New Roman"/>
          <w:sz w:val="20"/>
        </w:rPr>
        <w:t>[142,162]</w:t>
      </w:r>
      <w:r w:rsidRPr="004D19FF">
        <w:rPr>
          <w:rFonts w:ascii="Times New Roman" w:hAnsi="Times New Roman"/>
          <w:sz w:val="20"/>
          <w:szCs w:val="20"/>
        </w:rPr>
        <w:fldChar w:fldCharType="end"/>
      </w:r>
      <w:r w:rsidRPr="004D19FF">
        <w:rPr>
          <w:rFonts w:ascii="Times New Roman" w:hAnsi="Times New Roman"/>
          <w:sz w:val="20"/>
          <w:szCs w:val="20"/>
        </w:rPr>
        <w:t>, where syngas is to be produced from concentrated solar energy</w:t>
      </w:r>
      <w:r w:rsidR="0088176F">
        <w:rPr>
          <w:rFonts w:ascii="Times New Roman" w:hAnsi="Times New Roman"/>
          <w:sz w:val="20"/>
          <w:szCs w:val="20"/>
        </w:rPr>
        <w:t>.</w:t>
      </w:r>
    </w:p>
    <w:p w14:paraId="0DB37BC3" w14:textId="73BB2F04" w:rsidR="006C19F1" w:rsidRDefault="003E5DEB" w:rsidP="00B0794D">
      <w:pPr>
        <w:spacing w:after="120" w:line="276" w:lineRule="auto"/>
        <w:jc w:val="thaiDistribute"/>
        <w:rPr>
          <w:rFonts w:ascii="Times New Roman" w:hAnsi="Times New Roman"/>
          <w:sz w:val="20"/>
          <w:szCs w:val="20"/>
        </w:rPr>
      </w:pPr>
      <w:r>
        <w:rPr>
          <w:rFonts w:ascii="Times New Roman" w:hAnsi="Times New Roman"/>
          <w:sz w:val="20"/>
          <w:szCs w:val="20"/>
        </w:rPr>
        <w:t>To produce liquid fuels, t</w:t>
      </w:r>
      <w:r w:rsidRPr="004D19FF">
        <w:rPr>
          <w:rFonts w:ascii="Times New Roman" w:hAnsi="Times New Roman"/>
          <w:sz w:val="20"/>
          <w:szCs w:val="20"/>
        </w:rPr>
        <w:t>he syngas is further used in</w:t>
      </w:r>
      <w:r>
        <w:rPr>
          <w:rFonts w:ascii="Times New Roman" w:hAnsi="Times New Roman"/>
          <w:sz w:val="20"/>
          <w:szCs w:val="20"/>
        </w:rPr>
        <w:t xml:space="preserve"> either</w:t>
      </w:r>
      <w:r w:rsidRPr="004D19FF">
        <w:rPr>
          <w:rFonts w:ascii="Times New Roman" w:hAnsi="Times New Roman"/>
          <w:sz w:val="20"/>
          <w:szCs w:val="20"/>
        </w:rPr>
        <w:t xml:space="preserve"> the FT or methanol synthesis</w:t>
      </w:r>
      <w:r>
        <w:rPr>
          <w:rFonts w:ascii="Times New Roman" w:hAnsi="Times New Roman"/>
          <w:sz w:val="20"/>
          <w:szCs w:val="20"/>
        </w:rPr>
        <w:t xml:space="preserve"> process</w:t>
      </w:r>
      <w:r w:rsidRPr="004D19FF">
        <w:rPr>
          <w:rFonts w:ascii="Times New Roman" w:hAnsi="Times New Roman"/>
          <w:sz w:val="20"/>
          <w:szCs w:val="20"/>
        </w:rPr>
        <w:t>, as depicted in Figs. 10a-c</w:t>
      </w:r>
      <w:r>
        <w:rPr>
          <w:rFonts w:ascii="Times New Roman" w:hAnsi="Times New Roman"/>
          <w:sz w:val="20"/>
          <w:szCs w:val="20"/>
        </w:rPr>
        <w:t xml:space="preserve"> (and Table S3</w:t>
      </w:r>
      <w:r w:rsidR="004934CD">
        <w:rPr>
          <w:rFonts w:ascii="Times New Roman" w:hAnsi="Times New Roman"/>
          <w:sz w:val="20"/>
          <w:szCs w:val="20"/>
        </w:rPr>
        <w:t>). For the FT route, the syngas-to-kerosene conversion is exactly as descried for biofuels (Fig. 6).</w:t>
      </w:r>
    </w:p>
    <w:p w14:paraId="4F635A7E" w14:textId="02940C7C" w:rsidR="00FF65F9" w:rsidRPr="004D19FF" w:rsidRDefault="00762BC3" w:rsidP="00B0794D">
      <w:pPr>
        <w:spacing w:after="120" w:line="276" w:lineRule="auto"/>
        <w:jc w:val="thaiDistribute"/>
        <w:rPr>
          <w:rFonts w:ascii="Times New Roman" w:hAnsi="Times New Roman"/>
          <w:sz w:val="20"/>
          <w:szCs w:val="20"/>
        </w:rPr>
      </w:pPr>
      <w:r w:rsidRPr="004D19FF">
        <w:rPr>
          <w:rFonts w:ascii="Times New Roman" w:hAnsi="Times New Roman"/>
          <w:sz w:val="20"/>
          <w:szCs w:val="20"/>
        </w:rPr>
        <w:t>In the methanol route,</w:t>
      </w:r>
      <w:r w:rsidR="00922D34" w:rsidRPr="004D19FF">
        <w:rPr>
          <w:rFonts w:ascii="Times New Roman" w:hAnsi="Times New Roman"/>
          <w:sz w:val="20"/>
          <w:szCs w:val="20"/>
        </w:rPr>
        <w:t xml:space="preserve"> </w:t>
      </w:r>
      <w:r w:rsidRPr="004D19FF">
        <w:rPr>
          <w:rFonts w:ascii="Times New Roman" w:hAnsi="Times New Roman"/>
          <w:sz w:val="20"/>
          <w:szCs w:val="20"/>
        </w:rPr>
        <w:t xml:space="preserve">syngas </w:t>
      </w:r>
      <w:r w:rsidR="007E2761" w:rsidRPr="004D19FF">
        <w:rPr>
          <w:rFonts w:ascii="Times New Roman" w:hAnsi="Times New Roman"/>
          <w:sz w:val="20"/>
          <w:szCs w:val="20"/>
        </w:rPr>
        <w:t>is converted</w:t>
      </w:r>
      <w:r w:rsidRPr="004D19FF">
        <w:rPr>
          <w:rFonts w:ascii="Times New Roman" w:hAnsi="Times New Roman"/>
          <w:sz w:val="20"/>
          <w:szCs w:val="20"/>
        </w:rPr>
        <w:t xml:space="preserve"> at temperature</w:t>
      </w:r>
      <w:r w:rsidR="007E2761" w:rsidRPr="004D19FF">
        <w:rPr>
          <w:rFonts w:ascii="Times New Roman" w:hAnsi="Times New Roman"/>
          <w:sz w:val="20"/>
          <w:szCs w:val="20"/>
        </w:rPr>
        <w:t>s</w:t>
      </w:r>
      <w:r w:rsidRPr="004D19FF">
        <w:rPr>
          <w:rFonts w:ascii="Times New Roman" w:hAnsi="Times New Roman"/>
          <w:sz w:val="20"/>
          <w:szCs w:val="20"/>
        </w:rPr>
        <w:t xml:space="preserve"> of 150-300 </w:t>
      </w:r>
      <w:r w:rsidRPr="004D19FF">
        <w:rPr>
          <w:rFonts w:ascii="Times New Roman" w:hAnsi="Times New Roman" w:cs="Times New Roman"/>
          <w:sz w:val="20"/>
          <w:szCs w:val="20"/>
        </w:rPr>
        <w:t>°</w:t>
      </w:r>
      <w:r w:rsidRPr="004D19FF">
        <w:rPr>
          <w:rFonts w:ascii="Times New Roman" w:hAnsi="Times New Roman"/>
          <w:sz w:val="20"/>
          <w:szCs w:val="20"/>
        </w:rPr>
        <w:t xml:space="preserve">C and under pressures in </w:t>
      </w:r>
      <w:r w:rsidR="006E689E" w:rsidRPr="004D19FF">
        <w:rPr>
          <w:rFonts w:ascii="Times New Roman" w:hAnsi="Times New Roman"/>
          <w:sz w:val="20"/>
          <w:szCs w:val="20"/>
        </w:rPr>
        <w:t xml:space="preserve">the </w:t>
      </w:r>
      <w:r w:rsidRPr="004D19FF">
        <w:rPr>
          <w:rFonts w:ascii="Times New Roman" w:hAnsi="Times New Roman"/>
          <w:sz w:val="20"/>
          <w:szCs w:val="20"/>
        </w:rPr>
        <w:t xml:space="preserve">range </w:t>
      </w:r>
      <w:r w:rsidR="007E2761" w:rsidRPr="004D19FF">
        <w:rPr>
          <w:rFonts w:ascii="Times New Roman" w:hAnsi="Times New Roman"/>
          <w:sz w:val="20"/>
          <w:szCs w:val="20"/>
        </w:rPr>
        <w:t xml:space="preserve">of </w:t>
      </w:r>
      <w:r w:rsidRPr="004D19FF">
        <w:rPr>
          <w:rFonts w:ascii="Times New Roman" w:hAnsi="Times New Roman"/>
          <w:sz w:val="20"/>
          <w:szCs w:val="20"/>
        </w:rPr>
        <w:t>10-100 bar</w:t>
      </w:r>
      <w:r w:rsidR="002F5C2E" w:rsidRPr="004D19FF">
        <w:rPr>
          <w:rFonts w:ascii="Times New Roman" w:hAnsi="Times New Roman"/>
          <w:sz w:val="20"/>
          <w:szCs w:val="20"/>
        </w:rPr>
        <w:t xml:space="preserve"> </w:t>
      </w:r>
      <w:r w:rsidR="00482163" w:rsidRPr="004D19FF">
        <w:rPr>
          <w:rFonts w:ascii="Times New Roman" w:hAnsi="Times New Roman"/>
          <w:sz w:val="20"/>
          <w:szCs w:val="20"/>
        </w:rPr>
        <w:t xml:space="preserve">in the presence of copper-based catalysts (e.g. Cu/ZnO) </w:t>
      </w:r>
      <w:r w:rsidR="006457F7"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Kf42BWxA","properties":{"formattedCitation":"[163]","plainCitation":"[163]","noteIndex":0},"citationItems":[{"id":"968HXJ10/ChJzCGdP","uris":["http://www.mendeley.com/documents/?uuid=60ce9576-297a-4e95-b72a-057736d28361"],"uri":["http://www.mendeley.com/documents/?uuid=60ce9576-297a-4e95-b72a-057736d28361"],"itemData":{"DOI":"10.1039/c7se00206h","ISSN":"2398-4902","abstract":" Direct utilisation of CO 2 is shown to be no less thermodynamically favourable than CO in the production of dimethyl ether.  A thermodynamic, model-based, study was carried out to assess the relative performance of methanol and dimethyl ether (DME) synthesis systems using CO- and CO 2 -based syngas feeds. The upstream production of a range of syngas feed compositions was simulated using CO 2 and H 2 O as the sole chemical building blocks, a requirement motivated by the increasing constraints on permissible CO 2 emissions and the successful adaptation by some industrial methanol plants to the direct utilisation of CO 2 . The objective was to establish whether the energy requirements and CO 2 emissions associated with upstream conversion of CO 2 to CO were justified by increased productivity in the methanol/DME systems. In the first part of the study, the performance of four systems was evaluated and compared in terms of energy efficiency and CO 2 conversion: (1) methanol synthesis system, (2) direct DME synthesis system, (3) two-step DME synthesis system with an interposed syngas separation step between the methanol production reactor and methanol dehydration reactor and (4) two-step DME synthesis system with no separation step between the two reactors. Based on equilibrium yields at 250 °C and 50 bar, the direct DME synthesis system was found to exhibit the highest energy conversion efficiencies with both CO 2 - and CO-based syngas. Although this system demonstrated the lowest CO 2 emissions per methanol equivalent product with a CO-based feed, the benefits were offset by emissions associated with the upstream conversion of H 2 O and CO 2 to H 2 and CO, evaluated in the second part of the study. It was determined that CO 2 could be utilised directly in the direct DME synthesis route, whereas upstream conversion of CO 2 to CO was necessary to achieve effective yields in the methanol/two-step DME systems. CO-based syngas production via high temperature co-electrolysis of H 2 O and CO 2 , or alternatively high temperature CO 2 electrolysis coupled with the water–gas shift process, was identified as the best technology based on energy consumption and CO 2 utilisation. ","author":[{"dropping-particle":"","family":"Hankin","given":"A.","non-dropping-particle":"","parse-names":false,"suffix":""},{"dropping-particle":"","family":"Shah","given":"N.","non-dropping-particle":"","parse-names":false,"suffix":""}],"container-title":"Sustainable Energy &amp; Fuels","id":"ITEM-1","issue":"7","issued":{"date-parts":[["2017"]]},"page":"1541-1556","publisher":"Royal Society of Chemistry","title":"Process exploration and assessment for the production of methanol and dimethyl ether from carbon dioxide and water","type":"article-journal","volume":"1"}}],"schema":"https://github.com/citation-style-language/schema/raw/master/csl-citation.json"} </w:instrText>
      </w:r>
      <w:r w:rsidR="006457F7" w:rsidRPr="004D19FF">
        <w:rPr>
          <w:rFonts w:ascii="Times New Roman" w:hAnsi="Times New Roman"/>
          <w:sz w:val="20"/>
          <w:szCs w:val="20"/>
        </w:rPr>
        <w:fldChar w:fldCharType="separate"/>
      </w:r>
      <w:r w:rsidR="00623E85" w:rsidRPr="00623E85">
        <w:rPr>
          <w:rFonts w:ascii="Times New Roman" w:hAnsi="Times New Roman" w:cs="Times New Roman"/>
          <w:sz w:val="20"/>
        </w:rPr>
        <w:t>[163]</w:t>
      </w:r>
      <w:r w:rsidR="006457F7" w:rsidRPr="004D19FF">
        <w:rPr>
          <w:rFonts w:ascii="Times New Roman" w:hAnsi="Times New Roman"/>
          <w:sz w:val="20"/>
          <w:szCs w:val="20"/>
        </w:rPr>
        <w:fldChar w:fldCharType="end"/>
      </w:r>
      <w:r w:rsidRPr="004D19FF">
        <w:rPr>
          <w:rFonts w:ascii="Times New Roman" w:hAnsi="Times New Roman"/>
          <w:sz w:val="20"/>
          <w:szCs w:val="20"/>
        </w:rPr>
        <w:t>. The hydrogenation of C</w:t>
      </w:r>
      <w:r w:rsidR="007E2761" w:rsidRPr="004D19FF">
        <w:rPr>
          <w:rFonts w:ascii="Times New Roman" w:hAnsi="Times New Roman"/>
          <w:sz w:val="20"/>
          <w:szCs w:val="20"/>
        </w:rPr>
        <w:t>O/</w:t>
      </w:r>
      <w:r w:rsidRPr="004D19FF">
        <w:rPr>
          <w:rFonts w:ascii="Times New Roman" w:hAnsi="Times New Roman"/>
          <w:sz w:val="20"/>
          <w:szCs w:val="20"/>
        </w:rPr>
        <w:t>CO</w:t>
      </w:r>
      <w:r w:rsidRPr="004D19FF">
        <w:rPr>
          <w:rFonts w:ascii="Times New Roman" w:hAnsi="Times New Roman"/>
          <w:sz w:val="20"/>
          <w:szCs w:val="20"/>
          <w:vertAlign w:val="subscript"/>
        </w:rPr>
        <w:t>2</w:t>
      </w:r>
      <w:r w:rsidRPr="004D19FF">
        <w:rPr>
          <w:rFonts w:ascii="Times New Roman" w:hAnsi="Times New Roman"/>
          <w:sz w:val="20"/>
          <w:szCs w:val="20"/>
        </w:rPr>
        <w:t xml:space="preserve"> </w:t>
      </w:r>
      <w:r w:rsidR="007E2761" w:rsidRPr="004D19FF">
        <w:rPr>
          <w:rFonts w:ascii="Times New Roman" w:hAnsi="Times New Roman"/>
          <w:sz w:val="20"/>
          <w:szCs w:val="20"/>
        </w:rPr>
        <w:t>can be described by the</w:t>
      </w:r>
      <w:r w:rsidRPr="004D19FF">
        <w:rPr>
          <w:rFonts w:ascii="Times New Roman" w:hAnsi="Times New Roman"/>
          <w:sz w:val="20"/>
          <w:szCs w:val="20"/>
        </w:rPr>
        <w:t xml:space="preserve"> following reactions</w:t>
      </w:r>
      <w:r w:rsidR="00FF65F9" w:rsidRPr="004D19FF">
        <w:rPr>
          <w:rFonts w:ascii="Times New Roman" w:hAnsi="Times New Roman"/>
          <w:sz w:val="20"/>
          <w:szCs w:val="20"/>
        </w:rPr>
        <w:t xml:space="preserve"> </w:t>
      </w:r>
      <w:r w:rsidR="006457F7"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y23ccCrl","properties":{"formattedCitation":"[164]","plainCitation":"[164]","noteIndex":0},"citationItems":[{"id":"968HXJ10/qqhxKSlL","uris":["http://www.mendeley.com/documents/?uuid=0af854ac-ebee-4f6b-963f-a72e4105244a"],"uri":["http://www.mendeley.com/documents/?uuid=0af854ac-ebee-4f6b-963f-a72e4105244a"],"itemData":{"DOI":"10.1016/j.rser.2018.07.030","ISSN":"18790690","abstract":"This article reviews the issues facing co-electrolysis and its applications to the power-to-methanol process. Co-electrolysis is an attractive process for syngas production that uses excess generated electricity. In extended applications, syngas produced from co-electrolysis can be used for various applications like methanol production. In this review, the power-to-methanol process is comprehensively discussed from a process systems engineering viewpoint. The subjects discussed include the reason to choose methanol as a final product, the latest progress in power-to-methanol projects, and a comparison of methanol production from H2-CO (from co-electrolysis) and H2-CO2 mixtures (from electrolysis). Syngas production pathways from co-electrolysis and electrolysis are further investigated, and potential power-to-methanol schemes using co-electrolysis are deployed. Lastly, research directions are proposed to accelerate power-to-methanol commercialization.","author":[{"dropping-particle":"","family":"Andika","given":"Riezqa","non-dropping-particle":"","parse-names":false,"suffix":""},{"dropping-particle":"","family":"Nandiyanto","given":"Asep Bayu Dani","non-dropping-particle":"","parse-names":false,"suffix":""},{"dropping-particle":"","family":"Putra","given":"Zulfan Adi","non-dropping-particle":"","parse-names":false,"suffix":""},{"dropping-particle":"","family":"Bilad","given":"Muhammad Roil","non-dropping-particle":"","parse-names":false,"suffix":""},{"dropping-particle":"","family":"Kim","given":"Young","non-dropping-particle":"","parse-names":false,"suffix":""},{"dropping-particle":"","family":"Yun","given":"Choa Mun","non-dropping-particle":"","parse-names":false,"suffix":""},{"dropping-particle":"","family":"Lee","given":"Moonyong","non-dropping-particle":"","parse-names":false,"suffix":""}],"container-title":"Renewable and Sustainable Energy Reviews","id":"ITEM-1","issue":"December 2017","issued":{"date-parts":[["2018"]]},"page":"227-241","publisher":"Elsevier Ltd","title":"Co-electrolysis for power-to-methanol applications","type":"article-journal","volume":"95"}}],"schema":"https://github.com/citation-style-language/schema/raw/master/csl-citation.json"} </w:instrText>
      </w:r>
      <w:r w:rsidR="006457F7" w:rsidRPr="004D19FF">
        <w:rPr>
          <w:rFonts w:ascii="Times New Roman" w:hAnsi="Times New Roman"/>
          <w:sz w:val="20"/>
          <w:szCs w:val="20"/>
        </w:rPr>
        <w:fldChar w:fldCharType="separate"/>
      </w:r>
      <w:r w:rsidR="00623E85" w:rsidRPr="00623E85">
        <w:rPr>
          <w:rFonts w:ascii="Times New Roman" w:hAnsi="Times New Roman" w:cs="Times New Roman"/>
          <w:sz w:val="20"/>
        </w:rPr>
        <w:t>[164]</w:t>
      </w:r>
      <w:r w:rsidR="006457F7" w:rsidRPr="004D19FF">
        <w:rPr>
          <w:rFonts w:ascii="Times New Roman" w:hAnsi="Times New Roman"/>
          <w:sz w:val="20"/>
          <w:szCs w:val="20"/>
        </w:rPr>
        <w:fldChar w:fldCharType="end"/>
      </w:r>
      <w:r w:rsidRPr="004D19FF">
        <w:rPr>
          <w:rFonts w:ascii="Times New Roman" w:hAnsi="Times New Roman"/>
          <w:sz w:val="20"/>
          <w:szCs w:val="20"/>
        </w:rPr>
        <w:t xml:space="preserve">: </w:t>
      </w:r>
    </w:p>
    <w:p w14:paraId="31936200" w14:textId="7E14EFA3" w:rsidR="00FF65F9" w:rsidRPr="004D19FF" w:rsidRDefault="00762BC3" w:rsidP="00B0794D">
      <w:pPr>
        <w:spacing w:after="120" w:line="276" w:lineRule="auto"/>
        <w:jc w:val="thaiDistribute"/>
        <w:rPr>
          <w:rFonts w:ascii="Times New Roman" w:hAnsi="Times New Roman"/>
          <w:sz w:val="20"/>
          <w:szCs w:val="20"/>
        </w:rPr>
      </w:pPr>
      <w:r w:rsidRPr="004D19FF">
        <w:rPr>
          <w:rFonts w:ascii="Times New Roman" w:hAnsi="Times New Roman"/>
          <w:sz w:val="20"/>
          <w:szCs w:val="20"/>
        </w:rPr>
        <w:t>CO + 2H</w:t>
      </w:r>
      <w:r w:rsidRPr="004D19FF">
        <w:rPr>
          <w:rFonts w:ascii="Times New Roman" w:hAnsi="Times New Roman"/>
          <w:sz w:val="20"/>
          <w:szCs w:val="20"/>
          <w:vertAlign w:val="subscript"/>
        </w:rPr>
        <w:t>2</w:t>
      </w:r>
      <w:r w:rsidRPr="004D19FF">
        <w:rPr>
          <w:rFonts w:ascii="Times New Roman" w:hAnsi="Times New Roman"/>
          <w:sz w:val="20"/>
          <w:szCs w:val="20"/>
        </w:rPr>
        <w:t xml:space="preserve"> </w:t>
      </w:r>
      <w:r w:rsidRPr="004D19FF">
        <w:rPr>
          <w:rFonts w:ascii="Times New Roman" w:hAnsi="Times New Roman" w:cs="Times New Roman"/>
          <w:sz w:val="20"/>
          <w:szCs w:val="20"/>
        </w:rPr>
        <w:t>→</w:t>
      </w:r>
      <w:r w:rsidRPr="004D19FF">
        <w:rPr>
          <w:rFonts w:ascii="Times New Roman" w:hAnsi="Times New Roman"/>
          <w:sz w:val="20"/>
          <w:szCs w:val="20"/>
        </w:rPr>
        <w:t xml:space="preserve"> CH</w:t>
      </w:r>
      <w:r w:rsidRPr="004D19FF">
        <w:rPr>
          <w:rFonts w:ascii="Times New Roman" w:hAnsi="Times New Roman"/>
          <w:sz w:val="20"/>
          <w:szCs w:val="20"/>
          <w:vertAlign w:val="subscript"/>
        </w:rPr>
        <w:t>3</w:t>
      </w:r>
      <w:r w:rsidRPr="004D19FF">
        <w:rPr>
          <w:rFonts w:ascii="Times New Roman" w:hAnsi="Times New Roman"/>
          <w:sz w:val="20"/>
          <w:szCs w:val="20"/>
        </w:rPr>
        <w:t xml:space="preserve">OH </w:t>
      </w:r>
      <w:r w:rsidR="004F0D9E" w:rsidRPr="004D19FF">
        <w:rPr>
          <w:rFonts w:ascii="Times New Roman" w:hAnsi="Times New Roman"/>
          <w:sz w:val="20"/>
          <w:szCs w:val="20"/>
        </w:rPr>
        <w:tab/>
      </w:r>
      <w:r w:rsidR="004F0D9E" w:rsidRPr="004D19FF">
        <w:rPr>
          <w:rFonts w:ascii="Times New Roman" w:hAnsi="Times New Roman"/>
          <w:sz w:val="20"/>
          <w:szCs w:val="20"/>
        </w:rPr>
        <w:tab/>
      </w:r>
      <w:r w:rsidRPr="004D19FF">
        <w:rPr>
          <w:rFonts w:ascii="Times New Roman" w:hAnsi="Times New Roman" w:cs="Times New Roman"/>
          <w:sz w:val="20"/>
          <w:szCs w:val="20"/>
        </w:rPr>
        <w:t>∆</w:t>
      </w:r>
      <w:r w:rsidRPr="004D19FF">
        <w:rPr>
          <w:rFonts w:ascii="Times New Roman" w:hAnsi="Times New Roman"/>
          <w:sz w:val="20"/>
          <w:szCs w:val="20"/>
        </w:rPr>
        <w:t>H</w:t>
      </w:r>
      <w:r w:rsidRPr="004D19FF">
        <w:rPr>
          <w:rFonts w:ascii="Times New Roman" w:hAnsi="Times New Roman"/>
          <w:sz w:val="20"/>
          <w:szCs w:val="20"/>
          <w:vertAlign w:val="subscript"/>
        </w:rPr>
        <w:t>298K</w:t>
      </w:r>
      <w:r w:rsidR="006C4DEF">
        <w:rPr>
          <w:rFonts w:ascii="Times New Roman" w:hAnsi="Times New Roman"/>
          <w:sz w:val="20"/>
          <w:szCs w:val="20"/>
        </w:rPr>
        <w:t xml:space="preserve"> = -91 kJ </w:t>
      </w:r>
      <w:r w:rsidR="002900FB">
        <w:rPr>
          <w:rFonts w:ascii="Times New Roman" w:hAnsi="Times New Roman"/>
          <w:sz w:val="20"/>
          <w:szCs w:val="20"/>
        </w:rPr>
        <w:t>mol</w:t>
      </w:r>
      <w:r w:rsidR="006C4DEF" w:rsidRPr="006C4DEF">
        <w:rPr>
          <w:rFonts w:ascii="Times New Roman" w:hAnsi="Times New Roman" w:cs="Times New Roman"/>
          <w:sz w:val="20"/>
          <w:szCs w:val="20"/>
          <w:vertAlign w:val="superscript"/>
        </w:rPr>
        <w:t>-1</w:t>
      </w:r>
      <w:r w:rsidR="004F0D9E" w:rsidRPr="004D19FF">
        <w:rPr>
          <w:rFonts w:ascii="Times New Roman" w:hAnsi="Times New Roman"/>
          <w:sz w:val="20"/>
          <w:szCs w:val="20"/>
        </w:rPr>
        <w:tab/>
      </w:r>
      <w:r w:rsidR="007000B5" w:rsidRPr="004D19FF">
        <w:rPr>
          <w:rFonts w:ascii="Times New Roman" w:hAnsi="Times New Roman"/>
          <w:sz w:val="20"/>
          <w:szCs w:val="20"/>
        </w:rPr>
        <w:t>(4</w:t>
      </w:r>
      <w:r w:rsidR="00FF65F9" w:rsidRPr="004D19FF">
        <w:rPr>
          <w:rFonts w:ascii="Times New Roman" w:hAnsi="Times New Roman"/>
          <w:sz w:val="20"/>
          <w:szCs w:val="20"/>
        </w:rPr>
        <w:t>)</w:t>
      </w:r>
    </w:p>
    <w:p w14:paraId="7E2365C0" w14:textId="6A55C81E" w:rsidR="00FF65F9" w:rsidRPr="004D19FF" w:rsidRDefault="00762BC3" w:rsidP="00B0794D">
      <w:pPr>
        <w:spacing w:after="120" w:line="276" w:lineRule="auto"/>
        <w:jc w:val="thaiDistribute"/>
        <w:rPr>
          <w:rFonts w:ascii="Times New Roman" w:hAnsi="Times New Roman"/>
          <w:sz w:val="20"/>
          <w:szCs w:val="20"/>
        </w:rPr>
      </w:pPr>
      <w:r w:rsidRPr="004D19FF">
        <w:rPr>
          <w:rFonts w:ascii="Times New Roman" w:hAnsi="Times New Roman"/>
          <w:sz w:val="20"/>
          <w:szCs w:val="20"/>
        </w:rPr>
        <w:t>CO</w:t>
      </w:r>
      <w:r w:rsidRPr="004D19FF">
        <w:rPr>
          <w:rFonts w:ascii="Times New Roman" w:hAnsi="Times New Roman"/>
          <w:sz w:val="20"/>
          <w:szCs w:val="20"/>
          <w:vertAlign w:val="subscript"/>
        </w:rPr>
        <w:t>2</w:t>
      </w:r>
      <w:r w:rsidRPr="004D19FF">
        <w:rPr>
          <w:rFonts w:ascii="Times New Roman" w:hAnsi="Times New Roman"/>
          <w:sz w:val="20"/>
          <w:szCs w:val="20"/>
        </w:rPr>
        <w:t xml:space="preserve"> + 3H</w:t>
      </w:r>
      <w:r w:rsidRPr="004D19FF">
        <w:rPr>
          <w:rFonts w:ascii="Times New Roman" w:hAnsi="Times New Roman"/>
          <w:sz w:val="20"/>
          <w:szCs w:val="20"/>
          <w:vertAlign w:val="subscript"/>
        </w:rPr>
        <w:t>2</w:t>
      </w:r>
      <w:r w:rsidRPr="004D19FF">
        <w:rPr>
          <w:rFonts w:ascii="Times New Roman" w:hAnsi="Times New Roman"/>
          <w:sz w:val="20"/>
          <w:szCs w:val="20"/>
        </w:rPr>
        <w:t xml:space="preserve"> </w:t>
      </w:r>
      <w:r w:rsidRPr="004D19FF">
        <w:rPr>
          <w:rFonts w:ascii="Times New Roman" w:hAnsi="Times New Roman" w:cs="Times New Roman"/>
          <w:sz w:val="20"/>
          <w:szCs w:val="20"/>
        </w:rPr>
        <w:t>→</w:t>
      </w:r>
      <w:r w:rsidRPr="004D19FF">
        <w:rPr>
          <w:rFonts w:ascii="Times New Roman" w:hAnsi="Times New Roman"/>
          <w:sz w:val="20"/>
          <w:szCs w:val="20"/>
        </w:rPr>
        <w:t xml:space="preserve"> CH</w:t>
      </w:r>
      <w:r w:rsidRPr="004D19FF">
        <w:rPr>
          <w:rFonts w:ascii="Times New Roman" w:hAnsi="Times New Roman"/>
          <w:sz w:val="20"/>
          <w:szCs w:val="20"/>
          <w:vertAlign w:val="subscript"/>
        </w:rPr>
        <w:t>3</w:t>
      </w:r>
      <w:r w:rsidRPr="004D19FF">
        <w:rPr>
          <w:rFonts w:ascii="Times New Roman" w:hAnsi="Times New Roman"/>
          <w:sz w:val="20"/>
          <w:szCs w:val="20"/>
        </w:rPr>
        <w:t>OH + H</w:t>
      </w:r>
      <w:r w:rsidRPr="004D19FF">
        <w:rPr>
          <w:rFonts w:ascii="Times New Roman" w:hAnsi="Times New Roman"/>
          <w:sz w:val="20"/>
          <w:szCs w:val="20"/>
          <w:vertAlign w:val="subscript"/>
        </w:rPr>
        <w:t>2</w:t>
      </w:r>
      <w:r w:rsidRPr="004D19FF">
        <w:rPr>
          <w:rFonts w:ascii="Times New Roman" w:hAnsi="Times New Roman"/>
          <w:sz w:val="20"/>
          <w:szCs w:val="20"/>
        </w:rPr>
        <w:t xml:space="preserve">O </w:t>
      </w:r>
      <w:r w:rsidR="004F0D9E" w:rsidRPr="004D19FF">
        <w:rPr>
          <w:rFonts w:ascii="Times New Roman" w:hAnsi="Times New Roman"/>
          <w:sz w:val="20"/>
          <w:szCs w:val="20"/>
        </w:rPr>
        <w:tab/>
      </w:r>
      <w:r w:rsidRPr="004D19FF">
        <w:rPr>
          <w:rFonts w:ascii="Times New Roman" w:hAnsi="Times New Roman" w:cs="Times New Roman"/>
          <w:sz w:val="20"/>
          <w:szCs w:val="20"/>
        </w:rPr>
        <w:t>∆</w:t>
      </w:r>
      <w:r w:rsidRPr="004D19FF">
        <w:rPr>
          <w:rFonts w:ascii="Times New Roman" w:hAnsi="Times New Roman"/>
          <w:sz w:val="20"/>
          <w:szCs w:val="20"/>
        </w:rPr>
        <w:t>H</w:t>
      </w:r>
      <w:r w:rsidRPr="004D19FF">
        <w:rPr>
          <w:rFonts w:ascii="Times New Roman" w:hAnsi="Times New Roman"/>
          <w:sz w:val="20"/>
          <w:szCs w:val="20"/>
          <w:vertAlign w:val="subscript"/>
        </w:rPr>
        <w:t>298K</w:t>
      </w:r>
      <w:r w:rsidR="006C4DEF">
        <w:rPr>
          <w:rFonts w:ascii="Times New Roman" w:hAnsi="Times New Roman"/>
          <w:sz w:val="20"/>
          <w:szCs w:val="20"/>
        </w:rPr>
        <w:t xml:space="preserve"> = -50 kJ </w:t>
      </w:r>
      <w:r w:rsidR="002900FB">
        <w:rPr>
          <w:rFonts w:ascii="Times New Roman" w:hAnsi="Times New Roman"/>
          <w:sz w:val="20"/>
          <w:szCs w:val="20"/>
        </w:rPr>
        <w:t>mol</w:t>
      </w:r>
      <w:r w:rsidR="006C4DEF" w:rsidRPr="006C4DEF">
        <w:rPr>
          <w:rFonts w:ascii="Times New Roman" w:hAnsi="Times New Roman" w:cs="Times New Roman"/>
          <w:sz w:val="20"/>
          <w:szCs w:val="20"/>
          <w:vertAlign w:val="superscript"/>
        </w:rPr>
        <w:t>-1</w:t>
      </w:r>
      <w:r w:rsidR="004F0D9E" w:rsidRPr="004D19FF">
        <w:rPr>
          <w:rFonts w:ascii="Times New Roman" w:hAnsi="Times New Roman"/>
          <w:sz w:val="20"/>
          <w:szCs w:val="20"/>
        </w:rPr>
        <w:tab/>
      </w:r>
      <w:r w:rsidR="007000B5" w:rsidRPr="004D19FF">
        <w:rPr>
          <w:rFonts w:ascii="Times New Roman" w:hAnsi="Times New Roman"/>
          <w:sz w:val="20"/>
          <w:szCs w:val="20"/>
        </w:rPr>
        <w:t>(5</w:t>
      </w:r>
      <w:r w:rsidR="00FF65F9" w:rsidRPr="004D19FF">
        <w:rPr>
          <w:rFonts w:ascii="Times New Roman" w:hAnsi="Times New Roman"/>
          <w:sz w:val="20"/>
          <w:szCs w:val="20"/>
        </w:rPr>
        <w:t>)</w:t>
      </w:r>
      <w:r w:rsidRPr="004D19FF">
        <w:rPr>
          <w:rFonts w:ascii="Times New Roman" w:hAnsi="Times New Roman"/>
          <w:sz w:val="20"/>
          <w:szCs w:val="20"/>
        </w:rPr>
        <w:t xml:space="preserve"> </w:t>
      </w:r>
    </w:p>
    <w:p w14:paraId="2F036918" w14:textId="1B8A5675" w:rsidR="00FF65F9" w:rsidRPr="004D19FF" w:rsidRDefault="00762BC3" w:rsidP="00B0794D">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The water gas shift reaction occurs simultaneously </w:t>
      </w:r>
      <w:r w:rsidR="007E2761" w:rsidRPr="004D19FF">
        <w:rPr>
          <w:rFonts w:ascii="Times New Roman" w:hAnsi="Times New Roman"/>
          <w:sz w:val="20"/>
          <w:szCs w:val="20"/>
        </w:rPr>
        <w:t>according to the</w:t>
      </w:r>
      <w:r w:rsidRPr="004D19FF">
        <w:rPr>
          <w:rFonts w:ascii="Times New Roman" w:hAnsi="Times New Roman"/>
          <w:sz w:val="20"/>
          <w:szCs w:val="20"/>
        </w:rPr>
        <w:t xml:space="preserve"> </w:t>
      </w:r>
      <w:r w:rsidR="006E689E" w:rsidRPr="004D19FF">
        <w:rPr>
          <w:rFonts w:ascii="Times New Roman" w:hAnsi="Times New Roman"/>
          <w:sz w:val="20"/>
          <w:szCs w:val="20"/>
        </w:rPr>
        <w:t xml:space="preserve">following </w:t>
      </w:r>
      <w:r w:rsidRPr="004D19FF">
        <w:rPr>
          <w:rFonts w:ascii="Times New Roman" w:hAnsi="Times New Roman"/>
          <w:sz w:val="20"/>
          <w:szCs w:val="20"/>
        </w:rPr>
        <w:t>reaction</w:t>
      </w:r>
      <w:r w:rsidR="00FF65F9" w:rsidRPr="004D19FF">
        <w:rPr>
          <w:rFonts w:ascii="Times New Roman" w:hAnsi="Times New Roman"/>
          <w:sz w:val="20"/>
          <w:szCs w:val="20"/>
        </w:rPr>
        <w:t xml:space="preserve"> </w:t>
      </w:r>
      <w:r w:rsidR="006457F7"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CZWZM3R9","properties":{"formattedCitation":"[164]","plainCitation":"[164]","noteIndex":0},"citationItems":[{"id":"968HXJ10/qqhxKSlL","uris":["http://www.mendeley.com/documents/?uuid=0af854ac-ebee-4f6b-963f-a72e4105244a"],"uri":["http://www.mendeley.com/documents/?uuid=0af854ac-ebee-4f6b-963f-a72e4105244a"],"itemData":{"DOI":"10.1016/j.rser.2018.07.030","ISSN":"18790690","abstract":"This article reviews the issues facing co-electrolysis and its applications to the power-to-methanol process. Co-electrolysis is an attractive process for syngas production that uses excess generated electricity. In extended applications, syngas produced from co-electrolysis can be used for various applications like methanol production. In this review, the power-to-methanol process is comprehensively discussed from a process systems engineering viewpoint. The subjects discussed include the reason to choose methanol as a final product, the latest progress in power-to-methanol projects, and a comparison of methanol production from H2-CO (from co-electrolysis) and H2-CO2 mixtures (from electrolysis). Syngas production pathways from co-electrolysis and electrolysis are further investigated, and potential power-to-methanol schemes using co-electrolysis are deployed. Lastly, research directions are proposed to accelerate power-to-methanol commercialization.","author":[{"dropping-particle":"","family":"Andika","given":"Riezqa","non-dropping-particle":"","parse-names":false,"suffix":""},{"dropping-particle":"","family":"Nandiyanto","given":"Asep Bayu Dani","non-dropping-particle":"","parse-names":false,"suffix":""},{"dropping-particle":"","family":"Putra","given":"Zulfan Adi","non-dropping-particle":"","parse-names":false,"suffix":""},{"dropping-particle":"","family":"Bilad","given":"Muhammad Roil","non-dropping-particle":"","parse-names":false,"suffix":""},{"dropping-particle":"","family":"Kim","given":"Young","non-dropping-particle":"","parse-names":false,"suffix":""},{"dropping-particle":"","family":"Yun","given":"Choa Mun","non-dropping-particle":"","parse-names":false,"suffix":""},{"dropping-particle":"","family":"Lee","given":"Moonyong","non-dropping-particle":"","parse-names":false,"suffix":""}],"container-title":"Renewable and Sustainable Energy Reviews","id":"ITEM-1","issue":"December 2017","issued":{"date-parts":[["2018"]]},"page":"227-241","publisher":"Elsevier Ltd","title":"Co-electrolysis for power-to-methanol applications","type":"article-journal","volume":"95"}}],"schema":"https://github.com/citation-style-language/schema/raw/master/csl-citation.json"} </w:instrText>
      </w:r>
      <w:r w:rsidR="006457F7" w:rsidRPr="004D19FF">
        <w:rPr>
          <w:rFonts w:ascii="Times New Roman" w:hAnsi="Times New Roman"/>
          <w:sz w:val="20"/>
          <w:szCs w:val="20"/>
        </w:rPr>
        <w:fldChar w:fldCharType="separate"/>
      </w:r>
      <w:r w:rsidR="00623E85" w:rsidRPr="00623E85">
        <w:rPr>
          <w:rFonts w:ascii="Times New Roman" w:hAnsi="Times New Roman" w:cs="Times New Roman"/>
          <w:sz w:val="20"/>
        </w:rPr>
        <w:t>[164]</w:t>
      </w:r>
      <w:r w:rsidR="006457F7" w:rsidRPr="004D19FF">
        <w:rPr>
          <w:rFonts w:ascii="Times New Roman" w:hAnsi="Times New Roman"/>
          <w:sz w:val="20"/>
          <w:szCs w:val="20"/>
        </w:rPr>
        <w:fldChar w:fldCharType="end"/>
      </w:r>
      <w:r w:rsidRPr="004D19FF">
        <w:rPr>
          <w:rFonts w:ascii="Times New Roman" w:hAnsi="Times New Roman"/>
          <w:sz w:val="20"/>
          <w:szCs w:val="20"/>
        </w:rPr>
        <w:t xml:space="preserve">: </w:t>
      </w:r>
    </w:p>
    <w:p w14:paraId="30E37864" w14:textId="17B1E022" w:rsidR="00FF65F9" w:rsidRPr="004D19FF" w:rsidRDefault="00762BC3" w:rsidP="00B0794D">
      <w:pPr>
        <w:spacing w:after="120" w:line="276" w:lineRule="auto"/>
        <w:jc w:val="thaiDistribute"/>
        <w:rPr>
          <w:rFonts w:ascii="Times New Roman" w:hAnsi="Times New Roman"/>
          <w:sz w:val="20"/>
          <w:szCs w:val="20"/>
        </w:rPr>
      </w:pPr>
      <w:r w:rsidRPr="004D19FF">
        <w:rPr>
          <w:rFonts w:ascii="Times New Roman" w:hAnsi="Times New Roman"/>
          <w:sz w:val="20"/>
          <w:szCs w:val="20"/>
        </w:rPr>
        <w:t>CO + H</w:t>
      </w:r>
      <w:r w:rsidRPr="004D19FF">
        <w:rPr>
          <w:rFonts w:ascii="Times New Roman" w:hAnsi="Times New Roman"/>
          <w:sz w:val="20"/>
          <w:szCs w:val="20"/>
          <w:vertAlign w:val="subscript"/>
        </w:rPr>
        <w:t>2</w:t>
      </w:r>
      <w:r w:rsidRPr="004D19FF">
        <w:rPr>
          <w:rFonts w:ascii="Times New Roman" w:hAnsi="Times New Roman"/>
          <w:sz w:val="20"/>
          <w:szCs w:val="20"/>
        </w:rPr>
        <w:t xml:space="preserve">O </w:t>
      </w:r>
      <w:r w:rsidR="00A03090" w:rsidRPr="004D19FF">
        <w:rPr>
          <w:rFonts w:ascii="Times New Roman" w:hAnsi="Times New Roman" w:cs="Times New Roman"/>
          <w:sz w:val="20"/>
          <w:szCs w:val="20"/>
        </w:rPr>
        <w:t>↔</w:t>
      </w:r>
      <w:r w:rsidRPr="004D19FF">
        <w:rPr>
          <w:rFonts w:ascii="Times New Roman" w:hAnsi="Times New Roman"/>
          <w:sz w:val="20"/>
          <w:szCs w:val="20"/>
        </w:rPr>
        <w:t xml:space="preserve"> CO</w:t>
      </w:r>
      <w:r w:rsidRPr="004D19FF">
        <w:rPr>
          <w:rFonts w:ascii="Times New Roman" w:hAnsi="Times New Roman"/>
          <w:sz w:val="20"/>
          <w:szCs w:val="20"/>
          <w:vertAlign w:val="subscript"/>
        </w:rPr>
        <w:t xml:space="preserve">2 </w:t>
      </w:r>
      <w:r w:rsidRPr="004D19FF">
        <w:rPr>
          <w:rFonts w:ascii="Times New Roman" w:hAnsi="Times New Roman"/>
          <w:sz w:val="20"/>
          <w:szCs w:val="20"/>
        </w:rPr>
        <w:t>+ H</w:t>
      </w:r>
      <w:r w:rsidRPr="004D19FF">
        <w:rPr>
          <w:rFonts w:ascii="Times New Roman" w:hAnsi="Times New Roman"/>
          <w:sz w:val="20"/>
          <w:szCs w:val="20"/>
          <w:vertAlign w:val="subscript"/>
        </w:rPr>
        <w:t xml:space="preserve">2 </w:t>
      </w:r>
      <w:r w:rsidR="004F0D9E" w:rsidRPr="004D19FF">
        <w:rPr>
          <w:rFonts w:ascii="Times New Roman" w:hAnsi="Times New Roman"/>
          <w:sz w:val="20"/>
          <w:szCs w:val="20"/>
          <w:vertAlign w:val="subscript"/>
        </w:rPr>
        <w:tab/>
      </w:r>
      <w:r w:rsidR="004F0D9E" w:rsidRPr="004D19FF">
        <w:rPr>
          <w:rFonts w:ascii="Times New Roman" w:hAnsi="Times New Roman"/>
          <w:sz w:val="20"/>
          <w:szCs w:val="20"/>
          <w:vertAlign w:val="subscript"/>
        </w:rPr>
        <w:tab/>
      </w:r>
      <w:r w:rsidRPr="004D19FF">
        <w:rPr>
          <w:rFonts w:ascii="Times New Roman" w:hAnsi="Times New Roman" w:cs="Times New Roman"/>
          <w:sz w:val="20"/>
          <w:szCs w:val="20"/>
        </w:rPr>
        <w:t>∆</w:t>
      </w:r>
      <w:r w:rsidRPr="004D19FF">
        <w:rPr>
          <w:rFonts w:ascii="Times New Roman" w:hAnsi="Times New Roman"/>
          <w:sz w:val="20"/>
          <w:szCs w:val="20"/>
        </w:rPr>
        <w:t>H</w:t>
      </w:r>
      <w:r w:rsidRPr="004D19FF">
        <w:rPr>
          <w:rFonts w:ascii="Times New Roman" w:hAnsi="Times New Roman"/>
          <w:sz w:val="20"/>
          <w:szCs w:val="20"/>
          <w:vertAlign w:val="subscript"/>
        </w:rPr>
        <w:t>298K</w:t>
      </w:r>
      <w:r w:rsidR="006C4DEF">
        <w:rPr>
          <w:rFonts w:ascii="Times New Roman" w:hAnsi="Times New Roman"/>
          <w:sz w:val="20"/>
          <w:szCs w:val="20"/>
        </w:rPr>
        <w:t xml:space="preserve"> = -41 kJ </w:t>
      </w:r>
      <w:r w:rsidR="002900FB">
        <w:rPr>
          <w:rFonts w:ascii="Times New Roman" w:hAnsi="Times New Roman"/>
          <w:sz w:val="20"/>
          <w:szCs w:val="20"/>
        </w:rPr>
        <w:t>mol</w:t>
      </w:r>
      <w:r w:rsidR="006C4DEF" w:rsidRPr="006C4DEF">
        <w:rPr>
          <w:rFonts w:ascii="Times New Roman" w:hAnsi="Times New Roman" w:cs="Times New Roman"/>
          <w:sz w:val="20"/>
          <w:szCs w:val="20"/>
          <w:vertAlign w:val="superscript"/>
        </w:rPr>
        <w:t>-1</w:t>
      </w:r>
      <w:r w:rsidR="004F0D9E" w:rsidRPr="004D19FF">
        <w:rPr>
          <w:rFonts w:ascii="Times New Roman" w:hAnsi="Times New Roman"/>
          <w:sz w:val="20"/>
          <w:szCs w:val="20"/>
        </w:rPr>
        <w:tab/>
      </w:r>
      <w:r w:rsidR="007000B5" w:rsidRPr="004D19FF">
        <w:rPr>
          <w:rFonts w:ascii="Times New Roman" w:hAnsi="Times New Roman"/>
          <w:sz w:val="20"/>
          <w:szCs w:val="20"/>
        </w:rPr>
        <w:t>(6</w:t>
      </w:r>
      <w:r w:rsidR="008E0FAB" w:rsidRPr="004D19FF">
        <w:rPr>
          <w:rFonts w:ascii="Times New Roman" w:hAnsi="Times New Roman"/>
          <w:sz w:val="20"/>
          <w:szCs w:val="20"/>
        </w:rPr>
        <w:t>)</w:t>
      </w:r>
    </w:p>
    <w:p w14:paraId="218E506C" w14:textId="5AFB6C75" w:rsidR="00DA18C2" w:rsidRPr="004D19FF" w:rsidRDefault="00762BC3" w:rsidP="00B0794D">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Subsequently, the methanol is condensed and separated by distillation. </w:t>
      </w:r>
      <w:r w:rsidR="00224B71">
        <w:rPr>
          <w:rFonts w:ascii="Times New Roman" w:hAnsi="Times New Roman"/>
          <w:sz w:val="20"/>
          <w:szCs w:val="20"/>
        </w:rPr>
        <w:t>It</w:t>
      </w:r>
      <w:r w:rsidRPr="004D19FF">
        <w:rPr>
          <w:rFonts w:ascii="Times New Roman" w:hAnsi="Times New Roman"/>
          <w:sz w:val="20"/>
          <w:szCs w:val="20"/>
        </w:rPr>
        <w:t xml:space="preserve"> </w:t>
      </w:r>
      <w:r w:rsidR="00EF62C6" w:rsidRPr="004D19FF">
        <w:rPr>
          <w:rFonts w:ascii="Times New Roman" w:hAnsi="Times New Roman"/>
          <w:sz w:val="20"/>
          <w:szCs w:val="20"/>
        </w:rPr>
        <w:t>can then be</w:t>
      </w:r>
      <w:r w:rsidRPr="004D19FF">
        <w:rPr>
          <w:rFonts w:ascii="Times New Roman" w:hAnsi="Times New Roman"/>
          <w:sz w:val="20"/>
          <w:szCs w:val="20"/>
        </w:rPr>
        <w:t xml:space="preserve"> processed to </w:t>
      </w:r>
      <w:r w:rsidR="00EF62C6" w:rsidRPr="004D19FF">
        <w:rPr>
          <w:rFonts w:ascii="Times New Roman" w:hAnsi="Times New Roman"/>
          <w:sz w:val="20"/>
          <w:szCs w:val="20"/>
        </w:rPr>
        <w:t xml:space="preserve">the desired </w:t>
      </w:r>
      <w:r w:rsidRPr="004D19FF">
        <w:rPr>
          <w:rFonts w:ascii="Times New Roman" w:hAnsi="Times New Roman"/>
          <w:sz w:val="20"/>
          <w:szCs w:val="20"/>
        </w:rPr>
        <w:t xml:space="preserve">chemicals and fuels </w:t>
      </w:r>
      <w:r w:rsidR="006457F7"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8sebgow4","properties":{"formattedCitation":"[163,164]","plainCitation":"[163,164]","noteIndex":0},"citationItems":[{"id":"968HXJ10/ChJzCGdP","uris":["http://www.mendeley.com/documents/?uuid=60ce9576-297a-4e95-b72a-057736d28361"],"uri":["http://www.mendeley.com/documents/?uuid=60ce9576-297a-4e95-b72a-057736d28361"],"itemData":{"DOI":"10.1039/c7se00206h","ISSN":"2398-4902","abstract":" Direct utilisation of CO 2 is shown to be no less thermodynamically favourable than CO in the production of dimethyl ether.  A thermodynamic, model-based, study was carried out to assess the relative performance of methanol and dimethyl ether (DME) synthesis systems using CO- and CO 2 -based syngas feeds. The upstream production of a range of syngas feed compositions was simulated using CO 2 and H 2 O as the sole chemical building blocks, a requirement motivated by the increasing constraints on permissible CO 2 emissions and the successful adaptation by some industrial methanol plants to the direct utilisation of CO 2 . The objective was to establish whether the energy requirements and CO 2 emissions associated with upstream conversion of CO 2 to CO were justified by increased productivity in the methanol/DME systems. In the first part of the study, the performance of four systems was evaluated and compared in terms of energy efficiency and CO 2 conversion: (1) methanol synthesis system, (2) direct DME synthesis system, (3) two-step DME synthesis system with an interposed syngas separation step between the methanol production reactor and methanol dehydration reactor and (4) two-step DME synthesis system with no separation step between the two reactors. Based on equilibrium yields at 250 °C and 50 bar, the direct DME synthesis system was found to exhibit the highest energy conversion efficiencies with both CO 2 - and CO-based syngas. Although this system demonstrated the lowest CO 2 emissions per methanol equivalent product with a CO-based feed, the benefits were offset by emissions associated with the upstream conversion of H 2 O and CO 2 to H 2 and CO, evaluated in the second part of the study. It was determined that CO 2 could be utilised directly in the direct DME synthesis route, whereas upstream conversion of CO 2 to CO was necessary to achieve effective yields in the methanol/two-step DME systems. CO-based syngas production via high temperature co-electrolysis of H 2 O and CO 2 , or alternatively high temperature CO 2 electrolysis coupled with the water–gas shift process, was identified as the best technology based on energy consumption and CO 2 utilisation. ","author":[{"dropping-particle":"","family":"Hankin","given":"A.","non-dropping-particle":"","parse-names":false,"suffix":""},{"dropping-particle":"","family":"Shah","given":"N.","non-dropping-particle":"","parse-names":false,"suffix":""}],"container-title":"Sustainable Energy &amp; Fuels","id":"ITEM-1","issue":"7","issued":{"date-parts":[["2017"]]},"page":"1541-1556","publisher":"Royal Society of Chemistry","title":"Process exploration and assessment for the production of methanol and dimethyl ether from carbon dioxide and water","type":"article-journal","volume":"1"}},{"id":"968HXJ10/qqhxKSlL","uris":["http://www.mendeley.com/documents/?uuid=0af854ac-ebee-4f6b-963f-a72e4105244a"],"uri":["http://www.mendeley.com/documents/?uuid=0af854ac-ebee-4f6b-963f-a72e4105244a"],"itemData":{"DOI":"10.1016/j.rser.2018.07.030","ISSN":"18790690","abstract":"This article reviews the issues facing co-electrolysis and its applications to the power-to-methanol process. Co-electrolysis is an attractive process for syngas production that uses excess generated electricity. In extended applications, syngas produced from co-electrolysis can be used for various applications like methanol production. In this review, the power-to-methanol process is comprehensively discussed from a process systems engineering viewpoint. The subjects discussed include the reason to choose methanol as a final product, the latest progress in power-to-methanol projects, and a comparison of methanol production from H2-CO (from co-electrolysis) and H2-CO2 mixtures (from electrolysis). Syngas production pathways from co-electrolysis and electrolysis are further investigated, and potential power-to-methanol schemes using co-electrolysis are deployed. Lastly, research directions are proposed to accelerate power-to-methanol commercialization.","author":[{"dropping-particle":"","family":"Andika","given":"Riezqa","non-dropping-particle":"","parse-names":false,"suffix":""},{"dropping-particle":"","family":"Nandiyanto","given":"Asep Bayu Dani","non-dropping-particle":"","parse-names":false,"suffix":""},{"dropping-particle":"","family":"Putra","given":"Zulfan Adi","non-dropping-particle":"","parse-names":false,"suffix":""},{"dropping-particle":"","family":"Bilad","given":"Muhammad Roil","non-dropping-particle":"","parse-names":false,"suffix":""},{"dropping-particle":"","family":"Kim","given":"Young","non-dropping-particle":"","parse-names":false,"suffix":""},{"dropping-particle":"","family":"Yun","given":"Choa Mun","non-dropping-particle":"","parse-names":false,"suffix":""},{"dropping-particle":"","family":"Lee","given":"Moonyong","non-dropping-particle":"","parse-names":false,"suffix":""}],"container-title":"Renewable and Sustainable Energy Reviews","id":"ITEM-2","issue":"December 2017","issued":{"date-parts":[["2018"]]},"page":"227-241","publisher":"Elsevier Ltd","title":"Co-electrolysis for power-to-methanol applications","type":"article-journal","volume":"95"}}],"schema":"https://github.com/citation-style-language/schema/raw/master/csl-citation.json"} </w:instrText>
      </w:r>
      <w:r w:rsidR="006457F7" w:rsidRPr="004D19FF">
        <w:rPr>
          <w:rFonts w:ascii="Times New Roman" w:hAnsi="Times New Roman"/>
          <w:sz w:val="20"/>
          <w:szCs w:val="20"/>
        </w:rPr>
        <w:fldChar w:fldCharType="separate"/>
      </w:r>
      <w:r w:rsidR="00623E85" w:rsidRPr="00623E85">
        <w:rPr>
          <w:rFonts w:ascii="Times New Roman" w:hAnsi="Times New Roman" w:cs="Times New Roman"/>
          <w:sz w:val="20"/>
        </w:rPr>
        <w:t>[163,164]</w:t>
      </w:r>
      <w:r w:rsidR="006457F7" w:rsidRPr="004D19FF">
        <w:rPr>
          <w:rFonts w:ascii="Times New Roman" w:hAnsi="Times New Roman"/>
          <w:sz w:val="20"/>
          <w:szCs w:val="20"/>
        </w:rPr>
        <w:fldChar w:fldCharType="end"/>
      </w:r>
      <w:r w:rsidR="006E689E" w:rsidRPr="004D19FF">
        <w:rPr>
          <w:rFonts w:ascii="Times New Roman" w:hAnsi="Times New Roman"/>
          <w:sz w:val="20"/>
          <w:szCs w:val="20"/>
        </w:rPr>
        <w:t>. This c</w:t>
      </w:r>
      <w:r w:rsidRPr="004D19FF">
        <w:rPr>
          <w:rFonts w:ascii="Times New Roman" w:hAnsi="Times New Roman"/>
          <w:sz w:val="20"/>
          <w:szCs w:val="20"/>
        </w:rPr>
        <w:t>onversion and upgrad</w:t>
      </w:r>
      <w:r w:rsidR="00A82848" w:rsidRPr="004D19FF">
        <w:rPr>
          <w:rFonts w:ascii="Times New Roman" w:hAnsi="Times New Roman"/>
          <w:sz w:val="20"/>
          <w:szCs w:val="20"/>
        </w:rPr>
        <w:t xml:space="preserve">ing of methanol to desired fuels and </w:t>
      </w:r>
      <w:r w:rsidR="006E689E" w:rsidRPr="004D19FF">
        <w:rPr>
          <w:rFonts w:ascii="Times New Roman" w:hAnsi="Times New Roman"/>
          <w:sz w:val="20"/>
          <w:szCs w:val="20"/>
        </w:rPr>
        <w:t>chemicals</w:t>
      </w:r>
      <w:r w:rsidR="00A82848" w:rsidRPr="004D19FF">
        <w:rPr>
          <w:rFonts w:ascii="Times New Roman" w:hAnsi="Times New Roman"/>
          <w:sz w:val="20"/>
          <w:szCs w:val="20"/>
        </w:rPr>
        <w:t xml:space="preserve"> </w:t>
      </w:r>
      <w:r w:rsidRPr="004D19FF">
        <w:rPr>
          <w:rFonts w:ascii="Times New Roman" w:hAnsi="Times New Roman"/>
          <w:sz w:val="20"/>
          <w:szCs w:val="20"/>
        </w:rPr>
        <w:t>comprises several process</w:t>
      </w:r>
      <w:r w:rsidR="00012C54" w:rsidRPr="004D19FF">
        <w:rPr>
          <w:rFonts w:ascii="Times New Roman" w:hAnsi="Times New Roman"/>
          <w:sz w:val="20"/>
          <w:szCs w:val="20"/>
        </w:rPr>
        <w:t>es</w:t>
      </w:r>
      <w:r w:rsidRPr="004D19FF">
        <w:rPr>
          <w:rFonts w:ascii="Times New Roman" w:hAnsi="Times New Roman"/>
          <w:sz w:val="20"/>
          <w:szCs w:val="20"/>
        </w:rPr>
        <w:t xml:space="preserve"> depending on the preferred target product</w:t>
      </w:r>
      <w:r w:rsidR="006E689E" w:rsidRPr="004D19FF">
        <w:rPr>
          <w:rFonts w:ascii="Times New Roman" w:hAnsi="Times New Roman"/>
          <w:sz w:val="20"/>
          <w:szCs w:val="20"/>
        </w:rPr>
        <w:t>. For instance, methanol may be used for</w:t>
      </w:r>
      <w:r w:rsidRPr="004D19FF">
        <w:rPr>
          <w:rFonts w:ascii="Times New Roman" w:hAnsi="Times New Roman"/>
          <w:sz w:val="20"/>
          <w:szCs w:val="20"/>
        </w:rPr>
        <w:t xml:space="preserve"> olefin synthesis</w:t>
      </w:r>
      <w:r w:rsidR="006E689E" w:rsidRPr="004D19FF">
        <w:rPr>
          <w:rFonts w:ascii="Times New Roman" w:hAnsi="Times New Roman"/>
          <w:sz w:val="20"/>
          <w:szCs w:val="20"/>
        </w:rPr>
        <w:t xml:space="preserve"> (an alkene intermediate to produce kerosene)</w:t>
      </w:r>
      <w:r w:rsidR="00297180" w:rsidRPr="004D19FF">
        <w:rPr>
          <w:rFonts w:ascii="Times New Roman" w:hAnsi="Times New Roman"/>
          <w:sz w:val="20"/>
          <w:szCs w:val="20"/>
        </w:rPr>
        <w:t xml:space="preserve"> via di-methyl ether</w:t>
      </w:r>
      <w:r w:rsidRPr="004D19FF">
        <w:rPr>
          <w:rFonts w:ascii="Times New Roman" w:hAnsi="Times New Roman"/>
          <w:sz w:val="20"/>
          <w:szCs w:val="20"/>
        </w:rPr>
        <w:t>, oligomerization and hydrotreating</w:t>
      </w:r>
      <w:r w:rsidR="00FC6369" w:rsidRPr="004D19FF">
        <w:rPr>
          <w:rFonts w:ascii="Times New Roman" w:hAnsi="Times New Roman"/>
          <w:sz w:val="20"/>
          <w:szCs w:val="20"/>
        </w:rPr>
        <w:t xml:space="preserve"> </w:t>
      </w:r>
      <w:r w:rsidR="004A1921"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vZ68DXnC","properties":{"formattedCitation":"[26,163,165]","plainCitation":"[26,163,165]","noteIndex":0},"citationItems":[{"id":"968HXJ10/siXfNZKI","uris":["http://www.mendeley.com/documents/?uuid=a75214bd-a042-410a-911c-4ef6e60f2c8d"],"uri":["http://www.mendeley.com/documents/?uuid=a75214bd-a042-410a-911c-4ef6e60f2c8d"],"itemData":{"DOI":"10.1016/S0167-2991(09)60521-8","ISSN":"01672991","abstract":"Mobil recently commercialized its fixed-bed methanol-to-gasoline (MTG) process in a 14,500 B/D (gasoline) plant, based on natural gas, which is located in New Zealand. Process development studies were carried out in a small pilot plant to define conditions for producing gasoline in good yield and with acceptable product quality while also insuring satisfactory catalyst life. The process was successfully scaled-up by a factor of 100 to a demonstration unit size of 4 B/D. The scale-up factor from the demonstration unit to the commercial plant was in excess of 3000. The characteristics of the fixed-bed MTG process, its development, scale-up to demonstration unit, and assurance of acceptable product quality are discussed. © 1988 Elsevier Science Publishers B.V.","author":[{"dropping-particle":"","family":"Yurchak","given":"S.","non-dropping-particle":"","parse-names":false,"suffix":""}],"container-title":"Studies in Surface Science and Catalysis","id":"ITEM-1","issue":"C","issued":{"date-parts":[["1988"]]},"number-of-pages":"251-272","title":"Developmbnt of mobil's H-IXBD-HKD methanol-to-gasoline (MTG) process","type":"book","volume":"36"}},{"id":"968HXJ10/xcoAFHUB","uris":["http://www.mendeley.com/documents/?uuid=c34cef72-601a-4a4e-ad93-bc3b00bf92a7"],"uri":["http://www.mendeley.com/documents/?uuid=c34cef72-601a-4a4e-ad93-bc3b00bf92a7"],"itemData":{"abstract":"The 2015 Paris Agreement requires massive green- house gas emission reductions in all sectors by mid-century. Renewable fuels are a major building block to achieve substantial absolute emission re- ductions in aviation. This study gives an introduction into the novel concept of producing renewable jet fuel using renewable electricity, so-called Power- to-Liquids (PtL). The PtL production pathways and the drop-in capability of the resulting jet fuel are explained and their comparative performances are discussed in terms of greenhouse gas emissions, energy efficiencies, costs, water demand and land requirements. The study is directed towards industry, politics and non-governmental actors in aviation; experts in aviation emissions and renewable jet fuels; and the interested public in the field.","author":[{"dropping-particle":"","family":"Schmidt","given":"Patrick","non-dropping-particle":"","parse-names":false,"suffix":""},{"dropping-particle":"","family":"Weindorf","given":"Werner","non-dropping-particle":"","parse-names":false,"suffix":""}],"container-title":"Dessau-Roßlau","id":"ITEM-2","issue":"september","issued":{"date-parts":[["2016"]]},"page":"1-36","title":"Power-to-Liquids: Potentials and Perspectives for the Future Supply of Renewable Aviation Fuel","type":"article-journal"}},{"id":"968HXJ10/ChJzCGdP","uris":["http://www.mendeley.com/documents/?uuid=60ce9576-297a-4e95-b72a-057736d28361"],"uri":["http://www.mendeley.com/documents/?uuid=60ce9576-297a-4e95-b72a-057736d28361"],"itemData":{"DOI":"10.1039/c7se00206h","ISSN":"2398-4902","abstract":" Direct utilisation of CO 2 is shown to be no less thermodynamically favourable than CO in the production of dimethyl ether.  A thermodynamic, model-based, study was carried out to assess the relative performance of methanol and dimethyl ether (DME) synthesis systems using CO- and CO 2 -based syngas feeds. The upstream production of a range of syngas feed compositions was simulated using CO 2 and H 2 O as the sole chemical building blocks, a requirement motivated by the increasing constraints on permissible CO 2 emissions and the successful adaptation by some industrial methanol plants to the direct utilisation of CO 2 . The objective was to establish whether the energy requirements and CO 2 emissions associated with upstream conversion of CO 2 to CO were justified by increased productivity in the methanol/DME systems. In the first part of the study, the performance of four systems was evaluated and compared in terms of energy efficiency and CO 2 conversion: (1) methanol synthesis system, (2) direct DME synthesis system, (3) two-step DME synthesis system with an interposed syngas separation step between the methanol production reactor and methanol dehydration reactor and (4) two-step DME synthesis system with no separation step between the two reactors. Based on equilibrium yields at 250 °C and 50 bar, the direct DME synthesis system was found to exhibit the highest energy conversion efficiencies with both CO 2 - and CO-based syngas. Although this system demonstrated the lowest CO 2 emissions per methanol equivalent product with a CO-based feed, the benefits were offset by emissions associated with the upstream conversion of H 2 O and CO 2 to H 2 and CO, evaluated in the second part of the study. It was determined that CO 2 could be utilised directly in the direct DME synthesis route, whereas upstream conversion of CO 2 to CO was necessary to achieve effective yields in the methanol/two-step DME systems. CO-based syngas production via high temperature co-electrolysis of H 2 O and CO 2 , or alternatively high temperature CO 2 electrolysis coupled with the water–gas shift process, was identified as the best technology based on energy consumption and CO 2 utilisation. ","author":[{"dropping-particle":"","family":"Hankin","given":"A.","non-dropping-particle":"","parse-names":false,"suffix":""},{"dropping-particle":"","family":"Shah","given":"N.","non-dropping-particle":"","parse-names":false,"suffix":""}],"container-title":"Sustainable Energy &amp; Fuels","id":"ITEM-3","issue":"7","issued":{"date-parts":[["2017"]]},"page":"1541-1556","publisher":"Royal Society of Chemistry","title":"Process exploration and assessment for the production of methanol and dimethyl ether from carbon dioxide and water","type":"article-journal","volume":"1"}}],"schema":"https://github.com/citation-style-language/schema/raw/master/csl-citation.json"} </w:instrText>
      </w:r>
      <w:r w:rsidR="004A1921" w:rsidRPr="004D19FF">
        <w:rPr>
          <w:rFonts w:ascii="Times New Roman" w:hAnsi="Times New Roman"/>
          <w:sz w:val="20"/>
          <w:szCs w:val="20"/>
        </w:rPr>
        <w:fldChar w:fldCharType="separate"/>
      </w:r>
      <w:r w:rsidR="0051129D" w:rsidRPr="0051129D">
        <w:rPr>
          <w:rFonts w:ascii="Times New Roman" w:hAnsi="Times New Roman" w:cs="Times New Roman"/>
          <w:sz w:val="20"/>
        </w:rPr>
        <w:t>[26,163,165]</w:t>
      </w:r>
      <w:r w:rsidR="004A1921" w:rsidRPr="004D19FF">
        <w:rPr>
          <w:rFonts w:ascii="Times New Roman" w:hAnsi="Times New Roman"/>
          <w:sz w:val="20"/>
          <w:szCs w:val="20"/>
        </w:rPr>
        <w:fldChar w:fldCharType="end"/>
      </w:r>
      <w:r w:rsidRPr="004D19FF">
        <w:rPr>
          <w:rFonts w:ascii="Times New Roman" w:hAnsi="Times New Roman"/>
          <w:sz w:val="20"/>
          <w:szCs w:val="20"/>
        </w:rPr>
        <w:t xml:space="preserve">. The methanol generated from syngas </w:t>
      </w:r>
      <w:r w:rsidR="00012C54" w:rsidRPr="004D19FF">
        <w:rPr>
          <w:rFonts w:ascii="Times New Roman" w:hAnsi="Times New Roman"/>
          <w:sz w:val="20"/>
          <w:szCs w:val="20"/>
        </w:rPr>
        <w:t>could also serve for the</w:t>
      </w:r>
      <w:r w:rsidRPr="004D19FF">
        <w:rPr>
          <w:rFonts w:ascii="Times New Roman" w:hAnsi="Times New Roman"/>
          <w:sz w:val="20"/>
          <w:szCs w:val="20"/>
        </w:rPr>
        <w:t xml:space="preserve"> production of gasoline (d</w:t>
      </w:r>
      <w:r w:rsidR="00012C54" w:rsidRPr="004D19FF">
        <w:rPr>
          <w:rFonts w:ascii="Times New Roman" w:hAnsi="Times New Roman"/>
          <w:sz w:val="20"/>
          <w:szCs w:val="20"/>
        </w:rPr>
        <w:t>enoted as methanol-to-gasoline), as currently done in commercial plant</w:t>
      </w:r>
      <w:r w:rsidR="00D70870" w:rsidRPr="004D19FF">
        <w:rPr>
          <w:rFonts w:ascii="Times New Roman" w:hAnsi="Times New Roman"/>
          <w:sz w:val="20"/>
          <w:szCs w:val="20"/>
        </w:rPr>
        <w:t>s</w:t>
      </w:r>
      <w:r w:rsidR="00297180" w:rsidRPr="004D19FF">
        <w:rPr>
          <w:rFonts w:ascii="Times New Roman" w:hAnsi="Times New Roman"/>
          <w:sz w:val="20"/>
          <w:szCs w:val="20"/>
        </w:rPr>
        <w:t>, for example</w:t>
      </w:r>
      <w:r w:rsidR="00012C54" w:rsidRPr="004D19FF">
        <w:rPr>
          <w:rFonts w:ascii="Times New Roman" w:hAnsi="Times New Roman"/>
          <w:sz w:val="20"/>
          <w:szCs w:val="20"/>
        </w:rPr>
        <w:t xml:space="preserve"> </w:t>
      </w:r>
      <w:r w:rsidRPr="004D19FF">
        <w:rPr>
          <w:rFonts w:ascii="Times New Roman" w:hAnsi="Times New Roman"/>
          <w:sz w:val="20"/>
          <w:szCs w:val="20"/>
        </w:rPr>
        <w:t>ExxonMobil</w:t>
      </w:r>
      <w:r w:rsidR="00012C54" w:rsidRPr="004D19FF">
        <w:rPr>
          <w:rFonts w:ascii="Times New Roman" w:hAnsi="Times New Roman"/>
          <w:sz w:val="20"/>
          <w:szCs w:val="20"/>
        </w:rPr>
        <w:t xml:space="preserve"> </w:t>
      </w:r>
      <w:r w:rsidR="006457F7"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Oi2lXpIr","properties":{"formattedCitation":"[166]","plainCitation":"[166]","noteIndex":0},"citationItems":[{"id":"968HXJ10/amkCz0tg","uris":["http://www.mendeley.com/documents/?uuid=542334df-b2de-3d67-a5b4-60bbc4b65c43"],"uri":["http://www.mendeley.com/documents/?uuid=542334df-b2de-3d67-a5b4-60bbc4b65c43"],"itemData":{"URL":"https://www.exxonmobilchemical.com/en/catalysts-and-technology-licensing/synthetic-fuels","accessed":{"date-parts":[["2020","2","18"]]},"author":[{"dropping-particle":"","family":"ExxonMobil","given":"","non-dropping-particle":"","parse-names":false,"suffix":""}],"id":"ITEM-1","issued":{"date-parts":[["2019"]]},"title":"Synthetic Fuel Process | ExxonMobil Chemical","type":"webpage"}}],"schema":"https://github.com/citation-style-language/schema/raw/master/csl-citation.json"} </w:instrText>
      </w:r>
      <w:r w:rsidR="006457F7" w:rsidRPr="004D19FF">
        <w:rPr>
          <w:rFonts w:ascii="Times New Roman" w:hAnsi="Times New Roman"/>
          <w:sz w:val="20"/>
          <w:szCs w:val="20"/>
        </w:rPr>
        <w:fldChar w:fldCharType="separate"/>
      </w:r>
      <w:r w:rsidR="00623E85" w:rsidRPr="00623E85">
        <w:rPr>
          <w:rFonts w:ascii="Times New Roman" w:hAnsi="Times New Roman" w:cs="Times New Roman"/>
          <w:sz w:val="20"/>
        </w:rPr>
        <w:t>[166]</w:t>
      </w:r>
      <w:r w:rsidR="006457F7" w:rsidRPr="004D19FF">
        <w:rPr>
          <w:rFonts w:ascii="Times New Roman" w:hAnsi="Times New Roman"/>
          <w:sz w:val="20"/>
          <w:szCs w:val="20"/>
        </w:rPr>
        <w:fldChar w:fldCharType="end"/>
      </w:r>
      <w:r w:rsidRPr="004D19FF">
        <w:rPr>
          <w:rFonts w:ascii="Times New Roman" w:hAnsi="Times New Roman"/>
          <w:sz w:val="20"/>
          <w:szCs w:val="20"/>
        </w:rPr>
        <w:t xml:space="preserve">. However, no </w:t>
      </w:r>
      <w:r w:rsidR="001332C4" w:rsidRPr="004D19FF">
        <w:rPr>
          <w:rFonts w:ascii="Times New Roman" w:hAnsi="Times New Roman"/>
          <w:sz w:val="20"/>
          <w:szCs w:val="20"/>
        </w:rPr>
        <w:t>aviation electrofuel</w:t>
      </w:r>
      <w:r w:rsidR="00D70870" w:rsidRPr="004D19FF">
        <w:rPr>
          <w:rFonts w:ascii="Times New Roman" w:hAnsi="Times New Roman"/>
          <w:sz w:val="20"/>
          <w:szCs w:val="20"/>
        </w:rPr>
        <w:t>s</w:t>
      </w:r>
      <w:r w:rsidR="00B541DC">
        <w:rPr>
          <w:rFonts w:ascii="Times New Roman" w:hAnsi="Times New Roman"/>
          <w:sz w:val="20"/>
          <w:szCs w:val="20"/>
        </w:rPr>
        <w:t xml:space="preserve"> have</w:t>
      </w:r>
      <w:r w:rsidRPr="004D19FF">
        <w:rPr>
          <w:rFonts w:ascii="Times New Roman" w:hAnsi="Times New Roman"/>
          <w:sz w:val="20"/>
          <w:szCs w:val="20"/>
        </w:rPr>
        <w:t xml:space="preserve"> yet been produced via </w:t>
      </w:r>
      <w:r w:rsidR="00DE2FB3" w:rsidRPr="004D19FF">
        <w:rPr>
          <w:rFonts w:ascii="Times New Roman" w:hAnsi="Times New Roman"/>
          <w:sz w:val="20"/>
          <w:szCs w:val="20"/>
        </w:rPr>
        <w:t xml:space="preserve">the </w:t>
      </w:r>
      <w:r w:rsidRPr="004D19FF">
        <w:rPr>
          <w:rFonts w:ascii="Times New Roman" w:hAnsi="Times New Roman"/>
          <w:sz w:val="20"/>
          <w:szCs w:val="20"/>
        </w:rPr>
        <w:t>methanol pathway</w:t>
      </w:r>
      <w:r w:rsidR="00FC4CD0" w:rsidRPr="004D19FF">
        <w:rPr>
          <w:rFonts w:ascii="Times New Roman" w:hAnsi="Times New Roman"/>
          <w:sz w:val="20"/>
          <w:szCs w:val="20"/>
        </w:rPr>
        <w:t xml:space="preserve"> </w:t>
      </w:r>
      <w:r w:rsidR="006457F7"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9uAWVOnR","properties":{"formattedCitation":"[26]","plainCitation":"[26]","noteIndex":0},"citationItems":[{"id":"968HXJ10/xcoAFHUB","uris":["http://www.mendeley.com/documents/?uuid=c34cef72-601a-4a4e-ad93-bc3b00bf92a7"],"uri":["http://www.mendeley.com/documents/?uuid=c34cef72-601a-4a4e-ad93-bc3b00bf92a7"],"itemData":{"abstract":"The 2015 Paris Agreement requires massive green- house gas emission reductions in all sectors by mid-century. Renewable fuels are a major building block to achieve substantial absolute emission re- ductions in aviation. This study gives an introduction into the novel concept of producing renewable jet fuel using renewable electricity, so-called Power- to-Liquids (PtL). The PtL production pathways and the drop-in capability of the resulting jet fuel are explained and their comparative performances are discussed in terms of greenhouse gas emissions, energy efficiencies, costs, water demand and land requirements. The study is directed towards industry, politics and non-governmental actors in aviation; experts in aviation emissions and renewable jet fuels; and the interested public in the field.","author":[{"dropping-particle":"","family":"Schmidt","given":"Patrick","non-dropping-particle":"","parse-names":false,"suffix":""},{"dropping-particle":"","family":"Weindorf","given":"Werner","non-dropping-particle":"","parse-names":false,"suffix":""}],"container-title":"Dessau-Roßlau","id":"ITEM-1","issue":"september","issued":{"date-parts":[["2016"]]},"page":"1-36","title":"Power-to-Liquids: Potentials and Perspectives for the Future Supply of Renewable Aviation Fuel","type":"article-journal"}}],"schema":"https://github.com/citation-style-language/schema/raw/master/csl-citation.json"} </w:instrText>
      </w:r>
      <w:r w:rsidR="006457F7" w:rsidRPr="004D19FF">
        <w:rPr>
          <w:rFonts w:ascii="Times New Roman" w:hAnsi="Times New Roman"/>
          <w:sz w:val="20"/>
          <w:szCs w:val="20"/>
        </w:rPr>
        <w:fldChar w:fldCharType="separate"/>
      </w:r>
      <w:r w:rsidR="0051129D" w:rsidRPr="0051129D">
        <w:rPr>
          <w:rFonts w:ascii="Times New Roman" w:hAnsi="Times New Roman" w:cs="Times New Roman"/>
          <w:sz w:val="20"/>
        </w:rPr>
        <w:t>[26]</w:t>
      </w:r>
      <w:r w:rsidR="006457F7" w:rsidRPr="004D19FF">
        <w:rPr>
          <w:rFonts w:ascii="Times New Roman" w:hAnsi="Times New Roman"/>
          <w:sz w:val="20"/>
          <w:szCs w:val="20"/>
        </w:rPr>
        <w:fldChar w:fldCharType="end"/>
      </w:r>
      <w:r w:rsidRPr="004D19FF">
        <w:rPr>
          <w:rFonts w:ascii="Times New Roman" w:hAnsi="Times New Roman"/>
          <w:sz w:val="20"/>
          <w:szCs w:val="20"/>
        </w:rPr>
        <w:t xml:space="preserve">. </w:t>
      </w:r>
      <w:r w:rsidR="00CE68DF" w:rsidRPr="004D19FF">
        <w:rPr>
          <w:rFonts w:ascii="Times New Roman" w:hAnsi="Times New Roman"/>
          <w:sz w:val="20"/>
          <w:szCs w:val="20"/>
        </w:rPr>
        <w:t>On the other hand,</w:t>
      </w:r>
      <w:r w:rsidRPr="004D19FF">
        <w:rPr>
          <w:rFonts w:ascii="Times New Roman" w:hAnsi="Times New Roman"/>
          <w:sz w:val="20"/>
          <w:szCs w:val="20"/>
        </w:rPr>
        <w:t xml:space="preserve"> </w:t>
      </w:r>
      <w:r w:rsidR="00D70870" w:rsidRPr="004D19FF">
        <w:rPr>
          <w:rFonts w:ascii="Times New Roman" w:hAnsi="Times New Roman"/>
          <w:sz w:val="20"/>
          <w:szCs w:val="20"/>
        </w:rPr>
        <w:t>FT-SPK</w:t>
      </w:r>
      <w:r w:rsidR="005F4D2C" w:rsidRPr="004D19FF">
        <w:rPr>
          <w:rFonts w:ascii="Times New Roman" w:hAnsi="Times New Roman"/>
          <w:sz w:val="20"/>
          <w:szCs w:val="20"/>
        </w:rPr>
        <w:t xml:space="preserve"> has</w:t>
      </w:r>
      <w:r w:rsidRPr="004D19FF">
        <w:rPr>
          <w:rFonts w:ascii="Times New Roman" w:hAnsi="Times New Roman"/>
          <w:sz w:val="20"/>
          <w:szCs w:val="20"/>
        </w:rPr>
        <w:t xml:space="preserve"> already </w:t>
      </w:r>
      <w:r w:rsidR="00D70870" w:rsidRPr="004D19FF">
        <w:rPr>
          <w:rFonts w:ascii="Times New Roman" w:hAnsi="Times New Roman"/>
          <w:sz w:val="20"/>
          <w:szCs w:val="20"/>
        </w:rPr>
        <w:t xml:space="preserve">been </w:t>
      </w:r>
      <w:r w:rsidR="00297180" w:rsidRPr="004D19FF">
        <w:rPr>
          <w:rFonts w:ascii="Times New Roman" w:hAnsi="Times New Roman"/>
          <w:sz w:val="20"/>
          <w:szCs w:val="20"/>
        </w:rPr>
        <w:t xml:space="preserve">tested and approved </w:t>
      </w:r>
      <w:r w:rsidR="00CE68DF" w:rsidRPr="004D19FF">
        <w:rPr>
          <w:rFonts w:ascii="Times New Roman" w:hAnsi="Times New Roman"/>
          <w:sz w:val="20"/>
          <w:szCs w:val="20"/>
        </w:rPr>
        <w:t xml:space="preserve">by ASTM D7566 </w:t>
      </w:r>
      <w:r w:rsidRPr="004D19FF">
        <w:rPr>
          <w:rFonts w:ascii="Times New Roman" w:hAnsi="Times New Roman"/>
          <w:sz w:val="20"/>
          <w:szCs w:val="20"/>
        </w:rPr>
        <w:t xml:space="preserve">as </w:t>
      </w:r>
      <w:r w:rsidR="00D70870" w:rsidRPr="004D19FF">
        <w:rPr>
          <w:rFonts w:ascii="Times New Roman" w:hAnsi="Times New Roman"/>
          <w:sz w:val="20"/>
          <w:szCs w:val="20"/>
        </w:rPr>
        <w:t xml:space="preserve">a </w:t>
      </w:r>
      <w:r w:rsidRPr="004D19FF">
        <w:rPr>
          <w:rFonts w:ascii="Times New Roman" w:hAnsi="Times New Roman"/>
          <w:sz w:val="20"/>
          <w:szCs w:val="20"/>
        </w:rPr>
        <w:t>blending constituent</w:t>
      </w:r>
      <w:r w:rsidR="004934CD">
        <w:rPr>
          <w:rFonts w:ascii="Times New Roman" w:hAnsi="Times New Roman"/>
          <w:sz w:val="20"/>
          <w:szCs w:val="20"/>
        </w:rPr>
        <w:t>.</w:t>
      </w:r>
      <w:r w:rsidR="00002010" w:rsidRPr="004D19FF">
        <w:rPr>
          <w:rFonts w:ascii="Times New Roman" w:hAnsi="Times New Roman"/>
          <w:sz w:val="20"/>
          <w:szCs w:val="20"/>
        </w:rPr>
        <w:t xml:space="preserve"> </w:t>
      </w:r>
    </w:p>
    <w:p w14:paraId="6BB00CA2" w14:textId="77777777" w:rsidR="00AF19F3" w:rsidRPr="004D19FF" w:rsidRDefault="00AF19F3" w:rsidP="00AF19F3">
      <w:pPr>
        <w:spacing w:line="276" w:lineRule="auto"/>
        <w:jc w:val="thaiDistribute"/>
        <w:rPr>
          <w:rFonts w:ascii="Times New Roman" w:hAnsi="Times New Roman"/>
          <w:b/>
          <w:bCs/>
          <w:sz w:val="20"/>
          <w:szCs w:val="20"/>
        </w:rPr>
      </w:pPr>
      <w:r w:rsidRPr="004D19FF">
        <w:rPr>
          <w:rFonts w:ascii="Times New Roman" w:hAnsi="Times New Roman"/>
          <w:b/>
          <w:bCs/>
          <w:sz w:val="20"/>
          <w:szCs w:val="20"/>
        </w:rPr>
        <w:t>4. Co-products generation in</w:t>
      </w:r>
      <w:r w:rsidR="005333BB" w:rsidRPr="004D19FF">
        <w:rPr>
          <w:rFonts w:ascii="Times New Roman" w:hAnsi="Times New Roman"/>
          <w:b/>
          <w:bCs/>
          <w:sz w:val="20"/>
          <w:szCs w:val="20"/>
        </w:rPr>
        <w:t xml:space="preserve"> </w:t>
      </w:r>
      <w:r w:rsidR="00B565E7">
        <w:rPr>
          <w:rFonts w:ascii="Times New Roman" w:hAnsi="Times New Roman"/>
          <w:b/>
          <w:bCs/>
          <w:sz w:val="20"/>
          <w:szCs w:val="20"/>
        </w:rPr>
        <w:t>liquid fuels production pathways</w:t>
      </w:r>
      <w:r w:rsidR="00E06C9E">
        <w:rPr>
          <w:rFonts w:ascii="Times New Roman" w:hAnsi="Times New Roman"/>
          <w:b/>
          <w:bCs/>
          <w:sz w:val="20"/>
          <w:szCs w:val="20"/>
        </w:rPr>
        <w:t xml:space="preserve"> (biofuels and electrofuels)</w:t>
      </w:r>
    </w:p>
    <w:p w14:paraId="5BE1950A" w14:textId="302C851D" w:rsidR="005157D5" w:rsidRPr="004D19FF" w:rsidRDefault="009F0176" w:rsidP="00AF19F3">
      <w:pPr>
        <w:spacing w:line="276" w:lineRule="auto"/>
        <w:jc w:val="thaiDistribute"/>
        <w:rPr>
          <w:rFonts w:ascii="Times New Roman" w:hAnsi="Times New Roman"/>
          <w:bCs/>
          <w:sz w:val="20"/>
          <w:szCs w:val="20"/>
        </w:rPr>
      </w:pPr>
      <w:r w:rsidRPr="004D19FF">
        <w:rPr>
          <w:rFonts w:ascii="Times New Roman" w:hAnsi="Times New Roman"/>
          <w:bCs/>
          <w:sz w:val="20"/>
          <w:szCs w:val="20"/>
        </w:rPr>
        <w:t>The technologies previously described (sections 2 and 3, Figs.</w:t>
      </w:r>
      <w:r w:rsidR="006164BB">
        <w:rPr>
          <w:rFonts w:ascii="Times New Roman" w:hAnsi="Times New Roman"/>
          <w:bCs/>
          <w:sz w:val="20"/>
          <w:szCs w:val="20"/>
        </w:rPr>
        <w:t xml:space="preserve"> 2-10</w:t>
      </w:r>
      <w:r w:rsidRPr="004D19FF">
        <w:rPr>
          <w:rFonts w:ascii="Times New Roman" w:hAnsi="Times New Roman"/>
          <w:bCs/>
          <w:sz w:val="20"/>
          <w:szCs w:val="20"/>
        </w:rPr>
        <w:t>)</w:t>
      </w:r>
      <w:r w:rsidR="00C46BF3" w:rsidRPr="004D19FF">
        <w:rPr>
          <w:rFonts w:ascii="Times New Roman" w:hAnsi="Times New Roman"/>
          <w:bCs/>
          <w:sz w:val="20"/>
          <w:szCs w:val="20"/>
        </w:rPr>
        <w:t xml:space="preserve"> </w:t>
      </w:r>
      <w:r w:rsidR="005064A6" w:rsidRPr="004D19FF">
        <w:rPr>
          <w:rFonts w:ascii="Times New Roman" w:hAnsi="Times New Roman"/>
          <w:bCs/>
          <w:sz w:val="20"/>
          <w:szCs w:val="20"/>
        </w:rPr>
        <w:t xml:space="preserve">generate, besides the desired fuels, </w:t>
      </w:r>
      <w:r w:rsidR="006E6549">
        <w:rPr>
          <w:rFonts w:ascii="Times New Roman" w:hAnsi="Times New Roman"/>
          <w:bCs/>
          <w:sz w:val="20"/>
          <w:szCs w:val="20"/>
        </w:rPr>
        <w:t xml:space="preserve">multiple co-products, no matter </w:t>
      </w:r>
      <w:r w:rsidR="00C46BF3" w:rsidRPr="004D19FF">
        <w:rPr>
          <w:rFonts w:ascii="Times New Roman" w:hAnsi="Times New Roman"/>
          <w:bCs/>
          <w:sz w:val="20"/>
          <w:szCs w:val="20"/>
        </w:rPr>
        <w:t xml:space="preserve">which route is used. </w:t>
      </w:r>
      <w:r w:rsidR="00037023" w:rsidRPr="004D19FF">
        <w:rPr>
          <w:rFonts w:ascii="Times New Roman" w:hAnsi="Times New Roman"/>
          <w:bCs/>
          <w:sz w:val="20"/>
          <w:szCs w:val="20"/>
        </w:rPr>
        <w:t xml:space="preserve">As such, </w:t>
      </w:r>
      <w:r w:rsidR="002314F4" w:rsidRPr="004D19FF">
        <w:rPr>
          <w:rFonts w:ascii="Times New Roman" w:hAnsi="Times New Roman"/>
          <w:bCs/>
          <w:sz w:val="20"/>
          <w:szCs w:val="20"/>
        </w:rPr>
        <w:t>biofuel/</w:t>
      </w:r>
      <w:r w:rsidR="007A7819" w:rsidRPr="004D19FF">
        <w:rPr>
          <w:rFonts w:ascii="Times New Roman" w:hAnsi="Times New Roman"/>
          <w:bCs/>
          <w:sz w:val="20"/>
          <w:szCs w:val="20"/>
        </w:rPr>
        <w:t>electrofuel</w:t>
      </w:r>
      <w:r w:rsidR="00037023" w:rsidRPr="004D19FF">
        <w:rPr>
          <w:rFonts w:ascii="Times New Roman" w:hAnsi="Times New Roman"/>
          <w:bCs/>
          <w:sz w:val="20"/>
          <w:szCs w:val="20"/>
        </w:rPr>
        <w:t xml:space="preserve"> production</w:t>
      </w:r>
      <w:r w:rsidR="005064A6" w:rsidRPr="004D19FF">
        <w:rPr>
          <w:rFonts w:ascii="Times New Roman" w:hAnsi="Times New Roman"/>
          <w:bCs/>
          <w:sz w:val="20"/>
          <w:szCs w:val="20"/>
        </w:rPr>
        <w:t xml:space="preserve"> pathways</w:t>
      </w:r>
      <w:r w:rsidR="00037023" w:rsidRPr="004D19FF">
        <w:rPr>
          <w:rFonts w:ascii="Times New Roman" w:hAnsi="Times New Roman"/>
          <w:bCs/>
          <w:sz w:val="20"/>
          <w:szCs w:val="20"/>
        </w:rPr>
        <w:t xml:space="preserve"> are to be seen as refineries rather than mere </w:t>
      </w:r>
      <w:r w:rsidR="004934CD">
        <w:rPr>
          <w:rFonts w:ascii="Times New Roman" w:hAnsi="Times New Roman"/>
          <w:bCs/>
          <w:sz w:val="20"/>
          <w:szCs w:val="20"/>
        </w:rPr>
        <w:t>kerosene suppliers</w:t>
      </w:r>
      <w:r w:rsidR="00037023" w:rsidRPr="004D19FF">
        <w:rPr>
          <w:rFonts w:ascii="Times New Roman" w:hAnsi="Times New Roman"/>
          <w:bCs/>
          <w:sz w:val="20"/>
          <w:szCs w:val="20"/>
        </w:rPr>
        <w:t xml:space="preserve"> </w:t>
      </w:r>
      <w:r w:rsidR="00CF796F" w:rsidRPr="004D19FF">
        <w:rPr>
          <w:rFonts w:ascii="Times New Roman" w:hAnsi="Times New Roman"/>
          <w:bCs/>
          <w:sz w:val="20"/>
          <w:szCs w:val="20"/>
        </w:rPr>
        <w:t>(Table S2</w:t>
      </w:r>
      <w:r w:rsidR="00037023" w:rsidRPr="004D19FF">
        <w:rPr>
          <w:rFonts w:ascii="Times New Roman" w:hAnsi="Times New Roman"/>
          <w:bCs/>
          <w:sz w:val="20"/>
          <w:szCs w:val="20"/>
        </w:rPr>
        <w:t>).</w:t>
      </w:r>
      <w:r w:rsidR="00C46BF3" w:rsidRPr="004D19FF">
        <w:rPr>
          <w:rFonts w:ascii="Times New Roman" w:hAnsi="Times New Roman"/>
          <w:bCs/>
          <w:sz w:val="20"/>
          <w:szCs w:val="20"/>
        </w:rPr>
        <w:t xml:space="preserve"> </w:t>
      </w:r>
      <w:r w:rsidR="005C2447" w:rsidRPr="004D19FF">
        <w:rPr>
          <w:rFonts w:ascii="Times New Roman" w:hAnsi="Times New Roman"/>
          <w:bCs/>
          <w:sz w:val="20"/>
          <w:szCs w:val="20"/>
        </w:rPr>
        <w:t>Their</w:t>
      </w:r>
      <w:r w:rsidR="00037023" w:rsidRPr="004D19FF">
        <w:rPr>
          <w:rFonts w:ascii="Times New Roman" w:hAnsi="Times New Roman"/>
          <w:bCs/>
          <w:sz w:val="20"/>
          <w:szCs w:val="20"/>
        </w:rPr>
        <w:t xml:space="preserve"> co-products </w:t>
      </w:r>
      <w:r w:rsidR="00C46BF3" w:rsidRPr="004D19FF">
        <w:rPr>
          <w:rFonts w:ascii="Times New Roman" w:hAnsi="Times New Roman"/>
          <w:bCs/>
          <w:sz w:val="20"/>
          <w:szCs w:val="20"/>
        </w:rPr>
        <w:t>include</w:t>
      </w:r>
      <w:r w:rsidR="00AF19F3" w:rsidRPr="004D19FF">
        <w:rPr>
          <w:rFonts w:ascii="Times New Roman" w:hAnsi="Times New Roman"/>
          <w:bCs/>
          <w:sz w:val="20"/>
          <w:szCs w:val="20"/>
        </w:rPr>
        <w:t xml:space="preserve"> liquid fuels</w:t>
      </w:r>
      <w:r w:rsidR="00EA0F80" w:rsidRPr="004D19FF">
        <w:rPr>
          <w:rFonts w:ascii="Times New Roman" w:hAnsi="Times New Roman"/>
          <w:bCs/>
          <w:sz w:val="20"/>
          <w:szCs w:val="20"/>
        </w:rPr>
        <w:t xml:space="preserve"> </w:t>
      </w:r>
      <w:r w:rsidR="005774F9" w:rsidRPr="004D19FF">
        <w:rPr>
          <w:rFonts w:ascii="Times New Roman" w:hAnsi="Times New Roman"/>
          <w:bCs/>
          <w:sz w:val="20"/>
          <w:szCs w:val="20"/>
        </w:rPr>
        <w:t>(</w:t>
      </w:r>
      <w:r w:rsidR="00EA0F80" w:rsidRPr="004D19FF">
        <w:rPr>
          <w:rFonts w:ascii="Times New Roman" w:hAnsi="Times New Roman"/>
          <w:bCs/>
          <w:sz w:val="20"/>
          <w:szCs w:val="20"/>
        </w:rPr>
        <w:t>other than kerosene</w:t>
      </w:r>
      <w:r w:rsidR="005774F9" w:rsidRPr="004D19FF">
        <w:rPr>
          <w:rFonts w:ascii="Times New Roman" w:hAnsi="Times New Roman"/>
          <w:bCs/>
          <w:sz w:val="20"/>
          <w:szCs w:val="20"/>
        </w:rPr>
        <w:t>)</w:t>
      </w:r>
      <w:r w:rsidR="00AF19F3" w:rsidRPr="004D19FF">
        <w:rPr>
          <w:rFonts w:ascii="Times New Roman" w:hAnsi="Times New Roman"/>
          <w:bCs/>
          <w:sz w:val="20"/>
          <w:szCs w:val="20"/>
        </w:rPr>
        <w:t xml:space="preserve">, chemicals, animal feed, etc. </w:t>
      </w:r>
      <w:r w:rsidR="00C46BF3" w:rsidRPr="004D19FF">
        <w:rPr>
          <w:rFonts w:ascii="Times New Roman" w:hAnsi="Times New Roman"/>
          <w:bCs/>
          <w:sz w:val="20"/>
          <w:szCs w:val="20"/>
        </w:rPr>
        <w:t xml:space="preserve">and </w:t>
      </w:r>
      <w:r w:rsidR="005774F9" w:rsidRPr="004D19FF">
        <w:rPr>
          <w:rFonts w:ascii="Times New Roman" w:hAnsi="Times New Roman"/>
          <w:bCs/>
          <w:sz w:val="20"/>
          <w:szCs w:val="20"/>
        </w:rPr>
        <w:t xml:space="preserve">their generation </w:t>
      </w:r>
      <w:r w:rsidR="00C46BF3" w:rsidRPr="004D19FF">
        <w:rPr>
          <w:rFonts w:ascii="Times New Roman" w:hAnsi="Times New Roman"/>
          <w:bCs/>
          <w:sz w:val="20"/>
          <w:szCs w:val="20"/>
        </w:rPr>
        <w:t xml:space="preserve">depends on the specific technologies and operating conditions being </w:t>
      </w:r>
      <w:r w:rsidR="00C46BF3" w:rsidRPr="004D19FF">
        <w:rPr>
          <w:rFonts w:ascii="Times New Roman" w:hAnsi="Times New Roman"/>
          <w:bCs/>
          <w:sz w:val="20"/>
          <w:szCs w:val="20"/>
        </w:rPr>
        <w:lastRenderedPageBreak/>
        <w:t>used within a given conversion route</w:t>
      </w:r>
      <w:r w:rsidR="00450883" w:rsidRPr="004D19FF">
        <w:rPr>
          <w:rFonts w:ascii="Times New Roman" w:hAnsi="Times New Roman"/>
          <w:bCs/>
          <w:sz w:val="20"/>
          <w:szCs w:val="20"/>
        </w:rPr>
        <w:t xml:space="preserve"> as </w:t>
      </w:r>
      <w:r w:rsidR="00D655A3" w:rsidRPr="004D19FF">
        <w:rPr>
          <w:rFonts w:ascii="Times New Roman" w:hAnsi="Times New Roman"/>
          <w:bCs/>
          <w:sz w:val="20"/>
          <w:szCs w:val="20"/>
        </w:rPr>
        <w:t>illustrated</w:t>
      </w:r>
      <w:r w:rsidR="00450883" w:rsidRPr="004D19FF">
        <w:rPr>
          <w:rFonts w:ascii="Times New Roman" w:hAnsi="Times New Roman"/>
          <w:bCs/>
          <w:sz w:val="20"/>
          <w:szCs w:val="20"/>
        </w:rPr>
        <w:t xml:space="preserve"> in Table </w:t>
      </w:r>
      <w:r w:rsidR="00802C71">
        <w:rPr>
          <w:rFonts w:ascii="Times New Roman" w:hAnsi="Times New Roman"/>
          <w:bCs/>
          <w:sz w:val="20"/>
          <w:szCs w:val="20"/>
        </w:rPr>
        <w:t>1</w:t>
      </w:r>
      <w:r w:rsidR="00C46BF3" w:rsidRPr="004D19FF">
        <w:rPr>
          <w:rFonts w:ascii="Times New Roman" w:hAnsi="Times New Roman"/>
          <w:bCs/>
          <w:sz w:val="20"/>
          <w:szCs w:val="20"/>
        </w:rPr>
        <w:t>.</w:t>
      </w:r>
      <w:r w:rsidR="00AF19F3" w:rsidRPr="004D19FF">
        <w:rPr>
          <w:rFonts w:ascii="Times New Roman" w:hAnsi="Times New Roman"/>
          <w:bCs/>
          <w:sz w:val="20"/>
          <w:szCs w:val="20"/>
        </w:rPr>
        <w:t xml:space="preserve"> </w:t>
      </w:r>
      <w:r w:rsidR="00C46BF3" w:rsidRPr="004D19FF">
        <w:rPr>
          <w:rFonts w:ascii="Times New Roman" w:hAnsi="Times New Roman"/>
          <w:bCs/>
          <w:sz w:val="20"/>
          <w:szCs w:val="20"/>
        </w:rPr>
        <w:t xml:space="preserve">These co-products represent an additional market or value generation opportunity for the production plant. </w:t>
      </w:r>
      <w:r w:rsidR="005774F9" w:rsidRPr="004D19FF">
        <w:rPr>
          <w:rFonts w:ascii="Times New Roman" w:hAnsi="Times New Roman"/>
          <w:bCs/>
          <w:sz w:val="20"/>
          <w:szCs w:val="20"/>
        </w:rPr>
        <w:t>These co-products are here</w:t>
      </w:r>
      <w:r w:rsidR="005157D5" w:rsidRPr="004D19FF">
        <w:rPr>
          <w:rFonts w:ascii="Times New Roman" w:hAnsi="Times New Roman"/>
          <w:bCs/>
          <w:sz w:val="20"/>
          <w:szCs w:val="20"/>
        </w:rPr>
        <w:t xml:space="preserve"> grouped in three major categories: che</w:t>
      </w:r>
      <w:r w:rsidR="00D655A3" w:rsidRPr="004D19FF">
        <w:rPr>
          <w:rFonts w:ascii="Times New Roman" w:hAnsi="Times New Roman"/>
          <w:bCs/>
          <w:sz w:val="20"/>
          <w:szCs w:val="20"/>
        </w:rPr>
        <w:t>micals, liquid fuels, and other products</w:t>
      </w:r>
      <w:r w:rsidR="005157D5" w:rsidRPr="004D19FF">
        <w:rPr>
          <w:rFonts w:ascii="Times New Roman" w:hAnsi="Times New Roman"/>
          <w:bCs/>
          <w:sz w:val="20"/>
          <w:szCs w:val="20"/>
        </w:rPr>
        <w:t xml:space="preserve">. </w:t>
      </w:r>
    </w:p>
    <w:p w14:paraId="781F99F0" w14:textId="77777777" w:rsidR="00AF19F3" w:rsidRPr="004D19FF" w:rsidRDefault="00AF19F3" w:rsidP="00AF19F3">
      <w:pPr>
        <w:spacing w:line="276" w:lineRule="auto"/>
        <w:jc w:val="thaiDistribute"/>
        <w:rPr>
          <w:rFonts w:ascii="Times New Roman" w:hAnsi="Times New Roman"/>
          <w:bCs/>
          <w:i/>
          <w:sz w:val="20"/>
          <w:szCs w:val="20"/>
        </w:rPr>
      </w:pPr>
      <w:r w:rsidRPr="004D19FF">
        <w:rPr>
          <w:rFonts w:ascii="Times New Roman" w:hAnsi="Times New Roman"/>
          <w:bCs/>
          <w:i/>
          <w:sz w:val="20"/>
          <w:szCs w:val="20"/>
        </w:rPr>
        <w:t>4.1 Chemicals</w:t>
      </w:r>
    </w:p>
    <w:p w14:paraId="6F618F4F" w14:textId="77777777" w:rsidR="00AF19F3" w:rsidRPr="004D19FF" w:rsidRDefault="00037023" w:rsidP="00AF19F3">
      <w:pPr>
        <w:spacing w:line="276" w:lineRule="auto"/>
        <w:jc w:val="thaiDistribute"/>
        <w:rPr>
          <w:rFonts w:ascii="Times New Roman" w:hAnsi="Times New Roman"/>
          <w:bCs/>
          <w:sz w:val="20"/>
          <w:szCs w:val="20"/>
        </w:rPr>
      </w:pPr>
      <w:r w:rsidRPr="004D19FF">
        <w:rPr>
          <w:rFonts w:ascii="Times New Roman" w:hAnsi="Times New Roman"/>
          <w:bCs/>
          <w:sz w:val="20"/>
          <w:szCs w:val="20"/>
        </w:rPr>
        <w:t xml:space="preserve">Various chemical compounds are generated as co-products during production processes. </w:t>
      </w:r>
      <w:r w:rsidR="00743AC1" w:rsidRPr="004D19FF">
        <w:rPr>
          <w:rFonts w:ascii="Times New Roman" w:hAnsi="Times New Roman"/>
          <w:bCs/>
          <w:sz w:val="20"/>
          <w:szCs w:val="20"/>
        </w:rPr>
        <w:t xml:space="preserve">Those that have been reported by </w:t>
      </w:r>
      <w:r w:rsidR="002314F4" w:rsidRPr="004D19FF">
        <w:rPr>
          <w:rFonts w:ascii="Times New Roman" w:hAnsi="Times New Roman"/>
          <w:bCs/>
          <w:sz w:val="20"/>
          <w:szCs w:val="20"/>
        </w:rPr>
        <w:t xml:space="preserve">biofuel </w:t>
      </w:r>
      <w:r w:rsidR="00743AC1" w:rsidRPr="004D19FF">
        <w:rPr>
          <w:rFonts w:ascii="Times New Roman" w:hAnsi="Times New Roman"/>
          <w:bCs/>
          <w:sz w:val="20"/>
          <w:szCs w:val="20"/>
        </w:rPr>
        <w:t>producers are detailed here</w:t>
      </w:r>
      <w:r w:rsidRPr="004D19FF">
        <w:rPr>
          <w:rFonts w:ascii="Times New Roman" w:hAnsi="Times New Roman"/>
          <w:bCs/>
          <w:sz w:val="20"/>
          <w:szCs w:val="20"/>
        </w:rPr>
        <w:t xml:space="preserve">. </w:t>
      </w:r>
    </w:p>
    <w:p w14:paraId="0CC3C51C" w14:textId="77777777" w:rsidR="00786F3D" w:rsidRPr="004D19FF" w:rsidRDefault="00786F3D" w:rsidP="00786F3D">
      <w:pPr>
        <w:spacing w:line="276" w:lineRule="auto"/>
        <w:jc w:val="thaiDistribute"/>
        <w:rPr>
          <w:rFonts w:ascii="Times New Roman" w:hAnsi="Times New Roman"/>
          <w:i/>
          <w:sz w:val="20"/>
          <w:szCs w:val="20"/>
        </w:rPr>
      </w:pPr>
      <w:r w:rsidRPr="004D19FF">
        <w:rPr>
          <w:rFonts w:ascii="Times New Roman" w:hAnsi="Times New Roman"/>
          <w:i/>
          <w:sz w:val="20"/>
          <w:szCs w:val="20"/>
        </w:rPr>
        <w:t xml:space="preserve">4.1.1 Propane </w:t>
      </w:r>
    </w:p>
    <w:p w14:paraId="4D6D7CF1" w14:textId="19B8626C" w:rsidR="00CA3832" w:rsidRPr="004D19FF" w:rsidRDefault="00643BA6" w:rsidP="00786F3D">
      <w:pPr>
        <w:spacing w:line="276" w:lineRule="auto"/>
        <w:jc w:val="thaiDistribute"/>
        <w:rPr>
          <w:rFonts w:ascii="Times New Roman" w:hAnsi="Times New Roman"/>
          <w:sz w:val="20"/>
          <w:szCs w:val="20"/>
        </w:rPr>
      </w:pPr>
      <w:r w:rsidRPr="004D19FF">
        <w:rPr>
          <w:rFonts w:ascii="Times New Roman" w:hAnsi="Times New Roman"/>
          <w:sz w:val="20"/>
          <w:szCs w:val="20"/>
        </w:rPr>
        <w:t>Propane (</w:t>
      </w:r>
      <w:r w:rsidR="00786F3D" w:rsidRPr="004D19FF">
        <w:rPr>
          <w:rFonts w:ascii="Times New Roman" w:hAnsi="Times New Roman"/>
          <w:sz w:val="20"/>
          <w:szCs w:val="20"/>
        </w:rPr>
        <w:t>C</w:t>
      </w:r>
      <w:r w:rsidR="00786F3D" w:rsidRPr="004D19FF">
        <w:rPr>
          <w:rFonts w:ascii="Times New Roman" w:hAnsi="Times New Roman"/>
          <w:sz w:val="20"/>
          <w:szCs w:val="20"/>
          <w:vertAlign w:val="subscript"/>
        </w:rPr>
        <w:t>3</w:t>
      </w:r>
      <w:r w:rsidR="00786F3D" w:rsidRPr="004D19FF">
        <w:rPr>
          <w:rFonts w:ascii="Times New Roman" w:hAnsi="Times New Roman"/>
          <w:sz w:val="20"/>
          <w:szCs w:val="20"/>
        </w:rPr>
        <w:t>H</w:t>
      </w:r>
      <w:r w:rsidR="00786F3D" w:rsidRPr="004D19FF">
        <w:rPr>
          <w:rFonts w:ascii="Times New Roman" w:hAnsi="Times New Roman"/>
          <w:sz w:val="20"/>
          <w:szCs w:val="20"/>
          <w:vertAlign w:val="subscript"/>
        </w:rPr>
        <w:t>8</w:t>
      </w:r>
      <w:r w:rsidRPr="004D19FF">
        <w:rPr>
          <w:rFonts w:ascii="Times New Roman" w:hAnsi="Times New Roman"/>
          <w:sz w:val="20"/>
          <w:szCs w:val="20"/>
        </w:rPr>
        <w:t xml:space="preserve">) </w:t>
      </w:r>
      <w:r w:rsidR="00FB193A" w:rsidRPr="004D19FF">
        <w:rPr>
          <w:rFonts w:ascii="Times New Roman" w:hAnsi="Times New Roman"/>
          <w:sz w:val="20"/>
          <w:szCs w:val="20"/>
        </w:rPr>
        <w:t>is formed</w:t>
      </w:r>
      <w:r w:rsidRPr="004D19FF">
        <w:rPr>
          <w:rFonts w:ascii="Times New Roman" w:hAnsi="Times New Roman"/>
          <w:sz w:val="20"/>
          <w:szCs w:val="20"/>
        </w:rPr>
        <w:t xml:space="preserve"> as a co-product in the </w:t>
      </w:r>
      <w:r w:rsidR="00C97638" w:rsidRPr="004D19FF">
        <w:rPr>
          <w:rFonts w:ascii="Times New Roman" w:hAnsi="Times New Roman"/>
          <w:sz w:val="20"/>
          <w:szCs w:val="20"/>
        </w:rPr>
        <w:t>HRJ/</w:t>
      </w:r>
      <w:r w:rsidRPr="004D19FF">
        <w:rPr>
          <w:rFonts w:ascii="Times New Roman" w:hAnsi="Times New Roman"/>
          <w:sz w:val="20"/>
          <w:szCs w:val="20"/>
        </w:rPr>
        <w:t xml:space="preserve">HEFA pathway </w:t>
      </w:r>
      <w:r w:rsidR="00B1485A" w:rsidRPr="004D19FF">
        <w:rPr>
          <w:rFonts w:ascii="Times New Roman" w:hAnsi="Times New Roman"/>
          <w:sz w:val="20"/>
          <w:szCs w:val="20"/>
        </w:rPr>
        <w:t>(Fig. 8</w:t>
      </w:r>
      <w:r w:rsidRPr="004D19FF">
        <w:rPr>
          <w:rFonts w:ascii="Times New Roman" w:hAnsi="Times New Roman"/>
          <w:sz w:val="20"/>
          <w:szCs w:val="20"/>
        </w:rPr>
        <w:t>). Propane is used in a variety of applications, for instance as a fuel for</w:t>
      </w:r>
      <w:r w:rsidR="00786F3D" w:rsidRPr="004D19FF">
        <w:rPr>
          <w:rFonts w:ascii="Times New Roman" w:hAnsi="Times New Roman"/>
          <w:sz w:val="20"/>
          <w:szCs w:val="20"/>
        </w:rPr>
        <w:t xml:space="preserve"> commercial boilers, camping stoves, heating animal </w:t>
      </w:r>
      <w:r w:rsidR="00E57279" w:rsidRPr="004D19FF">
        <w:rPr>
          <w:rFonts w:ascii="Times New Roman" w:hAnsi="Times New Roman"/>
          <w:sz w:val="20"/>
          <w:szCs w:val="20"/>
        </w:rPr>
        <w:t>houses</w:t>
      </w:r>
      <w:r w:rsidRPr="004D19FF">
        <w:rPr>
          <w:rFonts w:ascii="Times New Roman" w:hAnsi="Times New Roman"/>
          <w:sz w:val="20"/>
          <w:szCs w:val="20"/>
        </w:rPr>
        <w:t xml:space="preserve"> (e.g. piglet nursery)</w:t>
      </w:r>
      <w:r w:rsidR="00786F3D" w:rsidRPr="004D19FF">
        <w:rPr>
          <w:rFonts w:ascii="Times New Roman" w:hAnsi="Times New Roman"/>
          <w:sz w:val="20"/>
          <w:szCs w:val="20"/>
        </w:rPr>
        <w:t xml:space="preserve"> in </w:t>
      </w:r>
      <w:r w:rsidRPr="004D19FF">
        <w:rPr>
          <w:rFonts w:ascii="Times New Roman" w:hAnsi="Times New Roman"/>
          <w:sz w:val="20"/>
          <w:szCs w:val="20"/>
        </w:rPr>
        <w:t>livestock production etc. Propane</w:t>
      </w:r>
      <w:r w:rsidR="00786F3D" w:rsidRPr="004D19FF">
        <w:rPr>
          <w:rFonts w:ascii="Times New Roman" w:hAnsi="Times New Roman"/>
          <w:sz w:val="20"/>
          <w:szCs w:val="20"/>
        </w:rPr>
        <w:t xml:space="preserve"> is generally </w:t>
      </w:r>
      <w:r w:rsidR="00FB193A" w:rsidRPr="004D19FF">
        <w:rPr>
          <w:rFonts w:ascii="Times New Roman" w:hAnsi="Times New Roman"/>
          <w:sz w:val="20"/>
          <w:szCs w:val="20"/>
        </w:rPr>
        <w:t>pres</w:t>
      </w:r>
      <w:r w:rsidR="00E57279" w:rsidRPr="004D19FF">
        <w:rPr>
          <w:rFonts w:ascii="Times New Roman" w:hAnsi="Times New Roman"/>
          <w:sz w:val="20"/>
          <w:szCs w:val="20"/>
        </w:rPr>
        <w:t>sur</w:t>
      </w:r>
      <w:r w:rsidR="00FB193A" w:rsidRPr="004D19FF">
        <w:rPr>
          <w:rFonts w:ascii="Times New Roman" w:hAnsi="Times New Roman"/>
          <w:sz w:val="20"/>
          <w:szCs w:val="20"/>
        </w:rPr>
        <w:t>ized</w:t>
      </w:r>
      <w:r w:rsidR="00786F3D" w:rsidRPr="004D19FF">
        <w:rPr>
          <w:rFonts w:ascii="Times New Roman" w:hAnsi="Times New Roman"/>
          <w:sz w:val="20"/>
          <w:szCs w:val="20"/>
        </w:rPr>
        <w:t xml:space="preserve"> and stored</w:t>
      </w:r>
      <w:r w:rsidRPr="004D19FF">
        <w:rPr>
          <w:rFonts w:ascii="Times New Roman" w:hAnsi="Times New Roman"/>
          <w:sz w:val="20"/>
          <w:szCs w:val="20"/>
        </w:rPr>
        <w:t xml:space="preserve"> as liquid in storage vessels or</w:t>
      </w:r>
      <w:r w:rsidR="00786F3D" w:rsidRPr="004D19FF">
        <w:rPr>
          <w:rFonts w:ascii="Times New Roman" w:hAnsi="Times New Roman"/>
          <w:sz w:val="20"/>
          <w:szCs w:val="20"/>
        </w:rPr>
        <w:t xml:space="preserve"> tanks. Due to its high energy density </w:t>
      </w:r>
      <w:r w:rsidR="00E57279" w:rsidRPr="004D19FF">
        <w:rPr>
          <w:rFonts w:ascii="Times New Roman" w:hAnsi="Times New Roman"/>
          <w:sz w:val="20"/>
          <w:szCs w:val="20"/>
        </w:rPr>
        <w:t>and high quality</w:t>
      </w:r>
      <w:r w:rsidR="00786F3D" w:rsidRPr="004D19FF">
        <w:rPr>
          <w:rFonts w:ascii="Times New Roman" w:hAnsi="Times New Roman"/>
          <w:sz w:val="20"/>
          <w:szCs w:val="20"/>
        </w:rPr>
        <w:t xml:space="preserve"> combustion characteristics, propane </w:t>
      </w:r>
      <w:r w:rsidR="00FB193A" w:rsidRPr="004D19FF">
        <w:rPr>
          <w:rFonts w:ascii="Times New Roman" w:hAnsi="Times New Roman"/>
          <w:sz w:val="20"/>
          <w:szCs w:val="20"/>
        </w:rPr>
        <w:t xml:space="preserve">is </w:t>
      </w:r>
      <w:r w:rsidR="00E57279" w:rsidRPr="004D19FF">
        <w:rPr>
          <w:rFonts w:ascii="Times New Roman" w:hAnsi="Times New Roman"/>
          <w:sz w:val="20"/>
          <w:szCs w:val="20"/>
        </w:rPr>
        <w:t xml:space="preserve">also </w:t>
      </w:r>
      <w:r w:rsidR="00FB193A" w:rsidRPr="004D19FF">
        <w:rPr>
          <w:rFonts w:ascii="Times New Roman" w:hAnsi="Times New Roman"/>
          <w:sz w:val="20"/>
          <w:szCs w:val="20"/>
        </w:rPr>
        <w:t xml:space="preserve">used </w:t>
      </w:r>
      <w:r w:rsidR="00E57279" w:rsidRPr="004D19FF">
        <w:rPr>
          <w:rFonts w:ascii="Times New Roman" w:hAnsi="Times New Roman"/>
          <w:sz w:val="20"/>
          <w:szCs w:val="20"/>
        </w:rPr>
        <w:t>as alternative vehicle fuel</w:t>
      </w:r>
      <w:r w:rsidR="00786F3D" w:rsidRPr="004D19FF">
        <w:rPr>
          <w:rFonts w:ascii="Times New Roman" w:hAnsi="Times New Roman"/>
          <w:sz w:val="20"/>
          <w:szCs w:val="20"/>
        </w:rPr>
        <w:t xml:space="preserve"> for internal combustion engine </w:t>
      </w:r>
      <w:r w:rsidR="008314ED"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ZhZ1BBCI","properties":{"formattedCitation":"[167,168]","plainCitation":"[167,168]","noteIndex":0},"citationItems":[{"id":"968HXJ10/ck8qESVG","uris":["http://www.mendeley.com/documents/?uuid=0ed67ee0-fa29-4cdc-9dc5-e1c540992b72"],"uri":["http://www.mendeley.com/documents/?uuid=0ed67ee0-fa29-4cdc-9dc5-e1c540992b72"],"itemData":{"DOI":"10.1016/j.aej.2015.03.002","ISSN":"11100168","abstract":"The engine, which uses both conventional diesel fuel and LPG fuel, is referred to as 'LPG-diesel dual fuel engines'. LPG dual fuel engines are modified diesel engines which use primary fuel as LPG and secondary fuel as diesel. LPG dual fuel engines have a good thermal efficiency at high output but the performance is less during part load conditions due to the poor utilization of charges. This problem can be overcome by varying factors such as pilot fuel quantity, injection timing, composition of the gaseous fuel and intake charge conditions, for improving the performance, combustion and emissions of dual fuel engines. This article reviews about the research work done by the researchers in order to improve the performance, combustion and emission parameters of a LPG-diesel dual fuel engines. From the studies it is shown that the use of LPG in diesel engine is one of the capable methods to reduce the PM and NOx emissions but at same time at part load condition there is a drop in efficiency and power output with respect to diesel operation.","author":[{"dropping-particle":"","family":"Ashok","given":"B.","non-dropping-particle":"","parse-names":false,"suffix":""},{"dropping-particle":"","family":"Denis Ashok","given":"S.","non-dropping-particle":"","parse-names":false,"suffix":""},{"dropping-particle":"","family":"Ramesh Kumar","given":"C.","non-dropping-particle":"","parse-names":false,"suffix":""}],"container-title":"Alexandria Engineering Journal","id":"ITEM-1","issue":"2","issued":{"date-parts":[["2015"]]},"page":"105-126","publisher":"Faculty of Engineering, Alexandria University","title":"LPG diesel dual fuel engine - A critical review","type":"article-journal","volume":"54"}},{"id":"968HXJ10/AsfbvX9i","uris":["http://www.mendeley.com/documents/?uuid=624cfd4a-63b8-3a85-b4f2-95967a4fd790"],"uri":["http://www.mendeley.com/documents/?uuid=624cfd4a-63b8-3a85-b4f2-95967a4fd790"],"itemData":{"URL":"https://www.neste.com/releases-and-news/renewable-solutions/neste-delivers-first-batch-100-renewable-propane-european-market","accessed":{"date-parts":[["2019","11","19"]]},"author":[{"dropping-particle":"","family":"Neste","given":"","non-dropping-particle":"","parse-names":false,"suffix":""}],"container-title":"Green Car Congress","id":"ITEM-2","issued":{"date-parts":[["2018"]]},"title":"Neste delivers first batch of 100% renewable propane to European market - Green Car Congress","type":"webpage"}}],"schema":"https://github.com/citation-style-language/schema/raw/master/csl-citation.json"} </w:instrText>
      </w:r>
      <w:r w:rsidR="008314ED" w:rsidRPr="004D19FF">
        <w:rPr>
          <w:rFonts w:ascii="Times New Roman" w:hAnsi="Times New Roman"/>
          <w:sz w:val="20"/>
          <w:szCs w:val="20"/>
        </w:rPr>
        <w:fldChar w:fldCharType="separate"/>
      </w:r>
      <w:r w:rsidR="005D3B73" w:rsidRPr="005D3B73">
        <w:rPr>
          <w:rFonts w:ascii="Times New Roman" w:hAnsi="Times New Roman" w:cs="Times New Roman"/>
          <w:sz w:val="20"/>
        </w:rPr>
        <w:t>[167,168]</w:t>
      </w:r>
      <w:r w:rsidR="008314ED" w:rsidRPr="004D19FF">
        <w:rPr>
          <w:rFonts w:ascii="Times New Roman" w:hAnsi="Times New Roman"/>
          <w:sz w:val="20"/>
          <w:szCs w:val="20"/>
        </w:rPr>
        <w:fldChar w:fldCharType="end"/>
      </w:r>
      <w:r w:rsidR="00D53DC4" w:rsidRPr="004D19FF">
        <w:rPr>
          <w:rFonts w:ascii="Times New Roman" w:hAnsi="Times New Roman"/>
          <w:sz w:val="20"/>
          <w:szCs w:val="20"/>
        </w:rPr>
        <w:t>.</w:t>
      </w:r>
      <w:r w:rsidR="00786F3D" w:rsidRPr="004D19FF">
        <w:rPr>
          <w:rFonts w:ascii="Times New Roman" w:hAnsi="Times New Roman"/>
          <w:sz w:val="20"/>
          <w:szCs w:val="20"/>
        </w:rPr>
        <w:t xml:space="preserve"> Propane is categorized as one of the bulk component of </w:t>
      </w:r>
      <w:r w:rsidR="00FB193A" w:rsidRPr="004D19FF">
        <w:rPr>
          <w:rFonts w:ascii="Times New Roman" w:hAnsi="Times New Roman"/>
          <w:sz w:val="20"/>
          <w:szCs w:val="20"/>
        </w:rPr>
        <w:t xml:space="preserve">liquefied </w:t>
      </w:r>
      <w:r w:rsidR="000D0042" w:rsidRPr="004D19FF">
        <w:rPr>
          <w:rFonts w:ascii="Times New Roman" w:hAnsi="Times New Roman"/>
          <w:sz w:val="20"/>
          <w:szCs w:val="20"/>
        </w:rPr>
        <w:t xml:space="preserve">petroleum </w:t>
      </w:r>
      <w:r w:rsidR="00FB193A" w:rsidRPr="004D19FF">
        <w:rPr>
          <w:rFonts w:ascii="Times New Roman" w:hAnsi="Times New Roman"/>
          <w:sz w:val="20"/>
          <w:szCs w:val="20"/>
        </w:rPr>
        <w:t>gas (</w:t>
      </w:r>
      <w:r w:rsidR="00786F3D" w:rsidRPr="004D19FF">
        <w:rPr>
          <w:rFonts w:ascii="Times New Roman" w:hAnsi="Times New Roman"/>
          <w:sz w:val="20"/>
          <w:szCs w:val="20"/>
        </w:rPr>
        <w:t>LPG</w:t>
      </w:r>
      <w:r w:rsidR="00FB193A" w:rsidRPr="004D19FF">
        <w:rPr>
          <w:rFonts w:ascii="Times New Roman" w:hAnsi="Times New Roman"/>
          <w:sz w:val="20"/>
          <w:szCs w:val="20"/>
        </w:rPr>
        <w:t>)</w:t>
      </w:r>
      <w:r w:rsidR="00786F3D" w:rsidRPr="004D19FF">
        <w:rPr>
          <w:rFonts w:ascii="Times New Roman" w:hAnsi="Times New Roman"/>
          <w:sz w:val="20"/>
          <w:szCs w:val="20"/>
        </w:rPr>
        <w:t xml:space="preserve"> in combination with other gases </w:t>
      </w:r>
      <w:r w:rsidR="002C0C2C" w:rsidRPr="004D19FF">
        <w:rPr>
          <w:rFonts w:ascii="Times New Roman" w:hAnsi="Times New Roman"/>
          <w:sz w:val="20"/>
          <w:szCs w:val="20"/>
        </w:rPr>
        <w:t xml:space="preserve">such as </w:t>
      </w:r>
      <w:r w:rsidR="00786F3D" w:rsidRPr="004D19FF">
        <w:rPr>
          <w:rFonts w:ascii="Times New Roman" w:hAnsi="Times New Roman"/>
          <w:sz w:val="20"/>
          <w:szCs w:val="20"/>
        </w:rPr>
        <w:t>butan</w:t>
      </w:r>
      <w:r w:rsidRPr="004D19FF">
        <w:rPr>
          <w:rFonts w:ascii="Times New Roman" w:hAnsi="Times New Roman"/>
          <w:sz w:val="20"/>
          <w:szCs w:val="20"/>
        </w:rPr>
        <w:t xml:space="preserve">e, </w:t>
      </w:r>
      <w:r w:rsidR="00776141">
        <w:rPr>
          <w:rFonts w:ascii="Times New Roman" w:hAnsi="Times New Roman"/>
          <w:sz w:val="20"/>
          <w:szCs w:val="20"/>
        </w:rPr>
        <w:t>isobutene, iso</w:t>
      </w:r>
      <w:r w:rsidRPr="004D19FF">
        <w:rPr>
          <w:rFonts w:ascii="Times New Roman" w:hAnsi="Times New Roman"/>
          <w:sz w:val="20"/>
          <w:szCs w:val="20"/>
        </w:rPr>
        <w:t xml:space="preserve">pentane. </w:t>
      </w:r>
      <w:r w:rsidR="00E57279" w:rsidRPr="004D19FF">
        <w:rPr>
          <w:rFonts w:ascii="Times New Roman" w:hAnsi="Times New Roman"/>
          <w:sz w:val="20"/>
          <w:szCs w:val="20"/>
        </w:rPr>
        <w:t xml:space="preserve">Currently, propane is typically generated as </w:t>
      </w:r>
      <w:r w:rsidR="00FB193A" w:rsidRPr="004D19FF">
        <w:rPr>
          <w:rFonts w:ascii="Times New Roman" w:hAnsi="Times New Roman"/>
          <w:sz w:val="20"/>
          <w:szCs w:val="20"/>
        </w:rPr>
        <w:t>a co-product of</w:t>
      </w:r>
      <w:r w:rsidR="00786F3D" w:rsidRPr="004D19FF">
        <w:rPr>
          <w:rFonts w:ascii="Times New Roman" w:hAnsi="Times New Roman"/>
          <w:sz w:val="20"/>
          <w:szCs w:val="20"/>
        </w:rPr>
        <w:t xml:space="preserve"> natural gas processing </w:t>
      </w:r>
      <w:r w:rsidR="00FB193A" w:rsidRPr="004D19FF">
        <w:rPr>
          <w:rFonts w:ascii="Times New Roman" w:hAnsi="Times New Roman"/>
          <w:sz w:val="20"/>
          <w:szCs w:val="20"/>
        </w:rPr>
        <w:t>and petroleum refinery</w:t>
      </w:r>
      <w:r w:rsidR="00E57279" w:rsidRPr="004D19FF">
        <w:rPr>
          <w:rFonts w:ascii="Times New Roman" w:hAnsi="Times New Roman"/>
          <w:sz w:val="20"/>
          <w:szCs w:val="20"/>
        </w:rPr>
        <w:t xml:space="preserve"> </w:t>
      </w:r>
      <w:r w:rsidR="00786F3D"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js428Lzs","properties":{"formattedCitation":"[90]","plainCitation":"[90]","noteIndex":0},"citationItems":[{"id":"968HXJ10/SxaamaNM","uris":["http://www.mendeley.com/documents/?uuid=e314aba5-00f9-4c38-b542-6e5e66378a35"],"uri":["http://www.mendeley.com/documents/?uuid=e314aba5-00f9-4c38-b542-6e5e66378a35"],"itemData":{"DOI":"10.1007/978-1-4939-7813-7_1039","ISBN":"9781493978137","author":[{"dropping-particle":"","family":"Pechstein","given":"Jan","non-dropping-particle":"","parse-names":false,"suffix":""},{"dropping-particle":"","family":"Kaltschmitt","given":"Martin","non-dropping-particle":"","parse-names":false,"suffix":""}],"container-title":"Energy from Organic Materials (Biomass)","id":"ITEM-1","issued":{"date-parts":[["2019"]]},"page":"1023-1046","title":"Liquid Hydrocarbon Fuels Derived from Alcohols","type":"article-journal"}}],"schema":"https://github.com/citation-style-language/schema/raw/master/csl-citation.json"} </w:instrText>
      </w:r>
      <w:r w:rsidR="00786F3D" w:rsidRPr="004D19FF">
        <w:rPr>
          <w:rFonts w:ascii="Times New Roman" w:hAnsi="Times New Roman"/>
          <w:sz w:val="20"/>
          <w:szCs w:val="20"/>
        </w:rPr>
        <w:fldChar w:fldCharType="separate"/>
      </w:r>
      <w:r w:rsidR="00623E85" w:rsidRPr="00623E85">
        <w:rPr>
          <w:rFonts w:ascii="Times New Roman" w:hAnsi="Times New Roman" w:cs="Times New Roman"/>
          <w:sz w:val="20"/>
        </w:rPr>
        <w:t>[90]</w:t>
      </w:r>
      <w:r w:rsidR="00786F3D" w:rsidRPr="004D19FF">
        <w:rPr>
          <w:rFonts w:ascii="Times New Roman" w:hAnsi="Times New Roman"/>
          <w:sz w:val="20"/>
          <w:szCs w:val="20"/>
        </w:rPr>
        <w:fldChar w:fldCharType="end"/>
      </w:r>
      <w:r w:rsidR="00D53DC4" w:rsidRPr="004D19FF">
        <w:rPr>
          <w:rFonts w:ascii="Times New Roman" w:hAnsi="Times New Roman"/>
          <w:sz w:val="20"/>
          <w:szCs w:val="20"/>
        </w:rPr>
        <w:t>.</w:t>
      </w:r>
      <w:r w:rsidR="00786F3D" w:rsidRPr="004D19FF">
        <w:rPr>
          <w:rFonts w:ascii="Times New Roman" w:hAnsi="Times New Roman"/>
          <w:sz w:val="20"/>
          <w:szCs w:val="20"/>
        </w:rPr>
        <w:t xml:space="preserve"> </w:t>
      </w:r>
    </w:p>
    <w:p w14:paraId="7C5F051C" w14:textId="77777777" w:rsidR="00786F3D" w:rsidRPr="004D19FF" w:rsidRDefault="00786F3D" w:rsidP="00786F3D">
      <w:pPr>
        <w:spacing w:line="276" w:lineRule="auto"/>
        <w:jc w:val="thaiDistribute"/>
        <w:rPr>
          <w:rFonts w:ascii="Times New Roman" w:hAnsi="Times New Roman"/>
          <w:i/>
          <w:sz w:val="20"/>
          <w:szCs w:val="20"/>
        </w:rPr>
      </w:pPr>
      <w:r w:rsidRPr="004D19FF">
        <w:rPr>
          <w:rFonts w:ascii="Times New Roman" w:hAnsi="Times New Roman"/>
          <w:i/>
          <w:sz w:val="20"/>
          <w:szCs w:val="20"/>
        </w:rPr>
        <w:t>4.1.2 Naphtha</w:t>
      </w:r>
    </w:p>
    <w:p w14:paraId="64540206" w14:textId="3DDD6C99" w:rsidR="00CA3832" w:rsidRPr="004D19FF" w:rsidRDefault="00786F3D" w:rsidP="00AF19F3">
      <w:pPr>
        <w:spacing w:line="276" w:lineRule="auto"/>
        <w:jc w:val="thaiDistribute"/>
        <w:rPr>
          <w:rFonts w:ascii="Times New Roman" w:hAnsi="Times New Roman"/>
          <w:sz w:val="20"/>
          <w:szCs w:val="20"/>
        </w:rPr>
      </w:pPr>
      <w:r w:rsidRPr="004D19FF">
        <w:rPr>
          <w:rFonts w:ascii="Times New Roman" w:hAnsi="Times New Roman"/>
          <w:sz w:val="20"/>
          <w:szCs w:val="20"/>
        </w:rPr>
        <w:t xml:space="preserve">Naphtha is </w:t>
      </w:r>
      <w:r w:rsidR="00CA3832" w:rsidRPr="004D19FF">
        <w:rPr>
          <w:rFonts w:ascii="Times New Roman" w:hAnsi="Times New Roman"/>
          <w:sz w:val="20"/>
          <w:szCs w:val="20"/>
        </w:rPr>
        <w:t xml:space="preserve">a </w:t>
      </w:r>
      <w:r w:rsidRPr="004D19FF">
        <w:rPr>
          <w:rFonts w:ascii="Times New Roman" w:hAnsi="Times New Roman"/>
          <w:sz w:val="20"/>
          <w:szCs w:val="20"/>
        </w:rPr>
        <w:t xml:space="preserve">mixture of liquid hydrocarbons </w:t>
      </w:r>
      <w:r w:rsidR="00CA3832" w:rsidRPr="004D19FF">
        <w:rPr>
          <w:rFonts w:ascii="Times New Roman" w:hAnsi="Times New Roman"/>
          <w:sz w:val="20"/>
          <w:szCs w:val="20"/>
        </w:rPr>
        <w:t>comprising carbon compounds ranging from</w:t>
      </w:r>
      <w:r w:rsidRPr="004D19FF">
        <w:rPr>
          <w:rFonts w:ascii="Times New Roman" w:hAnsi="Times New Roman"/>
          <w:sz w:val="20"/>
          <w:szCs w:val="20"/>
        </w:rPr>
        <w:t xml:space="preserve"> C</w:t>
      </w:r>
      <w:r w:rsidRPr="004D19FF">
        <w:rPr>
          <w:rFonts w:ascii="Times New Roman" w:hAnsi="Times New Roman"/>
          <w:sz w:val="20"/>
          <w:szCs w:val="20"/>
          <w:vertAlign w:val="subscript"/>
        </w:rPr>
        <w:t>5</w:t>
      </w:r>
      <w:r w:rsidRPr="004D19FF">
        <w:rPr>
          <w:rFonts w:ascii="Times New Roman" w:hAnsi="Times New Roman"/>
          <w:sz w:val="20"/>
          <w:szCs w:val="20"/>
        </w:rPr>
        <w:t>-C</w:t>
      </w:r>
      <w:r w:rsidRPr="004D19FF">
        <w:rPr>
          <w:rFonts w:ascii="Times New Roman" w:hAnsi="Times New Roman"/>
          <w:sz w:val="20"/>
          <w:szCs w:val="20"/>
          <w:vertAlign w:val="subscript"/>
        </w:rPr>
        <w:t>9</w:t>
      </w:r>
      <w:r w:rsidR="00F95B8E" w:rsidRPr="004D19FF">
        <w:rPr>
          <w:rFonts w:ascii="Times New Roman" w:hAnsi="Times New Roman"/>
          <w:sz w:val="20"/>
          <w:szCs w:val="20"/>
        </w:rPr>
        <w:t xml:space="preserve"> </w:t>
      </w:r>
      <w:r w:rsidR="0098198C"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DpX2mN56","properties":{"formattedCitation":"[169]","plainCitation":"[169]","noteIndex":0},"citationItems":[{"id":"968HXJ10/iIu6LyFt","uris":["http://www.mendeley.com/documents/?uuid=c557e89d-a2ab-44e1-b5b3-ca11a3fd93da"],"uri":["http://www.mendeley.com/documents/?uuid=c557e89d-a2ab-44e1-b5b3-ca11a3fd93da"],"itemData":{"DOI":"10.1016/j.cej.2011.04.062","ISSN":"13858947","abstract":"An alternative route for the production of light olefins is proposed starting from low value and waste fats, greases and other renewable fractions. The first step catalytically converts triglycerides and/or fatty acids from bio oils to a high quality paraffinic diesel or jet fuel and renewable naphtha. GC × GC-TOF-MS and GC × GC-FID characterization of the renewable naphtha showed that it mainly consists of n-paraffins (32.6. wt%) and iso-paraffins (60. wt%), with only small amounts of aromatics (0.8. wt%), naphthenics (6.3. wt%) and olefinics (0.3. wt%). No remaining oxygenates are measured, making it a potentially attractive feed for the production of ethylene. Steam cracking of this renewable naphtha in a pilot plant revealed that high light olefin yields can be obtained (ethylene yield of 31. wt% and a propylene yield of 17.5. wt%), while the amount of pyrolysis gasoline (15. wt%) and pyrolysis fuel oil (&lt;1. wt%) produced remains small. An experimental coking study further confirmed the attractive character of this feed. Run length simulations show that higher run lengths can be expected in comparison with the typically used naphtha fractions from fossil resources. © 2011 Elsevier B.V.","author":[{"dropping-particle":"","family":"Pyl","given":"Steven P.","non-dropping-particle":"","parse-names":false,"suffix":""},{"dropping-particle":"","family":"Schietekat","given":"Carl M.","non-dropping-particle":"","parse-names":false,"suffix":""},{"dropping-particle":"","family":"Reyniers","given":"Marie Françoise","non-dropping-particle":"","parse-names":false,"suffix":""},{"dropping-particle":"","family":"Abhari","given":"Ramin","non-dropping-particle":"","parse-names":false,"suffix":""},{"dropping-particle":"","family":"Marin","given":"Guy B.","non-dropping-particle":"","parse-names":false,"suffix":""},{"dropping-particle":"","family":"Geem","given":"Kevin M.","non-dropping-particle":"Van","parse-names":false,"suffix":""}],"container-title":"Chemical Engineering Journal","id":"ITEM-1","issue":"December","issued":{"date-parts":[["2011"]]},"page":"178-187","title":"Biomass to olefins: Cracking of renewable naphtha","type":"article-journal","volume":"176-177"}}],"schema":"https://github.com/citation-style-language/schema/raw/master/csl-citation.json"} </w:instrText>
      </w:r>
      <w:r w:rsidR="0098198C" w:rsidRPr="004D19FF">
        <w:rPr>
          <w:rFonts w:ascii="Times New Roman" w:hAnsi="Times New Roman"/>
          <w:sz w:val="20"/>
          <w:szCs w:val="20"/>
        </w:rPr>
        <w:fldChar w:fldCharType="separate"/>
      </w:r>
      <w:r w:rsidR="005D3B73" w:rsidRPr="005D3B73">
        <w:rPr>
          <w:rFonts w:ascii="Times New Roman" w:hAnsi="Times New Roman" w:cs="Times New Roman"/>
          <w:sz w:val="20"/>
        </w:rPr>
        <w:t>[169]</w:t>
      </w:r>
      <w:r w:rsidR="0098198C" w:rsidRPr="004D19FF">
        <w:rPr>
          <w:rFonts w:ascii="Times New Roman" w:hAnsi="Times New Roman"/>
          <w:sz w:val="20"/>
          <w:szCs w:val="20"/>
        </w:rPr>
        <w:fldChar w:fldCharType="end"/>
      </w:r>
      <w:r w:rsidRPr="004D19FF">
        <w:rPr>
          <w:rFonts w:ascii="Times New Roman" w:hAnsi="Times New Roman"/>
          <w:sz w:val="20"/>
          <w:szCs w:val="20"/>
        </w:rPr>
        <w:t xml:space="preserve">. </w:t>
      </w:r>
      <w:r w:rsidR="00CA3832" w:rsidRPr="004D19FF">
        <w:rPr>
          <w:rFonts w:ascii="Times New Roman" w:hAnsi="Times New Roman"/>
          <w:sz w:val="20"/>
          <w:szCs w:val="20"/>
        </w:rPr>
        <w:t xml:space="preserve">Naphtha is the main combustible component of both gasoline and kerosene. </w:t>
      </w:r>
      <w:r w:rsidRPr="004D19FF">
        <w:rPr>
          <w:rFonts w:ascii="Times New Roman" w:hAnsi="Times New Roman"/>
          <w:sz w:val="20"/>
          <w:szCs w:val="20"/>
        </w:rPr>
        <w:t xml:space="preserve">It has a great potential for diverse industrial purposes including </w:t>
      </w:r>
      <w:r w:rsidR="00804622" w:rsidRPr="004D19FF">
        <w:rPr>
          <w:rFonts w:ascii="Times New Roman" w:hAnsi="Times New Roman"/>
          <w:sz w:val="20"/>
          <w:szCs w:val="20"/>
        </w:rPr>
        <w:t>plastic production or its used as a cleaning extraction or dilution agent</w:t>
      </w:r>
      <w:r w:rsidRPr="004D19FF">
        <w:rPr>
          <w:rFonts w:ascii="Times New Roman" w:hAnsi="Times New Roman"/>
          <w:sz w:val="20"/>
          <w:szCs w:val="20"/>
        </w:rPr>
        <w:t xml:space="preserve"> </w:t>
      </w:r>
      <w:r w:rsidR="00975B1D"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bp12Ikv4","properties":{"formattedCitation":"[170,171]","plainCitation":"[170,171]","noteIndex":0},"citationItems":[{"id":"968HXJ10/PNxTrW6l","uris":["http://www.mendeley.com/documents/?uuid=6935f116-ea4f-434b-9a03-3e73879d81a0"],"uri":["http://www.mendeley.com/documents/?uuid=6935f116-ea4f-434b-9a03-3e73879d81a0"],"itemData":{"DOI":"10.1155/2018/8406754","ISSN":"20901976","abstract":"There has been considerable progress in the area of fuel surrogate development to emulate gasoline fuels' oxidation properties. The current paper aims to review the relevant hydrocarbon group components used for the formulation of gasoline surrogates, review specific gasoline surrogates reported in the literature, outlining their utility and deficiencies, and identify the future research needs in the area of gasoline surrogates and kinetics model.","author":[{"dropping-particle":"","family":"Piehl","given":"J. A.","non-dropping-particle":"","parse-names":false,"suffix":""},{"dropping-particle":"","family":"Zyada","given":"A.","non-dropping-particle":"","parse-names":false,"suffix":""},{"dropping-particle":"","family":"Bravo","given":"L.","non-dropping-particle":"","parse-names":false,"suffix":""},{"dropping-particle":"","family":"Samimi-Abianeh","given":"O.","non-dropping-particle":"","parse-names":false,"suffix":""}],"container-title":"Journal of Combustion","id":"ITEM-1","issued":{"date-parts":[["2018"]]},"title":"Review of Oxidation of Gasoline Surrogates and Its Components","type":"article-journal","volume":"2018"}},{"id":"968HXJ10/bJY0Z64E","uris":["http://www.mendeley.com/documents/?uuid=901dce2d-3bfa-4e74-a50b-5c51e8e18caa"],"uri":["http://www.mendeley.com/documents/?uuid=901dce2d-3bfa-4e74-a50b-5c51e8e18caa"],"itemData":{"author":[{"dropping-particle":"","family":"Tamm","given":"David C","non-dropping-particle":"","parse-names":false,"suffix":""},{"dropping-particle":"","family":"Devenish","given":"Gary N","non-dropping-particle":"","parse-names":false,"suffix":""},{"dropping-particle":"","family":"Finelt","given":"Daniel R","non-dropping-particle":"","parse-names":false,"suffix":""},{"dropping-particle":"","family":"Kalt","given":"Amelia L","non-dropping-particle":"","parse-names":false,"suffix":""}],"id":"ITEM-2","issued":{"date-parts":[["2018"]]},"title":"Analysis of Gasoline Octane Costs Prepared for","type":"report"}}],"schema":"https://github.com/citation-style-language/schema/raw/master/csl-citation.json"} </w:instrText>
      </w:r>
      <w:r w:rsidR="00975B1D" w:rsidRPr="004D19FF">
        <w:rPr>
          <w:rFonts w:ascii="Times New Roman" w:hAnsi="Times New Roman"/>
          <w:sz w:val="20"/>
          <w:szCs w:val="20"/>
        </w:rPr>
        <w:fldChar w:fldCharType="separate"/>
      </w:r>
      <w:r w:rsidR="005D3B73" w:rsidRPr="005D3B73">
        <w:rPr>
          <w:rFonts w:ascii="Times New Roman" w:hAnsi="Times New Roman" w:cs="Times New Roman"/>
          <w:sz w:val="20"/>
        </w:rPr>
        <w:t>[170,171]</w:t>
      </w:r>
      <w:r w:rsidR="00975B1D" w:rsidRPr="004D19FF">
        <w:rPr>
          <w:rFonts w:ascii="Times New Roman" w:hAnsi="Times New Roman"/>
          <w:sz w:val="20"/>
          <w:szCs w:val="20"/>
        </w:rPr>
        <w:fldChar w:fldCharType="end"/>
      </w:r>
      <w:r w:rsidR="00D53DC4" w:rsidRPr="004D19FF">
        <w:rPr>
          <w:rFonts w:ascii="Times New Roman" w:hAnsi="Times New Roman"/>
          <w:sz w:val="20"/>
          <w:szCs w:val="20"/>
        </w:rPr>
        <w:t>.</w:t>
      </w:r>
      <w:r w:rsidR="006A6A7C" w:rsidRPr="004D19FF">
        <w:rPr>
          <w:rFonts w:ascii="Times New Roman" w:hAnsi="Times New Roman"/>
          <w:sz w:val="20"/>
          <w:szCs w:val="20"/>
        </w:rPr>
        <w:t xml:space="preserve"> </w:t>
      </w:r>
      <w:r w:rsidR="00CA3832" w:rsidRPr="004D19FF">
        <w:rPr>
          <w:rFonts w:ascii="Times New Roman" w:hAnsi="Times New Roman"/>
          <w:sz w:val="20"/>
          <w:szCs w:val="20"/>
        </w:rPr>
        <w:t>Naphtha is</w:t>
      </w:r>
      <w:r w:rsidRPr="004D19FF">
        <w:rPr>
          <w:rFonts w:ascii="Times New Roman" w:hAnsi="Times New Roman"/>
          <w:sz w:val="20"/>
          <w:szCs w:val="20"/>
        </w:rPr>
        <w:t xml:space="preserve"> tradit</w:t>
      </w:r>
      <w:r w:rsidR="00CA3832" w:rsidRPr="004D19FF">
        <w:rPr>
          <w:rFonts w:ascii="Times New Roman" w:hAnsi="Times New Roman"/>
          <w:sz w:val="20"/>
          <w:szCs w:val="20"/>
        </w:rPr>
        <w:t xml:space="preserve">ionally generated as </w:t>
      </w:r>
      <w:r w:rsidR="00804622" w:rsidRPr="004D19FF">
        <w:rPr>
          <w:rFonts w:ascii="Times New Roman" w:hAnsi="Times New Roman"/>
          <w:sz w:val="20"/>
          <w:szCs w:val="20"/>
        </w:rPr>
        <w:t xml:space="preserve">a </w:t>
      </w:r>
      <w:r w:rsidR="00CA3832" w:rsidRPr="004D19FF">
        <w:rPr>
          <w:rFonts w:ascii="Times New Roman" w:hAnsi="Times New Roman"/>
          <w:sz w:val="20"/>
          <w:szCs w:val="20"/>
        </w:rPr>
        <w:t xml:space="preserve">co-product in </w:t>
      </w:r>
      <w:r w:rsidRPr="004D19FF">
        <w:rPr>
          <w:rFonts w:ascii="Times New Roman" w:hAnsi="Times New Roman"/>
          <w:sz w:val="20"/>
          <w:szCs w:val="20"/>
        </w:rPr>
        <w:t>fractional distillation process</w:t>
      </w:r>
      <w:r w:rsidR="00CA3832" w:rsidRPr="004D19FF">
        <w:rPr>
          <w:rFonts w:ascii="Times New Roman" w:hAnsi="Times New Roman"/>
          <w:sz w:val="20"/>
          <w:szCs w:val="20"/>
        </w:rPr>
        <w:t>es</w:t>
      </w:r>
      <w:r w:rsidRPr="004D19FF">
        <w:rPr>
          <w:rFonts w:ascii="Times New Roman" w:hAnsi="Times New Roman"/>
          <w:sz w:val="20"/>
          <w:szCs w:val="20"/>
        </w:rPr>
        <w:t xml:space="preserve"> from </w:t>
      </w:r>
      <w:r w:rsidR="00CA3832" w:rsidRPr="004D19FF">
        <w:rPr>
          <w:rFonts w:ascii="Times New Roman" w:hAnsi="Times New Roman"/>
          <w:sz w:val="20"/>
          <w:szCs w:val="20"/>
        </w:rPr>
        <w:t xml:space="preserve">the </w:t>
      </w:r>
      <w:r w:rsidRPr="004D19FF">
        <w:rPr>
          <w:rFonts w:ascii="Times New Roman" w:hAnsi="Times New Roman"/>
          <w:sz w:val="20"/>
          <w:szCs w:val="20"/>
        </w:rPr>
        <w:t xml:space="preserve">petrochemical </w:t>
      </w:r>
      <w:r w:rsidR="00CA3832" w:rsidRPr="004D19FF">
        <w:rPr>
          <w:rFonts w:ascii="Times New Roman" w:hAnsi="Times New Roman"/>
          <w:sz w:val="20"/>
          <w:szCs w:val="20"/>
        </w:rPr>
        <w:t>industry, including the production of (fossil-based) kerosene for aviation fuel. The market price of naphtha is thus closely tight to the price of crude oil</w:t>
      </w:r>
      <w:r w:rsidR="006A6A7C" w:rsidRPr="004D19FF">
        <w:rPr>
          <w:rFonts w:ascii="Times New Roman" w:hAnsi="Times New Roman"/>
          <w:sz w:val="20"/>
          <w:szCs w:val="20"/>
        </w:rPr>
        <w:t xml:space="preserve"> </w:t>
      </w:r>
      <w:r w:rsidR="00975B1D"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qijT2wD7","properties":{"formattedCitation":"[172]","plainCitation":"[172]","noteIndex":0},"citationItems":[{"id":"968HXJ10/2MezyPXC","uris":["http://www.mendeley.com/documents/?uuid=0d3e86c2-5a4d-33a4-a506-dc698de2e2db"],"uri":["http://www.mendeley.com/documents/?uuid=0d3e86c2-5a4d-33a4-a506-dc698de2e2db"],"itemData":{"URL":"https://www.neste.com/companies/products/renewable-products/neste-renewable-naphtha-0","accessed":{"date-parts":[["2019","11","25"]]},"author":[{"dropping-particle":"","family":"Neste","given":"","non-dropping-particle":"","parse-names":false,"suffix":""}],"container-title":"Neste","id":"ITEM-1","issued":{"date-parts":[["2019"]]},"title":"Neste MY Renewable Naphtha™ – a more sustainable component | Neste","type":"webpage"}}],"schema":"https://github.com/citation-style-language/schema/raw/master/csl-citation.json"} </w:instrText>
      </w:r>
      <w:r w:rsidR="00975B1D" w:rsidRPr="004D19FF">
        <w:rPr>
          <w:rFonts w:ascii="Times New Roman" w:hAnsi="Times New Roman"/>
          <w:sz w:val="20"/>
          <w:szCs w:val="20"/>
        </w:rPr>
        <w:fldChar w:fldCharType="separate"/>
      </w:r>
      <w:r w:rsidR="005D3B73" w:rsidRPr="005D3B73">
        <w:rPr>
          <w:rFonts w:ascii="Times New Roman" w:hAnsi="Times New Roman" w:cs="Times New Roman"/>
          <w:sz w:val="20"/>
        </w:rPr>
        <w:t>[172]</w:t>
      </w:r>
      <w:r w:rsidR="00975B1D" w:rsidRPr="004D19FF">
        <w:rPr>
          <w:rFonts w:ascii="Times New Roman" w:hAnsi="Times New Roman"/>
          <w:sz w:val="20"/>
          <w:szCs w:val="20"/>
        </w:rPr>
        <w:fldChar w:fldCharType="end"/>
      </w:r>
      <w:r w:rsidR="00D53DC4" w:rsidRPr="004D19FF">
        <w:rPr>
          <w:rFonts w:ascii="Times New Roman" w:hAnsi="Times New Roman"/>
          <w:sz w:val="20"/>
          <w:szCs w:val="20"/>
        </w:rPr>
        <w:t>.</w:t>
      </w:r>
    </w:p>
    <w:p w14:paraId="05DE8DF4" w14:textId="5EE99330" w:rsidR="00CA3832" w:rsidRPr="004D19FF" w:rsidRDefault="00CA3832" w:rsidP="00AF19F3">
      <w:pPr>
        <w:spacing w:line="276" w:lineRule="auto"/>
        <w:jc w:val="thaiDistribute"/>
        <w:rPr>
          <w:rFonts w:ascii="Times New Roman" w:hAnsi="Times New Roman"/>
          <w:sz w:val="20"/>
          <w:szCs w:val="20"/>
        </w:rPr>
      </w:pPr>
      <w:r w:rsidRPr="004D19FF">
        <w:rPr>
          <w:rFonts w:ascii="Times New Roman" w:hAnsi="Times New Roman"/>
          <w:sz w:val="20"/>
          <w:szCs w:val="20"/>
        </w:rPr>
        <w:t xml:space="preserve">Most of the </w:t>
      </w:r>
      <w:r w:rsidR="006633ED" w:rsidRPr="004D19FF">
        <w:rPr>
          <w:rFonts w:ascii="Times New Roman" w:hAnsi="Times New Roman"/>
          <w:sz w:val="20"/>
          <w:szCs w:val="20"/>
        </w:rPr>
        <w:t xml:space="preserve">biofuel </w:t>
      </w:r>
      <w:r w:rsidR="00C62129" w:rsidRPr="004D19FF">
        <w:rPr>
          <w:rFonts w:ascii="Times New Roman" w:hAnsi="Times New Roman"/>
          <w:sz w:val="20"/>
          <w:szCs w:val="20"/>
        </w:rPr>
        <w:t>pathways</w:t>
      </w:r>
      <w:r w:rsidRPr="004D19FF">
        <w:rPr>
          <w:rFonts w:ascii="Times New Roman" w:hAnsi="Times New Roman"/>
          <w:sz w:val="20"/>
          <w:szCs w:val="20"/>
        </w:rPr>
        <w:t xml:space="preserve"> involve the production of naphtha as a co-product (all except </w:t>
      </w:r>
      <w:r w:rsidR="00F64F82" w:rsidRPr="004D19FF">
        <w:rPr>
          <w:rFonts w:ascii="Times New Roman" w:hAnsi="Times New Roman"/>
          <w:sz w:val="20"/>
          <w:szCs w:val="20"/>
        </w:rPr>
        <w:t>AF</w:t>
      </w:r>
      <w:r w:rsidRPr="004D19FF">
        <w:rPr>
          <w:rFonts w:ascii="Times New Roman" w:hAnsi="Times New Roman"/>
          <w:sz w:val="20"/>
          <w:szCs w:val="20"/>
        </w:rPr>
        <w:t xml:space="preserve"> and DSHC</w:t>
      </w:r>
      <w:r w:rsidR="00D525C5" w:rsidRPr="004D19FF">
        <w:rPr>
          <w:rFonts w:ascii="Times New Roman" w:hAnsi="Times New Roman"/>
          <w:sz w:val="20"/>
          <w:szCs w:val="20"/>
        </w:rPr>
        <w:t>; Figs. 2, 5-9</w:t>
      </w:r>
      <w:r w:rsidRPr="004D19FF">
        <w:rPr>
          <w:rFonts w:ascii="Times New Roman" w:hAnsi="Times New Roman"/>
          <w:sz w:val="20"/>
          <w:szCs w:val="20"/>
        </w:rPr>
        <w:t xml:space="preserve">). It can be recirculated within the process, for instance </w:t>
      </w:r>
      <w:r w:rsidR="00A10E56" w:rsidRPr="004D19FF">
        <w:rPr>
          <w:rFonts w:ascii="Times New Roman" w:hAnsi="Times New Roman"/>
          <w:sz w:val="20"/>
          <w:szCs w:val="20"/>
        </w:rPr>
        <w:t xml:space="preserve">in </w:t>
      </w:r>
      <w:r w:rsidRPr="004D19FF">
        <w:rPr>
          <w:rFonts w:ascii="Times New Roman" w:hAnsi="Times New Roman"/>
          <w:sz w:val="20"/>
          <w:szCs w:val="20"/>
        </w:rPr>
        <w:t xml:space="preserve">the FT pathway it can be fed </w:t>
      </w:r>
      <w:r w:rsidR="00A10E56" w:rsidRPr="004D19FF">
        <w:rPr>
          <w:rFonts w:ascii="Times New Roman" w:hAnsi="Times New Roman"/>
          <w:sz w:val="20"/>
          <w:szCs w:val="20"/>
        </w:rPr>
        <w:t>into</w:t>
      </w:r>
      <w:r w:rsidRPr="004D19FF">
        <w:rPr>
          <w:rFonts w:ascii="Times New Roman" w:hAnsi="Times New Roman"/>
          <w:sz w:val="20"/>
          <w:szCs w:val="20"/>
        </w:rPr>
        <w:t xml:space="preserve"> </w:t>
      </w:r>
      <w:r w:rsidR="00804622" w:rsidRPr="004D19FF">
        <w:rPr>
          <w:rFonts w:ascii="Times New Roman" w:hAnsi="Times New Roman"/>
          <w:sz w:val="20"/>
          <w:szCs w:val="20"/>
        </w:rPr>
        <w:t xml:space="preserve">the </w:t>
      </w:r>
      <w:r w:rsidRPr="004D19FF">
        <w:rPr>
          <w:rFonts w:ascii="Times New Roman" w:hAnsi="Times New Roman"/>
          <w:sz w:val="20"/>
          <w:szCs w:val="20"/>
        </w:rPr>
        <w:t>partial</w:t>
      </w:r>
      <w:r w:rsidR="00A10E56" w:rsidRPr="004D19FF">
        <w:rPr>
          <w:rFonts w:ascii="Times New Roman" w:hAnsi="Times New Roman"/>
          <w:sz w:val="20"/>
          <w:szCs w:val="20"/>
        </w:rPr>
        <w:t xml:space="preserve"> oxidation unit and reformed as </w:t>
      </w:r>
      <w:r w:rsidRPr="004D19FF">
        <w:rPr>
          <w:rFonts w:ascii="Times New Roman" w:hAnsi="Times New Roman"/>
          <w:sz w:val="20"/>
          <w:szCs w:val="20"/>
        </w:rPr>
        <w:t>syngas feedstock to produce greater amount of aviation fuel</w:t>
      </w:r>
      <w:r w:rsidR="00A835B9" w:rsidRPr="004D19FF">
        <w:rPr>
          <w:rFonts w:ascii="Times New Roman" w:hAnsi="Times New Roman"/>
          <w:sz w:val="20"/>
          <w:szCs w:val="20"/>
        </w:rPr>
        <w:t xml:space="preserve"> </w:t>
      </w:r>
      <w:r w:rsidR="000D078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W6ipqPf","properties":{"formattedCitation":"[172]","plainCitation":"[172]","noteIndex":0},"citationItems":[{"id":"968HXJ10/2MezyPXC","uris":["http://www.mendeley.com/documents/?uuid=0d3e86c2-5a4d-33a4-a506-dc698de2e2db"],"uri":["http://www.mendeley.com/documents/?uuid=0d3e86c2-5a4d-33a4-a506-dc698de2e2db"],"itemData":{"URL":"https://www.neste.com/companies/products/renewable-products/neste-renewable-naphtha-0","accessed":{"date-parts":[["2019","11","25"]]},"author":[{"dropping-particle":"","family":"Neste","given":"","non-dropping-particle":"","parse-names":false,"suffix":""}],"container-title":"Neste","id":"ITEM-1","issued":{"date-parts":[["2019"]]},"title":"Neste MY Renewable Naphtha™ – a more sustainable component | Neste","type":"webpage"}}],"schema":"https://github.com/citation-style-language/schema/raw/master/csl-citation.json"} </w:instrText>
      </w:r>
      <w:r w:rsidR="000D0785" w:rsidRPr="004D19FF">
        <w:rPr>
          <w:rFonts w:ascii="Times New Roman" w:hAnsi="Times New Roman"/>
          <w:sz w:val="20"/>
          <w:szCs w:val="20"/>
        </w:rPr>
        <w:fldChar w:fldCharType="separate"/>
      </w:r>
      <w:r w:rsidR="005D3B73" w:rsidRPr="005D3B73">
        <w:rPr>
          <w:rFonts w:ascii="Times New Roman" w:hAnsi="Times New Roman" w:cs="Times New Roman"/>
          <w:sz w:val="20"/>
        </w:rPr>
        <w:t>[172]</w:t>
      </w:r>
      <w:r w:rsidR="000D0785" w:rsidRPr="004D19FF">
        <w:rPr>
          <w:rFonts w:ascii="Times New Roman" w:hAnsi="Times New Roman"/>
          <w:sz w:val="20"/>
          <w:szCs w:val="20"/>
        </w:rPr>
        <w:fldChar w:fldCharType="end"/>
      </w:r>
      <w:r w:rsidR="00D53DC4" w:rsidRPr="004D19FF">
        <w:rPr>
          <w:rFonts w:ascii="Times New Roman" w:hAnsi="Times New Roman"/>
          <w:sz w:val="20"/>
          <w:szCs w:val="20"/>
        </w:rPr>
        <w:t>.</w:t>
      </w:r>
      <w:r w:rsidRPr="004D19FF">
        <w:rPr>
          <w:rFonts w:ascii="Times New Roman" w:hAnsi="Times New Roman"/>
          <w:sz w:val="20"/>
          <w:szCs w:val="20"/>
        </w:rPr>
        <w:t xml:space="preserve"> Additional examples of such bio-based naphtha uses are described in the SM</w:t>
      </w:r>
      <w:r w:rsidR="00585DBF">
        <w:rPr>
          <w:rFonts w:ascii="Times New Roman" w:hAnsi="Times New Roman"/>
          <w:sz w:val="20"/>
          <w:szCs w:val="20"/>
        </w:rPr>
        <w:t>1</w:t>
      </w:r>
      <w:r w:rsidRPr="004D19FF">
        <w:rPr>
          <w:rFonts w:ascii="Times New Roman" w:hAnsi="Times New Roman"/>
          <w:sz w:val="20"/>
          <w:szCs w:val="20"/>
        </w:rPr>
        <w:t xml:space="preserve">. </w:t>
      </w:r>
    </w:p>
    <w:p w14:paraId="45F88116" w14:textId="77777777" w:rsidR="00AF19F3" w:rsidRPr="004D19FF" w:rsidRDefault="00AF19F3" w:rsidP="00AF19F3">
      <w:pPr>
        <w:spacing w:line="276" w:lineRule="auto"/>
        <w:jc w:val="thaiDistribute"/>
        <w:rPr>
          <w:rFonts w:ascii="Times New Roman" w:hAnsi="Times New Roman"/>
          <w:i/>
          <w:sz w:val="20"/>
          <w:szCs w:val="20"/>
        </w:rPr>
      </w:pPr>
      <w:r w:rsidRPr="004D19FF">
        <w:rPr>
          <w:rFonts w:ascii="Times New Roman" w:hAnsi="Times New Roman"/>
          <w:i/>
          <w:sz w:val="20"/>
          <w:szCs w:val="20"/>
        </w:rPr>
        <w:t>4</w:t>
      </w:r>
      <w:r w:rsidR="00786F3D" w:rsidRPr="004D19FF">
        <w:rPr>
          <w:rFonts w:ascii="Times New Roman" w:hAnsi="Times New Roman"/>
          <w:i/>
          <w:sz w:val="20"/>
          <w:szCs w:val="20"/>
        </w:rPr>
        <w:t>.1.3</w:t>
      </w:r>
      <w:r w:rsidR="00D55FFA" w:rsidRPr="004D19FF">
        <w:rPr>
          <w:rFonts w:ascii="Times New Roman" w:hAnsi="Times New Roman"/>
          <w:i/>
          <w:sz w:val="20"/>
          <w:szCs w:val="20"/>
        </w:rPr>
        <w:t xml:space="preserve"> </w:t>
      </w:r>
      <w:r w:rsidR="00C65CCD" w:rsidRPr="004D19FF">
        <w:rPr>
          <w:rFonts w:ascii="Times New Roman" w:hAnsi="Times New Roman"/>
          <w:i/>
          <w:sz w:val="20"/>
          <w:szCs w:val="20"/>
        </w:rPr>
        <w:t>2,3-</w:t>
      </w:r>
      <w:r w:rsidR="00D55FFA" w:rsidRPr="004D19FF">
        <w:rPr>
          <w:rFonts w:ascii="Times New Roman" w:hAnsi="Times New Roman"/>
          <w:i/>
          <w:sz w:val="20"/>
          <w:szCs w:val="20"/>
        </w:rPr>
        <w:t xml:space="preserve">Butanediol </w:t>
      </w:r>
      <w:r w:rsidR="00EF610B" w:rsidRPr="004D19FF">
        <w:rPr>
          <w:rFonts w:ascii="Times New Roman" w:hAnsi="Times New Roman"/>
          <w:i/>
          <w:sz w:val="20"/>
          <w:szCs w:val="20"/>
        </w:rPr>
        <w:t>(optional)</w:t>
      </w:r>
    </w:p>
    <w:p w14:paraId="697D12B7" w14:textId="12CF477A" w:rsidR="00AF19F3" w:rsidRPr="004D19FF" w:rsidRDefault="0085208F" w:rsidP="00AF19F3">
      <w:pPr>
        <w:spacing w:line="276" w:lineRule="auto"/>
        <w:jc w:val="thaiDistribute"/>
        <w:rPr>
          <w:rFonts w:ascii="Times New Roman" w:hAnsi="Times New Roman"/>
          <w:sz w:val="20"/>
          <w:szCs w:val="20"/>
        </w:rPr>
      </w:pPr>
      <w:r w:rsidRPr="004D19FF">
        <w:rPr>
          <w:rFonts w:ascii="Times New Roman" w:hAnsi="Times New Roman"/>
          <w:sz w:val="20"/>
          <w:szCs w:val="20"/>
        </w:rPr>
        <w:t>2,3-BDO</w:t>
      </w:r>
      <w:r w:rsidR="00AF19F3" w:rsidRPr="004D19FF">
        <w:rPr>
          <w:rFonts w:ascii="Times New Roman" w:hAnsi="Times New Roman"/>
          <w:sz w:val="20"/>
          <w:szCs w:val="20"/>
        </w:rPr>
        <w:t xml:space="preserve"> </w:t>
      </w:r>
      <w:r w:rsidR="00630CC8" w:rsidRPr="004D19FF">
        <w:rPr>
          <w:rFonts w:ascii="Times New Roman" w:hAnsi="Times New Roman"/>
          <w:sz w:val="20"/>
          <w:szCs w:val="20"/>
        </w:rPr>
        <w:t>(</w:t>
      </w:r>
      <w:r w:rsidR="00AF19F3" w:rsidRPr="004D19FF">
        <w:rPr>
          <w:rFonts w:ascii="Times New Roman" w:hAnsi="Times New Roman"/>
          <w:sz w:val="20"/>
          <w:szCs w:val="20"/>
        </w:rPr>
        <w:t>C</w:t>
      </w:r>
      <w:r w:rsidR="00AF19F3" w:rsidRPr="004D19FF">
        <w:rPr>
          <w:rFonts w:ascii="Times New Roman" w:hAnsi="Times New Roman"/>
          <w:sz w:val="20"/>
          <w:szCs w:val="20"/>
          <w:vertAlign w:val="subscript"/>
        </w:rPr>
        <w:t>4</w:t>
      </w:r>
      <w:r w:rsidR="00AF19F3" w:rsidRPr="004D19FF">
        <w:rPr>
          <w:rFonts w:ascii="Times New Roman" w:hAnsi="Times New Roman"/>
          <w:sz w:val="20"/>
          <w:szCs w:val="20"/>
        </w:rPr>
        <w:t>H</w:t>
      </w:r>
      <w:r w:rsidR="00AF19F3" w:rsidRPr="004D19FF">
        <w:rPr>
          <w:rFonts w:ascii="Times New Roman" w:hAnsi="Times New Roman"/>
          <w:sz w:val="20"/>
          <w:szCs w:val="20"/>
          <w:vertAlign w:val="subscript"/>
        </w:rPr>
        <w:t>10</w:t>
      </w:r>
      <w:r w:rsidR="00AF19F3" w:rsidRPr="004D19FF">
        <w:rPr>
          <w:rFonts w:ascii="Times New Roman" w:hAnsi="Times New Roman"/>
          <w:sz w:val="20"/>
          <w:szCs w:val="20"/>
        </w:rPr>
        <w:t>O</w:t>
      </w:r>
      <w:r w:rsidR="00AF19F3" w:rsidRPr="004D19FF">
        <w:rPr>
          <w:rFonts w:ascii="Times New Roman" w:hAnsi="Times New Roman"/>
          <w:sz w:val="20"/>
          <w:szCs w:val="20"/>
          <w:vertAlign w:val="subscript"/>
        </w:rPr>
        <w:t>2</w:t>
      </w:r>
      <w:r w:rsidR="00630CC8" w:rsidRPr="004D19FF">
        <w:rPr>
          <w:rFonts w:ascii="Times New Roman" w:hAnsi="Times New Roman"/>
          <w:sz w:val="20"/>
          <w:szCs w:val="20"/>
        </w:rPr>
        <w:t>)</w:t>
      </w:r>
      <w:r w:rsidR="00AF19F3" w:rsidRPr="004D19FF">
        <w:rPr>
          <w:rFonts w:ascii="Times New Roman" w:hAnsi="Times New Roman"/>
          <w:sz w:val="20"/>
          <w:szCs w:val="20"/>
        </w:rPr>
        <w:t xml:space="preserve"> is a bulk commodity chemical. </w:t>
      </w:r>
      <w:r w:rsidR="00C87839" w:rsidRPr="004D19FF">
        <w:rPr>
          <w:rFonts w:ascii="Times New Roman" w:hAnsi="Times New Roman"/>
          <w:sz w:val="20"/>
          <w:szCs w:val="20"/>
        </w:rPr>
        <w:t>I</w:t>
      </w:r>
      <w:r w:rsidR="00EF610B" w:rsidRPr="004D19FF">
        <w:rPr>
          <w:rFonts w:ascii="Times New Roman" w:hAnsi="Times New Roman"/>
          <w:sz w:val="20"/>
          <w:szCs w:val="20"/>
        </w:rPr>
        <w:t>t is seen as a</w:t>
      </w:r>
      <w:r w:rsidR="00AF19F3" w:rsidRPr="004D19FF">
        <w:rPr>
          <w:rFonts w:ascii="Times New Roman" w:hAnsi="Times New Roman"/>
          <w:sz w:val="20"/>
          <w:szCs w:val="20"/>
        </w:rPr>
        <w:t xml:space="preserve"> promising fuel </w:t>
      </w:r>
      <w:r w:rsidR="00EF610B" w:rsidRPr="004D19FF">
        <w:rPr>
          <w:rFonts w:ascii="Times New Roman" w:hAnsi="Times New Roman"/>
          <w:sz w:val="20"/>
          <w:szCs w:val="20"/>
        </w:rPr>
        <w:t xml:space="preserve">additive or gasoline blendstock for enhancing the octane number </w:t>
      </w:r>
      <w:r w:rsidR="00366AFC"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fBhgSjIp","properties":{"formattedCitation":"[173]","plainCitation":"[173]","noteIndex":0},"citationItems":[{"id":"968HXJ10/izR29hV6","uris":["http://www.mendeley.com/documents/?uuid=24e8ffb9-c4d1-4d4f-bcbb-76d00af6a3a0"],"uri":["http://www.mendeley.com/documents/?uuid=24e8ffb9-c4d1-4d4f-bcbb-76d00af6a3a0"],"itemData":{"ISBN":"2009-NZ101\\r2009151342","abstract":"The invention provides methods for producing 2,3-butanediol by anaerobic fermn. According to particular methods of the invention, 2,3-butanediol is produced by anaerobic fermn. of substrates including carbohydrate and carbon monoxide.","author":[{"dropping-particle":"","family":"Simpson","given":"Sean Dennis","non-dropping-particle":"","parse-names":false,"suffix":""},{"dropping-particle":"","family":"Tran","given":"Phuong Loan","non-dropping-particle":"","parse-names":false,"suffix":""},{"dropping-particle":"","family":"Mihalcea","given":"Christophe Daniel","non-dropping-particle":"","parse-names":false,"suffix":""},{"dropping-particle":"","family":"Fung","given":"Jennifer Mon Yee","non-dropping-particle":"","parse-names":false,"suffix":""},{"dropping-particle":"","family":"Liew","given":"Fungmin","non-dropping-particle":"","parse-names":false,"suffix":""}],"id":"ITEM-1","issue":"12","issued":{"date-parts":[["2009"]]},"page":"46pp","title":"Production of butanediol by anaerobic microbial fermentation on carbon monoxide","type":"article-journal","volume":"2"}}],"schema":"https://github.com/citation-style-language/schema/raw/master/csl-citation.json"} </w:instrText>
      </w:r>
      <w:r w:rsidR="00366AFC" w:rsidRPr="004D19FF">
        <w:rPr>
          <w:rFonts w:ascii="Times New Roman" w:hAnsi="Times New Roman"/>
          <w:sz w:val="20"/>
          <w:szCs w:val="20"/>
        </w:rPr>
        <w:fldChar w:fldCharType="separate"/>
      </w:r>
      <w:r w:rsidR="005D3B73" w:rsidRPr="005D3B73">
        <w:rPr>
          <w:rFonts w:ascii="Times New Roman" w:hAnsi="Times New Roman" w:cs="Times New Roman"/>
          <w:sz w:val="20"/>
        </w:rPr>
        <w:t>[173]</w:t>
      </w:r>
      <w:r w:rsidR="00366AFC" w:rsidRPr="004D19FF">
        <w:rPr>
          <w:rFonts w:ascii="Times New Roman" w:hAnsi="Times New Roman"/>
          <w:sz w:val="20"/>
          <w:szCs w:val="20"/>
        </w:rPr>
        <w:fldChar w:fldCharType="end"/>
      </w:r>
      <w:r w:rsidR="00D53DC4" w:rsidRPr="004D19FF">
        <w:rPr>
          <w:rFonts w:ascii="Times New Roman" w:hAnsi="Times New Roman"/>
          <w:sz w:val="20"/>
          <w:szCs w:val="20"/>
        </w:rPr>
        <w:t>.</w:t>
      </w:r>
      <w:r w:rsidR="00450785" w:rsidRPr="004D19FF">
        <w:rPr>
          <w:rFonts w:ascii="Times New Roman" w:hAnsi="Times New Roman"/>
          <w:sz w:val="20"/>
          <w:szCs w:val="20"/>
        </w:rPr>
        <w:t xml:space="preserve"> </w:t>
      </w:r>
      <w:r w:rsidR="00C65CCD" w:rsidRPr="004D19FF">
        <w:rPr>
          <w:rFonts w:ascii="Times New Roman" w:hAnsi="Times New Roman"/>
          <w:sz w:val="20"/>
          <w:szCs w:val="20"/>
        </w:rPr>
        <w:t>2,3-</w:t>
      </w:r>
      <w:r w:rsidR="00AF19F3" w:rsidRPr="004D19FF">
        <w:rPr>
          <w:rFonts w:ascii="Times New Roman" w:hAnsi="Times New Roman"/>
          <w:sz w:val="20"/>
          <w:szCs w:val="20"/>
        </w:rPr>
        <w:t>BD</w:t>
      </w:r>
      <w:r w:rsidR="0008518F" w:rsidRPr="004D19FF">
        <w:rPr>
          <w:rFonts w:ascii="Times New Roman" w:hAnsi="Times New Roman"/>
          <w:sz w:val="20"/>
          <w:szCs w:val="20"/>
        </w:rPr>
        <w:t>O</w:t>
      </w:r>
      <w:r w:rsidR="00AF19F3" w:rsidRPr="004D19FF">
        <w:rPr>
          <w:rFonts w:ascii="Times New Roman" w:hAnsi="Times New Roman"/>
          <w:sz w:val="20"/>
          <w:szCs w:val="20"/>
        </w:rPr>
        <w:t xml:space="preserve"> is readily convertible to butadiene, butane, methyl-ethyl ketone (MEK) which could be used as intermediate</w:t>
      </w:r>
      <w:r w:rsidR="00630CC8" w:rsidRPr="004D19FF">
        <w:rPr>
          <w:rFonts w:ascii="Times New Roman" w:hAnsi="Times New Roman"/>
          <w:sz w:val="20"/>
          <w:szCs w:val="20"/>
        </w:rPr>
        <w:t>s</w:t>
      </w:r>
      <w:r w:rsidR="00AF19F3" w:rsidRPr="004D19FF">
        <w:rPr>
          <w:rFonts w:ascii="Times New Roman" w:hAnsi="Times New Roman"/>
          <w:sz w:val="20"/>
          <w:szCs w:val="20"/>
        </w:rPr>
        <w:t xml:space="preserve"> in </w:t>
      </w:r>
      <w:r w:rsidR="00630CC8" w:rsidRPr="004D19FF">
        <w:rPr>
          <w:rFonts w:ascii="Times New Roman" w:hAnsi="Times New Roman"/>
          <w:sz w:val="20"/>
          <w:szCs w:val="20"/>
        </w:rPr>
        <w:t xml:space="preserve">a </w:t>
      </w:r>
      <w:r w:rsidR="00AF19F3" w:rsidRPr="004D19FF">
        <w:rPr>
          <w:rFonts w:ascii="Times New Roman" w:hAnsi="Times New Roman"/>
          <w:sz w:val="20"/>
          <w:szCs w:val="20"/>
        </w:rPr>
        <w:t>va</w:t>
      </w:r>
      <w:r w:rsidR="00B03BC4" w:rsidRPr="004D19FF">
        <w:rPr>
          <w:rFonts w:ascii="Times New Roman" w:hAnsi="Times New Roman"/>
          <w:sz w:val="20"/>
          <w:szCs w:val="20"/>
        </w:rPr>
        <w:t>riety</w:t>
      </w:r>
      <w:r w:rsidR="00630CC8" w:rsidRPr="004D19FF">
        <w:rPr>
          <w:rFonts w:ascii="Times New Roman" w:hAnsi="Times New Roman"/>
          <w:sz w:val="20"/>
          <w:szCs w:val="20"/>
        </w:rPr>
        <w:t xml:space="preserve"> of product</w:t>
      </w:r>
      <w:r w:rsidR="00B03BC4" w:rsidRPr="004D19FF">
        <w:rPr>
          <w:rFonts w:ascii="Times New Roman" w:hAnsi="Times New Roman"/>
          <w:sz w:val="20"/>
          <w:szCs w:val="20"/>
        </w:rPr>
        <w:t xml:space="preserve"> manufactures</w:t>
      </w:r>
      <w:r w:rsidR="00AF19F3" w:rsidRPr="004D19FF">
        <w:rPr>
          <w:rFonts w:ascii="Times New Roman" w:hAnsi="Times New Roman"/>
          <w:sz w:val="20"/>
          <w:szCs w:val="20"/>
        </w:rPr>
        <w:t xml:space="preserve">. </w:t>
      </w:r>
      <w:r w:rsidR="00630CC8" w:rsidRPr="004D19FF">
        <w:rPr>
          <w:rFonts w:ascii="Times New Roman" w:hAnsi="Times New Roman"/>
          <w:sz w:val="20"/>
          <w:szCs w:val="20"/>
        </w:rPr>
        <w:t xml:space="preserve">In particular, </w:t>
      </w:r>
      <w:r w:rsidR="00AF19F3" w:rsidRPr="004D19FF">
        <w:rPr>
          <w:rFonts w:ascii="Times New Roman" w:hAnsi="Times New Roman"/>
          <w:sz w:val="20"/>
          <w:szCs w:val="20"/>
        </w:rPr>
        <w:t xml:space="preserve">MEK is </w:t>
      </w:r>
      <w:r w:rsidR="00630CC8" w:rsidRPr="004D19FF">
        <w:rPr>
          <w:rFonts w:ascii="Times New Roman" w:hAnsi="Times New Roman"/>
          <w:sz w:val="20"/>
          <w:szCs w:val="20"/>
        </w:rPr>
        <w:t>used</w:t>
      </w:r>
      <w:r w:rsidR="00AF19F3" w:rsidRPr="004D19FF">
        <w:rPr>
          <w:rFonts w:ascii="Times New Roman" w:hAnsi="Times New Roman"/>
          <w:sz w:val="20"/>
          <w:szCs w:val="20"/>
        </w:rPr>
        <w:t xml:space="preserve"> in several applications such as solvents in surface coating, printing inks, dewaxing agent, liquid fuel additive, indirect food additive for adhesives and polymers </w:t>
      </w:r>
      <w:r w:rsidR="00416CC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JQ2JcxS","properties":{"formattedCitation":"[174]","plainCitation":"[174]","noteIndex":0},"citationItems":[{"id":"968HXJ10/3HZUuUcA","uris":["http://www.mendeley.com/documents/?uuid=49d2a38d-5bd4-3d99-8bb6-c53f6e732075"],"uri":["http://www.mendeley.com/documents/?uuid=49d2a38d-5bd4-3d99-8bb6-c53f6e732075"],"itemData":{"URL":"https://www.accessdata.fda.gov/scripts/cdrh/cfdocs/cfcfr/CFRSearch.cfm?fr=173.220","accessed":{"date-parts":[["2020","10","19"]]},"author":[{"dropping-particle":"","family":"U.S. Food and Drug Administration","given":"","non-dropping-particle":"","parse-names":false,"suffix":""}],"id":"ITEM-1","issued":{"date-parts":[["0"]]},"title":"CFR - Code of Federal Regulations Title 21","type":"webpage"}}],"schema":"https://github.com/citation-style-language/schema/raw/master/csl-citation.json"} </w:instrText>
      </w:r>
      <w:r w:rsidR="00416CC5" w:rsidRPr="004D19FF">
        <w:rPr>
          <w:rFonts w:ascii="Times New Roman" w:hAnsi="Times New Roman"/>
          <w:sz w:val="20"/>
          <w:szCs w:val="20"/>
        </w:rPr>
        <w:fldChar w:fldCharType="separate"/>
      </w:r>
      <w:r w:rsidR="005D3B73" w:rsidRPr="005D3B73">
        <w:rPr>
          <w:rFonts w:ascii="Times New Roman" w:hAnsi="Times New Roman" w:cs="Times New Roman"/>
          <w:sz w:val="20"/>
        </w:rPr>
        <w:t>[174]</w:t>
      </w:r>
      <w:r w:rsidR="00416CC5" w:rsidRPr="004D19FF">
        <w:rPr>
          <w:rFonts w:ascii="Times New Roman" w:hAnsi="Times New Roman"/>
          <w:sz w:val="20"/>
          <w:szCs w:val="20"/>
        </w:rPr>
        <w:fldChar w:fldCharType="end"/>
      </w:r>
      <w:r w:rsidR="00D53DC4" w:rsidRPr="004D19FF">
        <w:rPr>
          <w:rFonts w:ascii="Times New Roman" w:hAnsi="Times New Roman"/>
          <w:sz w:val="20"/>
          <w:szCs w:val="20"/>
        </w:rPr>
        <w:t>.</w:t>
      </w:r>
      <w:r w:rsidR="00AF19F3" w:rsidRPr="004D19FF">
        <w:rPr>
          <w:rFonts w:ascii="Times New Roman" w:hAnsi="Times New Roman"/>
          <w:sz w:val="20"/>
          <w:szCs w:val="20"/>
        </w:rPr>
        <w:t xml:space="preserve"> </w:t>
      </w:r>
      <w:r w:rsidR="00E50301" w:rsidRPr="004D19FF">
        <w:rPr>
          <w:rFonts w:ascii="Times New Roman" w:hAnsi="Times New Roman"/>
          <w:sz w:val="20"/>
          <w:szCs w:val="20"/>
        </w:rPr>
        <w:t xml:space="preserve">According to </w:t>
      </w:r>
      <w:r w:rsidR="00E50301"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oFMB90C8","properties":{"formattedCitation":"[173,175,176]","plainCitation":"[173,175,176]","noteIndex":0},"citationItems":[{"id":"968HXJ10/izR29hV6","uris":["http://www.mendeley.com/documents/?uuid=24e8ffb9-c4d1-4d4f-bcbb-76d00af6a3a0"],"uri":["http://www.mendeley.com/documents/?uuid=24e8ffb9-c4d1-4d4f-bcbb-76d00af6a3a0"],"itemData":{"ISBN":"2009-NZ101\\r2009151342","abstract":"The invention provides methods for producing 2,3-butanediol by anaerobic fermn. According to particular methods of the invention, 2,3-butanediol is produced by anaerobic fermn. of substrates including carbohydrate and carbon monoxide.","author":[{"dropping-particle":"","family":"Simpson","given":"Sean Dennis","non-dropping-particle":"","parse-names":false,"suffix":""},{"dropping-particle":"","family":"Tran","given":"Phuong Loan","non-dropping-particle":"","parse-names":false,"suffix":""},{"dropping-particle":"","family":"Mihalcea","given":"Christophe Daniel","non-dropping-particle":"","parse-names":false,"suffix":""},{"dropping-particle":"","family":"Fung","given":"Jennifer Mon Yee","non-dropping-particle":"","parse-names":false,"suffix":""},{"dropping-particle":"","family":"Liew","given":"Fungmin","non-dropping-particle":"","parse-names":false,"suffix":""}],"id":"ITEM-1","issue":"12","issued":{"date-parts":[["2009"]]},"page":"46pp","title":"Production of butanediol by anaerobic microbial fermentation on carbon monoxide","type":"article-journal","volume":"2"}},{"id":"968HXJ10/bwYG9eXQ","uris":["http://www.mendeley.com/documents/?uuid=308ddbcf-3fc1-4876-9767-82468b2d0df4"],"uri":["http://www.mendeley.com/documents/?uuid=308ddbcf-3fc1-4876-9767-82468b2d0df4"],"itemData":{"DOI":"10.1007/s11274-016-2161-x","ISSN":"15730972","abstract":"2,3-Butanediol (2,3-BD) is a promising bulk chemical with a potentially wide range of applications e.g., in the manufacture of printing inks, perfumes, synthetic rubber, fumigants, antifreeze agents, fuel additives, foodstuffs and pharmaceuticals. Its high heating value and ability to increase the octane number of fuels make 2,3-BD a promising drop-in fuel. It can also be converted to methyl-ethyl ketone (MEK), which is considered an effective liquid fuel additive. After combination with MEK and hydrogenation reaction, 2,3-BD can be converted to octane, which is used to produce high-quality aviation fuel. Currently 2,3-BD is mainly produced on an industrial scale by chemical methods. However, microbiological production of 2,3-BD offers a less expensive and more environmentally friendly alternative to traditional synthesis. This alcohol is generated from hexoses and pentoses mainly by bacterial strains of the genera Klebsiella, Bacillus, Serratia, and Enterobacter, which can convert waste products (such as glycerol and agricultural residues) and excess biomass (such as wood hydrolysates) to 2,3-BD. Recently, a significant improvement in microbial production has been achieved by the screening of efficient natural microbial strains, the application of alternative cost-effective substrates, and the genetic improvement of microbial producers. Furthermore, Klebsiella strains, which are regarded the most efficient natural 2,3-BD producers, have been subjected to genetic modifications aiming at the removal of pathogenic factors and the development of avirulent strains that could be used for the safe production of the diol. This review summarizes existing knowledge and experience concerning various strategies for efficient and economical microbial production of 2,3-BD.","author":[{"dropping-particle":"","family":"Białkowska","given":"Aneta M.","non-dropping-particle":"","parse-names":false,"suffix":""}],"container-title":"World Journal of Microbiology and Biotechnology","id":"ITEM-2","issue":"12","issued":{"date-parts":[["2016"]]},"publisher":"Springer Netherlands","title":"Strategies for efficient and economical 2,3-butanediol production: new trends in this field","type":"article-journal","volume":"32"}},{"id":"968HXJ10/KPghAPeZ","uris":["http://www.mendeley.com/documents/?uuid=c4d56cf7-92c0-3283-ba8a-42b6dde38d93"],"uri":["http://www.mendeley.com/documents/?uuid=c4d56cf7-92c0-3283-ba8a-42b6dde38d93"],"itemData":{"author":[{"dropping-particle":"","family":"TransparencyMarketResearch","given":"","non-dropping-particle":"","parse-names":false,"suffix":""}],"id":"ITEM-3","issued":{"date-parts":[["2019"]]},"number-of-pages":"109","publisher-place":"Albany, New York, USA","title":"Market Research Report","type":"report"}}],"schema":"https://github.com/citation-style-language/schema/raw/master/csl-citation.json"} </w:instrText>
      </w:r>
      <w:r w:rsidR="00E50301" w:rsidRPr="004D19FF">
        <w:rPr>
          <w:rFonts w:ascii="Times New Roman" w:hAnsi="Times New Roman"/>
          <w:sz w:val="20"/>
          <w:szCs w:val="20"/>
        </w:rPr>
        <w:fldChar w:fldCharType="separate"/>
      </w:r>
      <w:r w:rsidR="005D3B73" w:rsidRPr="005D3B73">
        <w:rPr>
          <w:rFonts w:ascii="Times New Roman" w:hAnsi="Times New Roman" w:cs="Times New Roman"/>
          <w:sz w:val="20"/>
        </w:rPr>
        <w:t>[173,175,176]</w:t>
      </w:r>
      <w:r w:rsidR="00E50301" w:rsidRPr="004D19FF">
        <w:rPr>
          <w:rFonts w:ascii="Times New Roman" w:hAnsi="Times New Roman"/>
          <w:sz w:val="20"/>
          <w:szCs w:val="20"/>
        </w:rPr>
        <w:fldChar w:fldCharType="end"/>
      </w:r>
      <w:r w:rsidR="000C1786" w:rsidRPr="004D19FF">
        <w:rPr>
          <w:rFonts w:ascii="Times New Roman" w:hAnsi="Times New Roman"/>
          <w:sz w:val="20"/>
          <w:szCs w:val="20"/>
        </w:rPr>
        <w:t>,</w:t>
      </w:r>
      <w:r w:rsidR="00E21F75" w:rsidRPr="004D19FF">
        <w:rPr>
          <w:rFonts w:ascii="Times New Roman" w:hAnsi="Times New Roman"/>
          <w:sz w:val="20"/>
          <w:szCs w:val="20"/>
        </w:rPr>
        <w:t xml:space="preserve"> </w:t>
      </w:r>
      <w:r w:rsidR="00C65CCD" w:rsidRPr="004D19FF">
        <w:rPr>
          <w:rFonts w:ascii="Times New Roman" w:hAnsi="Times New Roman"/>
          <w:sz w:val="20"/>
          <w:szCs w:val="20"/>
        </w:rPr>
        <w:t>2,3-</w:t>
      </w:r>
      <w:r w:rsidR="000C1786" w:rsidRPr="004D19FF">
        <w:rPr>
          <w:rFonts w:ascii="Times New Roman" w:hAnsi="Times New Roman"/>
          <w:sz w:val="20"/>
          <w:szCs w:val="20"/>
        </w:rPr>
        <w:t>BD</w:t>
      </w:r>
      <w:r w:rsidR="0008518F" w:rsidRPr="004D19FF">
        <w:rPr>
          <w:rFonts w:ascii="Times New Roman" w:hAnsi="Times New Roman"/>
          <w:sz w:val="20"/>
          <w:szCs w:val="20"/>
        </w:rPr>
        <w:t>O</w:t>
      </w:r>
      <w:r w:rsidR="000C1786" w:rsidRPr="004D19FF">
        <w:rPr>
          <w:rFonts w:ascii="Times New Roman" w:hAnsi="Times New Roman"/>
          <w:sz w:val="20"/>
          <w:szCs w:val="20"/>
        </w:rPr>
        <w:t xml:space="preserve"> will reach a global market arou</w:t>
      </w:r>
      <w:r w:rsidR="00E50301" w:rsidRPr="004D19FF">
        <w:rPr>
          <w:rFonts w:ascii="Times New Roman" w:hAnsi="Times New Roman"/>
          <w:sz w:val="20"/>
          <w:szCs w:val="20"/>
        </w:rPr>
        <w:t>nd $220 million by the year 2027.</w:t>
      </w:r>
      <w:r w:rsidR="00AF19F3" w:rsidRPr="004D19FF">
        <w:rPr>
          <w:rFonts w:ascii="Times New Roman" w:hAnsi="Times New Roman"/>
          <w:sz w:val="20"/>
          <w:szCs w:val="20"/>
        </w:rPr>
        <w:t xml:space="preserve"> </w:t>
      </w:r>
    </w:p>
    <w:p w14:paraId="7E43DBA1" w14:textId="0AD3F73D" w:rsidR="00C275DD" w:rsidRPr="004D19FF" w:rsidRDefault="00C65CCD" w:rsidP="00AF19F3">
      <w:pPr>
        <w:spacing w:line="276" w:lineRule="auto"/>
        <w:jc w:val="thaiDistribute"/>
        <w:rPr>
          <w:rFonts w:ascii="Times New Roman" w:hAnsi="Times New Roman"/>
          <w:sz w:val="20"/>
          <w:szCs w:val="20"/>
        </w:rPr>
      </w:pPr>
      <w:r w:rsidRPr="004D19FF">
        <w:rPr>
          <w:rFonts w:ascii="Times New Roman" w:hAnsi="Times New Roman"/>
          <w:sz w:val="20"/>
          <w:szCs w:val="20"/>
        </w:rPr>
        <w:t>2,3-</w:t>
      </w:r>
      <w:r w:rsidR="00AF19F3" w:rsidRPr="004D19FF">
        <w:rPr>
          <w:rFonts w:ascii="Times New Roman" w:hAnsi="Times New Roman"/>
          <w:sz w:val="20"/>
          <w:szCs w:val="20"/>
        </w:rPr>
        <w:t>BD</w:t>
      </w:r>
      <w:r w:rsidR="0008518F" w:rsidRPr="004D19FF">
        <w:rPr>
          <w:rFonts w:ascii="Times New Roman" w:hAnsi="Times New Roman"/>
          <w:sz w:val="20"/>
          <w:szCs w:val="20"/>
        </w:rPr>
        <w:t>O</w:t>
      </w:r>
      <w:r w:rsidR="00AF19F3" w:rsidRPr="004D19FF">
        <w:rPr>
          <w:rFonts w:ascii="Times New Roman" w:hAnsi="Times New Roman"/>
          <w:sz w:val="20"/>
          <w:szCs w:val="20"/>
        </w:rPr>
        <w:t xml:space="preserve"> is usually produced on the industrial scale by </w:t>
      </w:r>
      <w:r w:rsidR="000C1786" w:rsidRPr="004D19FF">
        <w:rPr>
          <w:rFonts w:ascii="Times New Roman" w:hAnsi="Times New Roman"/>
          <w:sz w:val="20"/>
          <w:szCs w:val="20"/>
        </w:rPr>
        <w:t xml:space="preserve">conventional chemical </w:t>
      </w:r>
      <w:r w:rsidR="0024513F" w:rsidRPr="004D19FF">
        <w:rPr>
          <w:rFonts w:ascii="Times New Roman" w:hAnsi="Times New Roman"/>
          <w:sz w:val="20"/>
          <w:szCs w:val="20"/>
        </w:rPr>
        <w:t xml:space="preserve">(or synthetic) </w:t>
      </w:r>
      <w:r w:rsidR="00AF19F3" w:rsidRPr="004D19FF">
        <w:rPr>
          <w:rFonts w:ascii="Times New Roman" w:hAnsi="Times New Roman"/>
          <w:sz w:val="20"/>
          <w:szCs w:val="20"/>
        </w:rPr>
        <w:t>methods</w:t>
      </w:r>
      <w:r w:rsidR="00D2126B" w:rsidRPr="004D19FF">
        <w:rPr>
          <w:rFonts w:ascii="Times New Roman" w:hAnsi="Times New Roman"/>
          <w:sz w:val="20"/>
          <w:szCs w:val="20"/>
        </w:rPr>
        <w:t xml:space="preserve"> </w:t>
      </w:r>
      <w:r w:rsidR="004628E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yGji49Sd","properties":{"formattedCitation":"[177,178]","plainCitation":"[177,178]","noteIndex":0},"citationItems":[{"id":"968HXJ10/dYA2E2Xf","uris":["http://www.mendeley.com/documents/?uuid=94f637a2-513d-44f7-a4db-137d9cc86eaf"],"uri":["http://www.mendeley.com/documents/?uuid=94f637a2-513d-44f7-a4db-137d9cc86eaf"],"itemData":{"author":[{"dropping-particle":"","family":"Chen, S.C., Chu, C. C., Lin, F.S., Chou","given":"J.Y.","non-dropping-particle":"","parse-names":false,"suffix":""}],"id":"ITEM-1","issued":{"date-parts":[["1995"]]},"number":"5426250","publisher-place":"Taipei, Taiwan, Prov. of China","title":"Process for preparing 1,4-butanediol","type":"patent"}},{"id":"968HXJ10/YMrDI1Fp","uris":["http://www.mendeley.com/documents/?uuid=58375991-e00a-4416-9b32-c39b01827da6"],"uri":["http://www.mendeley.com/documents/?uuid=58375991-e00a-4416-9b32-c39b01827da6"],"itemData":{"author":[{"dropping-particle":"","family":"Inc.","given":"Nexant","non-dropping-particle":"","parse-names":false,"suffix":""}],"id":"ITEM-2","issue":"March","issued":{"date-parts":[["2009"]]},"title":"Butanediol THF - Report abstract","type":"article-journal"}}],"schema":"https://github.com/citation-style-language/schema/raw/master/csl-citation.json"} </w:instrText>
      </w:r>
      <w:r w:rsidR="004628EF" w:rsidRPr="004D19FF">
        <w:rPr>
          <w:rFonts w:ascii="Times New Roman" w:hAnsi="Times New Roman"/>
          <w:sz w:val="20"/>
          <w:szCs w:val="20"/>
        </w:rPr>
        <w:fldChar w:fldCharType="separate"/>
      </w:r>
      <w:r w:rsidR="005D3B73" w:rsidRPr="005D3B73">
        <w:rPr>
          <w:rFonts w:ascii="Times New Roman" w:hAnsi="Times New Roman" w:cs="Times New Roman"/>
          <w:sz w:val="20"/>
        </w:rPr>
        <w:t>[177,178]</w:t>
      </w:r>
      <w:r w:rsidR="004628EF" w:rsidRPr="004D19FF">
        <w:rPr>
          <w:rFonts w:ascii="Times New Roman" w:hAnsi="Times New Roman"/>
          <w:sz w:val="20"/>
          <w:szCs w:val="20"/>
        </w:rPr>
        <w:fldChar w:fldCharType="end"/>
      </w:r>
      <w:r w:rsidR="0024513F" w:rsidRPr="004D19FF">
        <w:rPr>
          <w:rFonts w:ascii="Times New Roman" w:hAnsi="Times New Roman"/>
          <w:sz w:val="20"/>
          <w:szCs w:val="20"/>
        </w:rPr>
        <w:t>.</w:t>
      </w:r>
      <w:r w:rsidR="00AF19F3" w:rsidRPr="004D19FF">
        <w:rPr>
          <w:rFonts w:ascii="Times New Roman" w:hAnsi="Times New Roman"/>
          <w:sz w:val="20"/>
          <w:szCs w:val="20"/>
        </w:rPr>
        <w:t xml:space="preserve"> </w:t>
      </w:r>
      <w:r w:rsidR="005445D3" w:rsidRPr="004D19FF">
        <w:rPr>
          <w:rFonts w:ascii="Times New Roman" w:hAnsi="Times New Roman"/>
          <w:sz w:val="20"/>
          <w:szCs w:val="20"/>
        </w:rPr>
        <w:t xml:space="preserve">In the production of </w:t>
      </w:r>
      <w:r w:rsidR="001D3C02">
        <w:rPr>
          <w:rFonts w:ascii="Times New Roman" w:hAnsi="Times New Roman"/>
          <w:sz w:val="20"/>
          <w:szCs w:val="20"/>
        </w:rPr>
        <w:t>aviation biofuel</w:t>
      </w:r>
      <w:r w:rsidR="00E21F75" w:rsidRPr="004D19FF">
        <w:rPr>
          <w:rFonts w:ascii="Times New Roman" w:hAnsi="Times New Roman"/>
          <w:sz w:val="20"/>
          <w:szCs w:val="20"/>
        </w:rPr>
        <w:t xml:space="preserve">, </w:t>
      </w:r>
      <w:r w:rsidRPr="004D19FF">
        <w:rPr>
          <w:rFonts w:ascii="Times New Roman" w:hAnsi="Times New Roman"/>
          <w:sz w:val="20"/>
          <w:szCs w:val="20"/>
        </w:rPr>
        <w:t>2,3-</w:t>
      </w:r>
      <w:r w:rsidR="0024513F" w:rsidRPr="004D19FF">
        <w:rPr>
          <w:rFonts w:ascii="Times New Roman" w:hAnsi="Times New Roman"/>
          <w:sz w:val="20"/>
          <w:szCs w:val="20"/>
        </w:rPr>
        <w:t>BD</w:t>
      </w:r>
      <w:r w:rsidR="0008518F" w:rsidRPr="004D19FF">
        <w:rPr>
          <w:rFonts w:ascii="Times New Roman" w:hAnsi="Times New Roman"/>
          <w:sz w:val="20"/>
          <w:szCs w:val="20"/>
        </w:rPr>
        <w:t>O</w:t>
      </w:r>
      <w:r w:rsidR="0024513F" w:rsidRPr="004D19FF">
        <w:rPr>
          <w:rFonts w:ascii="Times New Roman" w:hAnsi="Times New Roman"/>
          <w:sz w:val="20"/>
          <w:szCs w:val="20"/>
        </w:rPr>
        <w:t xml:space="preserve"> </w:t>
      </w:r>
      <w:r w:rsidR="00B74AA0" w:rsidRPr="004D19FF">
        <w:rPr>
          <w:rFonts w:ascii="Times New Roman" w:hAnsi="Times New Roman"/>
          <w:sz w:val="20"/>
          <w:szCs w:val="20"/>
        </w:rPr>
        <w:t>is involved</w:t>
      </w:r>
      <w:r w:rsidR="00FB6117">
        <w:rPr>
          <w:rFonts w:ascii="Times New Roman" w:hAnsi="Times New Roman"/>
          <w:sz w:val="20"/>
          <w:szCs w:val="20"/>
        </w:rPr>
        <w:t xml:space="preserve"> in the SF pathway (Fig. 5)</w:t>
      </w:r>
      <w:r w:rsidR="0024513F" w:rsidRPr="004D19FF">
        <w:rPr>
          <w:rFonts w:ascii="Times New Roman" w:hAnsi="Times New Roman"/>
          <w:sz w:val="20"/>
          <w:szCs w:val="20"/>
        </w:rPr>
        <w:t xml:space="preserve">. </w:t>
      </w:r>
      <w:r w:rsidR="00B74AA0" w:rsidRPr="004D19FF">
        <w:rPr>
          <w:rFonts w:ascii="Times New Roman" w:hAnsi="Times New Roman"/>
          <w:sz w:val="20"/>
          <w:szCs w:val="20"/>
        </w:rPr>
        <w:t xml:space="preserve">It is not directly generated (hence the optional label above), but can be recovered providing adjustments to the product separation step prior to ethanol production, if favorable market conditions makes it desirable </w:t>
      </w:r>
      <w:r w:rsidR="007C36CD"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BMdCpon8","properties":{"formattedCitation":"[173]","plainCitation":"[173]","noteIndex":0},"citationItems":[{"id":"968HXJ10/izR29hV6","uris":["http://www.mendeley.com/documents/?uuid=24e8ffb9-c4d1-4d4f-bcbb-76d00af6a3a0"],"uri":["http://www.mendeley.com/documents/?uuid=24e8ffb9-c4d1-4d4f-bcbb-76d00af6a3a0"],"itemData":{"ISBN":"2009-NZ101\\r2009151342","abstract":"The invention provides methods for producing 2,3-butanediol by anaerobic fermn. According to particular methods of the invention, 2,3-butanediol is produced by anaerobic fermn. of substrates including carbohydrate and carbon monoxide.","author":[{"dropping-particle":"","family":"Simpson","given":"Sean Dennis","non-dropping-particle":"","parse-names":false,"suffix":""},{"dropping-particle":"","family":"Tran","given":"Phuong Loan","non-dropping-particle":"","parse-names":false,"suffix":""},{"dropping-particle":"","family":"Mihalcea","given":"Christophe Daniel","non-dropping-particle":"","parse-names":false,"suffix":""},{"dropping-particle":"","family":"Fung","given":"Jennifer Mon Yee","non-dropping-particle":"","parse-names":false,"suffix":""},{"dropping-particle":"","family":"Liew","given":"Fungmin","non-dropping-particle":"","parse-names":false,"suffix":""}],"id":"ITEM-1","issue":"12","issued":{"date-parts":[["2009"]]},"page":"46pp","title":"Production of butanediol by anaerobic microbial fermentation on carbon monoxide","type":"article-journal","volume":"2"}}],"schema":"https://github.com/citation-style-language/schema/raw/master/csl-citation.json"} </w:instrText>
      </w:r>
      <w:r w:rsidR="007C36CD" w:rsidRPr="004D19FF">
        <w:rPr>
          <w:rFonts w:ascii="Times New Roman" w:hAnsi="Times New Roman"/>
          <w:sz w:val="20"/>
          <w:szCs w:val="20"/>
        </w:rPr>
        <w:fldChar w:fldCharType="separate"/>
      </w:r>
      <w:r w:rsidR="005D3B73" w:rsidRPr="005D3B73">
        <w:rPr>
          <w:rFonts w:ascii="Times New Roman" w:hAnsi="Times New Roman" w:cs="Times New Roman"/>
          <w:sz w:val="20"/>
        </w:rPr>
        <w:t>[173]</w:t>
      </w:r>
      <w:r w:rsidR="007C36CD" w:rsidRPr="004D19FF">
        <w:rPr>
          <w:rFonts w:ascii="Times New Roman" w:hAnsi="Times New Roman"/>
          <w:sz w:val="20"/>
          <w:szCs w:val="20"/>
        </w:rPr>
        <w:fldChar w:fldCharType="end"/>
      </w:r>
      <w:r w:rsidR="00B74AA0" w:rsidRPr="004D19FF">
        <w:rPr>
          <w:rFonts w:ascii="Times New Roman" w:hAnsi="Times New Roman"/>
          <w:sz w:val="20"/>
          <w:szCs w:val="20"/>
        </w:rPr>
        <w:t xml:space="preserve">. </w:t>
      </w:r>
      <w:r w:rsidR="0024513F" w:rsidRPr="004D19FF">
        <w:rPr>
          <w:rFonts w:ascii="Times New Roman" w:hAnsi="Times New Roman"/>
          <w:sz w:val="20"/>
          <w:szCs w:val="20"/>
        </w:rPr>
        <w:t>For recovery, the fermentation broth</w:t>
      </w:r>
      <w:r w:rsidR="007B39C0" w:rsidRPr="004D19FF">
        <w:rPr>
          <w:rFonts w:ascii="Times New Roman" w:hAnsi="Times New Roman"/>
          <w:sz w:val="20"/>
          <w:szCs w:val="20"/>
        </w:rPr>
        <w:t xml:space="preserve"> including liquid mixture or a mixed alcohol stream containing 2,3-BD</w:t>
      </w:r>
      <w:r w:rsidR="00423CFC" w:rsidRPr="004D19FF">
        <w:rPr>
          <w:rFonts w:ascii="Times New Roman" w:hAnsi="Times New Roman"/>
          <w:sz w:val="20"/>
          <w:szCs w:val="20"/>
        </w:rPr>
        <w:t>O</w:t>
      </w:r>
      <w:r w:rsidR="007B39C0" w:rsidRPr="004D19FF">
        <w:rPr>
          <w:rFonts w:ascii="Times New Roman" w:hAnsi="Times New Roman"/>
          <w:sz w:val="20"/>
          <w:szCs w:val="20"/>
        </w:rPr>
        <w:t xml:space="preserve"> </w:t>
      </w:r>
      <w:r w:rsidR="0024513F" w:rsidRPr="004D19FF">
        <w:rPr>
          <w:rFonts w:ascii="Times New Roman" w:hAnsi="Times New Roman"/>
          <w:sz w:val="20"/>
          <w:szCs w:val="20"/>
        </w:rPr>
        <w:t xml:space="preserve">would be </w:t>
      </w:r>
      <w:r w:rsidR="0052432D" w:rsidRPr="004D19FF">
        <w:rPr>
          <w:rFonts w:ascii="Times New Roman" w:hAnsi="Times New Roman"/>
          <w:sz w:val="20"/>
          <w:szCs w:val="20"/>
        </w:rPr>
        <w:t xml:space="preserve">processed </w:t>
      </w:r>
      <w:r w:rsidR="00577180" w:rsidRPr="004D19FF">
        <w:rPr>
          <w:rFonts w:ascii="Times New Roman" w:hAnsi="Times New Roman"/>
          <w:sz w:val="20"/>
          <w:szCs w:val="20"/>
        </w:rPr>
        <w:t xml:space="preserve">with separation techniques such as fractional distillation, </w:t>
      </w:r>
      <w:r w:rsidR="006D6A3E" w:rsidRPr="004D19FF">
        <w:rPr>
          <w:rFonts w:ascii="Times New Roman" w:hAnsi="Times New Roman"/>
          <w:sz w:val="20"/>
          <w:szCs w:val="20"/>
        </w:rPr>
        <w:t xml:space="preserve">evaporation, </w:t>
      </w:r>
      <w:r w:rsidR="00275DFC" w:rsidRPr="004D19FF">
        <w:rPr>
          <w:rFonts w:ascii="Times New Roman" w:hAnsi="Times New Roman"/>
          <w:sz w:val="20"/>
          <w:szCs w:val="20"/>
        </w:rPr>
        <w:t>pervaporation</w:t>
      </w:r>
      <w:r w:rsidR="002F6E4A" w:rsidRPr="004D19FF">
        <w:rPr>
          <w:rFonts w:ascii="Times New Roman" w:hAnsi="Times New Roman"/>
          <w:sz w:val="20"/>
          <w:szCs w:val="20"/>
        </w:rPr>
        <w:t>, adsorption</w:t>
      </w:r>
      <w:r w:rsidR="0052432D" w:rsidRPr="004D19FF">
        <w:rPr>
          <w:rFonts w:ascii="Times New Roman" w:hAnsi="Times New Roman"/>
          <w:sz w:val="20"/>
          <w:szCs w:val="20"/>
        </w:rPr>
        <w:t xml:space="preserve"> </w:t>
      </w:r>
      <w:r w:rsidR="007A2D8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e9Udm1v7","properties":{"formattedCitation":"[173,179]","plainCitation":"[173,179]","noteIndex":0},"citationItems":[{"id":"968HXJ10/izR29hV6","uris":["http://www.mendeley.com/documents/?uuid=24e8ffb9-c4d1-4d4f-bcbb-76d00af6a3a0"],"uri":["http://www.mendeley.com/documents/?uuid=24e8ffb9-c4d1-4d4f-bcbb-76d00af6a3a0"],"itemData":{"ISBN":"2009-NZ101\\r2009151342","abstract":"The invention provides methods for producing 2,3-butanediol by anaerobic fermn. According to particular methods of the invention, 2,3-butanediol is produced by anaerobic fermn. of substrates including carbohydrate and carbon monoxide.","author":[{"dropping-particle":"","family":"Simpson","given":"Sean Dennis","non-dropping-particle":"","parse-names":false,"suffix":""},{"dropping-particle":"","family":"Tran","given":"Phuong Loan","non-dropping-particle":"","parse-names":false,"suffix":""},{"dropping-particle":"","family":"Mihalcea","given":"Christophe Daniel","non-dropping-particle":"","parse-names":false,"suffix":""},{"dropping-particle":"","family":"Fung","given":"Jennifer Mon Yee","non-dropping-particle":"","parse-names":false,"suffix":""},{"dropping-particle":"","family":"Liew","given":"Fungmin","non-dropping-particle":"","parse-names":false,"suffix":""}],"id":"ITEM-1","issue":"12","issued":{"date-parts":[["2009"]]},"page":"46pp","title":"Production of butanediol by anaerobic microbial fermentation on carbon monoxide","type":"article-journal","volume":"2"}},{"id":"968HXJ10/CzsyHc6l","uris":["http://www.mendeley.com/documents/?uuid=3e319e84-f6ce-46b1-ab49-3bb547479a16"],"uri":["http://www.mendeley.com/documents/?uuid=3e319e84-f6ce-46b1-ab49-3bb547479a16"],"itemData":{"DOI":"10.1016/j.biotechadv.2011.01.007","ISSN":"07349750","abstract":"2,3-Butanediol is a promising bulk chemical due to its extensive industry applications. The state-of-the-art nature of microbial 2,3-butanediol production is reviewed in this paper. Various strategies for efficient and economical microbial 2,3-butanediol production, including strain improvement, substrate alternation, and process development, are reviewed and compared with regard to their pros and cons. This review also summarizes value added derivatives of biologically produced 2,3-butanediol and different strategies for downstream processing. The future prospects of microbial 2,3-butanediol production are discussed in light of the current progress, challenges, and trends in this field. Guidelines for future studies are also proposed. © 2011.","author":[{"dropping-particle":"","family":"Ji","given":"Xiao Jun","non-dropping-particle":"","parse-names":false,"suffix":""},{"dropping-particle":"","family":"Huang","given":"He","non-dropping-particle":"","parse-names":false,"suffix":""},{"dropping-particle":"","family":"Ouyang","given":"Ping Kai","non-dropping-particle":"","parse-names":false,"suffix":""}],"container-title":"Biotechnology Advances","id":"ITEM-2","issue":"3","issued":{"date-parts":[["2011"]]},"page":"351-364","publisher":"Elsevier B.V.","title":"Microbial 2,3-butanediol production: A state-of-the-art review","type":"article-journal","volume":"29"}}],"schema":"https://github.com/citation-style-language/schema/raw/master/csl-citation.json"} </w:instrText>
      </w:r>
      <w:r w:rsidR="007A2D8A" w:rsidRPr="004D19FF">
        <w:rPr>
          <w:rFonts w:ascii="Times New Roman" w:hAnsi="Times New Roman"/>
          <w:sz w:val="20"/>
          <w:szCs w:val="20"/>
        </w:rPr>
        <w:fldChar w:fldCharType="separate"/>
      </w:r>
      <w:r w:rsidR="005D3B73" w:rsidRPr="005D3B73">
        <w:rPr>
          <w:rFonts w:ascii="Times New Roman" w:hAnsi="Times New Roman" w:cs="Times New Roman"/>
          <w:sz w:val="20"/>
        </w:rPr>
        <w:t>[173,179]</w:t>
      </w:r>
      <w:r w:rsidR="007A2D8A" w:rsidRPr="004D19FF">
        <w:rPr>
          <w:rFonts w:ascii="Times New Roman" w:hAnsi="Times New Roman"/>
          <w:sz w:val="20"/>
          <w:szCs w:val="20"/>
        </w:rPr>
        <w:fldChar w:fldCharType="end"/>
      </w:r>
      <w:r w:rsidR="00D53DC4" w:rsidRPr="004D19FF">
        <w:rPr>
          <w:rFonts w:ascii="Times New Roman" w:hAnsi="Times New Roman"/>
          <w:sz w:val="20"/>
          <w:szCs w:val="20"/>
        </w:rPr>
        <w:t>.</w:t>
      </w:r>
      <w:r w:rsidR="00AF19F3" w:rsidRPr="004D19FF">
        <w:rPr>
          <w:rFonts w:ascii="Times New Roman" w:hAnsi="Times New Roman"/>
          <w:sz w:val="20"/>
          <w:szCs w:val="20"/>
        </w:rPr>
        <w:t xml:space="preserve"> </w:t>
      </w:r>
      <w:r w:rsidR="00C275DD" w:rsidRPr="004D19FF">
        <w:rPr>
          <w:rFonts w:ascii="Times New Roman" w:hAnsi="Times New Roman"/>
          <w:sz w:val="20"/>
          <w:szCs w:val="20"/>
        </w:rPr>
        <w:t xml:space="preserve">For instance, </w:t>
      </w:r>
      <w:r w:rsidR="00AF19F3" w:rsidRPr="004D19FF">
        <w:rPr>
          <w:rFonts w:ascii="Times New Roman" w:hAnsi="Times New Roman"/>
          <w:sz w:val="20"/>
          <w:szCs w:val="20"/>
        </w:rPr>
        <w:t>LanzaTech has</w:t>
      </w:r>
      <w:r w:rsidR="00E21F75" w:rsidRPr="004D19FF">
        <w:rPr>
          <w:rFonts w:ascii="Times New Roman" w:hAnsi="Times New Roman"/>
          <w:sz w:val="20"/>
          <w:szCs w:val="20"/>
        </w:rPr>
        <w:t xml:space="preserve"> patented the production of </w:t>
      </w:r>
      <w:r w:rsidRPr="004D19FF">
        <w:rPr>
          <w:rFonts w:ascii="Times New Roman" w:hAnsi="Times New Roman"/>
          <w:sz w:val="20"/>
          <w:szCs w:val="20"/>
        </w:rPr>
        <w:t>2,3-</w:t>
      </w:r>
      <w:r w:rsidR="00AF19F3" w:rsidRPr="004D19FF">
        <w:rPr>
          <w:rFonts w:ascii="Times New Roman" w:hAnsi="Times New Roman"/>
          <w:sz w:val="20"/>
          <w:szCs w:val="20"/>
        </w:rPr>
        <w:t>BD</w:t>
      </w:r>
      <w:r w:rsidR="0008518F" w:rsidRPr="004D19FF">
        <w:rPr>
          <w:rFonts w:ascii="Times New Roman" w:hAnsi="Times New Roman"/>
          <w:sz w:val="20"/>
          <w:szCs w:val="20"/>
        </w:rPr>
        <w:t>O</w:t>
      </w:r>
      <w:r w:rsidR="00AF19F3" w:rsidRPr="004D19FF">
        <w:rPr>
          <w:rFonts w:ascii="Times New Roman" w:hAnsi="Times New Roman"/>
          <w:sz w:val="20"/>
          <w:szCs w:val="20"/>
        </w:rPr>
        <w:t xml:space="preserve"> from CO-rich industrial waste gases </w:t>
      </w:r>
      <w:r w:rsidR="00C275DD" w:rsidRPr="004D19FF">
        <w:rPr>
          <w:rFonts w:ascii="Times New Roman" w:hAnsi="Times New Roman"/>
          <w:sz w:val="20"/>
          <w:szCs w:val="20"/>
        </w:rPr>
        <w:t xml:space="preserve">(from the steel industry) </w:t>
      </w:r>
      <w:r w:rsidR="00AF19F3" w:rsidRPr="004D19FF">
        <w:rPr>
          <w:rFonts w:ascii="Times New Roman" w:hAnsi="Times New Roman"/>
          <w:sz w:val="20"/>
          <w:szCs w:val="20"/>
        </w:rPr>
        <w:t>by fermentation</w:t>
      </w:r>
      <w:r w:rsidR="00371BD0" w:rsidRPr="004D19FF">
        <w:rPr>
          <w:rFonts w:ascii="Times New Roman" w:hAnsi="Times New Roman"/>
          <w:sz w:val="20"/>
          <w:szCs w:val="20"/>
        </w:rPr>
        <w:t xml:space="preserve"> </w:t>
      </w:r>
      <w:r w:rsidR="0052432D" w:rsidRPr="004D19FF">
        <w:rPr>
          <w:rFonts w:ascii="Times New Roman" w:hAnsi="Times New Roman"/>
          <w:sz w:val="20"/>
          <w:szCs w:val="20"/>
        </w:rPr>
        <w:t>(Table S2)</w:t>
      </w:r>
      <w:r w:rsidR="00AF19F3" w:rsidRPr="004D19FF">
        <w:rPr>
          <w:rFonts w:ascii="Times New Roman" w:hAnsi="Times New Roman"/>
          <w:sz w:val="20"/>
          <w:szCs w:val="20"/>
        </w:rPr>
        <w:t xml:space="preserve">. </w:t>
      </w:r>
      <w:r w:rsidR="00E21F75" w:rsidRPr="004D19FF">
        <w:rPr>
          <w:rFonts w:ascii="Times New Roman" w:hAnsi="Times New Roman"/>
          <w:sz w:val="20"/>
          <w:szCs w:val="20"/>
        </w:rPr>
        <w:t>Their commercial ethanol/</w:t>
      </w:r>
      <w:r w:rsidRPr="004D19FF">
        <w:rPr>
          <w:rFonts w:ascii="Times New Roman" w:hAnsi="Times New Roman"/>
          <w:sz w:val="20"/>
          <w:szCs w:val="20"/>
        </w:rPr>
        <w:t>2,3-</w:t>
      </w:r>
      <w:r w:rsidR="00C275DD" w:rsidRPr="004D19FF">
        <w:rPr>
          <w:rFonts w:ascii="Times New Roman" w:hAnsi="Times New Roman"/>
          <w:sz w:val="20"/>
          <w:szCs w:val="20"/>
        </w:rPr>
        <w:t>BD</w:t>
      </w:r>
      <w:r w:rsidR="0008518F" w:rsidRPr="004D19FF">
        <w:rPr>
          <w:rFonts w:ascii="Times New Roman" w:hAnsi="Times New Roman"/>
          <w:sz w:val="20"/>
          <w:szCs w:val="20"/>
        </w:rPr>
        <w:t>O</w:t>
      </w:r>
      <w:r w:rsidR="00C275DD" w:rsidRPr="004D19FF">
        <w:rPr>
          <w:rFonts w:ascii="Times New Roman" w:hAnsi="Times New Roman"/>
          <w:sz w:val="20"/>
          <w:szCs w:val="20"/>
        </w:rPr>
        <w:t xml:space="preserve"> production plant has a production capaci</w:t>
      </w:r>
      <w:r w:rsidR="00E21F75" w:rsidRPr="004D19FF">
        <w:rPr>
          <w:rFonts w:ascii="Times New Roman" w:hAnsi="Times New Roman"/>
          <w:sz w:val="20"/>
          <w:szCs w:val="20"/>
        </w:rPr>
        <w:t xml:space="preserve">ty of 30-50 million gallons </w:t>
      </w:r>
      <w:r w:rsidR="0052432D" w:rsidRPr="004D19FF">
        <w:rPr>
          <w:rFonts w:ascii="Times New Roman" w:hAnsi="Times New Roman"/>
          <w:sz w:val="20"/>
          <w:szCs w:val="20"/>
        </w:rPr>
        <w:t>and costed</w:t>
      </w:r>
      <w:r w:rsidR="00C275DD" w:rsidRPr="004D19FF">
        <w:rPr>
          <w:rFonts w:ascii="Times New Roman" w:hAnsi="Times New Roman"/>
          <w:sz w:val="20"/>
          <w:szCs w:val="20"/>
        </w:rPr>
        <w:t xml:space="preserve"> $75-125 million. In partnership with Orochem Technologies (USA), LanzaTech seeks </w:t>
      </w:r>
      <w:r w:rsidR="00E21F75" w:rsidRPr="004D19FF">
        <w:rPr>
          <w:rFonts w:ascii="Times New Roman" w:hAnsi="Times New Roman"/>
          <w:sz w:val="20"/>
          <w:szCs w:val="20"/>
        </w:rPr>
        <w:t xml:space="preserve">to economically convert its </w:t>
      </w:r>
      <w:r w:rsidRPr="004D19FF">
        <w:rPr>
          <w:rFonts w:ascii="Times New Roman" w:hAnsi="Times New Roman"/>
          <w:sz w:val="20"/>
          <w:szCs w:val="20"/>
        </w:rPr>
        <w:t>2,3-</w:t>
      </w:r>
      <w:r w:rsidR="00C275DD" w:rsidRPr="004D19FF">
        <w:rPr>
          <w:rFonts w:ascii="Times New Roman" w:hAnsi="Times New Roman"/>
          <w:sz w:val="20"/>
          <w:szCs w:val="20"/>
        </w:rPr>
        <w:t>BD</w:t>
      </w:r>
      <w:r w:rsidR="0008518F" w:rsidRPr="004D19FF">
        <w:rPr>
          <w:rFonts w:ascii="Times New Roman" w:hAnsi="Times New Roman"/>
          <w:sz w:val="20"/>
          <w:szCs w:val="20"/>
        </w:rPr>
        <w:t>O</w:t>
      </w:r>
      <w:r w:rsidR="00C275DD" w:rsidRPr="004D19FF">
        <w:rPr>
          <w:rFonts w:ascii="Times New Roman" w:hAnsi="Times New Roman"/>
          <w:sz w:val="20"/>
          <w:szCs w:val="20"/>
        </w:rPr>
        <w:t xml:space="preserve"> into MEK or 1,3-butadiene through thermocatalytic processes</w:t>
      </w:r>
      <w:r w:rsidR="00371BD0" w:rsidRPr="004D19FF">
        <w:rPr>
          <w:rFonts w:ascii="Times New Roman" w:hAnsi="Times New Roman"/>
          <w:sz w:val="20"/>
          <w:szCs w:val="20"/>
        </w:rPr>
        <w:t xml:space="preserve"> </w:t>
      </w:r>
      <w:r w:rsidR="007E51B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kBzHa5vT","properties":{"formattedCitation":"[173]","plainCitation":"[173]","noteIndex":0},"citationItems":[{"id":"968HXJ10/izR29hV6","uris":["http://www.mendeley.com/documents/?uuid=24e8ffb9-c4d1-4d4f-bcbb-76d00af6a3a0"],"uri":["http://www.mendeley.com/documents/?uuid=24e8ffb9-c4d1-4d4f-bcbb-76d00af6a3a0"],"itemData":{"ISBN":"2009-NZ101\\r2009151342","abstract":"The invention provides methods for producing 2,3-butanediol by anaerobic fermn. According to particular methods of the invention, 2,3-butanediol is produced by anaerobic fermn. of substrates including carbohydrate and carbon monoxide.","author":[{"dropping-particle":"","family":"Simpson","given":"Sean Dennis","non-dropping-particle":"","parse-names":false,"suffix":""},{"dropping-particle":"","family":"Tran","given":"Phuong Loan","non-dropping-particle":"","parse-names":false,"suffix":""},{"dropping-particle":"","family":"Mihalcea","given":"Christophe Daniel","non-dropping-particle":"","parse-names":false,"suffix":""},{"dropping-particle":"","family":"Fung","given":"Jennifer Mon Yee","non-dropping-particle":"","parse-names":false,"suffix":""},{"dropping-particle":"","family":"Liew","given":"Fungmin","non-dropping-particle":"","parse-names":false,"suffix":""}],"id":"ITEM-1","issue":"12","issued":{"date-parts":[["2009"]]},"page":"46pp","title":"Production of butanediol by anaerobic microbial fermentation on carbon monoxide","type":"article-journal","volume":"2"}}],"schema":"https://github.com/citation-style-language/schema/raw/master/csl-citation.json"} </w:instrText>
      </w:r>
      <w:r w:rsidR="007E51B3" w:rsidRPr="004D19FF">
        <w:rPr>
          <w:rFonts w:ascii="Times New Roman" w:hAnsi="Times New Roman"/>
          <w:sz w:val="20"/>
          <w:szCs w:val="20"/>
        </w:rPr>
        <w:fldChar w:fldCharType="separate"/>
      </w:r>
      <w:r w:rsidR="005D3B73" w:rsidRPr="005D3B73">
        <w:rPr>
          <w:rFonts w:ascii="Times New Roman" w:hAnsi="Times New Roman" w:cs="Times New Roman"/>
          <w:sz w:val="20"/>
        </w:rPr>
        <w:t>[173]</w:t>
      </w:r>
      <w:r w:rsidR="007E51B3" w:rsidRPr="004D19FF">
        <w:rPr>
          <w:rFonts w:ascii="Times New Roman" w:hAnsi="Times New Roman"/>
          <w:sz w:val="20"/>
          <w:szCs w:val="20"/>
        </w:rPr>
        <w:fldChar w:fldCharType="end"/>
      </w:r>
      <w:r w:rsidR="00D53DC4" w:rsidRPr="004D19FF">
        <w:rPr>
          <w:rFonts w:ascii="Times New Roman" w:hAnsi="Times New Roman"/>
          <w:sz w:val="20"/>
          <w:szCs w:val="20"/>
        </w:rPr>
        <w:t>.</w:t>
      </w:r>
    </w:p>
    <w:p w14:paraId="0C4DB7F0" w14:textId="77777777" w:rsidR="00AF19F3" w:rsidRPr="004D19FF" w:rsidRDefault="00786F3D" w:rsidP="00AF19F3">
      <w:pPr>
        <w:spacing w:line="276" w:lineRule="auto"/>
        <w:jc w:val="thaiDistribute"/>
        <w:rPr>
          <w:rFonts w:ascii="Times New Roman" w:hAnsi="Times New Roman"/>
          <w:i/>
          <w:sz w:val="20"/>
          <w:szCs w:val="20"/>
        </w:rPr>
      </w:pPr>
      <w:r w:rsidRPr="004D19FF">
        <w:rPr>
          <w:rFonts w:ascii="Times New Roman" w:hAnsi="Times New Roman"/>
          <w:i/>
          <w:sz w:val="20"/>
          <w:szCs w:val="20"/>
        </w:rPr>
        <w:lastRenderedPageBreak/>
        <w:t>4.1.4</w:t>
      </w:r>
      <w:r w:rsidR="00AF19F3" w:rsidRPr="004D19FF">
        <w:rPr>
          <w:rFonts w:ascii="Times New Roman" w:hAnsi="Times New Roman"/>
          <w:i/>
          <w:sz w:val="20"/>
          <w:szCs w:val="20"/>
        </w:rPr>
        <w:t xml:space="preserve"> Isobutene</w:t>
      </w:r>
      <w:r w:rsidRPr="004D19FF">
        <w:rPr>
          <w:rFonts w:ascii="Times New Roman" w:hAnsi="Times New Roman"/>
          <w:i/>
          <w:sz w:val="20"/>
          <w:szCs w:val="20"/>
        </w:rPr>
        <w:t xml:space="preserve"> (optional)</w:t>
      </w:r>
    </w:p>
    <w:p w14:paraId="1C961CD3" w14:textId="77777777" w:rsidR="00FB6D26" w:rsidRPr="004D19FF" w:rsidRDefault="00AF19F3" w:rsidP="00AF19F3">
      <w:pPr>
        <w:spacing w:line="276" w:lineRule="auto"/>
        <w:jc w:val="thaiDistribute"/>
        <w:rPr>
          <w:rFonts w:ascii="Times New Roman" w:hAnsi="Times New Roman"/>
          <w:sz w:val="20"/>
          <w:szCs w:val="20"/>
        </w:rPr>
      </w:pPr>
      <w:r w:rsidRPr="004D19FF">
        <w:rPr>
          <w:rFonts w:ascii="Times New Roman" w:hAnsi="Times New Roman"/>
          <w:sz w:val="20"/>
          <w:szCs w:val="20"/>
        </w:rPr>
        <w:t>Isobutene (C</w:t>
      </w:r>
      <w:r w:rsidRPr="004D19FF">
        <w:rPr>
          <w:rFonts w:ascii="Times New Roman" w:hAnsi="Times New Roman"/>
          <w:sz w:val="20"/>
          <w:szCs w:val="20"/>
          <w:vertAlign w:val="subscript"/>
        </w:rPr>
        <w:t>4</w:t>
      </w:r>
      <w:r w:rsidRPr="004D19FF">
        <w:rPr>
          <w:rFonts w:ascii="Times New Roman" w:hAnsi="Times New Roman"/>
          <w:sz w:val="20"/>
          <w:szCs w:val="20"/>
        </w:rPr>
        <w:t>H</w:t>
      </w:r>
      <w:r w:rsidRPr="004D19FF">
        <w:rPr>
          <w:rFonts w:ascii="Times New Roman" w:hAnsi="Times New Roman"/>
          <w:sz w:val="20"/>
          <w:szCs w:val="20"/>
          <w:vertAlign w:val="subscript"/>
        </w:rPr>
        <w:t>8</w:t>
      </w:r>
      <w:r w:rsidRPr="004D19FF">
        <w:rPr>
          <w:rFonts w:ascii="Times New Roman" w:hAnsi="Times New Roman"/>
          <w:sz w:val="20"/>
          <w:szCs w:val="20"/>
        </w:rPr>
        <w:t xml:space="preserve">) </w:t>
      </w:r>
      <w:r w:rsidR="00D37DA5" w:rsidRPr="004D19FF">
        <w:rPr>
          <w:rFonts w:ascii="Times New Roman" w:hAnsi="Times New Roman"/>
          <w:sz w:val="20"/>
          <w:szCs w:val="20"/>
        </w:rPr>
        <w:t xml:space="preserve">may be optionally recovered in the </w:t>
      </w:r>
      <w:r w:rsidR="00820C1F" w:rsidRPr="004D19FF">
        <w:rPr>
          <w:rFonts w:ascii="Times New Roman" w:hAnsi="Times New Roman"/>
          <w:sz w:val="20"/>
          <w:szCs w:val="20"/>
        </w:rPr>
        <w:t>AF</w:t>
      </w:r>
      <w:r w:rsidR="00D37DA5" w:rsidRPr="004D19FF">
        <w:rPr>
          <w:rFonts w:ascii="Times New Roman" w:hAnsi="Times New Roman"/>
          <w:sz w:val="20"/>
          <w:szCs w:val="20"/>
        </w:rPr>
        <w:t xml:space="preserve"> pathway.</w:t>
      </w:r>
      <w:r w:rsidRPr="004D19FF">
        <w:rPr>
          <w:rFonts w:ascii="Times New Roman" w:hAnsi="Times New Roman"/>
          <w:sz w:val="20"/>
          <w:szCs w:val="20"/>
        </w:rPr>
        <w:t xml:space="preserve"> </w:t>
      </w:r>
      <w:r w:rsidR="00FB6D26" w:rsidRPr="004D19FF">
        <w:rPr>
          <w:rFonts w:ascii="Times New Roman" w:hAnsi="Times New Roman"/>
          <w:sz w:val="20"/>
          <w:szCs w:val="20"/>
        </w:rPr>
        <w:t>It is produced after dehydration of alcohols, just prior the oligomerization process (Fig. 4). If the market conditions are favorable to isobutene, a choice could be made to stop the process after the dehydration process for a certain proportion of the stream, and not continue further to kerosene production. Isobutene production thus implies less bio-based kerosene production; hence its “optional” label.</w:t>
      </w:r>
    </w:p>
    <w:p w14:paraId="45DC8BB1" w14:textId="552508A1" w:rsidR="00AF19F3" w:rsidRPr="004D19FF" w:rsidRDefault="00FB6D26" w:rsidP="00AF19F3">
      <w:pPr>
        <w:spacing w:line="276" w:lineRule="auto"/>
        <w:jc w:val="thaiDistribute"/>
        <w:rPr>
          <w:rFonts w:ascii="Times New Roman" w:hAnsi="Times New Roman"/>
          <w:sz w:val="20"/>
          <w:szCs w:val="20"/>
        </w:rPr>
      </w:pPr>
      <w:r w:rsidRPr="004D19FF">
        <w:rPr>
          <w:rFonts w:ascii="Times New Roman" w:hAnsi="Times New Roman"/>
          <w:sz w:val="20"/>
          <w:szCs w:val="20"/>
        </w:rPr>
        <w:t>Isobutene</w:t>
      </w:r>
      <w:r w:rsidR="00D37DA5" w:rsidRPr="004D19FF">
        <w:rPr>
          <w:rFonts w:ascii="Times New Roman" w:hAnsi="Times New Roman"/>
          <w:sz w:val="20"/>
          <w:szCs w:val="20"/>
        </w:rPr>
        <w:t xml:space="preserve"> is used as a building block</w:t>
      </w:r>
      <w:r w:rsidR="00AF19F3" w:rsidRPr="004D19FF">
        <w:rPr>
          <w:rFonts w:ascii="Times New Roman" w:hAnsi="Times New Roman"/>
          <w:sz w:val="20"/>
          <w:szCs w:val="20"/>
        </w:rPr>
        <w:t xml:space="preserve"> in the manufacturing of several industrial products namely fuel additive, butyl rubber, plastic and lubricants, domestic ga</w:t>
      </w:r>
      <w:r w:rsidR="00D804A0" w:rsidRPr="004D19FF">
        <w:rPr>
          <w:rFonts w:ascii="Times New Roman" w:hAnsi="Times New Roman"/>
          <w:sz w:val="20"/>
          <w:szCs w:val="20"/>
        </w:rPr>
        <w:t>s</w:t>
      </w:r>
      <w:r w:rsidR="00260998" w:rsidRPr="004D19FF">
        <w:rPr>
          <w:rFonts w:ascii="Times New Roman" w:hAnsi="Times New Roman"/>
          <w:sz w:val="20"/>
          <w:szCs w:val="20"/>
        </w:rPr>
        <w:t>, chemicals and cosmetics, etc</w:t>
      </w:r>
      <w:r w:rsidR="00D804A0" w:rsidRPr="004D19FF">
        <w:rPr>
          <w:rFonts w:ascii="Times New Roman" w:hAnsi="Times New Roman"/>
          <w:sz w:val="20"/>
          <w:szCs w:val="20"/>
        </w:rPr>
        <w:t>.</w:t>
      </w:r>
      <w:r w:rsidR="00AF19F3" w:rsidRPr="004D19FF">
        <w:rPr>
          <w:rFonts w:ascii="Times New Roman" w:hAnsi="Times New Roman"/>
          <w:sz w:val="20"/>
          <w:szCs w:val="20"/>
        </w:rPr>
        <w:t xml:space="preserve"> Isobutene </w:t>
      </w:r>
      <w:r w:rsidR="00D37DA5" w:rsidRPr="004D19FF">
        <w:rPr>
          <w:rFonts w:ascii="Times New Roman" w:hAnsi="Times New Roman"/>
          <w:sz w:val="20"/>
          <w:szCs w:val="20"/>
        </w:rPr>
        <w:t>can be reacted</w:t>
      </w:r>
      <w:r w:rsidR="00AF19F3" w:rsidRPr="004D19FF">
        <w:rPr>
          <w:rFonts w:ascii="Times New Roman" w:hAnsi="Times New Roman"/>
          <w:sz w:val="20"/>
          <w:szCs w:val="20"/>
        </w:rPr>
        <w:t xml:space="preserve"> with methanol leading to methyl tert-butyl ether (MTBE) or with ethanol </w:t>
      </w:r>
      <w:r w:rsidR="00D37DA5" w:rsidRPr="004D19FF">
        <w:rPr>
          <w:rFonts w:ascii="Times New Roman" w:hAnsi="Times New Roman"/>
          <w:sz w:val="20"/>
          <w:szCs w:val="20"/>
        </w:rPr>
        <w:t>leading to t</w:t>
      </w:r>
      <w:r w:rsidR="00AF19F3" w:rsidRPr="004D19FF">
        <w:rPr>
          <w:rFonts w:ascii="Times New Roman" w:hAnsi="Times New Roman"/>
          <w:sz w:val="20"/>
          <w:szCs w:val="20"/>
        </w:rPr>
        <w:t xml:space="preserve">he production of </w:t>
      </w:r>
      <w:r w:rsidRPr="004D19FF">
        <w:rPr>
          <w:rFonts w:ascii="Times New Roman" w:hAnsi="Times New Roman"/>
          <w:sz w:val="20"/>
          <w:szCs w:val="20"/>
        </w:rPr>
        <w:t xml:space="preserve">the </w:t>
      </w:r>
      <w:r w:rsidR="00AF19F3" w:rsidRPr="004D19FF">
        <w:rPr>
          <w:rFonts w:ascii="Times New Roman" w:hAnsi="Times New Roman"/>
          <w:sz w:val="20"/>
          <w:szCs w:val="20"/>
        </w:rPr>
        <w:t>gasoline additiv</w:t>
      </w:r>
      <w:r w:rsidR="0074310C" w:rsidRPr="004D19FF">
        <w:rPr>
          <w:rFonts w:ascii="Times New Roman" w:hAnsi="Times New Roman"/>
          <w:sz w:val="20"/>
          <w:szCs w:val="20"/>
        </w:rPr>
        <w:t xml:space="preserve">e ethyl tert-butyl ether (ETBE), used </w:t>
      </w:r>
      <w:r w:rsidR="00AF19F3" w:rsidRPr="004D19FF">
        <w:rPr>
          <w:rFonts w:ascii="Times New Roman" w:hAnsi="Times New Roman"/>
          <w:sz w:val="20"/>
          <w:szCs w:val="20"/>
        </w:rPr>
        <w:t xml:space="preserve">as an anti-knocking agent </w:t>
      </w:r>
      <w:r w:rsidR="00D37DA5" w:rsidRPr="004D19FF">
        <w:rPr>
          <w:rFonts w:ascii="Times New Roman" w:hAnsi="Times New Roman"/>
          <w:sz w:val="20"/>
          <w:szCs w:val="20"/>
        </w:rPr>
        <w:t>for</w:t>
      </w:r>
      <w:r w:rsidR="003F1EF9" w:rsidRPr="004D19FF">
        <w:rPr>
          <w:rFonts w:ascii="Times New Roman" w:hAnsi="Times New Roman"/>
          <w:sz w:val="20"/>
          <w:szCs w:val="20"/>
        </w:rPr>
        <w:t xml:space="preserve"> </w:t>
      </w:r>
      <w:r w:rsidRPr="004D19FF">
        <w:rPr>
          <w:rFonts w:ascii="Times New Roman" w:hAnsi="Times New Roman"/>
          <w:sz w:val="20"/>
          <w:szCs w:val="20"/>
        </w:rPr>
        <w:t xml:space="preserve">the </w:t>
      </w:r>
      <w:r w:rsidR="003F1EF9" w:rsidRPr="004D19FF">
        <w:rPr>
          <w:rFonts w:ascii="Times New Roman" w:hAnsi="Times New Roman"/>
          <w:sz w:val="20"/>
          <w:szCs w:val="20"/>
        </w:rPr>
        <w:t>automotive industry</w:t>
      </w:r>
      <w:r w:rsidR="000D0785" w:rsidRPr="004D19FF">
        <w:rPr>
          <w:rFonts w:ascii="Times New Roman" w:hAnsi="Times New Roman"/>
          <w:sz w:val="20"/>
          <w:szCs w:val="20"/>
        </w:rPr>
        <w:t xml:space="preserve"> </w:t>
      </w:r>
      <w:r w:rsidR="00E40E59"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w7kkjuh","properties":{"formattedCitation":"[180]","plainCitation":"[180]","noteIndex":0},"citationItems":[{"id":"968HXJ10/RQGq365G","uris":["http://www.mendeley.com/documents/?uuid=9d5df7ae-8c4f-4db9-a084-040d2d82ddb3"],"uri":["http://www.mendeley.com/documents/?uuid=9d5df7ae-8c4f-4db9-a084-040d2d82ddb3"],"itemData":{"DOI":"10.1007/s00253-011-3853-7","ISSN":"01757598","abstract":"Isobutene (2-methylpropene) is one of those chemicals for which bio-based production might replace the petrochemical production in the future. Currently, more than 10 million metric tons of isobutene are produced on a yearly basis. Even though bio-based production might also be achieved through chemocatalytic or thermochemical methods, this review focuses on fermentative routes from sugars. Although biological isobutene formation is known since the 1970s, extensive metabolic engineering is required to achieve economically viable yields and productivities. Two recent metabolic engineering developments may enable anaerobic production close to the theoretical stoichiometry of 1isobutene + 2CO 2 + 2H 2O per mol of glucose. One relies on the conversion of 3-hydroxyisovalerate to isobutene as a side activity of mevalonate diphosphate decarboxylase and the other on isobutanol dehydration as a side activity of engineered oleate hydratase. The latter resembles the fermentative production of isobutanol followed by isobutanol recovery and chemocatalytic dehydration. The advantage of a completely biological route is that not isobutanol, but instead gaseous isobutene is recovered from the fermenter together with CO 2. The low aqueous solubility of isobutene might also minimize product toxicity to the microorganisms. Although developments are at their infancy, the potential of a large scale fermentative isobutene production process is assessed. The production costs estimate is 0.9 € kg -1, which is reasonably competitive. About 70% of the production costs will be due to the costs of lignocellulose hydrolysate, which seems to be a preferred feedstock. © 2012 The Author(s).","author":[{"dropping-particle":"","family":"Leeuwen","given":"Bianca N.M.","non-dropping-particle":"Van","parse-names":false,"suffix":""},{"dropping-particle":"","family":"Wulp","given":"Albertus M.","non-dropping-particle":"Van Der","parse-names":false,"suffix":""},{"dropping-particle":"","family":"Duijnstee","given":"Isabelle","non-dropping-particle":"","parse-names":false,"suffix":""},{"dropping-particle":"","family":"Maris","given":"Antonius J.A.","non-dropping-particle":"Van","parse-names":false,"suffix":""},{"dropping-particle":"","family":"Straathof","given":"Adrie J.J.","non-dropping-particle":"","parse-names":false,"suffix":""}],"container-title":"Applied Microbiology and Biotechnology","id":"ITEM-1","issue":"4","issued":{"date-parts":[["2012"]]},"page":"1377-1387","title":"Fermentative production of isobutene","type":"article-journal","volume":"93"}}],"schema":"https://github.com/citation-style-language/schema/raw/master/csl-citation.json"} </w:instrText>
      </w:r>
      <w:r w:rsidR="00E40E59" w:rsidRPr="004D19FF">
        <w:rPr>
          <w:rFonts w:ascii="Times New Roman" w:hAnsi="Times New Roman"/>
          <w:sz w:val="20"/>
          <w:szCs w:val="20"/>
        </w:rPr>
        <w:fldChar w:fldCharType="separate"/>
      </w:r>
      <w:r w:rsidR="005D3B73" w:rsidRPr="005D3B73">
        <w:rPr>
          <w:rFonts w:ascii="Times New Roman" w:hAnsi="Times New Roman" w:cs="Times New Roman"/>
          <w:sz w:val="20"/>
        </w:rPr>
        <w:t>[180]</w:t>
      </w:r>
      <w:r w:rsidR="00E40E59" w:rsidRPr="004D19FF">
        <w:rPr>
          <w:rFonts w:ascii="Times New Roman" w:hAnsi="Times New Roman"/>
          <w:sz w:val="20"/>
          <w:szCs w:val="20"/>
        </w:rPr>
        <w:fldChar w:fldCharType="end"/>
      </w:r>
      <w:r w:rsidR="003F1EF9" w:rsidRPr="004D19FF">
        <w:rPr>
          <w:rFonts w:ascii="Times New Roman" w:hAnsi="Times New Roman"/>
          <w:sz w:val="20"/>
          <w:szCs w:val="20"/>
        </w:rPr>
        <w:t>. T</w:t>
      </w:r>
      <w:r w:rsidR="00AF19F3" w:rsidRPr="004D19FF">
        <w:rPr>
          <w:rFonts w:ascii="Times New Roman" w:hAnsi="Times New Roman"/>
          <w:sz w:val="20"/>
          <w:szCs w:val="20"/>
        </w:rPr>
        <w:t xml:space="preserve">he isobutene polymerization generates butyl rubber that </w:t>
      </w:r>
      <w:r w:rsidRPr="004D19FF">
        <w:rPr>
          <w:rFonts w:ascii="Times New Roman" w:hAnsi="Times New Roman"/>
          <w:sz w:val="20"/>
          <w:szCs w:val="20"/>
        </w:rPr>
        <w:t>can</w:t>
      </w:r>
      <w:r w:rsidR="00AF19F3" w:rsidRPr="004D19FF">
        <w:rPr>
          <w:rFonts w:ascii="Times New Roman" w:hAnsi="Times New Roman"/>
          <w:sz w:val="20"/>
          <w:szCs w:val="20"/>
        </w:rPr>
        <w:t xml:space="preserve"> be used as precursor in several products such as window seals, bottle stop</w:t>
      </w:r>
      <w:r w:rsidRPr="004D19FF">
        <w:rPr>
          <w:rFonts w:ascii="Times New Roman" w:hAnsi="Times New Roman"/>
          <w:sz w:val="20"/>
          <w:szCs w:val="20"/>
        </w:rPr>
        <w:t>pers, protective gloves, etc. Isobutene</w:t>
      </w:r>
      <w:r w:rsidR="00AF19F3" w:rsidRPr="004D19FF">
        <w:rPr>
          <w:rFonts w:ascii="Times New Roman" w:hAnsi="Times New Roman"/>
          <w:sz w:val="20"/>
          <w:szCs w:val="20"/>
        </w:rPr>
        <w:t xml:space="preserve"> is </w:t>
      </w:r>
      <w:r w:rsidRPr="004D19FF">
        <w:rPr>
          <w:rFonts w:ascii="Times New Roman" w:hAnsi="Times New Roman"/>
          <w:sz w:val="20"/>
          <w:szCs w:val="20"/>
        </w:rPr>
        <w:t xml:space="preserve">also </w:t>
      </w:r>
      <w:r w:rsidR="00AF19F3" w:rsidRPr="004D19FF">
        <w:rPr>
          <w:rFonts w:ascii="Times New Roman" w:hAnsi="Times New Roman"/>
          <w:sz w:val="20"/>
          <w:szCs w:val="20"/>
        </w:rPr>
        <w:t xml:space="preserve">one of </w:t>
      </w:r>
      <w:r w:rsidR="00D37DA5" w:rsidRPr="004D19FF">
        <w:rPr>
          <w:rFonts w:ascii="Times New Roman" w:hAnsi="Times New Roman"/>
          <w:sz w:val="20"/>
          <w:szCs w:val="20"/>
        </w:rPr>
        <w:t xml:space="preserve">the </w:t>
      </w:r>
      <w:r w:rsidR="00AF19F3" w:rsidRPr="004D19FF">
        <w:rPr>
          <w:rFonts w:ascii="Times New Roman" w:hAnsi="Times New Roman"/>
          <w:sz w:val="20"/>
          <w:szCs w:val="20"/>
        </w:rPr>
        <w:t xml:space="preserve">main constituents </w:t>
      </w:r>
      <w:r w:rsidR="0074310C" w:rsidRPr="004D19FF">
        <w:rPr>
          <w:rFonts w:ascii="Times New Roman" w:hAnsi="Times New Roman"/>
          <w:sz w:val="20"/>
          <w:szCs w:val="20"/>
        </w:rPr>
        <w:t>of LPG</w:t>
      </w:r>
      <w:r w:rsidR="00AF19F3" w:rsidRPr="004D19FF">
        <w:rPr>
          <w:rFonts w:ascii="Times New Roman" w:hAnsi="Times New Roman"/>
          <w:sz w:val="20"/>
          <w:szCs w:val="20"/>
        </w:rPr>
        <w:t xml:space="preserve">. Moreover, isooctane </w:t>
      </w:r>
      <w:r w:rsidR="005F40CF" w:rsidRPr="004D19FF">
        <w:rPr>
          <w:rFonts w:ascii="Times New Roman" w:hAnsi="Times New Roman"/>
          <w:sz w:val="20"/>
          <w:szCs w:val="20"/>
        </w:rPr>
        <w:t xml:space="preserve">(a gasoline blendstock) </w:t>
      </w:r>
      <w:r w:rsidR="00AF19F3" w:rsidRPr="004D19FF">
        <w:rPr>
          <w:rFonts w:ascii="Times New Roman" w:hAnsi="Times New Roman"/>
          <w:sz w:val="20"/>
          <w:szCs w:val="20"/>
        </w:rPr>
        <w:t xml:space="preserve">could be generated by dimerization of isobutene </w:t>
      </w:r>
      <w:r w:rsidR="0017785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a60ZWcNm","properties":{"formattedCitation":"[180]","plainCitation":"[180]","noteIndex":0},"citationItems":[{"id":"968HXJ10/RQGq365G","uris":["http://www.mendeley.com/documents/?uuid=9d5df7ae-8c4f-4db9-a084-040d2d82ddb3"],"uri":["http://www.mendeley.com/documents/?uuid=9d5df7ae-8c4f-4db9-a084-040d2d82ddb3"],"itemData":{"DOI":"10.1007/s00253-011-3853-7","ISSN":"01757598","abstract":"Isobutene (2-methylpropene) is one of those chemicals for which bio-based production might replace the petrochemical production in the future. Currently, more than 10 million metric tons of isobutene are produced on a yearly basis. Even though bio-based production might also be achieved through chemocatalytic or thermochemical methods, this review focuses on fermentative routes from sugars. Although biological isobutene formation is known since the 1970s, extensive metabolic engineering is required to achieve economically viable yields and productivities. Two recent metabolic engineering developments may enable anaerobic production close to the theoretical stoichiometry of 1isobutene + 2CO 2 + 2H 2O per mol of glucose. One relies on the conversion of 3-hydroxyisovalerate to isobutene as a side activity of mevalonate diphosphate decarboxylase and the other on isobutanol dehydration as a side activity of engineered oleate hydratase. The latter resembles the fermentative production of isobutanol followed by isobutanol recovery and chemocatalytic dehydration. The advantage of a completely biological route is that not isobutanol, but instead gaseous isobutene is recovered from the fermenter together with CO 2. The low aqueous solubility of isobutene might also minimize product toxicity to the microorganisms. Although developments are at their infancy, the potential of a large scale fermentative isobutene production process is assessed. The production costs estimate is 0.9 € kg -1, which is reasonably competitive. About 70% of the production costs will be due to the costs of lignocellulose hydrolysate, which seems to be a preferred feedstock. © 2012 The Author(s).","author":[{"dropping-particle":"","family":"Leeuwen","given":"Bianca N.M.","non-dropping-particle":"Van","parse-names":false,"suffix":""},{"dropping-particle":"","family":"Wulp","given":"Albertus M.","non-dropping-particle":"Van Der","parse-names":false,"suffix":""},{"dropping-particle":"","family":"Duijnstee","given":"Isabelle","non-dropping-particle":"","parse-names":false,"suffix":""},{"dropping-particle":"","family":"Maris","given":"Antonius J.A.","non-dropping-particle":"Van","parse-names":false,"suffix":""},{"dropping-particle":"","family":"Straathof","given":"Adrie J.J.","non-dropping-particle":"","parse-names":false,"suffix":""}],"container-title":"Applied Microbiology and Biotechnology","id":"ITEM-1","issue":"4","issued":{"date-parts":[["2012"]]},"page":"1377-1387","title":"Fermentative production of isobutene","type":"article-journal","volume":"93"}}],"schema":"https://github.com/citation-style-language/schema/raw/master/csl-citation.json"} </w:instrText>
      </w:r>
      <w:r w:rsidR="00177852" w:rsidRPr="004D19FF">
        <w:rPr>
          <w:rFonts w:ascii="Times New Roman" w:hAnsi="Times New Roman"/>
          <w:sz w:val="20"/>
          <w:szCs w:val="20"/>
        </w:rPr>
        <w:fldChar w:fldCharType="separate"/>
      </w:r>
      <w:r w:rsidR="005D3B73" w:rsidRPr="005D3B73">
        <w:rPr>
          <w:rFonts w:ascii="Times New Roman" w:hAnsi="Times New Roman" w:cs="Times New Roman"/>
          <w:sz w:val="20"/>
        </w:rPr>
        <w:t>[180]</w:t>
      </w:r>
      <w:r w:rsidR="00177852" w:rsidRPr="004D19FF">
        <w:rPr>
          <w:rFonts w:ascii="Times New Roman" w:hAnsi="Times New Roman"/>
          <w:sz w:val="20"/>
          <w:szCs w:val="20"/>
        </w:rPr>
        <w:fldChar w:fldCharType="end"/>
      </w:r>
      <w:r w:rsidR="00AF19F3" w:rsidRPr="004D19FF">
        <w:rPr>
          <w:rFonts w:ascii="Times New Roman" w:hAnsi="Times New Roman"/>
          <w:sz w:val="20"/>
          <w:szCs w:val="20"/>
        </w:rPr>
        <w:t xml:space="preserve">. </w:t>
      </w:r>
    </w:p>
    <w:p w14:paraId="38E7D241" w14:textId="79BB9DAD" w:rsidR="00D37DA5" w:rsidRPr="004D19FF" w:rsidRDefault="005F40CF" w:rsidP="00D37DA5">
      <w:pPr>
        <w:spacing w:line="276" w:lineRule="auto"/>
        <w:jc w:val="thaiDistribute"/>
        <w:rPr>
          <w:rFonts w:ascii="Times New Roman" w:hAnsi="Times New Roman"/>
          <w:sz w:val="20"/>
          <w:szCs w:val="20"/>
        </w:rPr>
      </w:pPr>
      <w:r w:rsidRPr="004D19FF">
        <w:rPr>
          <w:rFonts w:ascii="Times New Roman" w:hAnsi="Times New Roman"/>
          <w:sz w:val="20"/>
          <w:szCs w:val="20"/>
        </w:rPr>
        <w:t>Currently, i</w:t>
      </w:r>
      <w:r w:rsidR="00AF19F3" w:rsidRPr="004D19FF">
        <w:rPr>
          <w:rFonts w:ascii="Times New Roman" w:hAnsi="Times New Roman"/>
          <w:sz w:val="20"/>
          <w:szCs w:val="20"/>
        </w:rPr>
        <w:t>so</w:t>
      </w:r>
      <w:r w:rsidR="00D37DA5" w:rsidRPr="004D19FF">
        <w:rPr>
          <w:rFonts w:ascii="Times New Roman" w:hAnsi="Times New Roman"/>
          <w:sz w:val="20"/>
          <w:szCs w:val="20"/>
        </w:rPr>
        <w:t xml:space="preserve">butene as </w:t>
      </w:r>
      <w:r w:rsidRPr="004D19FF">
        <w:rPr>
          <w:rFonts w:ascii="Times New Roman" w:hAnsi="Times New Roman"/>
          <w:sz w:val="20"/>
          <w:szCs w:val="20"/>
        </w:rPr>
        <w:t xml:space="preserve">a </w:t>
      </w:r>
      <w:r w:rsidR="00D37DA5" w:rsidRPr="004D19FF">
        <w:rPr>
          <w:rFonts w:ascii="Times New Roman" w:hAnsi="Times New Roman"/>
          <w:sz w:val="20"/>
          <w:szCs w:val="20"/>
        </w:rPr>
        <w:t xml:space="preserve">key </w:t>
      </w:r>
      <w:r w:rsidR="00423E41" w:rsidRPr="004D19FF">
        <w:rPr>
          <w:rFonts w:ascii="Times New Roman" w:hAnsi="Times New Roman"/>
          <w:sz w:val="20"/>
          <w:szCs w:val="20"/>
        </w:rPr>
        <w:t>chemical building block,</w:t>
      </w:r>
      <w:r w:rsidR="00AF19F3" w:rsidRPr="004D19FF">
        <w:rPr>
          <w:rFonts w:ascii="Times New Roman" w:hAnsi="Times New Roman"/>
          <w:sz w:val="20"/>
          <w:szCs w:val="20"/>
        </w:rPr>
        <w:t xml:space="preserve"> is massively obtained from petrochemical sources. </w:t>
      </w:r>
      <w:r w:rsidRPr="004D19FF">
        <w:rPr>
          <w:rFonts w:ascii="Times New Roman" w:hAnsi="Times New Roman"/>
          <w:sz w:val="20"/>
          <w:szCs w:val="20"/>
        </w:rPr>
        <w:t>Being a</w:t>
      </w:r>
      <w:r w:rsidR="00D37DA5" w:rsidRPr="004D19FF">
        <w:rPr>
          <w:rFonts w:ascii="Times New Roman" w:hAnsi="Times New Roman"/>
          <w:sz w:val="20"/>
          <w:szCs w:val="20"/>
        </w:rPr>
        <w:t xml:space="preserve"> major </w:t>
      </w:r>
      <w:r w:rsidR="00423E41" w:rsidRPr="004D19FF">
        <w:rPr>
          <w:rFonts w:ascii="Times New Roman" w:hAnsi="Times New Roman"/>
          <w:sz w:val="20"/>
          <w:szCs w:val="20"/>
        </w:rPr>
        <w:t>precursor</w:t>
      </w:r>
      <w:r w:rsidR="00D37DA5" w:rsidRPr="004D19FF">
        <w:rPr>
          <w:rFonts w:ascii="Times New Roman" w:hAnsi="Times New Roman"/>
          <w:sz w:val="20"/>
          <w:szCs w:val="20"/>
        </w:rPr>
        <w:t xml:space="preserve"> in various industrial </w:t>
      </w:r>
      <w:r w:rsidRPr="004D19FF">
        <w:rPr>
          <w:rFonts w:ascii="Times New Roman" w:hAnsi="Times New Roman"/>
          <w:sz w:val="20"/>
          <w:szCs w:val="20"/>
        </w:rPr>
        <w:t>applications</w:t>
      </w:r>
      <w:r w:rsidR="00D37DA5" w:rsidRPr="004D19FF">
        <w:rPr>
          <w:rFonts w:ascii="Times New Roman" w:hAnsi="Times New Roman"/>
          <w:sz w:val="20"/>
          <w:szCs w:val="20"/>
        </w:rPr>
        <w:t xml:space="preserve"> with continuous demand, </w:t>
      </w:r>
      <w:r w:rsidR="00423E41" w:rsidRPr="004D19FF">
        <w:rPr>
          <w:rFonts w:ascii="Times New Roman" w:hAnsi="Times New Roman"/>
          <w:sz w:val="20"/>
          <w:szCs w:val="20"/>
        </w:rPr>
        <w:t>its</w:t>
      </w:r>
      <w:r w:rsidR="00D37DA5" w:rsidRPr="004D19FF">
        <w:rPr>
          <w:rFonts w:ascii="Times New Roman" w:hAnsi="Times New Roman"/>
          <w:sz w:val="20"/>
          <w:szCs w:val="20"/>
        </w:rPr>
        <w:t xml:space="preserve"> market </w:t>
      </w:r>
      <w:r w:rsidRPr="004D19FF">
        <w:rPr>
          <w:rFonts w:ascii="Times New Roman" w:hAnsi="Times New Roman"/>
          <w:sz w:val="20"/>
          <w:szCs w:val="20"/>
        </w:rPr>
        <w:t xml:space="preserve">is </w:t>
      </w:r>
      <w:r w:rsidR="00D37DA5" w:rsidRPr="004D19FF">
        <w:rPr>
          <w:rFonts w:ascii="Times New Roman" w:hAnsi="Times New Roman"/>
          <w:sz w:val="20"/>
          <w:szCs w:val="20"/>
        </w:rPr>
        <w:t xml:space="preserve">worth $25 billion with 15 million tonnes </w:t>
      </w:r>
      <w:r w:rsidRPr="004D19FF">
        <w:rPr>
          <w:rFonts w:ascii="Times New Roman" w:hAnsi="Times New Roman"/>
          <w:sz w:val="20"/>
          <w:szCs w:val="20"/>
        </w:rPr>
        <w:t>produced annually and used</w:t>
      </w:r>
      <w:r w:rsidR="00D37DA5" w:rsidRPr="004D19FF">
        <w:rPr>
          <w:rFonts w:ascii="Times New Roman" w:hAnsi="Times New Roman"/>
          <w:sz w:val="20"/>
          <w:szCs w:val="20"/>
        </w:rPr>
        <w:t xml:space="preserve"> as cosmetic ingredients and specialty fuels </w:t>
      </w:r>
      <w:r w:rsidR="00D37DA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slvnynF","properties":{"formattedCitation":"[181]","plainCitation":"[181]","noteIndex":0},"citationItems":[{"id":"968HXJ10/RKO1Vnx5","uris":["http://www.mendeley.com/documents/?uuid=56da0bc2-6655-3af6-a60b-c09e7ee3f5f4"],"uri":["http://www.mendeley.com/documents/?uuid=56da0bc2-6655-3af6-a60b-c09e7ee3f5f4"],"itemData":{"URL":"https://www.global-bioenergies.com/first-batch-of-isobutene-from-renewable-resources-delivered-to-arkema/?lang=en","accessed":{"date-parts":[["2020","1","29"]]},"author":[{"dropping-particle":"","family":"GlobalBioenergies","given":"","non-dropping-particle":"","parse-names":false,"suffix":""}],"container-title":"Global Bioenergies","id":"ITEM-1","issued":{"date-parts":[["2015"]]},"title":"First batch of isobutene from renewable resources delivered to Arkema","type":"webpage"}}],"schema":"https://github.com/citation-style-language/schema/raw/master/csl-citation.json"} </w:instrText>
      </w:r>
      <w:r w:rsidR="00D37DA5" w:rsidRPr="004D19FF">
        <w:rPr>
          <w:rFonts w:ascii="Times New Roman" w:hAnsi="Times New Roman"/>
          <w:sz w:val="20"/>
          <w:szCs w:val="20"/>
        </w:rPr>
        <w:fldChar w:fldCharType="separate"/>
      </w:r>
      <w:r w:rsidR="005D3B73" w:rsidRPr="005D3B73">
        <w:rPr>
          <w:rFonts w:ascii="Times New Roman" w:hAnsi="Times New Roman" w:cs="Times New Roman"/>
          <w:sz w:val="20"/>
        </w:rPr>
        <w:t>[181]</w:t>
      </w:r>
      <w:r w:rsidR="00D37DA5" w:rsidRPr="004D19FF">
        <w:rPr>
          <w:rFonts w:ascii="Times New Roman" w:hAnsi="Times New Roman"/>
          <w:sz w:val="20"/>
          <w:szCs w:val="20"/>
        </w:rPr>
        <w:fldChar w:fldCharType="end"/>
      </w:r>
      <w:r w:rsidR="00D37DA5" w:rsidRPr="004D19FF">
        <w:rPr>
          <w:rFonts w:ascii="Times New Roman" w:hAnsi="Times New Roman"/>
          <w:sz w:val="20"/>
          <w:szCs w:val="20"/>
        </w:rPr>
        <w:t>.</w:t>
      </w:r>
    </w:p>
    <w:p w14:paraId="3079CFFF" w14:textId="77777777" w:rsidR="00AF19F3" w:rsidRPr="004D19FF" w:rsidRDefault="00AF19F3" w:rsidP="00AF19F3">
      <w:pPr>
        <w:spacing w:line="276" w:lineRule="auto"/>
        <w:jc w:val="thaiDistribute"/>
        <w:rPr>
          <w:rFonts w:ascii="Times New Roman" w:hAnsi="Times New Roman"/>
          <w:i/>
          <w:sz w:val="20"/>
          <w:szCs w:val="20"/>
        </w:rPr>
      </w:pPr>
      <w:r w:rsidRPr="004D19FF">
        <w:rPr>
          <w:rFonts w:ascii="Times New Roman" w:hAnsi="Times New Roman"/>
          <w:i/>
          <w:sz w:val="20"/>
          <w:szCs w:val="20"/>
        </w:rPr>
        <w:t xml:space="preserve">4.2 Liquid fuels </w:t>
      </w:r>
    </w:p>
    <w:p w14:paraId="4C2D2EF2" w14:textId="77777777" w:rsidR="00AF19F3" w:rsidRPr="004D19FF" w:rsidRDefault="00AF19F3" w:rsidP="00AF19F3">
      <w:pPr>
        <w:spacing w:line="276" w:lineRule="auto"/>
        <w:jc w:val="thaiDistribute"/>
        <w:rPr>
          <w:rFonts w:ascii="Times New Roman" w:hAnsi="Times New Roman"/>
          <w:i/>
          <w:sz w:val="20"/>
          <w:szCs w:val="20"/>
        </w:rPr>
      </w:pPr>
      <w:r w:rsidRPr="004D19FF">
        <w:rPr>
          <w:rFonts w:ascii="Times New Roman" w:hAnsi="Times New Roman"/>
          <w:i/>
          <w:sz w:val="20"/>
          <w:szCs w:val="20"/>
        </w:rPr>
        <w:t xml:space="preserve">4.2.1 Isooctane </w:t>
      </w:r>
    </w:p>
    <w:p w14:paraId="7C6ED46D" w14:textId="3FEF035C" w:rsidR="00AF19F3" w:rsidRPr="004D19FF" w:rsidRDefault="00AF19F3" w:rsidP="00AF19F3">
      <w:pPr>
        <w:spacing w:line="276" w:lineRule="auto"/>
        <w:jc w:val="thaiDistribute"/>
        <w:rPr>
          <w:rFonts w:ascii="Times New Roman" w:hAnsi="Times New Roman"/>
          <w:sz w:val="20"/>
          <w:szCs w:val="20"/>
        </w:rPr>
      </w:pPr>
      <w:r w:rsidRPr="004D19FF">
        <w:rPr>
          <w:rFonts w:ascii="Times New Roman" w:hAnsi="Times New Roman"/>
          <w:sz w:val="20"/>
          <w:szCs w:val="20"/>
        </w:rPr>
        <w:t xml:space="preserve">Isooctane is </w:t>
      </w:r>
      <w:r w:rsidR="00BF69F0" w:rsidRPr="004D19FF">
        <w:rPr>
          <w:rFonts w:ascii="Times New Roman" w:hAnsi="Times New Roman"/>
          <w:sz w:val="20"/>
          <w:szCs w:val="20"/>
        </w:rPr>
        <w:t xml:space="preserve">a </w:t>
      </w:r>
      <w:r w:rsidRPr="004D19FF">
        <w:rPr>
          <w:rFonts w:ascii="Times New Roman" w:hAnsi="Times New Roman"/>
          <w:sz w:val="20"/>
          <w:szCs w:val="20"/>
        </w:rPr>
        <w:t xml:space="preserve">co-product </w:t>
      </w:r>
      <w:r w:rsidR="00622ADB" w:rsidRPr="004D19FF">
        <w:rPr>
          <w:rFonts w:ascii="Times New Roman" w:hAnsi="Times New Roman"/>
          <w:sz w:val="20"/>
          <w:szCs w:val="20"/>
        </w:rPr>
        <w:t>produced in</w:t>
      </w:r>
      <w:r w:rsidRPr="004D19FF">
        <w:rPr>
          <w:rFonts w:ascii="Times New Roman" w:hAnsi="Times New Roman"/>
          <w:sz w:val="20"/>
          <w:szCs w:val="20"/>
        </w:rPr>
        <w:t xml:space="preserve"> the </w:t>
      </w:r>
      <w:r w:rsidR="0084508B" w:rsidRPr="004D19FF">
        <w:rPr>
          <w:rFonts w:ascii="Times New Roman" w:hAnsi="Times New Roman"/>
          <w:sz w:val="20"/>
          <w:szCs w:val="20"/>
        </w:rPr>
        <w:t>AF</w:t>
      </w:r>
      <w:r w:rsidR="00622ADB" w:rsidRPr="004D19FF">
        <w:rPr>
          <w:rFonts w:ascii="Times New Roman" w:hAnsi="Times New Roman"/>
          <w:sz w:val="20"/>
          <w:szCs w:val="20"/>
        </w:rPr>
        <w:t xml:space="preserve"> pathway (</w:t>
      </w:r>
      <w:r w:rsidR="00B1485A" w:rsidRPr="004D19FF">
        <w:rPr>
          <w:rFonts w:ascii="Times New Roman" w:hAnsi="Times New Roman"/>
          <w:sz w:val="20"/>
          <w:szCs w:val="20"/>
        </w:rPr>
        <w:t>Fig. 4</w:t>
      </w:r>
      <w:r w:rsidR="00622ADB" w:rsidRPr="004D19FF">
        <w:rPr>
          <w:rFonts w:ascii="Times New Roman" w:hAnsi="Times New Roman"/>
          <w:sz w:val="20"/>
          <w:szCs w:val="20"/>
        </w:rPr>
        <w:t>)</w:t>
      </w:r>
      <w:r w:rsidR="000E359F" w:rsidRPr="004D19FF">
        <w:rPr>
          <w:rFonts w:ascii="Times New Roman" w:hAnsi="Times New Roman"/>
          <w:sz w:val="20"/>
          <w:szCs w:val="20"/>
        </w:rPr>
        <w:t xml:space="preserve">, during the </w:t>
      </w:r>
      <w:r w:rsidR="00ED2E93" w:rsidRPr="004D19FF">
        <w:rPr>
          <w:rFonts w:ascii="Times New Roman" w:hAnsi="Times New Roman"/>
          <w:sz w:val="20"/>
          <w:szCs w:val="20"/>
        </w:rPr>
        <w:t xml:space="preserve">oligomerization/hydrogenation steps. </w:t>
      </w:r>
      <w:r w:rsidR="000E359F" w:rsidRPr="004D19FF">
        <w:rPr>
          <w:rFonts w:ascii="Times New Roman" w:hAnsi="Times New Roman"/>
          <w:sz w:val="20"/>
          <w:szCs w:val="20"/>
        </w:rPr>
        <w:t>Isooctane represents a large share of gasoline composition</w:t>
      </w:r>
      <w:r w:rsidR="00ED2E93" w:rsidRPr="004D19FF">
        <w:rPr>
          <w:rFonts w:ascii="Times New Roman" w:hAnsi="Times New Roman"/>
          <w:sz w:val="20"/>
          <w:szCs w:val="20"/>
        </w:rPr>
        <w:t xml:space="preserve"> and has </w:t>
      </w:r>
      <w:r w:rsidR="000E359F" w:rsidRPr="004D19FF">
        <w:rPr>
          <w:rFonts w:ascii="Times New Roman" w:hAnsi="Times New Roman"/>
          <w:sz w:val="20"/>
          <w:szCs w:val="20"/>
        </w:rPr>
        <w:t xml:space="preserve">properties (e.g. </w:t>
      </w:r>
      <w:r w:rsidR="00ED2E93" w:rsidRPr="004D19FF">
        <w:rPr>
          <w:rFonts w:ascii="Times New Roman" w:hAnsi="Times New Roman"/>
          <w:sz w:val="20"/>
          <w:szCs w:val="20"/>
        </w:rPr>
        <w:t xml:space="preserve">high energy content, </w:t>
      </w:r>
      <w:r w:rsidR="000E359F" w:rsidRPr="004D19FF">
        <w:rPr>
          <w:rFonts w:ascii="Times New Roman" w:hAnsi="Times New Roman"/>
          <w:sz w:val="20"/>
          <w:szCs w:val="20"/>
        </w:rPr>
        <w:t>hi</w:t>
      </w:r>
      <w:r w:rsidR="00ED2E93" w:rsidRPr="004D19FF">
        <w:rPr>
          <w:rFonts w:ascii="Times New Roman" w:hAnsi="Times New Roman"/>
          <w:sz w:val="20"/>
          <w:szCs w:val="20"/>
        </w:rPr>
        <w:t>gh antiknock quality) that make</w:t>
      </w:r>
      <w:r w:rsidR="000E359F" w:rsidRPr="004D19FF">
        <w:rPr>
          <w:rFonts w:ascii="Times New Roman" w:hAnsi="Times New Roman"/>
          <w:sz w:val="20"/>
          <w:szCs w:val="20"/>
        </w:rPr>
        <w:t xml:space="preserve"> it s</w:t>
      </w:r>
      <w:r w:rsidR="00A33DF9" w:rsidRPr="004D19FF">
        <w:rPr>
          <w:rFonts w:ascii="Times New Roman" w:hAnsi="Times New Roman"/>
          <w:sz w:val="20"/>
          <w:szCs w:val="20"/>
        </w:rPr>
        <w:t>uitable as a blending component</w:t>
      </w:r>
      <w:r w:rsidR="000E359F" w:rsidRPr="004D19FF">
        <w:rPr>
          <w:rFonts w:ascii="Times New Roman" w:hAnsi="Times New Roman"/>
          <w:sz w:val="20"/>
          <w:szCs w:val="20"/>
        </w:rPr>
        <w:t xml:space="preserve"> for the production of premium-grade fuels</w:t>
      </w:r>
      <w:r w:rsidR="0084508B" w:rsidRPr="004D19FF">
        <w:rPr>
          <w:rFonts w:ascii="Times New Roman" w:hAnsi="Times New Roman"/>
          <w:sz w:val="20"/>
          <w:szCs w:val="20"/>
        </w:rPr>
        <w:t xml:space="preserve"> </w:t>
      </w:r>
      <w:r w:rsidR="007D22F1"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VFyJGed","properties":{"formattedCitation":"[182]","plainCitation":"[182]","noteIndex":0},"citationItems":[{"id":"968HXJ10/muq6uDrk","uris":["http://www.mendeley.com/documents/?uuid=9d328f20-9d83-4883-a5db-105c33cd5d4d"],"uri":["http://www.mendeley.com/documents/?uuid=9d328f20-9d83-4883-a5db-105c33cd5d4d"],"itemData":{"DOI":"10.1021/ie5032056","ISSN":"15205045","abstract":"Isooctane is a valuable octane enhancer for gasoline and the primary component of aviation gasoline, also known as Avgas, because of its high antiknock quality. Conventional industrial processes for isooctane production involve the steps of dimerization of isobutene, dimer separation, and hydrogenation. The efficacy of catalytic distillation (CD) and its merits, in terms of energy savings and reduction of greenhouse gas emissions, for the production of isooctane are quantitatively presented. The feed considered for the isooctane production is composed of isobutene (C&lt;inf&gt;4&lt;/inf&gt;) and inerts (isopentane) produced in refineries as byproducts of steam cracking of naphtha and light gas oil. Process flow sheets for the two routes for the production of isooctane, with and without CD, are modeled. The conventional industrial flow sheet composed of a dimerization reactor, distillation column, and a hydrogenation reactor (configuration A), is simulated using Aspen Plus. The intensified process flow sheet comprising a CD column for the dimerization, hydrogenation, and separation (configuration B) is modeled using gPROMS. A validated, nonequilibrium, three-phase model is developed in a gPROMS environment and is used to quantify the energy savings and reduction of carbon dioxide emissions achieved using a CD column for the intensified process. Results demonstrate CD to be a promising candidate to replicate the conversions and product purity obtained in the conventional process while resulting in significant energy savings, more efficient utilization of isobutene feed, and reduced carbon dioxide emissions.","author":[{"dropping-particle":"","family":"Goortani","given":"Behnam M.","non-dropping-particle":"","parse-names":false,"suffix":""},{"dropping-particle":"","family":"Gaurav","given":"Aashish","non-dropping-particle":"","parse-names":false,"suffix":""},{"dropping-particle":"","family":"Deshpande","given":"Alisha","non-dropping-particle":"","parse-names":false,"suffix":""},{"dropping-particle":"","family":"Ng","given":"Flora T.T.","non-dropping-particle":"","parse-names":false,"suffix":""},{"dropping-particle":"","family":"Rempel","given":"Garry L.","non-dropping-particle":"","parse-names":false,"suffix":""}],"container-title":"Industrial and Engineering Chemistry Research","id":"ITEM-1","issue":"14","issued":{"date-parts":[["2015"]]},"page":"3570-3581","title":"Production of isooctane from isobutene: Energy integration and carbon dioxide abatement via catalytic distillation","type":"article-journal","volume":"54"}}],"schema":"https://github.com/citation-style-language/schema/raw/master/csl-citation.json"} </w:instrText>
      </w:r>
      <w:r w:rsidR="007D22F1" w:rsidRPr="004D19FF">
        <w:rPr>
          <w:rFonts w:ascii="Times New Roman" w:hAnsi="Times New Roman"/>
          <w:sz w:val="20"/>
          <w:szCs w:val="20"/>
        </w:rPr>
        <w:fldChar w:fldCharType="separate"/>
      </w:r>
      <w:r w:rsidR="005D3B73" w:rsidRPr="005D3B73">
        <w:rPr>
          <w:rFonts w:ascii="Times New Roman" w:hAnsi="Times New Roman" w:cs="Times New Roman"/>
          <w:sz w:val="20"/>
        </w:rPr>
        <w:t>[182]</w:t>
      </w:r>
      <w:r w:rsidR="007D22F1" w:rsidRPr="004D19FF">
        <w:rPr>
          <w:rFonts w:ascii="Times New Roman" w:hAnsi="Times New Roman"/>
          <w:sz w:val="20"/>
          <w:szCs w:val="20"/>
        </w:rPr>
        <w:fldChar w:fldCharType="end"/>
      </w:r>
      <w:r w:rsidR="000E359F" w:rsidRPr="004D19FF">
        <w:rPr>
          <w:rFonts w:ascii="Times New Roman" w:hAnsi="Times New Roman"/>
          <w:sz w:val="20"/>
          <w:szCs w:val="20"/>
        </w:rPr>
        <w:t>.</w:t>
      </w:r>
      <w:r w:rsidRPr="004D19FF">
        <w:rPr>
          <w:rFonts w:ascii="Times New Roman" w:hAnsi="Times New Roman"/>
          <w:sz w:val="20"/>
          <w:szCs w:val="20"/>
        </w:rPr>
        <w:t xml:space="preserve"> Isooctane is typically produced </w:t>
      </w:r>
      <w:r w:rsidR="000E359F" w:rsidRPr="004D19FF">
        <w:rPr>
          <w:rFonts w:ascii="Times New Roman" w:hAnsi="Times New Roman"/>
          <w:sz w:val="20"/>
          <w:szCs w:val="20"/>
        </w:rPr>
        <w:t>through</w:t>
      </w:r>
      <w:r w:rsidRPr="004D19FF">
        <w:rPr>
          <w:rFonts w:ascii="Times New Roman" w:hAnsi="Times New Roman"/>
          <w:sz w:val="20"/>
          <w:szCs w:val="20"/>
        </w:rPr>
        <w:t xml:space="preserve"> the dimerization of</w:t>
      </w:r>
      <w:r w:rsidR="009A6AC4" w:rsidRPr="004D19FF">
        <w:rPr>
          <w:rFonts w:ascii="Times New Roman" w:hAnsi="Times New Roman"/>
          <w:sz w:val="20"/>
          <w:szCs w:val="20"/>
        </w:rPr>
        <w:t xml:space="preserve"> isobutene and isope</w:t>
      </w:r>
      <w:r w:rsidRPr="004D19FF">
        <w:rPr>
          <w:rFonts w:ascii="Times New Roman" w:hAnsi="Times New Roman"/>
          <w:sz w:val="20"/>
          <w:szCs w:val="20"/>
        </w:rPr>
        <w:t>ntene generated as by-products from steam cracking of naphtha a</w:t>
      </w:r>
      <w:r w:rsidR="00A33DF9" w:rsidRPr="004D19FF">
        <w:rPr>
          <w:rFonts w:ascii="Times New Roman" w:hAnsi="Times New Roman"/>
          <w:sz w:val="20"/>
          <w:szCs w:val="20"/>
        </w:rPr>
        <w:t>n</w:t>
      </w:r>
      <w:r w:rsidR="006418FC">
        <w:rPr>
          <w:rFonts w:ascii="Times New Roman" w:hAnsi="Times New Roman"/>
          <w:sz w:val="20"/>
          <w:szCs w:val="20"/>
        </w:rPr>
        <w:t>d light gas oil in refineries</w:t>
      </w:r>
      <w:r w:rsidR="00A33DF9" w:rsidRPr="004D19FF">
        <w:rPr>
          <w:rFonts w:ascii="Times New Roman" w:hAnsi="Times New Roman"/>
          <w:sz w:val="20"/>
          <w:szCs w:val="20"/>
        </w:rPr>
        <w:t xml:space="preserve">, </w:t>
      </w:r>
      <w:r w:rsidRPr="004D19FF">
        <w:rPr>
          <w:rFonts w:ascii="Times New Roman" w:hAnsi="Times New Roman"/>
          <w:sz w:val="20"/>
          <w:szCs w:val="20"/>
        </w:rPr>
        <w:t xml:space="preserve">dimer separation and hydrogenation in conventional industrial processes </w:t>
      </w:r>
      <w:r w:rsidR="002524C4"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3YpWeuY","properties":{"formattedCitation":"[182]","plainCitation":"[182]","noteIndex":0},"citationItems":[{"id":"968HXJ10/muq6uDrk","uris":["http://www.mendeley.com/documents/?uuid=9d328f20-9d83-4883-a5db-105c33cd5d4d"],"uri":["http://www.mendeley.com/documents/?uuid=9d328f20-9d83-4883-a5db-105c33cd5d4d"],"itemData":{"DOI":"10.1021/ie5032056","ISSN":"15205045","abstract":"Isooctane is a valuable octane enhancer for gasoline and the primary component of aviation gasoline, also known as Avgas, because of its high antiknock quality. Conventional industrial processes for isooctane production involve the steps of dimerization of isobutene, dimer separation, and hydrogenation. The efficacy of catalytic distillation (CD) and its merits, in terms of energy savings and reduction of greenhouse gas emissions, for the production of isooctane are quantitatively presented. The feed considered for the isooctane production is composed of isobutene (C&lt;inf&gt;4&lt;/inf&gt;) and inerts (isopentane) produced in refineries as byproducts of steam cracking of naphtha and light gas oil. Process flow sheets for the two routes for the production of isooctane, with and without CD, are modeled. The conventional industrial flow sheet composed of a dimerization reactor, distillation column, and a hydrogenation reactor (configuration A), is simulated using Aspen Plus. The intensified process flow sheet comprising a CD column for the dimerization, hydrogenation, and separation (configuration B) is modeled using gPROMS. A validated, nonequilibrium, three-phase model is developed in a gPROMS environment and is used to quantify the energy savings and reduction of carbon dioxide emissions achieved using a CD column for the intensified process. Results demonstrate CD to be a promising candidate to replicate the conversions and product purity obtained in the conventional process while resulting in significant energy savings, more efficient utilization of isobutene feed, and reduced carbon dioxide emissions.","author":[{"dropping-particle":"","family":"Goortani","given":"Behnam M.","non-dropping-particle":"","parse-names":false,"suffix":""},{"dropping-particle":"","family":"Gaurav","given":"Aashish","non-dropping-particle":"","parse-names":false,"suffix":""},{"dropping-particle":"","family":"Deshpande","given":"Alisha","non-dropping-particle":"","parse-names":false,"suffix":""},{"dropping-particle":"","family":"Ng","given":"Flora T.T.","non-dropping-particle":"","parse-names":false,"suffix":""},{"dropping-particle":"","family":"Rempel","given":"Garry L.","non-dropping-particle":"","parse-names":false,"suffix":""}],"container-title":"Industrial and Engineering Chemistry Research","id":"ITEM-1","issue":"14","issued":{"date-parts":[["2015"]]},"page":"3570-3581","title":"Production of isooctane from isobutene: Energy integration and carbon dioxide abatement via catalytic distillation","type":"article-journal","volume":"54"}}],"schema":"https://github.com/citation-style-language/schema/raw/master/csl-citation.json"} </w:instrText>
      </w:r>
      <w:r w:rsidR="002524C4" w:rsidRPr="004D19FF">
        <w:rPr>
          <w:rFonts w:ascii="Times New Roman" w:hAnsi="Times New Roman"/>
          <w:sz w:val="20"/>
          <w:szCs w:val="20"/>
        </w:rPr>
        <w:fldChar w:fldCharType="separate"/>
      </w:r>
      <w:r w:rsidR="005D3B73" w:rsidRPr="005D3B73">
        <w:rPr>
          <w:rFonts w:ascii="Times New Roman" w:hAnsi="Times New Roman" w:cs="Times New Roman"/>
          <w:sz w:val="20"/>
        </w:rPr>
        <w:t>[182]</w:t>
      </w:r>
      <w:r w:rsidR="002524C4" w:rsidRPr="004D19FF">
        <w:rPr>
          <w:rFonts w:ascii="Times New Roman" w:hAnsi="Times New Roman"/>
          <w:sz w:val="20"/>
          <w:szCs w:val="20"/>
        </w:rPr>
        <w:fldChar w:fldCharType="end"/>
      </w:r>
      <w:r w:rsidRPr="004D19FF">
        <w:rPr>
          <w:rFonts w:ascii="Times New Roman" w:hAnsi="Times New Roman"/>
          <w:sz w:val="20"/>
          <w:szCs w:val="20"/>
        </w:rPr>
        <w:t xml:space="preserve">. </w:t>
      </w:r>
      <w:r w:rsidR="000E359F" w:rsidRPr="004D19FF">
        <w:rPr>
          <w:rFonts w:ascii="Times New Roman" w:hAnsi="Times New Roman"/>
          <w:sz w:val="20"/>
          <w:szCs w:val="20"/>
        </w:rPr>
        <w:t xml:space="preserve">Isooctane is further used as a feedstock to produce gasoline, in a process where it is </w:t>
      </w:r>
      <w:r w:rsidR="00E1204E" w:rsidRPr="004D19FF">
        <w:rPr>
          <w:rFonts w:ascii="Times New Roman" w:hAnsi="Times New Roman"/>
          <w:sz w:val="20"/>
          <w:szCs w:val="20"/>
        </w:rPr>
        <w:t xml:space="preserve">blended with naphtha </w:t>
      </w:r>
      <w:r w:rsidR="00E1204E"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GKgSKjc0","properties":{"formattedCitation":"[183]","plainCitation":"[183]","noteIndex":0},"citationItems":[{"id":"968HXJ10/ZsYME7V5","uris":["http://www.mendeley.com/documents/?uuid=eefd0f3b-f811-3ae0-a397-b281bd7ac71e"],"uri":["http://www.mendeley.com/documents/?uuid=eefd0f3b-f811-3ae0-a397-b281bd7ac71e"],"itemData":{"URL":"https://gevo.com/products/renewable-gasoline/","accessed":{"date-parts":[["2020","1","29"]]},"author":[{"dropping-particle":"","family":"Gevo","given":"","non-dropping-particle":"","parse-names":false,"suffix":""}],"container-title":"Gevo Inc.","id":"ITEM-1","issued":{"date-parts":[["2019"]]},"title":"Bio-Based Gasoline for High-Performance Engines","type":"webpage"}}],"schema":"https://github.com/citation-style-language/schema/raw/master/csl-citation.json"} </w:instrText>
      </w:r>
      <w:r w:rsidR="00E1204E" w:rsidRPr="004D19FF">
        <w:rPr>
          <w:rFonts w:ascii="Times New Roman" w:hAnsi="Times New Roman"/>
          <w:sz w:val="20"/>
          <w:szCs w:val="20"/>
        </w:rPr>
        <w:fldChar w:fldCharType="separate"/>
      </w:r>
      <w:r w:rsidR="005D3B73" w:rsidRPr="005D3B73">
        <w:rPr>
          <w:rFonts w:ascii="Times New Roman" w:hAnsi="Times New Roman" w:cs="Times New Roman"/>
          <w:sz w:val="20"/>
        </w:rPr>
        <w:t>[183]</w:t>
      </w:r>
      <w:r w:rsidR="00E1204E" w:rsidRPr="004D19FF">
        <w:rPr>
          <w:rFonts w:ascii="Times New Roman" w:hAnsi="Times New Roman"/>
          <w:sz w:val="20"/>
          <w:szCs w:val="20"/>
        </w:rPr>
        <w:fldChar w:fldCharType="end"/>
      </w:r>
      <w:r w:rsidR="000E359F" w:rsidRPr="004D19FF">
        <w:rPr>
          <w:rFonts w:ascii="Times New Roman" w:hAnsi="Times New Roman"/>
          <w:sz w:val="20"/>
          <w:szCs w:val="20"/>
        </w:rPr>
        <w:t xml:space="preserve">. </w:t>
      </w:r>
    </w:p>
    <w:p w14:paraId="42D8439F" w14:textId="5E2AED0B" w:rsidR="000E359F" w:rsidRPr="004D19FF" w:rsidRDefault="000E359F" w:rsidP="00AF19F3">
      <w:pPr>
        <w:spacing w:line="276" w:lineRule="auto"/>
        <w:jc w:val="thaiDistribute"/>
        <w:rPr>
          <w:rFonts w:ascii="Times New Roman" w:hAnsi="Times New Roman"/>
          <w:sz w:val="20"/>
          <w:szCs w:val="20"/>
        </w:rPr>
      </w:pPr>
      <w:r w:rsidRPr="004D19FF">
        <w:rPr>
          <w:rFonts w:ascii="Times New Roman" w:hAnsi="Times New Roman"/>
          <w:sz w:val="20"/>
          <w:szCs w:val="20"/>
        </w:rPr>
        <w:t xml:space="preserve">The major market for the isooctane co-product </w:t>
      </w:r>
      <w:r w:rsidR="00F4681B" w:rsidRPr="004D19FF">
        <w:rPr>
          <w:rFonts w:ascii="Times New Roman" w:hAnsi="Times New Roman"/>
          <w:sz w:val="20"/>
          <w:szCs w:val="20"/>
        </w:rPr>
        <w:t>generated in the production of aviation biofuels</w:t>
      </w:r>
      <w:r w:rsidRPr="004D19FF">
        <w:rPr>
          <w:rFonts w:ascii="Times New Roman" w:hAnsi="Times New Roman"/>
          <w:sz w:val="20"/>
          <w:szCs w:val="20"/>
        </w:rPr>
        <w:t xml:space="preserve"> appears to be its use as drop-in blending component for the automotive industry, with a </w:t>
      </w:r>
      <w:r w:rsidR="00F531CA" w:rsidRPr="004D19FF">
        <w:rPr>
          <w:rFonts w:ascii="Times New Roman" w:hAnsi="Times New Roman"/>
          <w:sz w:val="20"/>
          <w:szCs w:val="20"/>
        </w:rPr>
        <w:t xml:space="preserve">global </w:t>
      </w:r>
      <w:r w:rsidRPr="004D19FF">
        <w:rPr>
          <w:rFonts w:ascii="Times New Roman" w:hAnsi="Times New Roman"/>
          <w:sz w:val="20"/>
          <w:szCs w:val="20"/>
        </w:rPr>
        <w:t xml:space="preserve">market reaching $99 billion in 2019 </w:t>
      </w:r>
      <w:r w:rsidR="00BC766B"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BD6SFuq6","properties":{"formattedCitation":"[184]","plainCitation":"[184]","noteIndex":0},"citationItems":[{"id":"968HXJ10/vHFzd9gd","uris":["http://www.mendeley.com/documents/?uuid=4f28324b-a692-3a3d-91fa-d679055ef55a"],"uri":["http://www.mendeley.com/documents/?uuid=4f28324b-a692-3a3d-91fa-d679055ef55a"],"itemData":{"URL":"https://communalnews.com/isooctane-market-to-increase-considerably/","accessed":{"date-parts":[["2020","3","4"]]},"author":[{"dropping-particle":"","family":"Bhoot","given":"K.","non-dropping-particle":"","parse-names":false,"suffix":""}],"container-title":"Communal News","id":"ITEM-1","issued":{"date-parts":[["2019"]]},"title":"Isooctane Market to Increase Considerably","type":"webpage"}}],"schema":"https://github.com/citation-style-language/schema/raw/master/csl-citation.json"} </w:instrText>
      </w:r>
      <w:r w:rsidR="00BC766B" w:rsidRPr="004D19FF">
        <w:rPr>
          <w:rFonts w:ascii="Times New Roman" w:hAnsi="Times New Roman"/>
          <w:sz w:val="20"/>
          <w:szCs w:val="20"/>
        </w:rPr>
        <w:fldChar w:fldCharType="separate"/>
      </w:r>
      <w:r w:rsidR="005D3B73" w:rsidRPr="005D3B73">
        <w:rPr>
          <w:rFonts w:ascii="Times New Roman" w:hAnsi="Times New Roman" w:cs="Times New Roman"/>
          <w:sz w:val="20"/>
        </w:rPr>
        <w:t>[184]</w:t>
      </w:r>
      <w:r w:rsidR="00BC766B" w:rsidRPr="004D19FF">
        <w:rPr>
          <w:rFonts w:ascii="Times New Roman" w:hAnsi="Times New Roman"/>
          <w:sz w:val="20"/>
          <w:szCs w:val="20"/>
        </w:rPr>
        <w:fldChar w:fldCharType="end"/>
      </w:r>
      <w:r w:rsidRPr="004D19FF">
        <w:rPr>
          <w:rFonts w:ascii="Times New Roman" w:hAnsi="Times New Roman"/>
          <w:sz w:val="20"/>
          <w:szCs w:val="20"/>
        </w:rPr>
        <w:t>.</w:t>
      </w:r>
      <w:r w:rsidR="00AF19F3" w:rsidRPr="004D19FF">
        <w:rPr>
          <w:rFonts w:ascii="Times New Roman" w:hAnsi="Times New Roman"/>
          <w:sz w:val="20"/>
          <w:szCs w:val="20"/>
        </w:rPr>
        <w:t xml:space="preserve"> </w:t>
      </w:r>
      <w:r w:rsidRPr="004D19FF">
        <w:rPr>
          <w:rFonts w:ascii="Times New Roman" w:hAnsi="Times New Roman"/>
          <w:sz w:val="20"/>
          <w:szCs w:val="20"/>
        </w:rPr>
        <w:t xml:space="preserve">Yet, new markets are also emerging. </w:t>
      </w:r>
      <w:r w:rsidR="006407B2" w:rsidRPr="004D19FF">
        <w:rPr>
          <w:rFonts w:ascii="Times New Roman" w:hAnsi="Times New Roman"/>
          <w:sz w:val="20"/>
          <w:szCs w:val="20"/>
        </w:rPr>
        <w:t>F</w:t>
      </w:r>
      <w:r w:rsidR="00AF19F3" w:rsidRPr="004D19FF">
        <w:rPr>
          <w:rFonts w:ascii="Times New Roman" w:hAnsi="Times New Roman"/>
          <w:sz w:val="20"/>
          <w:szCs w:val="20"/>
        </w:rPr>
        <w:t xml:space="preserve">or </w:t>
      </w:r>
      <w:r w:rsidR="00B14E6C" w:rsidRPr="004D19FF">
        <w:rPr>
          <w:rFonts w:ascii="Times New Roman" w:hAnsi="Times New Roman"/>
          <w:sz w:val="20"/>
          <w:szCs w:val="20"/>
        </w:rPr>
        <w:t>in</w:t>
      </w:r>
      <w:r w:rsidR="001F7791">
        <w:rPr>
          <w:rFonts w:ascii="Times New Roman" w:hAnsi="Times New Roman"/>
          <w:sz w:val="20"/>
          <w:szCs w:val="20"/>
        </w:rPr>
        <w:t>stance, high purity solvents or</w:t>
      </w:r>
      <w:r w:rsidR="00B14E6C" w:rsidRPr="004D19FF">
        <w:rPr>
          <w:rFonts w:ascii="Times New Roman" w:hAnsi="Times New Roman"/>
          <w:sz w:val="20"/>
          <w:szCs w:val="20"/>
        </w:rPr>
        <w:t xml:space="preserve"> </w:t>
      </w:r>
      <w:r w:rsidR="00AF19F3" w:rsidRPr="004D19FF">
        <w:rPr>
          <w:rFonts w:ascii="Times New Roman" w:hAnsi="Times New Roman"/>
          <w:sz w:val="20"/>
          <w:szCs w:val="20"/>
        </w:rPr>
        <w:t>specialty fuels use</w:t>
      </w:r>
      <w:r w:rsidR="00B14E6C" w:rsidRPr="004D19FF">
        <w:rPr>
          <w:rFonts w:ascii="Times New Roman" w:hAnsi="Times New Roman"/>
          <w:sz w:val="20"/>
          <w:szCs w:val="20"/>
        </w:rPr>
        <w:t>d</w:t>
      </w:r>
      <w:r w:rsidR="00AF19F3" w:rsidRPr="004D19FF">
        <w:rPr>
          <w:rFonts w:ascii="Times New Roman" w:hAnsi="Times New Roman"/>
          <w:sz w:val="20"/>
          <w:szCs w:val="20"/>
        </w:rPr>
        <w:t xml:space="preserve"> for </w:t>
      </w:r>
      <w:r w:rsidR="00B14E6C" w:rsidRPr="004D19FF">
        <w:rPr>
          <w:rFonts w:ascii="Times New Roman" w:hAnsi="Times New Roman"/>
          <w:sz w:val="20"/>
          <w:szCs w:val="20"/>
        </w:rPr>
        <w:t>racing and classic cars</w:t>
      </w:r>
      <w:r w:rsidR="0038320F" w:rsidRPr="004D19FF">
        <w:rPr>
          <w:rFonts w:ascii="Times New Roman" w:hAnsi="Times New Roman"/>
          <w:sz w:val="20"/>
          <w:szCs w:val="20"/>
        </w:rPr>
        <w:t xml:space="preserve"> </w:t>
      </w:r>
      <w:r w:rsidR="002524C4"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1g1nYGTv","properties":{"formattedCitation":"[185]","plainCitation":"[185]","noteIndex":0},"citationItems":[{"id":"968HXJ10/QtmEBktz","uris":["http://www.mendeley.com/documents/?uuid=988da03f-3486-32ec-a341-108e06ce3b33"],"uri":["http://www.mendeley.com/documents/?uuid=988da03f-3486-32ec-a341-108e06ce3b33"],"itemData":{"URL":"https://www.h-c-s-group.com/hcs-group-signs-purchase-agreement-with-gevo-on-renewable-isooctane/","accessed":{"date-parts":[["2019","11","27"]]},"author":[{"dropping-particle":"","family":"HCS Group","given":"","non-dropping-particle":"","parse-names":false,"suffix":""}],"container-title":"HCS Group","id":"ITEM-1","issued":{"date-parts":[["2019"]]},"title":"HCS Group signs purchase agreement with Gevo on renewable isooctane","type":"webpage"}}],"schema":"https://github.com/citation-style-language/schema/raw/master/csl-citation.json"} </w:instrText>
      </w:r>
      <w:r w:rsidR="002524C4" w:rsidRPr="004D19FF">
        <w:rPr>
          <w:rFonts w:ascii="Times New Roman" w:hAnsi="Times New Roman"/>
          <w:sz w:val="20"/>
          <w:szCs w:val="20"/>
        </w:rPr>
        <w:fldChar w:fldCharType="separate"/>
      </w:r>
      <w:r w:rsidR="005D3B73" w:rsidRPr="005D3B73">
        <w:rPr>
          <w:rFonts w:ascii="Times New Roman" w:hAnsi="Times New Roman" w:cs="Times New Roman"/>
          <w:sz w:val="20"/>
        </w:rPr>
        <w:t>[185]</w:t>
      </w:r>
      <w:r w:rsidR="002524C4" w:rsidRPr="004D19FF">
        <w:rPr>
          <w:rFonts w:ascii="Times New Roman" w:hAnsi="Times New Roman"/>
          <w:sz w:val="20"/>
          <w:szCs w:val="20"/>
        </w:rPr>
        <w:fldChar w:fldCharType="end"/>
      </w:r>
      <w:r w:rsidR="00AF19F3" w:rsidRPr="004D19FF">
        <w:rPr>
          <w:rFonts w:ascii="Times New Roman" w:hAnsi="Times New Roman"/>
          <w:sz w:val="20"/>
          <w:szCs w:val="20"/>
        </w:rPr>
        <w:t>.</w:t>
      </w:r>
      <w:r w:rsidRPr="004D19FF">
        <w:rPr>
          <w:rFonts w:ascii="Times New Roman" w:hAnsi="Times New Roman"/>
          <w:sz w:val="20"/>
          <w:szCs w:val="20"/>
        </w:rPr>
        <w:t xml:space="preserve"> </w:t>
      </w:r>
    </w:p>
    <w:p w14:paraId="7DA7057F" w14:textId="77777777" w:rsidR="00AF19F3" w:rsidRPr="004D19FF" w:rsidRDefault="00AF19F3" w:rsidP="00AF19F3">
      <w:pPr>
        <w:spacing w:line="276" w:lineRule="auto"/>
        <w:jc w:val="thaiDistribute"/>
        <w:rPr>
          <w:rFonts w:ascii="Times New Roman" w:hAnsi="Times New Roman"/>
          <w:i/>
          <w:sz w:val="20"/>
          <w:szCs w:val="20"/>
        </w:rPr>
      </w:pPr>
      <w:r w:rsidRPr="004D19FF">
        <w:rPr>
          <w:rFonts w:ascii="Times New Roman" w:hAnsi="Times New Roman"/>
          <w:i/>
          <w:sz w:val="20"/>
          <w:szCs w:val="20"/>
        </w:rPr>
        <w:t>4.2.2 Gasoline</w:t>
      </w:r>
    </w:p>
    <w:p w14:paraId="0B8AD812" w14:textId="0726F0A7" w:rsidR="0038320F" w:rsidRPr="004D19FF" w:rsidRDefault="00AF19F3" w:rsidP="00AF19F3">
      <w:pPr>
        <w:spacing w:line="276" w:lineRule="auto"/>
        <w:jc w:val="thaiDistribute"/>
        <w:rPr>
          <w:rFonts w:ascii="Times New Roman" w:hAnsi="Times New Roman"/>
          <w:sz w:val="20"/>
          <w:szCs w:val="20"/>
        </w:rPr>
      </w:pPr>
      <w:r w:rsidRPr="004D19FF">
        <w:rPr>
          <w:rFonts w:ascii="Times New Roman" w:hAnsi="Times New Roman"/>
          <w:sz w:val="20"/>
          <w:szCs w:val="20"/>
        </w:rPr>
        <w:t>Gasoline is a refined product of p</w:t>
      </w:r>
      <w:r w:rsidR="00047280" w:rsidRPr="004D19FF">
        <w:rPr>
          <w:rFonts w:ascii="Times New Roman" w:hAnsi="Times New Roman"/>
          <w:sz w:val="20"/>
          <w:szCs w:val="20"/>
        </w:rPr>
        <w:t xml:space="preserve">etroleum consisting of hydrocarbon </w:t>
      </w:r>
      <w:r w:rsidRPr="004D19FF">
        <w:rPr>
          <w:rFonts w:ascii="Times New Roman" w:hAnsi="Times New Roman"/>
          <w:sz w:val="20"/>
          <w:szCs w:val="20"/>
        </w:rPr>
        <w:t>mixtures, additives and blending agen</w:t>
      </w:r>
      <w:r w:rsidR="009462F0" w:rsidRPr="004D19FF">
        <w:rPr>
          <w:rFonts w:ascii="Times New Roman" w:hAnsi="Times New Roman"/>
          <w:sz w:val="20"/>
          <w:szCs w:val="20"/>
        </w:rPr>
        <w:t>ts. The gasoline composition strongly depends</w:t>
      </w:r>
      <w:r w:rsidRPr="004D19FF">
        <w:rPr>
          <w:rFonts w:ascii="Times New Roman" w:hAnsi="Times New Roman"/>
          <w:sz w:val="20"/>
          <w:szCs w:val="20"/>
        </w:rPr>
        <w:t xml:space="preserve"> on various parameters such as the crude oil sources, </w:t>
      </w:r>
      <w:r w:rsidR="00041AD9">
        <w:rPr>
          <w:rFonts w:ascii="Times New Roman" w:hAnsi="Times New Roman"/>
          <w:sz w:val="20"/>
          <w:szCs w:val="20"/>
        </w:rPr>
        <w:t xml:space="preserve">the refinery process available and product specification </w:t>
      </w:r>
      <w:r w:rsidRPr="004D19FF">
        <w:rPr>
          <w:rFonts w:ascii="Times New Roman" w:hAnsi="Times New Roman"/>
          <w:sz w:val="20"/>
          <w:szCs w:val="20"/>
        </w:rPr>
        <w:t>defined by octane rating</w:t>
      </w:r>
      <w:r w:rsidR="0022287D" w:rsidRPr="004D19FF">
        <w:rPr>
          <w:rFonts w:ascii="Times New Roman" w:hAnsi="Times New Roman"/>
          <w:sz w:val="20"/>
          <w:szCs w:val="20"/>
        </w:rPr>
        <w:t xml:space="preserve"> </w:t>
      </w:r>
      <w:r w:rsidR="00E40E59"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9ePzLWF1","properties":{"formattedCitation":"[186]","plainCitation":"[186]","noteIndex":0},"citationItems":[{"id":"968HXJ10/dt5vKQG1","uris":["http://www.mendeley.com/documents/?uuid=119ecac4-211f-4e43-b28f-0e53dd49d822"],"uri":["http://www.mendeley.com/documents/?uuid=119ecac4-211f-4e43-b28f-0e53dd49d822"],"itemData":{"DOI":"10.33945/sami/pcbr.2020.1.2","ISSN":"26767090","author":[{"dropping-particle":"","family":"Samimi","given":"Amir","non-dropping-particle":"","parse-names":false,"suffix":""},{"dropping-particle":"","family":"Kavousi","given":"Kasra","non-dropping-particle":"","parse-names":false,"suffix":""},{"dropping-particle":"","family":"Zarinabadi","given":"Soroush","non-dropping-particle":"","parse-names":false,"suffix":""},{"dropping-particle":"","family":"Bozorgian","given":"Alireza","non-dropping-particle":"","parse-names":false,"suffix":""}],"container-title":"Progress in Chemical and Biochemical Research","id":"ITEM-1","issue":"1","issued":{"date-parts":[["2020"]]},"page":"7-19","title":"Optimization of the Gasoline Production Plant in order to Increase Feed","type":"article-journal","volume":"3"}}],"schema":"https://github.com/citation-style-language/schema/raw/master/csl-citation.json"} </w:instrText>
      </w:r>
      <w:r w:rsidR="00E40E59" w:rsidRPr="004D19FF">
        <w:rPr>
          <w:rFonts w:ascii="Times New Roman" w:hAnsi="Times New Roman"/>
          <w:sz w:val="20"/>
          <w:szCs w:val="20"/>
        </w:rPr>
        <w:fldChar w:fldCharType="separate"/>
      </w:r>
      <w:r w:rsidR="005D3B73" w:rsidRPr="005D3B73">
        <w:rPr>
          <w:rFonts w:ascii="Times New Roman" w:hAnsi="Times New Roman" w:cs="Times New Roman"/>
          <w:sz w:val="20"/>
        </w:rPr>
        <w:t>[186]</w:t>
      </w:r>
      <w:r w:rsidR="00E40E59" w:rsidRPr="004D19FF">
        <w:rPr>
          <w:rFonts w:ascii="Times New Roman" w:hAnsi="Times New Roman"/>
          <w:sz w:val="20"/>
          <w:szCs w:val="20"/>
        </w:rPr>
        <w:fldChar w:fldCharType="end"/>
      </w:r>
      <w:r w:rsidRPr="004D19FF">
        <w:rPr>
          <w:rFonts w:ascii="Times New Roman" w:hAnsi="Times New Roman"/>
          <w:sz w:val="20"/>
          <w:szCs w:val="20"/>
        </w:rPr>
        <w:t xml:space="preserve">. </w:t>
      </w:r>
      <w:r w:rsidR="009462F0" w:rsidRPr="004D19FF">
        <w:rPr>
          <w:rFonts w:ascii="Times New Roman" w:hAnsi="Times New Roman"/>
          <w:sz w:val="20"/>
          <w:szCs w:val="20"/>
        </w:rPr>
        <w:t xml:space="preserve">Gasoline may be generated in particular in the </w:t>
      </w:r>
      <w:r w:rsidR="00FD20C1" w:rsidRPr="004D19FF">
        <w:rPr>
          <w:rFonts w:ascii="Times New Roman" w:hAnsi="Times New Roman"/>
          <w:sz w:val="20"/>
          <w:szCs w:val="20"/>
        </w:rPr>
        <w:t xml:space="preserve">AF (Fig. 4) and </w:t>
      </w:r>
      <w:r w:rsidR="009462F0" w:rsidRPr="004D19FF">
        <w:rPr>
          <w:rFonts w:ascii="Times New Roman" w:hAnsi="Times New Roman"/>
          <w:sz w:val="20"/>
          <w:szCs w:val="20"/>
        </w:rPr>
        <w:t xml:space="preserve">FT </w:t>
      </w:r>
      <w:r w:rsidR="00B1485A" w:rsidRPr="004D19FF">
        <w:rPr>
          <w:rFonts w:ascii="Times New Roman" w:hAnsi="Times New Roman"/>
          <w:sz w:val="20"/>
          <w:szCs w:val="20"/>
        </w:rPr>
        <w:t>(Fig</w:t>
      </w:r>
      <w:r w:rsidR="002E7F79" w:rsidRPr="004D19FF">
        <w:rPr>
          <w:rFonts w:ascii="Times New Roman" w:hAnsi="Times New Roman"/>
          <w:sz w:val="20"/>
          <w:szCs w:val="20"/>
        </w:rPr>
        <w:t>s</w:t>
      </w:r>
      <w:r w:rsidR="00B1485A" w:rsidRPr="004D19FF">
        <w:rPr>
          <w:rFonts w:ascii="Times New Roman" w:hAnsi="Times New Roman"/>
          <w:sz w:val="20"/>
          <w:szCs w:val="20"/>
        </w:rPr>
        <w:t>. 6</w:t>
      </w:r>
      <w:r w:rsidR="002E7F79" w:rsidRPr="004D19FF">
        <w:rPr>
          <w:rFonts w:ascii="Times New Roman" w:hAnsi="Times New Roman"/>
          <w:sz w:val="20"/>
          <w:szCs w:val="20"/>
        </w:rPr>
        <w:t xml:space="preserve"> and 10</w:t>
      </w:r>
      <w:r w:rsidR="009462F0" w:rsidRPr="004D19FF">
        <w:rPr>
          <w:rFonts w:ascii="Times New Roman" w:hAnsi="Times New Roman"/>
          <w:sz w:val="20"/>
          <w:szCs w:val="20"/>
        </w:rPr>
        <w:t>)</w:t>
      </w:r>
      <w:r w:rsidR="00FD20C1" w:rsidRPr="004D19FF">
        <w:rPr>
          <w:rFonts w:ascii="Times New Roman" w:hAnsi="Times New Roman"/>
          <w:sz w:val="20"/>
          <w:szCs w:val="20"/>
        </w:rPr>
        <w:t xml:space="preserve"> </w:t>
      </w:r>
      <w:r w:rsidR="009462F0" w:rsidRPr="004D19FF">
        <w:rPr>
          <w:rFonts w:ascii="Times New Roman" w:hAnsi="Times New Roman"/>
          <w:sz w:val="20"/>
          <w:szCs w:val="20"/>
        </w:rPr>
        <w:t xml:space="preserve">pathways. In the latter, gasoline is not directly produced as a co-product, but can be produced from the isooctane generated as explained above. Similarly, </w:t>
      </w:r>
      <w:r w:rsidR="006C6F38" w:rsidRPr="004D19FF">
        <w:rPr>
          <w:rFonts w:ascii="Times New Roman" w:hAnsi="Times New Roman"/>
          <w:sz w:val="20"/>
          <w:szCs w:val="20"/>
        </w:rPr>
        <w:t>gasoline</w:t>
      </w:r>
      <w:r w:rsidR="009462F0" w:rsidRPr="004D19FF">
        <w:rPr>
          <w:rFonts w:ascii="Times New Roman" w:hAnsi="Times New Roman"/>
          <w:sz w:val="20"/>
          <w:szCs w:val="20"/>
        </w:rPr>
        <w:t xml:space="preserve"> </w:t>
      </w:r>
      <w:r w:rsidR="00637106" w:rsidRPr="004D19FF">
        <w:rPr>
          <w:rFonts w:ascii="Times New Roman" w:hAnsi="Times New Roman"/>
          <w:sz w:val="20"/>
          <w:szCs w:val="20"/>
        </w:rPr>
        <w:t>(C</w:t>
      </w:r>
      <w:r w:rsidR="00637106" w:rsidRPr="004D19FF">
        <w:rPr>
          <w:rFonts w:ascii="Times New Roman" w:hAnsi="Times New Roman"/>
          <w:sz w:val="20"/>
          <w:szCs w:val="20"/>
          <w:vertAlign w:val="subscript"/>
        </w:rPr>
        <w:t>5</w:t>
      </w:r>
      <w:r w:rsidR="00637106" w:rsidRPr="004D19FF">
        <w:rPr>
          <w:rFonts w:ascii="Times New Roman" w:hAnsi="Times New Roman"/>
          <w:sz w:val="20"/>
          <w:szCs w:val="20"/>
        </w:rPr>
        <w:t>-C</w:t>
      </w:r>
      <w:r w:rsidR="00637106" w:rsidRPr="004D19FF">
        <w:rPr>
          <w:rFonts w:ascii="Times New Roman" w:hAnsi="Times New Roman"/>
          <w:sz w:val="20"/>
          <w:szCs w:val="20"/>
          <w:vertAlign w:val="subscript"/>
        </w:rPr>
        <w:t>12</w:t>
      </w:r>
      <w:r w:rsidR="00637106" w:rsidRPr="004D19FF">
        <w:rPr>
          <w:rFonts w:ascii="Times New Roman" w:hAnsi="Times New Roman"/>
          <w:sz w:val="20"/>
          <w:szCs w:val="20"/>
        </w:rPr>
        <w:t xml:space="preserve"> hydrocarbon ranged) </w:t>
      </w:r>
      <w:r w:rsidR="009462F0" w:rsidRPr="004D19FF">
        <w:rPr>
          <w:rFonts w:ascii="Times New Roman" w:hAnsi="Times New Roman"/>
          <w:sz w:val="20"/>
          <w:szCs w:val="20"/>
        </w:rPr>
        <w:t>can also be produced from the</w:t>
      </w:r>
      <w:r w:rsidRPr="004D19FF">
        <w:rPr>
          <w:rFonts w:ascii="Times New Roman" w:hAnsi="Times New Roman"/>
          <w:sz w:val="20"/>
          <w:szCs w:val="20"/>
        </w:rPr>
        <w:t xml:space="preserve"> </w:t>
      </w:r>
      <w:r w:rsidR="00F56E3F" w:rsidRPr="004D19FF">
        <w:rPr>
          <w:rFonts w:ascii="Times New Roman" w:hAnsi="Times New Roman"/>
          <w:sz w:val="20"/>
          <w:szCs w:val="20"/>
        </w:rPr>
        <w:t>APR, SF</w:t>
      </w:r>
      <w:r w:rsidR="002518AD" w:rsidRPr="004D19FF">
        <w:rPr>
          <w:rFonts w:ascii="Times New Roman" w:hAnsi="Times New Roman"/>
          <w:sz w:val="20"/>
          <w:szCs w:val="20"/>
        </w:rPr>
        <w:t>, HDCJ, HRJ/HEFA and CHJ pathways</w:t>
      </w:r>
      <w:r w:rsidR="009462F0" w:rsidRPr="004D19FF">
        <w:rPr>
          <w:rFonts w:ascii="Times New Roman" w:hAnsi="Times New Roman"/>
          <w:sz w:val="20"/>
          <w:szCs w:val="20"/>
        </w:rPr>
        <w:t xml:space="preserve"> (</w:t>
      </w:r>
      <w:r w:rsidR="00B1485A" w:rsidRPr="004D19FF">
        <w:rPr>
          <w:rFonts w:ascii="Times New Roman" w:hAnsi="Times New Roman"/>
          <w:sz w:val="20"/>
          <w:szCs w:val="20"/>
        </w:rPr>
        <w:t>Fig</w:t>
      </w:r>
      <w:r w:rsidR="002518AD" w:rsidRPr="004D19FF">
        <w:rPr>
          <w:rFonts w:ascii="Times New Roman" w:hAnsi="Times New Roman"/>
          <w:sz w:val="20"/>
          <w:szCs w:val="20"/>
        </w:rPr>
        <w:t>s</w:t>
      </w:r>
      <w:r w:rsidR="00B1485A" w:rsidRPr="004D19FF">
        <w:rPr>
          <w:rFonts w:ascii="Times New Roman" w:hAnsi="Times New Roman"/>
          <w:sz w:val="20"/>
          <w:szCs w:val="20"/>
        </w:rPr>
        <w:t xml:space="preserve">. </w:t>
      </w:r>
      <w:r w:rsidR="002518AD" w:rsidRPr="004D19FF">
        <w:rPr>
          <w:rFonts w:ascii="Times New Roman" w:hAnsi="Times New Roman"/>
          <w:sz w:val="20"/>
          <w:szCs w:val="20"/>
        </w:rPr>
        <w:t>2, 5</w:t>
      </w:r>
      <w:r w:rsidR="00F56E3F" w:rsidRPr="004D19FF">
        <w:rPr>
          <w:rFonts w:ascii="Times New Roman" w:hAnsi="Times New Roman"/>
          <w:sz w:val="20"/>
          <w:szCs w:val="20"/>
        </w:rPr>
        <w:t>, 7-9</w:t>
      </w:r>
      <w:r w:rsidR="009462F0" w:rsidRPr="004D19FF">
        <w:rPr>
          <w:rFonts w:ascii="Times New Roman" w:hAnsi="Times New Roman"/>
          <w:sz w:val="20"/>
          <w:szCs w:val="20"/>
        </w:rPr>
        <w:t>)</w:t>
      </w:r>
      <w:r w:rsidR="00637106" w:rsidRPr="004D19FF">
        <w:rPr>
          <w:rFonts w:ascii="Times New Roman" w:hAnsi="Times New Roman"/>
          <w:sz w:val="20"/>
          <w:szCs w:val="20"/>
        </w:rPr>
        <w:t xml:space="preserve">; it </w:t>
      </w:r>
      <w:r w:rsidR="00805E13">
        <w:rPr>
          <w:rFonts w:ascii="Times New Roman" w:hAnsi="Times New Roman"/>
          <w:sz w:val="20"/>
          <w:szCs w:val="20"/>
        </w:rPr>
        <w:t>is not directly visible in the f</w:t>
      </w:r>
      <w:r w:rsidR="00637106" w:rsidRPr="004D19FF">
        <w:rPr>
          <w:rFonts w:ascii="Times New Roman" w:hAnsi="Times New Roman"/>
          <w:sz w:val="20"/>
          <w:szCs w:val="20"/>
        </w:rPr>
        <w:t>igures, but is captured within the naphtha fraction</w:t>
      </w:r>
      <w:r w:rsidRPr="004D19FF">
        <w:rPr>
          <w:rFonts w:ascii="Times New Roman" w:hAnsi="Times New Roman"/>
          <w:sz w:val="20"/>
          <w:szCs w:val="20"/>
        </w:rPr>
        <w:t>.</w:t>
      </w:r>
      <w:r w:rsidR="00637106" w:rsidRPr="004D19FF">
        <w:rPr>
          <w:rFonts w:ascii="Times New Roman" w:hAnsi="Times New Roman"/>
          <w:sz w:val="20"/>
          <w:szCs w:val="20"/>
        </w:rPr>
        <w:t xml:space="preserve"> The fraction generated strongly depends upon the operating conditions which in turn can, to some extent, be adjusted according to the market value of bio-based</w:t>
      </w:r>
      <w:r w:rsidR="00805E13">
        <w:rPr>
          <w:rFonts w:ascii="Times New Roman" w:hAnsi="Times New Roman"/>
          <w:sz w:val="20"/>
          <w:szCs w:val="20"/>
        </w:rPr>
        <w:t xml:space="preserve"> kerosene, diesel and gasoline. </w:t>
      </w:r>
      <w:r w:rsidR="00637106" w:rsidRPr="004D19FF">
        <w:rPr>
          <w:rFonts w:ascii="Times New Roman" w:hAnsi="Times New Roman"/>
          <w:sz w:val="20"/>
          <w:szCs w:val="20"/>
        </w:rPr>
        <w:t>For instance, i</w:t>
      </w:r>
      <w:r w:rsidR="00D15E1A" w:rsidRPr="004D19FF">
        <w:rPr>
          <w:rFonts w:ascii="Times New Roman" w:hAnsi="Times New Roman"/>
          <w:sz w:val="20"/>
          <w:szCs w:val="20"/>
        </w:rPr>
        <w:t xml:space="preserve">n the production of </w:t>
      </w:r>
      <w:r w:rsidR="000C4712" w:rsidRPr="004D19FF">
        <w:rPr>
          <w:rFonts w:ascii="Times New Roman" w:hAnsi="Times New Roman"/>
          <w:sz w:val="20"/>
          <w:szCs w:val="20"/>
        </w:rPr>
        <w:t>aviation biofuel</w:t>
      </w:r>
      <w:r w:rsidR="00D15E1A" w:rsidRPr="004D19FF">
        <w:rPr>
          <w:rFonts w:ascii="Times New Roman" w:hAnsi="Times New Roman"/>
          <w:sz w:val="20"/>
          <w:szCs w:val="20"/>
        </w:rPr>
        <w:t xml:space="preserve"> through </w:t>
      </w:r>
      <w:r w:rsidR="000B0C00" w:rsidRPr="004D19FF">
        <w:rPr>
          <w:rFonts w:ascii="Times New Roman" w:hAnsi="Times New Roman"/>
          <w:sz w:val="20"/>
          <w:szCs w:val="20"/>
        </w:rPr>
        <w:t>LTFT</w:t>
      </w:r>
      <w:r w:rsidR="00D15E1A" w:rsidRPr="004D19FF">
        <w:rPr>
          <w:rFonts w:ascii="Times New Roman" w:hAnsi="Times New Roman"/>
          <w:sz w:val="20"/>
          <w:szCs w:val="20"/>
        </w:rPr>
        <w:t xml:space="preserve"> process, </w:t>
      </w:r>
      <w:r w:rsidR="00637106" w:rsidRPr="004D19FF">
        <w:rPr>
          <w:rFonts w:ascii="Times New Roman" w:hAnsi="Times New Roman"/>
          <w:sz w:val="20"/>
          <w:szCs w:val="20"/>
        </w:rPr>
        <w:t xml:space="preserve">the proportions of gasoline observed correspond </w:t>
      </w:r>
      <w:r w:rsidR="00D15E1A" w:rsidRPr="004D19FF">
        <w:rPr>
          <w:rFonts w:ascii="Times New Roman" w:hAnsi="Times New Roman"/>
          <w:sz w:val="20"/>
          <w:szCs w:val="20"/>
        </w:rPr>
        <w:t xml:space="preserve">to approximately </w:t>
      </w:r>
      <w:r w:rsidR="00BA1D4F" w:rsidRPr="004D19FF">
        <w:rPr>
          <w:rFonts w:ascii="Times New Roman" w:hAnsi="Times New Roman"/>
          <w:sz w:val="20"/>
          <w:szCs w:val="20"/>
        </w:rPr>
        <w:t>10-15% of product distillation</w:t>
      </w:r>
      <w:r w:rsidR="00637106" w:rsidRPr="004D19FF">
        <w:rPr>
          <w:rFonts w:ascii="Times New Roman" w:hAnsi="Times New Roman"/>
          <w:sz w:val="20"/>
          <w:szCs w:val="20"/>
        </w:rPr>
        <w:t xml:space="preserve"> output</w:t>
      </w:r>
      <w:r w:rsidR="00BA1D4F" w:rsidRPr="004D19FF">
        <w:rPr>
          <w:rFonts w:ascii="Times New Roman" w:hAnsi="Times New Roman"/>
          <w:sz w:val="20"/>
          <w:szCs w:val="20"/>
        </w:rPr>
        <w:t xml:space="preserve"> </w:t>
      </w:r>
      <w:r w:rsidR="00E2400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vfCS5e87","properties":{"formattedCitation":"[187]","plainCitation":"[187]","noteIndex":0},"citationItems":[{"id":"968HXJ10/WGPirH1i","uris":["http://www.mendeley.com/documents/?uuid=f41bc0c4-9a35-4b9c-87a3-9ccb22acc75d"],"uri":["http://www.mendeley.com/documents/?uuid=f41bc0c4-9a35-4b9c-87a3-9ccb22acc75d"],"itemData":{"DOI":"10.1016/b978-0-12-804568-8.00010-x","ISBN":"9780128045688","abstract":"The production of aviation turbine fuel (jet fuel) from Fischer–Tropsch (F-T)-based biomass-to-liquids facilities is discussed. With the exception of biomass gasification, the process is independent of the nature of the raw material feed. Current DEF STAN 91-91 and ASTM D 7566 specifications make provisions for inclusion of refined F-T products in jet fuel as semi-synthetic jet fuel (blend up to 50 vol.% with petroleum-derived kerosene) or fully synthetic jet fuel (no petroleum-derived material). Isomerization of n-alkanes to iso-alkanes, synthesis of aromatics, and hydrotreating of alkenes and oxygenates to produce alkanes are necessary molecular transformations to produce fully synthetic jet fuel. Semi- and fully synthetic jet fuels are reviewed, as well as additional synthetic jet specification requirements and the refining technology to produce on-specification fully synthetic jet fuel.","author":[{"dropping-particle":"","family":"Klerk","given":"A.","non-dropping-particle":"de","parse-names":false,"suffix":""}],"container-title":"Biofuels for Aviation","id":"ITEM-1","issued":{"date-parts":[["2016"]]},"number-of-pages":"241-259","publisher":"Elsevier Inc.","title":"Aviation Turbine Fuels Through the Fischer–Tropsch Process","type":"book"}}],"schema":"https://github.com/citation-style-language/schema/raw/master/csl-citation.json"} </w:instrText>
      </w:r>
      <w:r w:rsidR="00E24002" w:rsidRPr="004D19FF">
        <w:rPr>
          <w:rFonts w:ascii="Times New Roman" w:hAnsi="Times New Roman"/>
          <w:sz w:val="20"/>
          <w:szCs w:val="20"/>
        </w:rPr>
        <w:fldChar w:fldCharType="separate"/>
      </w:r>
      <w:r w:rsidR="005D3B73" w:rsidRPr="005D3B73">
        <w:rPr>
          <w:rFonts w:ascii="Times New Roman" w:hAnsi="Times New Roman" w:cs="Times New Roman"/>
          <w:sz w:val="20"/>
        </w:rPr>
        <w:t>[187]</w:t>
      </w:r>
      <w:r w:rsidR="00E24002" w:rsidRPr="004D19FF">
        <w:rPr>
          <w:rFonts w:ascii="Times New Roman" w:hAnsi="Times New Roman"/>
          <w:sz w:val="20"/>
          <w:szCs w:val="20"/>
        </w:rPr>
        <w:fldChar w:fldCharType="end"/>
      </w:r>
      <w:r w:rsidRPr="004D19FF">
        <w:rPr>
          <w:rFonts w:ascii="Times New Roman" w:hAnsi="Times New Roman"/>
          <w:sz w:val="20"/>
          <w:szCs w:val="20"/>
        </w:rPr>
        <w:t xml:space="preserve">. </w:t>
      </w:r>
      <w:r w:rsidR="00896562" w:rsidRPr="004D19FF">
        <w:rPr>
          <w:rFonts w:ascii="Times New Roman" w:hAnsi="Times New Roman"/>
          <w:sz w:val="20"/>
          <w:szCs w:val="20"/>
        </w:rPr>
        <w:t>Additional information about renewable gasoline is described in the SM</w:t>
      </w:r>
      <w:r w:rsidR="0072359E">
        <w:rPr>
          <w:rFonts w:ascii="Times New Roman" w:hAnsi="Times New Roman"/>
          <w:sz w:val="20"/>
          <w:szCs w:val="20"/>
        </w:rPr>
        <w:t>1</w:t>
      </w:r>
      <w:r w:rsidR="00896562" w:rsidRPr="004D19FF">
        <w:rPr>
          <w:rFonts w:ascii="Times New Roman" w:hAnsi="Times New Roman"/>
          <w:sz w:val="20"/>
          <w:szCs w:val="20"/>
        </w:rPr>
        <w:t>.</w:t>
      </w:r>
    </w:p>
    <w:p w14:paraId="688FD2A0" w14:textId="77777777" w:rsidR="00AF19F3" w:rsidRPr="004D19FF" w:rsidRDefault="00AF19F3" w:rsidP="005D02CC">
      <w:pPr>
        <w:spacing w:after="120" w:line="276" w:lineRule="auto"/>
        <w:jc w:val="thaiDistribute"/>
        <w:rPr>
          <w:rFonts w:ascii="Times New Roman" w:hAnsi="Times New Roman"/>
          <w:i/>
          <w:sz w:val="20"/>
          <w:szCs w:val="20"/>
        </w:rPr>
      </w:pPr>
      <w:r w:rsidRPr="004D19FF">
        <w:rPr>
          <w:rFonts w:ascii="Times New Roman" w:hAnsi="Times New Roman"/>
          <w:i/>
          <w:sz w:val="20"/>
          <w:szCs w:val="20"/>
        </w:rPr>
        <w:t>4.2.3 Diesel</w:t>
      </w:r>
    </w:p>
    <w:p w14:paraId="709024C8" w14:textId="77777777" w:rsidR="00A522FB" w:rsidRPr="004D19FF" w:rsidRDefault="00AF19F3" w:rsidP="005D02CC">
      <w:pPr>
        <w:spacing w:after="120" w:line="276" w:lineRule="auto"/>
        <w:jc w:val="thaiDistribute"/>
        <w:rPr>
          <w:rFonts w:ascii="Times New Roman" w:hAnsi="Times New Roman"/>
          <w:sz w:val="20"/>
          <w:szCs w:val="20"/>
        </w:rPr>
      </w:pPr>
      <w:r w:rsidRPr="004D19FF">
        <w:rPr>
          <w:rFonts w:ascii="Times New Roman" w:hAnsi="Times New Roman"/>
          <w:sz w:val="20"/>
          <w:szCs w:val="20"/>
        </w:rPr>
        <w:lastRenderedPageBreak/>
        <w:t xml:space="preserve">Diesel is </w:t>
      </w:r>
      <w:r w:rsidR="00A522FB" w:rsidRPr="004D19FF">
        <w:rPr>
          <w:rFonts w:ascii="Times New Roman" w:hAnsi="Times New Roman"/>
          <w:sz w:val="20"/>
          <w:szCs w:val="20"/>
        </w:rPr>
        <w:t>a key fuel poweri</w:t>
      </w:r>
      <w:r w:rsidR="00BB2EEB" w:rsidRPr="004D19FF">
        <w:rPr>
          <w:rFonts w:ascii="Times New Roman" w:hAnsi="Times New Roman"/>
          <w:sz w:val="20"/>
          <w:szCs w:val="20"/>
        </w:rPr>
        <w:t xml:space="preserve">ng compression ignition engines. </w:t>
      </w:r>
      <w:r w:rsidR="00A522FB" w:rsidRPr="004D19FF">
        <w:rPr>
          <w:rFonts w:ascii="Times New Roman" w:hAnsi="Times New Roman"/>
          <w:sz w:val="20"/>
          <w:szCs w:val="20"/>
        </w:rPr>
        <w:t xml:space="preserve">As for gasoline, it is derived from petroleum refining, and its exact composition </w:t>
      </w:r>
      <w:r w:rsidRPr="004D19FF">
        <w:rPr>
          <w:rFonts w:ascii="Times New Roman" w:hAnsi="Times New Roman"/>
          <w:sz w:val="20"/>
          <w:szCs w:val="20"/>
        </w:rPr>
        <w:t>is influenced by market demands and prices</w:t>
      </w:r>
      <w:r w:rsidR="0051057E" w:rsidRPr="004D19FF">
        <w:rPr>
          <w:rFonts w:ascii="Times New Roman" w:hAnsi="Times New Roman"/>
          <w:sz w:val="20"/>
          <w:szCs w:val="20"/>
        </w:rPr>
        <w:t xml:space="preserve">. </w:t>
      </w:r>
    </w:p>
    <w:p w14:paraId="64DFF2A2" w14:textId="1C1E92A8" w:rsidR="00BF51E1" w:rsidRPr="004D19FF" w:rsidRDefault="00C9548E" w:rsidP="005D02CC">
      <w:pPr>
        <w:spacing w:after="120" w:line="276" w:lineRule="auto"/>
        <w:jc w:val="thaiDistribute"/>
        <w:rPr>
          <w:rFonts w:ascii="Times New Roman" w:hAnsi="Times New Roman"/>
          <w:sz w:val="20"/>
          <w:szCs w:val="20"/>
        </w:rPr>
      </w:pPr>
      <w:r w:rsidRPr="004D19FF">
        <w:rPr>
          <w:rFonts w:ascii="Times New Roman" w:hAnsi="Times New Roman"/>
          <w:sz w:val="20"/>
          <w:szCs w:val="20"/>
        </w:rPr>
        <w:t>Diesel with</w:t>
      </w:r>
      <w:r w:rsidR="00AF19F3" w:rsidRPr="004D19FF">
        <w:rPr>
          <w:rFonts w:ascii="Times New Roman" w:hAnsi="Times New Roman"/>
          <w:sz w:val="20"/>
          <w:szCs w:val="20"/>
        </w:rPr>
        <w:t xml:space="preserve"> carbon distribution ranging C</w:t>
      </w:r>
      <w:r w:rsidR="00AF19F3" w:rsidRPr="004D19FF">
        <w:rPr>
          <w:rFonts w:ascii="Times New Roman" w:hAnsi="Times New Roman"/>
          <w:sz w:val="20"/>
          <w:szCs w:val="20"/>
          <w:vertAlign w:val="subscript"/>
        </w:rPr>
        <w:t>10</w:t>
      </w:r>
      <w:r w:rsidR="00AF19F3" w:rsidRPr="004D19FF">
        <w:rPr>
          <w:rFonts w:ascii="Times New Roman" w:hAnsi="Times New Roman"/>
          <w:sz w:val="20"/>
          <w:szCs w:val="20"/>
        </w:rPr>
        <w:t>-C</w:t>
      </w:r>
      <w:r w:rsidR="00AF19F3" w:rsidRPr="004D19FF">
        <w:rPr>
          <w:rFonts w:ascii="Times New Roman" w:hAnsi="Times New Roman"/>
          <w:sz w:val="20"/>
          <w:szCs w:val="20"/>
          <w:vertAlign w:val="subscript"/>
        </w:rPr>
        <w:t>20</w:t>
      </w:r>
      <w:r w:rsidR="00AF19F3" w:rsidRPr="004D19FF">
        <w:rPr>
          <w:rFonts w:ascii="Times New Roman" w:hAnsi="Times New Roman"/>
          <w:sz w:val="20"/>
          <w:szCs w:val="20"/>
        </w:rPr>
        <w:t xml:space="preserve"> is </w:t>
      </w:r>
      <w:r w:rsidRPr="004D19FF">
        <w:rPr>
          <w:rFonts w:ascii="Times New Roman" w:hAnsi="Times New Roman"/>
          <w:sz w:val="20"/>
          <w:szCs w:val="20"/>
        </w:rPr>
        <w:t xml:space="preserve">produced in </w:t>
      </w:r>
      <w:r w:rsidR="00C4738B" w:rsidRPr="004D19FF">
        <w:rPr>
          <w:rFonts w:ascii="Times New Roman" w:hAnsi="Times New Roman"/>
          <w:sz w:val="20"/>
          <w:szCs w:val="20"/>
        </w:rPr>
        <w:t xml:space="preserve">aviation biofuel </w:t>
      </w:r>
      <w:r w:rsidR="00C70907" w:rsidRPr="004D19FF">
        <w:rPr>
          <w:rFonts w:ascii="Times New Roman" w:hAnsi="Times New Roman"/>
          <w:sz w:val="20"/>
          <w:szCs w:val="20"/>
        </w:rPr>
        <w:t>pathways such as S</w:t>
      </w:r>
      <w:r w:rsidR="00C4738B" w:rsidRPr="004D19FF">
        <w:rPr>
          <w:rFonts w:ascii="Times New Roman" w:hAnsi="Times New Roman"/>
          <w:sz w:val="20"/>
          <w:szCs w:val="20"/>
        </w:rPr>
        <w:t>F, FT (Figs. 2</w:t>
      </w:r>
      <w:r w:rsidR="00411EB7" w:rsidRPr="004D19FF">
        <w:rPr>
          <w:rFonts w:ascii="Times New Roman" w:hAnsi="Times New Roman"/>
          <w:sz w:val="20"/>
          <w:szCs w:val="20"/>
        </w:rPr>
        <w:t xml:space="preserve"> and 5</w:t>
      </w:r>
      <w:r w:rsidR="00C4738B" w:rsidRPr="004D19FF">
        <w:rPr>
          <w:rFonts w:ascii="Times New Roman" w:hAnsi="Times New Roman"/>
          <w:sz w:val="20"/>
          <w:szCs w:val="20"/>
        </w:rPr>
        <w:t>-9)</w:t>
      </w:r>
      <w:r w:rsidRPr="004D19FF">
        <w:rPr>
          <w:rFonts w:ascii="Times New Roman" w:hAnsi="Times New Roman"/>
          <w:sz w:val="20"/>
          <w:szCs w:val="20"/>
        </w:rPr>
        <w:t xml:space="preserve"> and in considerable volume</w:t>
      </w:r>
      <w:r w:rsidR="00BB2EEB" w:rsidRPr="004D19FF">
        <w:rPr>
          <w:rFonts w:ascii="Times New Roman" w:hAnsi="Times New Roman"/>
          <w:sz w:val="20"/>
          <w:szCs w:val="20"/>
        </w:rPr>
        <w:t>s</w:t>
      </w:r>
      <w:r w:rsidRPr="004D19FF">
        <w:rPr>
          <w:rFonts w:ascii="Times New Roman" w:hAnsi="Times New Roman"/>
          <w:sz w:val="20"/>
          <w:szCs w:val="20"/>
        </w:rPr>
        <w:t xml:space="preserve">. </w:t>
      </w:r>
      <w:r w:rsidR="00BB24C3">
        <w:rPr>
          <w:rFonts w:ascii="Times New Roman" w:hAnsi="Times New Roman"/>
          <w:sz w:val="20"/>
          <w:szCs w:val="20"/>
        </w:rPr>
        <w:t>It</w:t>
      </w:r>
      <w:r w:rsidR="00477895" w:rsidRPr="004D19FF">
        <w:rPr>
          <w:rFonts w:ascii="Times New Roman" w:hAnsi="Times New Roman"/>
          <w:sz w:val="20"/>
          <w:szCs w:val="20"/>
        </w:rPr>
        <w:t xml:space="preserve"> is</w:t>
      </w:r>
      <w:r w:rsidR="00A504DE" w:rsidRPr="004D19FF">
        <w:rPr>
          <w:rFonts w:ascii="Times New Roman" w:hAnsi="Times New Roman"/>
          <w:sz w:val="20"/>
          <w:szCs w:val="20"/>
        </w:rPr>
        <w:t xml:space="preserve"> optionally produ</w:t>
      </w:r>
      <w:r w:rsidR="0038140B" w:rsidRPr="004D19FF">
        <w:rPr>
          <w:rFonts w:ascii="Times New Roman" w:hAnsi="Times New Roman"/>
          <w:sz w:val="20"/>
          <w:szCs w:val="20"/>
        </w:rPr>
        <w:t xml:space="preserve">ced </w:t>
      </w:r>
      <w:r w:rsidR="00C70907" w:rsidRPr="004D19FF">
        <w:rPr>
          <w:rFonts w:ascii="Times New Roman" w:hAnsi="Times New Roman"/>
          <w:sz w:val="20"/>
          <w:szCs w:val="20"/>
        </w:rPr>
        <w:t>in the S</w:t>
      </w:r>
      <w:r w:rsidR="007F7613">
        <w:rPr>
          <w:rFonts w:ascii="Times New Roman" w:hAnsi="Times New Roman"/>
          <w:sz w:val="20"/>
          <w:szCs w:val="20"/>
        </w:rPr>
        <w:t>F pathway, derived from ethanol upgrading processes</w:t>
      </w:r>
      <w:r w:rsidR="00411EB7" w:rsidRPr="004D19FF">
        <w:rPr>
          <w:rFonts w:ascii="Times New Roman" w:hAnsi="Times New Roman"/>
          <w:sz w:val="20"/>
          <w:szCs w:val="20"/>
        </w:rPr>
        <w:t xml:space="preserve">. </w:t>
      </w:r>
      <w:r w:rsidR="006B33CF">
        <w:rPr>
          <w:rFonts w:ascii="Times New Roman" w:hAnsi="Times New Roman"/>
          <w:sz w:val="20"/>
          <w:szCs w:val="20"/>
        </w:rPr>
        <w:t>Furthermore, d</w:t>
      </w:r>
      <w:r w:rsidR="00A45CA9" w:rsidRPr="004D19FF">
        <w:rPr>
          <w:rFonts w:ascii="Times New Roman" w:hAnsi="Times New Roman"/>
          <w:sz w:val="20"/>
          <w:szCs w:val="20"/>
        </w:rPr>
        <w:t>iesel is</w:t>
      </w:r>
      <w:r w:rsidR="00BF5771" w:rsidRPr="004D19FF">
        <w:rPr>
          <w:rFonts w:ascii="Times New Roman" w:hAnsi="Times New Roman"/>
          <w:sz w:val="20"/>
          <w:szCs w:val="20"/>
        </w:rPr>
        <w:t xml:space="preserve"> </w:t>
      </w:r>
      <w:r w:rsidR="00361B22" w:rsidRPr="004D19FF">
        <w:rPr>
          <w:rFonts w:ascii="Times New Roman" w:hAnsi="Times New Roman"/>
          <w:sz w:val="20"/>
          <w:szCs w:val="20"/>
        </w:rPr>
        <w:t xml:space="preserve">also </w:t>
      </w:r>
      <w:r w:rsidR="00DD492C" w:rsidRPr="004D19FF">
        <w:rPr>
          <w:rFonts w:ascii="Times New Roman" w:hAnsi="Times New Roman"/>
          <w:sz w:val="20"/>
          <w:szCs w:val="20"/>
        </w:rPr>
        <w:t>generated as</w:t>
      </w:r>
      <w:r w:rsidR="00BF5771" w:rsidRPr="004D19FF">
        <w:rPr>
          <w:rFonts w:ascii="Times New Roman" w:hAnsi="Times New Roman"/>
          <w:sz w:val="20"/>
          <w:szCs w:val="20"/>
        </w:rPr>
        <w:t xml:space="preserve"> the </w:t>
      </w:r>
      <w:r w:rsidR="00477895" w:rsidRPr="004D19FF">
        <w:rPr>
          <w:rFonts w:ascii="Times New Roman" w:hAnsi="Times New Roman"/>
          <w:sz w:val="20"/>
          <w:szCs w:val="20"/>
        </w:rPr>
        <w:t xml:space="preserve">co-product from the </w:t>
      </w:r>
      <w:r w:rsidR="00411EB7" w:rsidRPr="004D19FF">
        <w:rPr>
          <w:rFonts w:ascii="Times New Roman" w:hAnsi="Times New Roman"/>
          <w:sz w:val="20"/>
          <w:szCs w:val="20"/>
        </w:rPr>
        <w:t xml:space="preserve">FT process where </w:t>
      </w:r>
      <w:r w:rsidR="00AB31A1" w:rsidRPr="004D19FF">
        <w:rPr>
          <w:rFonts w:ascii="Times New Roman" w:hAnsi="Times New Roman"/>
          <w:sz w:val="20"/>
          <w:szCs w:val="20"/>
        </w:rPr>
        <w:t>the volume produced</w:t>
      </w:r>
      <w:r w:rsidR="00477895" w:rsidRPr="004D19FF">
        <w:rPr>
          <w:rFonts w:ascii="Times New Roman" w:hAnsi="Times New Roman"/>
          <w:sz w:val="20"/>
          <w:szCs w:val="20"/>
        </w:rPr>
        <w:t xml:space="preserve"> is also depended upon the operating conditions </w:t>
      </w:r>
      <w:r w:rsidR="004866AE"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dic8qLht","properties":{"formattedCitation":"[187]","plainCitation":"[187]","noteIndex":0},"citationItems":[{"id":"968HXJ10/WGPirH1i","uris":["http://www.mendeley.com/documents/?uuid=f41bc0c4-9a35-4b9c-87a3-9ccb22acc75d"],"uri":["http://www.mendeley.com/documents/?uuid=f41bc0c4-9a35-4b9c-87a3-9ccb22acc75d"],"itemData":{"DOI":"10.1016/b978-0-12-804568-8.00010-x","ISBN":"9780128045688","abstract":"The production of aviation turbine fuel (jet fuel) from Fischer–Tropsch (F-T)-based biomass-to-liquids facilities is discussed. With the exception of biomass gasification, the process is independent of the nature of the raw material feed. Current DEF STAN 91-91 and ASTM D 7566 specifications make provisions for inclusion of refined F-T products in jet fuel as semi-synthetic jet fuel (blend up to 50 vol.% with petroleum-derived kerosene) or fully synthetic jet fuel (no petroleum-derived material). Isomerization of n-alkanes to iso-alkanes, synthesis of aromatics, and hydrotreating of alkenes and oxygenates to produce alkanes are necessary molecular transformations to produce fully synthetic jet fuel. Semi- and fully synthetic jet fuels are reviewed, as well as additional synthetic jet specification requirements and the refining technology to produce on-specification fully synthetic jet fuel.","author":[{"dropping-particle":"","family":"Klerk","given":"A.","non-dropping-particle":"de","parse-names":false,"suffix":""}],"container-title":"Biofuels for Aviation","id":"ITEM-1","issued":{"date-parts":[["2016"]]},"number-of-pages":"241-259","publisher":"Elsevier Inc.","title":"Aviation Turbine Fuels Through the Fischer–Tropsch Process","type":"book"}}],"schema":"https://github.com/citation-style-language/schema/raw/master/csl-citation.json"} </w:instrText>
      </w:r>
      <w:r w:rsidR="004866AE" w:rsidRPr="004D19FF">
        <w:rPr>
          <w:rFonts w:ascii="Times New Roman" w:hAnsi="Times New Roman"/>
          <w:sz w:val="20"/>
          <w:szCs w:val="20"/>
        </w:rPr>
        <w:fldChar w:fldCharType="separate"/>
      </w:r>
      <w:r w:rsidR="005D3B73" w:rsidRPr="005D3B73">
        <w:rPr>
          <w:rFonts w:ascii="Times New Roman" w:hAnsi="Times New Roman" w:cs="Times New Roman"/>
          <w:sz w:val="20"/>
        </w:rPr>
        <w:t>[187]</w:t>
      </w:r>
      <w:r w:rsidR="004866AE" w:rsidRPr="004D19FF">
        <w:rPr>
          <w:rFonts w:ascii="Times New Roman" w:hAnsi="Times New Roman"/>
          <w:sz w:val="20"/>
          <w:szCs w:val="20"/>
        </w:rPr>
        <w:fldChar w:fldCharType="end"/>
      </w:r>
      <w:r w:rsidR="00477895" w:rsidRPr="004D19FF">
        <w:rPr>
          <w:rFonts w:ascii="Times New Roman" w:hAnsi="Times New Roman"/>
          <w:sz w:val="20"/>
          <w:szCs w:val="20"/>
        </w:rPr>
        <w:t xml:space="preserve">. </w:t>
      </w:r>
    </w:p>
    <w:p w14:paraId="7E6C12EE" w14:textId="27C0467B" w:rsidR="006D347D" w:rsidRPr="004D19FF" w:rsidRDefault="00C9548E" w:rsidP="005D02CC">
      <w:pPr>
        <w:spacing w:after="120" w:line="276" w:lineRule="auto"/>
        <w:jc w:val="thaiDistribute"/>
        <w:rPr>
          <w:rFonts w:ascii="Times New Roman" w:hAnsi="Times New Roman"/>
          <w:sz w:val="20"/>
          <w:szCs w:val="20"/>
        </w:rPr>
      </w:pPr>
      <w:r w:rsidRPr="004D19FF">
        <w:rPr>
          <w:rFonts w:ascii="Times New Roman" w:hAnsi="Times New Roman"/>
          <w:sz w:val="20"/>
          <w:szCs w:val="20"/>
        </w:rPr>
        <w:t>The main market for the diesel co-product appears to be as a renewable</w:t>
      </w:r>
      <w:r w:rsidR="00E1157F">
        <w:rPr>
          <w:rFonts w:ascii="Times New Roman" w:hAnsi="Times New Roman"/>
          <w:sz w:val="20"/>
          <w:szCs w:val="20"/>
        </w:rPr>
        <w:t xml:space="preserve"> fuel for terrestrial transport</w:t>
      </w:r>
      <w:r w:rsidRPr="004D19FF">
        <w:rPr>
          <w:rFonts w:ascii="Times New Roman" w:hAnsi="Times New Roman"/>
          <w:sz w:val="20"/>
          <w:szCs w:val="20"/>
        </w:rPr>
        <w:t xml:space="preserve"> as reflected by several recent examples of purchasing agreements and collaboration deals detailed in the SM</w:t>
      </w:r>
      <w:r w:rsidR="00860EFB">
        <w:rPr>
          <w:rFonts w:ascii="Times New Roman" w:hAnsi="Times New Roman"/>
          <w:sz w:val="20"/>
          <w:szCs w:val="20"/>
        </w:rPr>
        <w:t>1</w:t>
      </w:r>
      <w:r w:rsidRPr="004D19FF">
        <w:rPr>
          <w:rFonts w:ascii="Times New Roman" w:hAnsi="Times New Roman"/>
          <w:sz w:val="20"/>
          <w:szCs w:val="20"/>
        </w:rPr>
        <w:t>. In California alone, the estimated consumption of renewable diesel was approximately 300 million gallons in 2016 and is forecasted to reach around 1 billion gallons by 2030</w:t>
      </w:r>
      <w:r w:rsidR="000F187E" w:rsidRPr="004D19FF">
        <w:rPr>
          <w:rFonts w:ascii="Times New Roman" w:hAnsi="Times New Roman"/>
          <w:sz w:val="20"/>
          <w:szCs w:val="20"/>
        </w:rPr>
        <w:t xml:space="preserve"> </w:t>
      </w:r>
      <w:r w:rsidR="00BB2EEB"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wHwybQo","properties":{"formattedCitation":"[188]","plainCitation":"[188]","noteIndex":0},"citationItems":[{"id":"968HXJ10/tZYBadqW","uris":["http://www.mendeley.com/documents/?uuid=63c1fb29-b742-3cc7-a111-ddce8e613cf5"],"uri":["http://www.mendeley.com/documents/?uuid=63c1fb29-b742-3cc7-a111-ddce8e613cf5"],"itemData":{"URL":"https://www.uop.com/processing-solutions/renewables/green-diesel/","abstract":"Produced from the Ecofining™ process, Honeywell Green Diesel meets or exceeds the most rigorous diesel performance standards, and can be made from a variety of sustainable feedstocks.","accessed":{"date-parts":[["2020","1","29"]]},"author":[{"dropping-particle":"","family":"honeywell","given":"","non-dropping-particle":"","parse-names":false,"suffix":""}],"container-title":"honeywell","id":"ITEM-1","issued":{"date-parts":[["2016"]]},"page":"2016","title":"Honeywell Green Diesel™ Ecofining Process","type":"webpage"}}],"schema":"https://github.com/citation-style-language/schema/raw/master/csl-citation.json"} </w:instrText>
      </w:r>
      <w:r w:rsidR="00BB2EEB" w:rsidRPr="004D19FF">
        <w:rPr>
          <w:rFonts w:ascii="Times New Roman" w:hAnsi="Times New Roman"/>
          <w:sz w:val="20"/>
          <w:szCs w:val="20"/>
        </w:rPr>
        <w:fldChar w:fldCharType="separate"/>
      </w:r>
      <w:r w:rsidR="005D3B73" w:rsidRPr="005D3B73">
        <w:rPr>
          <w:rFonts w:ascii="Times New Roman" w:hAnsi="Times New Roman" w:cs="Times New Roman"/>
          <w:sz w:val="20"/>
        </w:rPr>
        <w:t>[188]</w:t>
      </w:r>
      <w:r w:rsidR="00BB2EEB" w:rsidRPr="004D19FF">
        <w:rPr>
          <w:rFonts w:ascii="Times New Roman" w:hAnsi="Times New Roman"/>
          <w:sz w:val="20"/>
          <w:szCs w:val="20"/>
        </w:rPr>
        <w:fldChar w:fldCharType="end"/>
      </w:r>
      <w:r w:rsidR="00AF19F3" w:rsidRPr="004D19FF">
        <w:rPr>
          <w:rFonts w:ascii="Times New Roman" w:hAnsi="Times New Roman"/>
          <w:sz w:val="20"/>
          <w:szCs w:val="20"/>
        </w:rPr>
        <w:t xml:space="preserve">. </w:t>
      </w:r>
    </w:p>
    <w:p w14:paraId="131F2BC0" w14:textId="77777777" w:rsidR="00AF19F3" w:rsidRPr="004D19FF" w:rsidRDefault="00AF19F3" w:rsidP="005D02CC">
      <w:pPr>
        <w:spacing w:after="120" w:line="276" w:lineRule="auto"/>
        <w:jc w:val="thaiDistribute"/>
        <w:rPr>
          <w:rFonts w:ascii="Times New Roman" w:hAnsi="Times New Roman"/>
          <w:i/>
          <w:sz w:val="20"/>
          <w:szCs w:val="20"/>
        </w:rPr>
      </w:pPr>
      <w:r w:rsidRPr="004D19FF">
        <w:rPr>
          <w:rFonts w:ascii="Times New Roman" w:hAnsi="Times New Roman"/>
          <w:i/>
          <w:sz w:val="20"/>
          <w:szCs w:val="20"/>
        </w:rPr>
        <w:t>4.3 Others</w:t>
      </w:r>
    </w:p>
    <w:p w14:paraId="2DDE1ED2" w14:textId="77777777" w:rsidR="00AF19F3" w:rsidRPr="004D19FF" w:rsidRDefault="00AF19F3" w:rsidP="005D02CC">
      <w:pPr>
        <w:spacing w:after="120" w:line="276" w:lineRule="auto"/>
        <w:jc w:val="thaiDistribute"/>
        <w:rPr>
          <w:rFonts w:ascii="Times New Roman" w:hAnsi="Times New Roman"/>
          <w:i/>
          <w:sz w:val="20"/>
          <w:szCs w:val="20"/>
        </w:rPr>
      </w:pPr>
      <w:r w:rsidRPr="004D19FF">
        <w:rPr>
          <w:rFonts w:ascii="Times New Roman" w:hAnsi="Times New Roman"/>
          <w:i/>
          <w:sz w:val="20"/>
          <w:szCs w:val="20"/>
        </w:rPr>
        <w:t>4.3.1</w:t>
      </w:r>
      <w:r w:rsidR="0082419E" w:rsidRPr="004D19FF">
        <w:rPr>
          <w:rFonts w:ascii="Times New Roman" w:hAnsi="Times New Roman"/>
          <w:i/>
          <w:sz w:val="20"/>
          <w:szCs w:val="20"/>
        </w:rPr>
        <w:t>Waxes</w:t>
      </w:r>
    </w:p>
    <w:p w14:paraId="3D512F5D" w14:textId="08395C7B" w:rsidR="001A75F4" w:rsidRPr="004D19FF" w:rsidRDefault="006A4C30" w:rsidP="005D02CC">
      <w:pPr>
        <w:spacing w:after="120" w:line="276" w:lineRule="auto"/>
        <w:jc w:val="thaiDistribute"/>
        <w:rPr>
          <w:rFonts w:ascii="Times New Roman" w:hAnsi="Times New Roman"/>
          <w:sz w:val="20"/>
          <w:szCs w:val="20"/>
        </w:rPr>
      </w:pPr>
      <w:r>
        <w:rPr>
          <w:rFonts w:ascii="Times New Roman" w:hAnsi="Times New Roman"/>
          <w:sz w:val="20"/>
          <w:szCs w:val="20"/>
        </w:rPr>
        <w:t>Waxes</w:t>
      </w:r>
      <w:r w:rsidR="00AF19F3" w:rsidRPr="004D19FF">
        <w:rPr>
          <w:rFonts w:ascii="Times New Roman" w:hAnsi="Times New Roman"/>
          <w:sz w:val="20"/>
          <w:szCs w:val="20"/>
        </w:rPr>
        <w:t xml:space="preserve"> </w:t>
      </w:r>
      <w:r w:rsidR="004A5779" w:rsidRPr="004D19FF">
        <w:rPr>
          <w:rFonts w:ascii="Times New Roman" w:hAnsi="Times New Roman"/>
          <w:sz w:val="20"/>
          <w:szCs w:val="20"/>
        </w:rPr>
        <w:t>are generated as</w:t>
      </w:r>
      <w:r w:rsidR="0082419E" w:rsidRPr="004D19FF">
        <w:rPr>
          <w:rFonts w:ascii="Times New Roman" w:hAnsi="Times New Roman"/>
          <w:sz w:val="20"/>
          <w:szCs w:val="20"/>
        </w:rPr>
        <w:t xml:space="preserve"> </w:t>
      </w:r>
      <w:r w:rsidR="007D3E12" w:rsidRPr="004D19FF">
        <w:rPr>
          <w:rFonts w:ascii="Times New Roman" w:hAnsi="Times New Roman"/>
          <w:sz w:val="20"/>
          <w:szCs w:val="20"/>
        </w:rPr>
        <w:t xml:space="preserve">a </w:t>
      </w:r>
      <w:r w:rsidR="0082419E" w:rsidRPr="004D19FF">
        <w:rPr>
          <w:rFonts w:ascii="Times New Roman" w:hAnsi="Times New Roman"/>
          <w:sz w:val="20"/>
          <w:szCs w:val="20"/>
        </w:rPr>
        <w:t xml:space="preserve">co-product </w:t>
      </w:r>
      <w:r w:rsidR="004A5779" w:rsidRPr="004D19FF">
        <w:rPr>
          <w:rFonts w:ascii="Times New Roman" w:hAnsi="Times New Roman"/>
          <w:sz w:val="20"/>
          <w:szCs w:val="20"/>
        </w:rPr>
        <w:t>in</w:t>
      </w:r>
      <w:r w:rsidR="0082419E" w:rsidRPr="004D19FF">
        <w:rPr>
          <w:rFonts w:ascii="Times New Roman" w:hAnsi="Times New Roman"/>
          <w:sz w:val="20"/>
          <w:szCs w:val="20"/>
        </w:rPr>
        <w:t xml:space="preserve"> the </w:t>
      </w:r>
      <w:r w:rsidR="004A5779" w:rsidRPr="004D19FF">
        <w:rPr>
          <w:rFonts w:ascii="Times New Roman" w:hAnsi="Times New Roman"/>
          <w:sz w:val="20"/>
          <w:szCs w:val="20"/>
        </w:rPr>
        <w:t>FT pathway</w:t>
      </w:r>
      <w:r w:rsidR="0082419E" w:rsidRPr="004D19FF">
        <w:rPr>
          <w:rFonts w:ascii="Times New Roman" w:hAnsi="Times New Roman"/>
          <w:sz w:val="20"/>
          <w:szCs w:val="20"/>
        </w:rPr>
        <w:t xml:space="preserve"> (</w:t>
      </w:r>
      <w:r w:rsidR="00B1485A" w:rsidRPr="004D19FF">
        <w:rPr>
          <w:rFonts w:ascii="Times New Roman" w:hAnsi="Times New Roman"/>
          <w:sz w:val="20"/>
          <w:szCs w:val="20"/>
        </w:rPr>
        <w:t>Fig</w:t>
      </w:r>
      <w:r w:rsidR="00840BF5" w:rsidRPr="004D19FF">
        <w:rPr>
          <w:rFonts w:ascii="Times New Roman" w:hAnsi="Times New Roman"/>
          <w:sz w:val="20"/>
          <w:szCs w:val="20"/>
        </w:rPr>
        <w:t>s</w:t>
      </w:r>
      <w:r w:rsidR="00B1485A" w:rsidRPr="004D19FF">
        <w:rPr>
          <w:rFonts w:ascii="Times New Roman" w:hAnsi="Times New Roman"/>
          <w:sz w:val="20"/>
          <w:szCs w:val="20"/>
        </w:rPr>
        <w:t>. 6</w:t>
      </w:r>
      <w:r w:rsidR="00840BF5" w:rsidRPr="004D19FF">
        <w:rPr>
          <w:rFonts w:ascii="Times New Roman" w:hAnsi="Times New Roman"/>
          <w:sz w:val="20"/>
          <w:szCs w:val="20"/>
        </w:rPr>
        <w:t xml:space="preserve"> and </w:t>
      </w:r>
      <w:r w:rsidR="00B1485A" w:rsidRPr="004D19FF">
        <w:rPr>
          <w:rFonts w:ascii="Times New Roman" w:hAnsi="Times New Roman"/>
          <w:sz w:val="20"/>
          <w:szCs w:val="20"/>
        </w:rPr>
        <w:t>10</w:t>
      </w:r>
      <w:r w:rsidR="0082419E" w:rsidRPr="004D19FF">
        <w:rPr>
          <w:rFonts w:ascii="Times New Roman" w:hAnsi="Times New Roman"/>
          <w:sz w:val="20"/>
          <w:szCs w:val="20"/>
        </w:rPr>
        <w:t>)</w:t>
      </w:r>
      <w:r w:rsidR="00AF19F3" w:rsidRPr="004D19FF">
        <w:rPr>
          <w:rFonts w:ascii="Times New Roman" w:hAnsi="Times New Roman"/>
          <w:sz w:val="20"/>
          <w:szCs w:val="20"/>
        </w:rPr>
        <w:t>. They co</w:t>
      </w:r>
      <w:r w:rsidR="00CE1E00" w:rsidRPr="004D19FF">
        <w:rPr>
          <w:rFonts w:ascii="Times New Roman" w:hAnsi="Times New Roman"/>
          <w:sz w:val="20"/>
          <w:szCs w:val="20"/>
        </w:rPr>
        <w:t>nsist</w:t>
      </w:r>
      <w:r w:rsidR="00AF19F3" w:rsidRPr="004D19FF">
        <w:rPr>
          <w:rFonts w:ascii="Times New Roman" w:hAnsi="Times New Roman"/>
          <w:sz w:val="20"/>
          <w:szCs w:val="20"/>
        </w:rPr>
        <w:t xml:space="preserve"> primarily of straight chain alkanes (C</w:t>
      </w:r>
      <w:r w:rsidR="0042746B" w:rsidRPr="004D19FF">
        <w:rPr>
          <w:rFonts w:ascii="Times New Roman" w:hAnsi="Times New Roman"/>
          <w:sz w:val="20"/>
          <w:szCs w:val="20"/>
          <w:vertAlign w:val="subscript"/>
        </w:rPr>
        <w:t>20-23</w:t>
      </w:r>
      <w:r w:rsidR="00AF19F3" w:rsidRPr="004D19FF">
        <w:rPr>
          <w:rFonts w:ascii="Times New Roman" w:hAnsi="Times New Roman"/>
          <w:sz w:val="20"/>
          <w:szCs w:val="20"/>
          <w:vertAlign w:val="subscript"/>
        </w:rPr>
        <w:t>+</w:t>
      </w:r>
      <w:r w:rsidR="00AF19F3" w:rsidRPr="004D19FF">
        <w:rPr>
          <w:rFonts w:ascii="Times New Roman" w:hAnsi="Times New Roman"/>
          <w:sz w:val="20"/>
          <w:szCs w:val="20"/>
        </w:rPr>
        <w:t>) which are typically not used in fu</w:t>
      </w:r>
      <w:r w:rsidR="00FF0072" w:rsidRPr="004D19FF">
        <w:rPr>
          <w:rFonts w:ascii="Times New Roman" w:hAnsi="Times New Roman"/>
          <w:sz w:val="20"/>
          <w:szCs w:val="20"/>
        </w:rPr>
        <w:t xml:space="preserve">el refinery due to their </w:t>
      </w:r>
      <w:r w:rsidR="00AF19F3" w:rsidRPr="004D19FF">
        <w:rPr>
          <w:rFonts w:ascii="Times New Roman" w:hAnsi="Times New Roman"/>
          <w:sz w:val="20"/>
          <w:szCs w:val="20"/>
        </w:rPr>
        <w:t xml:space="preserve">physical properties with </w:t>
      </w:r>
      <w:r w:rsidR="001A75F4" w:rsidRPr="004D19FF">
        <w:rPr>
          <w:rFonts w:ascii="Times New Roman" w:hAnsi="Times New Roman"/>
          <w:sz w:val="20"/>
          <w:szCs w:val="20"/>
        </w:rPr>
        <w:t xml:space="preserve">i.e. </w:t>
      </w:r>
      <w:r w:rsidR="00AF19F3" w:rsidRPr="004D19FF">
        <w:rPr>
          <w:rFonts w:ascii="Times New Roman" w:hAnsi="Times New Roman"/>
          <w:sz w:val="20"/>
          <w:szCs w:val="20"/>
        </w:rPr>
        <w:t xml:space="preserve">high melting point, low viscosity and hardness. </w:t>
      </w:r>
      <w:r w:rsidR="00FF0072" w:rsidRPr="004D19FF">
        <w:rPr>
          <w:rFonts w:ascii="Times New Roman" w:hAnsi="Times New Roman"/>
          <w:sz w:val="20"/>
          <w:szCs w:val="20"/>
        </w:rPr>
        <w:t xml:space="preserve">During </w:t>
      </w:r>
      <w:r w:rsidR="003D41EB" w:rsidRPr="004D19FF">
        <w:rPr>
          <w:rFonts w:ascii="Times New Roman" w:hAnsi="Times New Roman"/>
          <w:sz w:val="20"/>
          <w:szCs w:val="20"/>
        </w:rPr>
        <w:t xml:space="preserve">the </w:t>
      </w:r>
      <w:r w:rsidR="00CD42D9" w:rsidRPr="004D19FF">
        <w:rPr>
          <w:rFonts w:ascii="Times New Roman" w:hAnsi="Times New Roman"/>
          <w:sz w:val="20"/>
          <w:szCs w:val="20"/>
        </w:rPr>
        <w:t>L</w:t>
      </w:r>
      <w:r w:rsidR="003D41EB" w:rsidRPr="004D19FF">
        <w:rPr>
          <w:rFonts w:ascii="Times New Roman" w:hAnsi="Times New Roman"/>
          <w:sz w:val="20"/>
          <w:szCs w:val="20"/>
        </w:rPr>
        <w:t>TFT route</w:t>
      </w:r>
      <w:r w:rsidR="00FF0072" w:rsidRPr="004D19FF">
        <w:rPr>
          <w:rFonts w:ascii="Times New Roman" w:hAnsi="Times New Roman"/>
          <w:sz w:val="20"/>
          <w:szCs w:val="20"/>
        </w:rPr>
        <w:t xml:space="preserve">, the heavy fraction of the FT syncrude </w:t>
      </w:r>
      <w:r w:rsidR="001A75F4" w:rsidRPr="004D19FF">
        <w:rPr>
          <w:rFonts w:ascii="Times New Roman" w:hAnsi="Times New Roman"/>
          <w:sz w:val="20"/>
          <w:szCs w:val="20"/>
        </w:rPr>
        <w:t>accounts</w:t>
      </w:r>
      <w:r w:rsidR="00FF0072" w:rsidRPr="004D19FF">
        <w:rPr>
          <w:rFonts w:ascii="Times New Roman" w:hAnsi="Times New Roman"/>
          <w:sz w:val="20"/>
          <w:szCs w:val="20"/>
        </w:rPr>
        <w:t xml:space="preserve"> for 20-30% weight </w:t>
      </w:r>
      <w:r w:rsidR="001A75F4" w:rsidRPr="004D19FF">
        <w:rPr>
          <w:rFonts w:ascii="Times New Roman" w:hAnsi="Times New Roman"/>
          <w:sz w:val="20"/>
          <w:szCs w:val="20"/>
        </w:rPr>
        <w:t>of total hydrocarbons</w:t>
      </w:r>
      <w:r w:rsidR="00FF0072" w:rsidRPr="004D19FF">
        <w:rPr>
          <w:rFonts w:ascii="Times New Roman" w:hAnsi="Times New Roman"/>
          <w:sz w:val="20"/>
          <w:szCs w:val="20"/>
        </w:rPr>
        <w:t xml:space="preserve">. The molecular mass of the wax fraction generated is higher relative to the wax produced in the </w:t>
      </w:r>
      <w:r w:rsidR="00CD42D9" w:rsidRPr="004D19FF">
        <w:rPr>
          <w:rFonts w:ascii="Times New Roman" w:hAnsi="Times New Roman"/>
          <w:sz w:val="20"/>
          <w:szCs w:val="20"/>
        </w:rPr>
        <w:t>HTFT</w:t>
      </w:r>
      <w:r w:rsidR="00FF0072" w:rsidRPr="004D19FF">
        <w:rPr>
          <w:rFonts w:ascii="Times New Roman" w:hAnsi="Times New Roman"/>
          <w:sz w:val="20"/>
          <w:szCs w:val="20"/>
        </w:rPr>
        <w:t xml:space="preserve"> process </w:t>
      </w:r>
      <w:r w:rsidR="000E0D30"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73nQGbM","properties":{"formattedCitation":"[187]","plainCitation":"[187]","noteIndex":0},"citationItems":[{"id":"968HXJ10/WGPirH1i","uris":["http://www.mendeley.com/documents/?uuid=f41bc0c4-9a35-4b9c-87a3-9ccb22acc75d"],"uri":["http://www.mendeley.com/documents/?uuid=f41bc0c4-9a35-4b9c-87a3-9ccb22acc75d"],"itemData":{"DOI":"10.1016/b978-0-12-804568-8.00010-x","ISBN":"9780128045688","abstract":"The production of aviation turbine fuel (jet fuel) from Fischer–Tropsch (F-T)-based biomass-to-liquids facilities is discussed. With the exception of biomass gasification, the process is independent of the nature of the raw material feed. Current DEF STAN 91-91 and ASTM D 7566 specifications make provisions for inclusion of refined F-T products in jet fuel as semi-synthetic jet fuel (blend up to 50 vol.% with petroleum-derived kerosene) or fully synthetic jet fuel (no petroleum-derived material). Isomerization of n-alkanes to iso-alkanes, synthesis of aromatics, and hydrotreating of alkenes and oxygenates to produce alkanes are necessary molecular transformations to produce fully synthetic jet fuel. Semi- and fully synthetic jet fuels are reviewed, as well as additional synthetic jet specification requirements and the refining technology to produce on-specification fully synthetic jet fuel.","author":[{"dropping-particle":"","family":"Klerk","given":"A.","non-dropping-particle":"de","parse-names":false,"suffix":""}],"container-title":"Biofuels for Aviation","id":"ITEM-1","issued":{"date-parts":[["2016"]]},"number-of-pages":"241-259","publisher":"Elsevier Inc.","title":"Aviation Turbine Fuels Through the Fischer–Tropsch Process","type":"book"}}],"schema":"https://github.com/citation-style-language/schema/raw/master/csl-citation.json"} </w:instrText>
      </w:r>
      <w:r w:rsidR="000E0D30" w:rsidRPr="004D19FF">
        <w:rPr>
          <w:rFonts w:ascii="Times New Roman" w:hAnsi="Times New Roman"/>
          <w:sz w:val="20"/>
          <w:szCs w:val="20"/>
        </w:rPr>
        <w:fldChar w:fldCharType="separate"/>
      </w:r>
      <w:r w:rsidR="005D3B73" w:rsidRPr="005D3B73">
        <w:rPr>
          <w:rFonts w:ascii="Times New Roman" w:hAnsi="Times New Roman" w:cs="Times New Roman"/>
          <w:sz w:val="20"/>
        </w:rPr>
        <w:t>[187]</w:t>
      </w:r>
      <w:r w:rsidR="000E0D30" w:rsidRPr="004D19FF">
        <w:rPr>
          <w:rFonts w:ascii="Times New Roman" w:hAnsi="Times New Roman"/>
          <w:sz w:val="20"/>
          <w:szCs w:val="20"/>
        </w:rPr>
        <w:fldChar w:fldCharType="end"/>
      </w:r>
      <w:r w:rsidR="00AF19F3" w:rsidRPr="004D19FF">
        <w:rPr>
          <w:rFonts w:ascii="Times New Roman" w:hAnsi="Times New Roman"/>
          <w:sz w:val="20"/>
          <w:szCs w:val="20"/>
        </w:rPr>
        <w:t>. These wax fractions can be cracked into lower molecular weight</w:t>
      </w:r>
      <w:r w:rsidR="001A75F4" w:rsidRPr="004D19FF">
        <w:rPr>
          <w:rFonts w:ascii="Times New Roman" w:hAnsi="Times New Roman"/>
          <w:sz w:val="20"/>
          <w:szCs w:val="20"/>
        </w:rPr>
        <w:t xml:space="preserve"> </w:t>
      </w:r>
      <w:r w:rsidR="00CD42D9" w:rsidRPr="004D19FF">
        <w:rPr>
          <w:rFonts w:ascii="Times New Roman" w:hAnsi="Times New Roman"/>
          <w:sz w:val="20"/>
          <w:szCs w:val="20"/>
        </w:rPr>
        <w:t>compounds</w:t>
      </w:r>
      <w:r w:rsidR="00AF19F3" w:rsidRPr="004D19FF">
        <w:rPr>
          <w:rFonts w:ascii="Times New Roman" w:hAnsi="Times New Roman"/>
          <w:sz w:val="20"/>
          <w:szCs w:val="20"/>
        </w:rPr>
        <w:t xml:space="preserve"> appropriate for use as liquid fuel</w:t>
      </w:r>
      <w:r w:rsidR="001A75F4" w:rsidRPr="004D19FF">
        <w:rPr>
          <w:rFonts w:ascii="Times New Roman" w:hAnsi="Times New Roman"/>
          <w:sz w:val="20"/>
          <w:szCs w:val="20"/>
        </w:rPr>
        <w:t>s or may be sold as precursor of a</w:t>
      </w:r>
      <w:r w:rsidR="00AF19F3" w:rsidRPr="004D19FF">
        <w:rPr>
          <w:rFonts w:ascii="Times New Roman" w:hAnsi="Times New Roman"/>
          <w:sz w:val="20"/>
          <w:szCs w:val="20"/>
        </w:rPr>
        <w:t xml:space="preserve"> </w:t>
      </w:r>
      <w:r w:rsidR="00FF0072" w:rsidRPr="004D19FF">
        <w:rPr>
          <w:rFonts w:ascii="Times New Roman" w:hAnsi="Times New Roman"/>
          <w:sz w:val="20"/>
          <w:szCs w:val="20"/>
        </w:rPr>
        <w:t>variety of</w:t>
      </w:r>
      <w:r w:rsidR="00AF19F3" w:rsidRPr="004D19FF">
        <w:rPr>
          <w:rFonts w:ascii="Times New Roman" w:hAnsi="Times New Roman"/>
          <w:sz w:val="20"/>
          <w:szCs w:val="20"/>
        </w:rPr>
        <w:t xml:space="preserve"> products. These heavy alkanes have a high potential commerc</w:t>
      </w:r>
      <w:r w:rsidR="00FF0072" w:rsidRPr="004D19FF">
        <w:rPr>
          <w:rFonts w:ascii="Times New Roman" w:hAnsi="Times New Roman"/>
          <w:sz w:val="20"/>
          <w:szCs w:val="20"/>
        </w:rPr>
        <w:t xml:space="preserve">ial value due to their </w:t>
      </w:r>
      <w:r w:rsidR="005033AB" w:rsidRPr="004D19FF">
        <w:rPr>
          <w:rFonts w:ascii="Times New Roman" w:hAnsi="Times New Roman"/>
          <w:sz w:val="20"/>
          <w:szCs w:val="20"/>
        </w:rPr>
        <w:t xml:space="preserve">competitive prices and </w:t>
      </w:r>
      <w:r w:rsidR="00FF0072" w:rsidRPr="004D19FF">
        <w:rPr>
          <w:rFonts w:ascii="Times New Roman" w:hAnsi="Times New Roman"/>
          <w:sz w:val="20"/>
          <w:szCs w:val="20"/>
        </w:rPr>
        <w:t>versatility</w:t>
      </w:r>
      <w:r w:rsidR="00AF19F3" w:rsidRPr="004D19FF">
        <w:rPr>
          <w:rFonts w:ascii="Times New Roman" w:hAnsi="Times New Roman"/>
          <w:sz w:val="20"/>
          <w:szCs w:val="20"/>
        </w:rPr>
        <w:t xml:space="preserve"> in both </w:t>
      </w:r>
      <w:r w:rsidR="00FF0072" w:rsidRPr="004D19FF">
        <w:rPr>
          <w:rFonts w:ascii="Times New Roman" w:hAnsi="Times New Roman"/>
          <w:sz w:val="20"/>
          <w:szCs w:val="20"/>
        </w:rPr>
        <w:t xml:space="preserve">industrial and medical applications </w:t>
      </w:r>
      <w:r w:rsidR="00AF19F3" w:rsidRPr="004D19FF">
        <w:rPr>
          <w:rFonts w:ascii="Times New Roman" w:hAnsi="Times New Roman"/>
          <w:sz w:val="20"/>
          <w:szCs w:val="20"/>
        </w:rPr>
        <w:t xml:space="preserve">including petroleum jellies, lithium grease, engine oil, industrial gear oil, industrial cleaners, adhesives, etc. </w:t>
      </w:r>
      <w:r w:rsidR="00D4343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4trmJW2y","properties":{"formattedCitation":"[189]","plainCitation":"[189]","noteIndex":0},"citationItems":[{"id":"968HXJ10/Wdah0G9n","uris":["http://www.mendeley.com/documents/?uuid=135887a9-5cb8-4449-9e36-613246fe290f"],"uri":["http://www.mendeley.com/documents/?uuid=135887a9-5cb8-4449-9e36-613246fe290f"],"itemData":{"author":[{"dropping-particle":"","family":"Durkin","given":"Tyler","non-dropping-particle":"","parse-names":false,"suffix":""},{"dropping-particle":"","family":"Kersey","given":"Kyle","non-dropping-particle":"","parse-names":false,"suffix":""},{"dropping-particle":"","family":"Paolini","given":"James","non-dropping-particle":"","parse-names":false,"suffix":""}],"id":"ITEM-1","issued":{"date-parts":[["2019"]]},"title":"Synthesis of Green Hydrocarbons Using the AIR TO FUELS ™ Technology Synthesis of Green Hydrocarbons Using the AIR TO FUELS ™","type":"article-journal"}}],"schema":"https://github.com/citation-style-language/schema/raw/master/csl-citation.json"} </w:instrText>
      </w:r>
      <w:r w:rsidR="00D4343A" w:rsidRPr="004D19FF">
        <w:rPr>
          <w:rFonts w:ascii="Times New Roman" w:hAnsi="Times New Roman"/>
          <w:sz w:val="20"/>
          <w:szCs w:val="20"/>
        </w:rPr>
        <w:fldChar w:fldCharType="separate"/>
      </w:r>
      <w:r w:rsidR="005D3B73" w:rsidRPr="005D3B73">
        <w:rPr>
          <w:rFonts w:ascii="Times New Roman" w:hAnsi="Times New Roman" w:cs="Times New Roman"/>
          <w:sz w:val="20"/>
        </w:rPr>
        <w:t>[189]</w:t>
      </w:r>
      <w:r w:rsidR="00D4343A" w:rsidRPr="004D19FF">
        <w:rPr>
          <w:rFonts w:ascii="Times New Roman" w:hAnsi="Times New Roman"/>
          <w:sz w:val="20"/>
          <w:szCs w:val="20"/>
        </w:rPr>
        <w:fldChar w:fldCharType="end"/>
      </w:r>
      <w:r w:rsidR="002F6E70" w:rsidRPr="004D19FF">
        <w:rPr>
          <w:rFonts w:ascii="Times New Roman" w:hAnsi="Times New Roman"/>
          <w:sz w:val="20"/>
          <w:szCs w:val="20"/>
        </w:rPr>
        <w:t xml:space="preserve">. </w:t>
      </w:r>
      <w:r w:rsidR="005033AB" w:rsidRPr="004D19FF">
        <w:rPr>
          <w:rFonts w:ascii="Times New Roman" w:hAnsi="Times New Roman"/>
          <w:sz w:val="20"/>
          <w:szCs w:val="20"/>
        </w:rPr>
        <w:t>Examples</w:t>
      </w:r>
      <w:r w:rsidR="006A3DB8" w:rsidRPr="004D19FF">
        <w:rPr>
          <w:rFonts w:ascii="Times New Roman" w:hAnsi="Times New Roman"/>
          <w:sz w:val="20"/>
          <w:szCs w:val="20"/>
        </w:rPr>
        <w:t xml:space="preserve"> of wax purchase agreement</w:t>
      </w:r>
      <w:r w:rsidR="005033AB" w:rsidRPr="004D19FF">
        <w:rPr>
          <w:rFonts w:ascii="Times New Roman" w:hAnsi="Times New Roman"/>
          <w:sz w:val="20"/>
          <w:szCs w:val="20"/>
        </w:rPr>
        <w:t>s</w:t>
      </w:r>
      <w:r w:rsidR="006A3DB8" w:rsidRPr="004D19FF">
        <w:rPr>
          <w:rFonts w:ascii="Times New Roman" w:hAnsi="Times New Roman"/>
          <w:sz w:val="20"/>
          <w:szCs w:val="20"/>
        </w:rPr>
        <w:t xml:space="preserve"> </w:t>
      </w:r>
      <w:r w:rsidR="005033AB" w:rsidRPr="004D19FF">
        <w:rPr>
          <w:rFonts w:ascii="Times New Roman" w:hAnsi="Times New Roman"/>
          <w:sz w:val="20"/>
          <w:szCs w:val="20"/>
        </w:rPr>
        <w:t>are listed</w:t>
      </w:r>
      <w:r w:rsidR="006A3DB8" w:rsidRPr="004D19FF">
        <w:rPr>
          <w:rFonts w:ascii="Times New Roman" w:hAnsi="Times New Roman"/>
          <w:sz w:val="20"/>
          <w:szCs w:val="20"/>
        </w:rPr>
        <w:t xml:space="preserve"> in the SM</w:t>
      </w:r>
      <w:r w:rsidR="00F6646B">
        <w:rPr>
          <w:rFonts w:ascii="Times New Roman" w:hAnsi="Times New Roman"/>
          <w:sz w:val="20"/>
          <w:szCs w:val="20"/>
        </w:rPr>
        <w:t>1</w:t>
      </w:r>
      <w:r w:rsidR="006A3DB8" w:rsidRPr="004D19FF">
        <w:rPr>
          <w:rFonts w:ascii="Times New Roman" w:hAnsi="Times New Roman"/>
          <w:sz w:val="20"/>
          <w:szCs w:val="20"/>
        </w:rPr>
        <w:t>.</w:t>
      </w:r>
    </w:p>
    <w:p w14:paraId="6E92CACA" w14:textId="77777777" w:rsidR="00AF19F3" w:rsidRPr="004D19FF" w:rsidRDefault="00AF19F3" w:rsidP="005D02CC">
      <w:pPr>
        <w:spacing w:after="120" w:line="276" w:lineRule="auto"/>
        <w:jc w:val="thaiDistribute"/>
        <w:rPr>
          <w:rFonts w:ascii="Times New Roman" w:hAnsi="Times New Roman"/>
          <w:i/>
          <w:sz w:val="20"/>
          <w:szCs w:val="20"/>
        </w:rPr>
      </w:pPr>
      <w:r w:rsidRPr="004D19FF">
        <w:rPr>
          <w:rFonts w:ascii="Times New Roman" w:hAnsi="Times New Roman"/>
          <w:i/>
          <w:sz w:val="20"/>
          <w:szCs w:val="20"/>
        </w:rPr>
        <w:t xml:space="preserve">4.3.2 </w:t>
      </w:r>
      <w:r w:rsidR="00647800" w:rsidRPr="004D19FF">
        <w:rPr>
          <w:rFonts w:ascii="Times New Roman" w:hAnsi="Times New Roman"/>
          <w:i/>
          <w:sz w:val="20"/>
          <w:szCs w:val="20"/>
        </w:rPr>
        <w:t>High-protein a</w:t>
      </w:r>
      <w:r w:rsidRPr="004D19FF">
        <w:rPr>
          <w:rFonts w:ascii="Times New Roman" w:hAnsi="Times New Roman"/>
          <w:i/>
          <w:sz w:val="20"/>
          <w:szCs w:val="20"/>
        </w:rPr>
        <w:t>nimal feed</w:t>
      </w:r>
    </w:p>
    <w:p w14:paraId="107A9694" w14:textId="6E655488" w:rsidR="00BB26A5" w:rsidRDefault="001A0A97" w:rsidP="005D02CC">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An </w:t>
      </w:r>
      <w:r w:rsidR="00647800" w:rsidRPr="004D19FF">
        <w:rPr>
          <w:rFonts w:ascii="Times New Roman" w:hAnsi="Times New Roman"/>
          <w:sz w:val="20"/>
          <w:szCs w:val="20"/>
        </w:rPr>
        <w:t xml:space="preserve">animal feed </w:t>
      </w:r>
      <w:r w:rsidR="00AF19F3" w:rsidRPr="004D19FF">
        <w:rPr>
          <w:rFonts w:ascii="Times New Roman" w:hAnsi="Times New Roman"/>
          <w:sz w:val="20"/>
          <w:szCs w:val="20"/>
        </w:rPr>
        <w:t xml:space="preserve">co-product </w:t>
      </w:r>
      <w:r w:rsidR="00647800" w:rsidRPr="004D19FF">
        <w:rPr>
          <w:rFonts w:ascii="Times New Roman" w:hAnsi="Times New Roman"/>
          <w:sz w:val="20"/>
          <w:szCs w:val="20"/>
        </w:rPr>
        <w:t xml:space="preserve">is generated in the </w:t>
      </w:r>
      <w:r w:rsidR="00736348" w:rsidRPr="004D19FF">
        <w:rPr>
          <w:rFonts w:ascii="Times New Roman" w:hAnsi="Times New Roman"/>
          <w:sz w:val="20"/>
          <w:szCs w:val="20"/>
        </w:rPr>
        <w:t>AF</w:t>
      </w:r>
      <w:r w:rsidR="00647800" w:rsidRPr="004D19FF">
        <w:rPr>
          <w:rFonts w:ascii="Times New Roman" w:hAnsi="Times New Roman"/>
          <w:sz w:val="20"/>
          <w:szCs w:val="20"/>
        </w:rPr>
        <w:t xml:space="preserve"> pathway </w:t>
      </w:r>
      <w:r w:rsidR="00CF796F" w:rsidRPr="004D19FF">
        <w:rPr>
          <w:rFonts w:ascii="Times New Roman" w:hAnsi="Times New Roman"/>
          <w:sz w:val="20"/>
          <w:szCs w:val="20"/>
        </w:rPr>
        <w:t>(Fig.</w:t>
      </w:r>
      <w:r w:rsidRPr="004D19FF">
        <w:rPr>
          <w:rFonts w:ascii="Times New Roman" w:hAnsi="Times New Roman"/>
          <w:sz w:val="20"/>
          <w:szCs w:val="20"/>
        </w:rPr>
        <w:t xml:space="preserve"> 4</w:t>
      </w:r>
      <w:r w:rsidR="00647800" w:rsidRPr="004D19FF">
        <w:rPr>
          <w:rFonts w:ascii="Times New Roman" w:hAnsi="Times New Roman"/>
          <w:sz w:val="20"/>
          <w:szCs w:val="20"/>
        </w:rPr>
        <w:t>),</w:t>
      </w:r>
      <w:r w:rsidR="00EB1396">
        <w:rPr>
          <w:rFonts w:ascii="Times New Roman" w:hAnsi="Times New Roman"/>
          <w:sz w:val="20"/>
          <w:szCs w:val="20"/>
        </w:rPr>
        <w:t xml:space="preserve"> where the protein</w:t>
      </w:r>
      <w:r w:rsidR="00647800" w:rsidRPr="004D19FF">
        <w:rPr>
          <w:rFonts w:ascii="Times New Roman" w:hAnsi="Times New Roman"/>
          <w:sz w:val="20"/>
          <w:szCs w:val="20"/>
        </w:rPr>
        <w:t xml:space="preserve">-rich solid residues derived from the </w:t>
      </w:r>
      <w:r w:rsidR="00AF19F3" w:rsidRPr="004D19FF">
        <w:rPr>
          <w:rFonts w:ascii="Times New Roman" w:hAnsi="Times New Roman"/>
          <w:sz w:val="20"/>
          <w:szCs w:val="20"/>
        </w:rPr>
        <w:t xml:space="preserve">fermentation broth can be </w:t>
      </w:r>
      <w:r w:rsidR="001A75F4" w:rsidRPr="004D19FF">
        <w:rPr>
          <w:rFonts w:ascii="Times New Roman" w:hAnsi="Times New Roman"/>
          <w:sz w:val="20"/>
          <w:szCs w:val="20"/>
        </w:rPr>
        <w:t xml:space="preserve">further </w:t>
      </w:r>
      <w:r w:rsidR="00AF19F3" w:rsidRPr="004D19FF">
        <w:rPr>
          <w:rFonts w:ascii="Times New Roman" w:hAnsi="Times New Roman"/>
          <w:sz w:val="20"/>
          <w:szCs w:val="20"/>
        </w:rPr>
        <w:t xml:space="preserve">processed. </w:t>
      </w:r>
      <w:r w:rsidR="002D4594" w:rsidRPr="004D19FF">
        <w:rPr>
          <w:rFonts w:ascii="Times New Roman" w:hAnsi="Times New Roman"/>
          <w:sz w:val="20"/>
          <w:szCs w:val="20"/>
        </w:rPr>
        <w:t xml:space="preserve">Upon drying, these are often referred to as distiller dried grains, and typically have </w:t>
      </w:r>
      <w:r w:rsidRPr="004D19FF">
        <w:rPr>
          <w:rFonts w:ascii="Times New Roman" w:hAnsi="Times New Roman"/>
          <w:sz w:val="20"/>
          <w:szCs w:val="20"/>
        </w:rPr>
        <w:t xml:space="preserve">a </w:t>
      </w:r>
      <w:r w:rsidR="002D4594" w:rsidRPr="004D19FF">
        <w:rPr>
          <w:rFonts w:ascii="Times New Roman" w:hAnsi="Times New Roman"/>
          <w:sz w:val="20"/>
          <w:szCs w:val="20"/>
        </w:rPr>
        <w:t xml:space="preserve">high concentration of crude protein with an amino acid profile suitable for animal feed </w:t>
      </w:r>
      <w:r w:rsidR="00C9289D"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UXLZ3KfJ","properties":{"formattedCitation":"[59]","plainCitation":"[59]","noteIndex":0},"citationItems":[{"id":"968HXJ10/apoA1pDa","uris":["http://www.mendeley.com/documents/?uuid=b53c6826-5aa9-4f1c-9c9e-479e711b845a"],"uri":["http://www.mendeley.com/documents/?uuid=b53c6826-5aa9-4f1c-9c9e-479e711b845a"],"itemData":{"author":[{"dropping-particle":"","family":"David","given":"P.R.","non-dropping-particle":"","parse-names":false,"suffix":""},{"dropping-particle":"","family":"Alto","given":"P.","non-dropping-particle":"","parse-names":false,"suffix":""}],"id":"ITEM-1","issued":{"date-parts":[["2007"]]},"number":"US 7,309,602 B2","publisher-place":"California, US","title":"Compositions and methods for producing fermentation products and residuals","type":"patent"}}],"schema":"https://github.com/citation-style-language/schema/raw/master/csl-citation.json"} </w:instrText>
      </w:r>
      <w:r w:rsidR="00C9289D" w:rsidRPr="004D19FF">
        <w:rPr>
          <w:rFonts w:ascii="Times New Roman" w:hAnsi="Times New Roman"/>
          <w:sz w:val="20"/>
          <w:szCs w:val="20"/>
        </w:rPr>
        <w:fldChar w:fldCharType="separate"/>
      </w:r>
      <w:r w:rsidR="00CA240D" w:rsidRPr="00CA240D">
        <w:rPr>
          <w:rFonts w:ascii="Times New Roman" w:hAnsi="Times New Roman" w:cs="Times New Roman"/>
          <w:sz w:val="20"/>
        </w:rPr>
        <w:t>[59]</w:t>
      </w:r>
      <w:r w:rsidR="00C9289D" w:rsidRPr="004D19FF">
        <w:rPr>
          <w:rFonts w:ascii="Times New Roman" w:hAnsi="Times New Roman"/>
          <w:sz w:val="20"/>
          <w:szCs w:val="20"/>
        </w:rPr>
        <w:fldChar w:fldCharType="end"/>
      </w:r>
      <w:r w:rsidR="002D4594" w:rsidRPr="004D19FF">
        <w:rPr>
          <w:rFonts w:ascii="Times New Roman" w:hAnsi="Times New Roman"/>
          <w:sz w:val="20"/>
          <w:szCs w:val="20"/>
        </w:rPr>
        <w:t xml:space="preserve">. </w:t>
      </w:r>
      <w:r w:rsidR="001A75F4" w:rsidRPr="004D19FF">
        <w:rPr>
          <w:rFonts w:ascii="Times New Roman" w:hAnsi="Times New Roman"/>
          <w:sz w:val="20"/>
          <w:szCs w:val="20"/>
        </w:rPr>
        <w:t>Ten pounds of animal feed can be</w:t>
      </w:r>
      <w:r w:rsidR="002D4594" w:rsidRPr="004D19FF">
        <w:rPr>
          <w:rFonts w:ascii="Times New Roman" w:hAnsi="Times New Roman"/>
          <w:sz w:val="20"/>
          <w:szCs w:val="20"/>
        </w:rPr>
        <w:t xml:space="preserve"> produced from one gallon of </w:t>
      </w:r>
      <w:r w:rsidR="00DB7B2B" w:rsidRPr="004D19FF">
        <w:rPr>
          <w:rFonts w:ascii="Times New Roman" w:hAnsi="Times New Roman"/>
          <w:sz w:val="20"/>
          <w:szCs w:val="20"/>
        </w:rPr>
        <w:t>aviation biofuel</w:t>
      </w:r>
      <w:r w:rsidR="002D4594" w:rsidRPr="004D19FF">
        <w:rPr>
          <w:rFonts w:ascii="Times New Roman" w:hAnsi="Times New Roman"/>
          <w:sz w:val="20"/>
          <w:szCs w:val="20"/>
        </w:rPr>
        <w:t xml:space="preserve"> </w:t>
      </w:r>
      <w:r w:rsidR="001A75F4"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2OU2UagT","properties":{"formattedCitation":"[61]","plainCitation":"[61]","noteIndex":0},"citationItems":[{"id":"968HXJ10/PyEEA0yX","uris":["http://www.mendeley.com/documents/?uuid=f383686c-f930-3ad3-a48d-e76a71dd466a"],"uri":["http://www.mendeley.com/documents/?uuid=f383686c-f930-3ad3-a48d-e76a71dd466a"],"itemData":{"URL":"https://gevo.com/biofuels-reduce-greenhouse-gas-emissions/","accessed":{"date-parts":[["2019","11","17"]]},"author":[{"dropping-particle":"","family":"Gevo","given":"","non-dropping-particle":"","parse-names":false,"suffix":""}],"id":"ITEM-1","issued":{"date-parts":[["2019"]]},"title":"Gevo's Biofuels","type":"webpage"}}],"schema":"https://github.com/citation-style-language/schema/raw/master/csl-citation.json"} </w:instrText>
      </w:r>
      <w:r w:rsidR="001A75F4" w:rsidRPr="004D19FF">
        <w:rPr>
          <w:rFonts w:ascii="Times New Roman" w:hAnsi="Times New Roman"/>
          <w:sz w:val="20"/>
          <w:szCs w:val="20"/>
        </w:rPr>
        <w:fldChar w:fldCharType="separate"/>
      </w:r>
      <w:r w:rsidR="00CA240D" w:rsidRPr="00CA240D">
        <w:rPr>
          <w:rFonts w:ascii="Times New Roman" w:hAnsi="Times New Roman" w:cs="Times New Roman"/>
          <w:sz w:val="20"/>
        </w:rPr>
        <w:t>[61]</w:t>
      </w:r>
      <w:r w:rsidR="001A75F4" w:rsidRPr="004D19FF">
        <w:rPr>
          <w:rFonts w:ascii="Times New Roman" w:hAnsi="Times New Roman"/>
          <w:sz w:val="20"/>
          <w:szCs w:val="20"/>
        </w:rPr>
        <w:fldChar w:fldCharType="end"/>
      </w:r>
      <w:r w:rsidR="002D4594" w:rsidRPr="004D19FF">
        <w:rPr>
          <w:rFonts w:ascii="Times New Roman" w:hAnsi="Times New Roman"/>
          <w:sz w:val="20"/>
          <w:szCs w:val="20"/>
        </w:rPr>
        <w:t xml:space="preserve">. </w:t>
      </w:r>
      <w:r w:rsidR="00BB26A5" w:rsidRPr="004D19FF">
        <w:rPr>
          <w:rFonts w:ascii="Times New Roman" w:hAnsi="Times New Roman"/>
          <w:sz w:val="20"/>
          <w:szCs w:val="20"/>
        </w:rPr>
        <w:t xml:space="preserve">As in the case of the distiller dried grains co-generated with bio-based alcohol (e.g. ethanol) production, the access to the feed market is </w:t>
      </w:r>
      <w:r w:rsidR="001A75F4" w:rsidRPr="004D19FF">
        <w:rPr>
          <w:rFonts w:ascii="Times New Roman" w:hAnsi="Times New Roman"/>
          <w:sz w:val="20"/>
          <w:szCs w:val="20"/>
        </w:rPr>
        <w:t xml:space="preserve">real and already </w:t>
      </w:r>
      <w:r w:rsidRPr="004D19FF">
        <w:rPr>
          <w:rFonts w:ascii="Times New Roman" w:hAnsi="Times New Roman"/>
          <w:sz w:val="20"/>
          <w:szCs w:val="20"/>
        </w:rPr>
        <w:t>in place</w:t>
      </w:r>
      <w:r w:rsidR="001A75F4" w:rsidRPr="004D19FF">
        <w:rPr>
          <w:rFonts w:ascii="Times New Roman" w:hAnsi="Times New Roman"/>
          <w:sz w:val="20"/>
          <w:szCs w:val="20"/>
        </w:rPr>
        <w:t xml:space="preserve"> </w:t>
      </w:r>
      <w:r w:rsidR="000E0D30"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mG57h7e","properties":{"formattedCitation":"[190]","plainCitation":"[190]","noteIndex":0},"citationItems":[{"id":"968HXJ10/6McGOQmB","uris":["http://www.mendeley.com/documents/?uuid=b38515ef-6df7-3c4e-b758-3388a2af2886"],"uri":["http://www.mendeley.com/documents/?uuid=b38515ef-6df7-3c4e-b758-3388a2af2886"],"itemData":{"URL":"https://www.businesswire.com/news/home/20120110005824/en/Gevo-Land-O’Lakes-Purina-Feed-Sign-Off-Take","accessed":{"date-parts":[["2019","12","12"]]},"author":[{"dropping-particle":"","family":"BusinessWire","given":"","non-dropping-particle":"","parse-names":false,"suffix":""}],"container-title":"Business Wire","id":"ITEM-1","issued":{"date-parts":[["2012"]]},"title":"Gevo and Land O’Lakes Purina Feed Sign Off-Take and Marketing Agreement | Business Wire","type":"webpage"}}],"schema":"https://github.com/citation-style-language/schema/raw/master/csl-citation.json"} </w:instrText>
      </w:r>
      <w:r w:rsidR="000E0D30" w:rsidRPr="004D19FF">
        <w:rPr>
          <w:rFonts w:ascii="Times New Roman" w:hAnsi="Times New Roman"/>
          <w:sz w:val="20"/>
          <w:szCs w:val="20"/>
        </w:rPr>
        <w:fldChar w:fldCharType="separate"/>
      </w:r>
      <w:r w:rsidR="005D3B73" w:rsidRPr="005D3B73">
        <w:rPr>
          <w:rFonts w:ascii="Times New Roman" w:hAnsi="Times New Roman" w:cs="Times New Roman"/>
          <w:sz w:val="20"/>
        </w:rPr>
        <w:t>[190]</w:t>
      </w:r>
      <w:r w:rsidR="000E0D30" w:rsidRPr="004D19FF">
        <w:rPr>
          <w:rFonts w:ascii="Times New Roman" w:hAnsi="Times New Roman"/>
          <w:sz w:val="20"/>
          <w:szCs w:val="20"/>
        </w:rPr>
        <w:fldChar w:fldCharType="end"/>
      </w:r>
      <w:r w:rsidR="00AF19F3" w:rsidRPr="004D19FF">
        <w:rPr>
          <w:rFonts w:ascii="Times New Roman" w:hAnsi="Times New Roman"/>
          <w:sz w:val="20"/>
          <w:szCs w:val="20"/>
        </w:rPr>
        <w:t xml:space="preserve">. </w:t>
      </w:r>
    </w:p>
    <w:p w14:paraId="49EF7485" w14:textId="4EFF7DBA" w:rsidR="0010788C" w:rsidRPr="004D19FF" w:rsidRDefault="0010788C" w:rsidP="0010788C">
      <w:pPr>
        <w:jc w:val="both"/>
        <w:rPr>
          <w:rFonts w:ascii="Times New Roman" w:hAnsi="Times New Roman" w:cs="Times New Roman"/>
          <w:sz w:val="20"/>
        </w:rPr>
      </w:pPr>
      <w:r w:rsidRPr="004D19FF">
        <w:rPr>
          <w:rFonts w:ascii="Times New Roman" w:hAnsi="Times New Roman" w:cs="Times New Roman"/>
          <w:b/>
          <w:sz w:val="20"/>
        </w:rPr>
        <w:t xml:space="preserve">Table </w:t>
      </w:r>
      <w:r w:rsidR="00802C71">
        <w:rPr>
          <w:rFonts w:ascii="Times New Roman" w:hAnsi="Times New Roman" w:cs="Times New Roman"/>
          <w:b/>
          <w:sz w:val="20"/>
        </w:rPr>
        <w:t>1</w:t>
      </w:r>
      <w:r w:rsidRPr="004D19FF">
        <w:rPr>
          <w:rFonts w:ascii="Times New Roman" w:hAnsi="Times New Roman" w:cs="Times New Roman"/>
          <w:sz w:val="20"/>
        </w:rPr>
        <w:t xml:space="preserve"> Summary of </w:t>
      </w:r>
      <w:r w:rsidR="001A0A97" w:rsidRPr="004D19FF">
        <w:rPr>
          <w:rFonts w:ascii="Times New Roman" w:hAnsi="Times New Roman" w:cs="Times New Roman"/>
          <w:sz w:val="20"/>
        </w:rPr>
        <w:t xml:space="preserve">the </w:t>
      </w:r>
      <w:r w:rsidRPr="004D19FF">
        <w:rPr>
          <w:rFonts w:ascii="Times New Roman" w:hAnsi="Times New Roman" w:cs="Times New Roman"/>
          <w:sz w:val="20"/>
        </w:rPr>
        <w:t>co-product</w:t>
      </w:r>
      <w:r w:rsidR="001A0A97" w:rsidRPr="004D19FF">
        <w:rPr>
          <w:rFonts w:ascii="Times New Roman" w:hAnsi="Times New Roman" w:cs="Times New Roman"/>
          <w:sz w:val="20"/>
        </w:rPr>
        <w:t>s</w:t>
      </w:r>
      <w:r w:rsidRPr="004D19FF">
        <w:rPr>
          <w:rFonts w:ascii="Times New Roman" w:hAnsi="Times New Roman" w:cs="Times New Roman"/>
          <w:sz w:val="20"/>
        </w:rPr>
        <w:t xml:space="preserve"> </w:t>
      </w:r>
      <w:r w:rsidR="001A0A97" w:rsidRPr="004D19FF">
        <w:rPr>
          <w:rFonts w:ascii="Times New Roman" w:hAnsi="Times New Roman" w:cs="Times New Roman"/>
          <w:sz w:val="20"/>
        </w:rPr>
        <w:t>generated in the various liquid biofuels production pathways for aviation</w:t>
      </w:r>
    </w:p>
    <w:tbl>
      <w:tblPr>
        <w:tblW w:w="9353" w:type="dxa"/>
        <w:tblLook w:val="04A0" w:firstRow="1" w:lastRow="0" w:firstColumn="1" w:lastColumn="0" w:noHBand="0" w:noVBand="1"/>
      </w:tblPr>
      <w:tblGrid>
        <w:gridCol w:w="1295"/>
        <w:gridCol w:w="1127"/>
        <w:gridCol w:w="2947"/>
        <w:gridCol w:w="3984"/>
      </w:tblGrid>
      <w:tr w:rsidR="0010788C" w:rsidRPr="004D19FF" w14:paraId="68F15B21" w14:textId="77777777" w:rsidTr="002800AD">
        <w:trPr>
          <w:trHeight w:val="475"/>
        </w:trPr>
        <w:tc>
          <w:tcPr>
            <w:tcW w:w="1295" w:type="dxa"/>
            <w:tcBorders>
              <w:top w:val="single" w:sz="4" w:space="0" w:color="auto"/>
              <w:left w:val="nil"/>
              <w:bottom w:val="single" w:sz="4" w:space="0" w:color="auto"/>
              <w:right w:val="nil"/>
            </w:tcBorders>
            <w:shd w:val="clear" w:color="auto" w:fill="auto"/>
            <w:noWrap/>
            <w:hideMark/>
          </w:tcPr>
          <w:p w14:paraId="0255FA79" w14:textId="77777777" w:rsidR="0010788C" w:rsidRPr="004D19FF" w:rsidRDefault="001A0A97" w:rsidP="006D3FCE">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Co-product</w:t>
            </w:r>
          </w:p>
        </w:tc>
        <w:tc>
          <w:tcPr>
            <w:tcW w:w="1127" w:type="dxa"/>
            <w:tcBorders>
              <w:top w:val="single" w:sz="4" w:space="0" w:color="auto"/>
              <w:left w:val="nil"/>
              <w:bottom w:val="single" w:sz="4" w:space="0" w:color="auto"/>
              <w:right w:val="nil"/>
            </w:tcBorders>
            <w:shd w:val="clear" w:color="auto" w:fill="auto"/>
            <w:hideMark/>
          </w:tcPr>
          <w:p w14:paraId="37769381" w14:textId="77777777" w:rsidR="0010788C" w:rsidRPr="004D19FF" w:rsidRDefault="0010788C" w:rsidP="006D3FCE">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Conversion pathways</w:t>
            </w:r>
          </w:p>
        </w:tc>
        <w:tc>
          <w:tcPr>
            <w:tcW w:w="2947" w:type="dxa"/>
            <w:tcBorders>
              <w:top w:val="single" w:sz="4" w:space="0" w:color="auto"/>
              <w:left w:val="nil"/>
              <w:bottom w:val="single" w:sz="4" w:space="0" w:color="auto"/>
              <w:right w:val="nil"/>
            </w:tcBorders>
            <w:shd w:val="clear" w:color="auto" w:fill="auto"/>
            <w:noWrap/>
            <w:hideMark/>
          </w:tcPr>
          <w:p w14:paraId="5B058166" w14:textId="77777777" w:rsidR="0010788C" w:rsidRPr="004D19FF" w:rsidRDefault="0010788C" w:rsidP="006D3FCE">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Production status</w:t>
            </w:r>
          </w:p>
        </w:tc>
        <w:tc>
          <w:tcPr>
            <w:tcW w:w="3984" w:type="dxa"/>
            <w:tcBorders>
              <w:top w:val="single" w:sz="4" w:space="0" w:color="auto"/>
              <w:left w:val="nil"/>
              <w:bottom w:val="single" w:sz="4" w:space="0" w:color="auto"/>
              <w:right w:val="nil"/>
            </w:tcBorders>
            <w:shd w:val="clear" w:color="auto" w:fill="auto"/>
            <w:noWrap/>
            <w:hideMark/>
          </w:tcPr>
          <w:p w14:paraId="7D42061C" w14:textId="77777777" w:rsidR="0010788C" w:rsidRPr="004D19FF" w:rsidRDefault="001A0A97" w:rsidP="006D3FCE">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 xml:space="preserve">Market uptake </w:t>
            </w:r>
            <w:r w:rsidR="0010788C" w:rsidRPr="004D19FF">
              <w:rPr>
                <w:rFonts w:ascii="Times New Roman" w:eastAsia="Times New Roman" w:hAnsi="Times New Roman" w:cs="Times New Roman"/>
                <w:b/>
                <w:bCs/>
                <w:color w:val="000000"/>
                <w:sz w:val="18"/>
                <w:szCs w:val="18"/>
              </w:rPr>
              <w:t>and Displacement</w:t>
            </w:r>
          </w:p>
        </w:tc>
      </w:tr>
      <w:tr w:rsidR="0010788C" w:rsidRPr="004D19FF" w14:paraId="0FE203C7" w14:textId="77777777" w:rsidTr="007B59AF">
        <w:trPr>
          <w:trHeight w:val="278"/>
        </w:trPr>
        <w:tc>
          <w:tcPr>
            <w:tcW w:w="9353" w:type="dxa"/>
            <w:gridSpan w:val="4"/>
            <w:tcBorders>
              <w:top w:val="single" w:sz="4" w:space="0" w:color="auto"/>
              <w:left w:val="nil"/>
              <w:bottom w:val="single" w:sz="4" w:space="0" w:color="auto"/>
              <w:right w:val="nil"/>
            </w:tcBorders>
            <w:shd w:val="clear" w:color="auto" w:fill="auto"/>
            <w:noWrap/>
            <w:hideMark/>
          </w:tcPr>
          <w:p w14:paraId="0E41DDAE" w14:textId="77777777" w:rsidR="0010788C" w:rsidRPr="004D19FF" w:rsidRDefault="0010788C" w:rsidP="006D3FCE">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Chemicals</w:t>
            </w:r>
          </w:p>
        </w:tc>
      </w:tr>
      <w:tr w:rsidR="0010788C" w:rsidRPr="004D19FF" w14:paraId="53D30099" w14:textId="77777777" w:rsidTr="002800AD">
        <w:trPr>
          <w:trHeight w:val="1507"/>
        </w:trPr>
        <w:tc>
          <w:tcPr>
            <w:tcW w:w="1295" w:type="dxa"/>
            <w:tcBorders>
              <w:top w:val="nil"/>
              <w:left w:val="nil"/>
              <w:bottom w:val="nil"/>
              <w:right w:val="nil"/>
            </w:tcBorders>
            <w:shd w:val="clear" w:color="auto" w:fill="auto"/>
            <w:noWrap/>
            <w:hideMark/>
          </w:tcPr>
          <w:p w14:paraId="6CB7992B"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Propane</w:t>
            </w:r>
          </w:p>
        </w:tc>
        <w:tc>
          <w:tcPr>
            <w:tcW w:w="1127" w:type="dxa"/>
            <w:tcBorders>
              <w:top w:val="nil"/>
              <w:left w:val="nil"/>
              <w:bottom w:val="nil"/>
              <w:right w:val="nil"/>
            </w:tcBorders>
            <w:shd w:val="clear" w:color="auto" w:fill="auto"/>
            <w:noWrap/>
            <w:hideMark/>
          </w:tcPr>
          <w:p w14:paraId="5A7C0972"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HRJ/HEFA</w:t>
            </w:r>
          </w:p>
        </w:tc>
        <w:tc>
          <w:tcPr>
            <w:tcW w:w="2947" w:type="dxa"/>
            <w:tcBorders>
              <w:top w:val="nil"/>
              <w:left w:val="nil"/>
              <w:bottom w:val="nil"/>
              <w:right w:val="nil"/>
            </w:tcBorders>
            <w:shd w:val="clear" w:color="auto" w:fill="auto"/>
            <w:hideMark/>
          </w:tcPr>
          <w:p w14:paraId="638339F2"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Generated from triglyceride hydrogenation </w:t>
            </w:r>
          </w:p>
        </w:tc>
        <w:tc>
          <w:tcPr>
            <w:tcW w:w="3984" w:type="dxa"/>
            <w:tcBorders>
              <w:top w:val="nil"/>
              <w:left w:val="nil"/>
              <w:bottom w:val="nil"/>
              <w:right w:val="nil"/>
            </w:tcBorders>
            <w:shd w:val="clear" w:color="auto" w:fill="auto"/>
            <w:hideMark/>
          </w:tcPr>
          <w:p w14:paraId="3C52E975" w14:textId="77777777" w:rsidR="0010788C" w:rsidRPr="004D19FF" w:rsidRDefault="00831F0D"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One of the main </w:t>
            </w:r>
            <w:r w:rsidR="002F36C0" w:rsidRPr="004D19FF">
              <w:rPr>
                <w:rFonts w:ascii="Times New Roman" w:eastAsia="Times New Roman" w:hAnsi="Times New Roman" w:cs="Times New Roman"/>
                <w:color w:val="000000"/>
                <w:sz w:val="18"/>
                <w:szCs w:val="18"/>
              </w:rPr>
              <w:t>LPG</w:t>
            </w:r>
            <w:r w:rsidR="0010788C" w:rsidRPr="004D19FF">
              <w:rPr>
                <w:rFonts w:ascii="Times New Roman" w:eastAsia="Times New Roman" w:hAnsi="Times New Roman" w:cs="Times New Roman"/>
                <w:color w:val="000000"/>
                <w:sz w:val="18"/>
                <w:szCs w:val="18"/>
              </w:rPr>
              <w:t xml:space="preserve"> constituents </w:t>
            </w:r>
            <w:r w:rsidR="0010788C" w:rsidRPr="004D19FF">
              <w:rPr>
                <w:rFonts w:ascii="Times New Roman" w:eastAsia="Times New Roman" w:hAnsi="Times New Roman" w:cs="Times New Roman"/>
                <w:color w:val="000000"/>
                <w:sz w:val="18"/>
                <w:szCs w:val="18"/>
              </w:rPr>
              <w:br/>
              <w:t>• Used as fuel in numerous application</w:t>
            </w:r>
            <w:r w:rsidRPr="004D19FF">
              <w:rPr>
                <w:rFonts w:ascii="Times New Roman" w:eastAsia="Times New Roman" w:hAnsi="Times New Roman" w:cs="Times New Roman"/>
                <w:color w:val="000000"/>
                <w:sz w:val="18"/>
                <w:szCs w:val="18"/>
              </w:rPr>
              <w:t>s</w:t>
            </w:r>
            <w:r w:rsidR="0010788C" w:rsidRPr="004D19FF">
              <w:rPr>
                <w:rFonts w:ascii="Times New Roman" w:eastAsia="Times New Roman" w:hAnsi="Times New Roman" w:cs="Times New Roman"/>
                <w:color w:val="000000"/>
                <w:sz w:val="18"/>
                <w:szCs w:val="18"/>
              </w:rPr>
              <w:br/>
              <w:t xml:space="preserve">(e.g. commercial boiler, burner, </w:t>
            </w:r>
            <w:r w:rsidR="001A0A97" w:rsidRPr="004D19FF">
              <w:rPr>
                <w:rFonts w:ascii="Times New Roman" w:eastAsia="Times New Roman" w:hAnsi="Times New Roman" w:cs="Times New Roman"/>
                <w:color w:val="000000"/>
                <w:sz w:val="18"/>
                <w:szCs w:val="18"/>
              </w:rPr>
              <w:t>etc.)</w:t>
            </w:r>
            <w:r w:rsidR="001A0A97" w:rsidRPr="004D19FF">
              <w:rPr>
                <w:rFonts w:ascii="Times New Roman" w:eastAsia="Times New Roman" w:hAnsi="Times New Roman" w:cs="Times New Roman"/>
                <w:color w:val="000000"/>
                <w:sz w:val="18"/>
                <w:szCs w:val="18"/>
              </w:rPr>
              <w:br/>
              <w:t xml:space="preserve">• Displaces </w:t>
            </w:r>
            <w:r w:rsidR="0010788C" w:rsidRPr="004D19FF">
              <w:rPr>
                <w:rFonts w:ascii="Times New Roman" w:eastAsia="Times New Roman" w:hAnsi="Times New Roman" w:cs="Times New Roman"/>
                <w:color w:val="000000"/>
                <w:sz w:val="18"/>
                <w:szCs w:val="18"/>
              </w:rPr>
              <w:t>fossil-based propane from petrochemical sources (natural gas processing, crude oil refinery)</w:t>
            </w:r>
          </w:p>
        </w:tc>
      </w:tr>
      <w:tr w:rsidR="0010788C" w:rsidRPr="004D19FF" w14:paraId="3A01248C" w14:textId="77777777" w:rsidTr="002800AD">
        <w:trPr>
          <w:trHeight w:val="1319"/>
        </w:trPr>
        <w:tc>
          <w:tcPr>
            <w:tcW w:w="1295" w:type="dxa"/>
            <w:tcBorders>
              <w:top w:val="nil"/>
              <w:left w:val="nil"/>
              <w:bottom w:val="nil"/>
              <w:right w:val="nil"/>
            </w:tcBorders>
            <w:shd w:val="clear" w:color="auto" w:fill="auto"/>
            <w:noWrap/>
            <w:hideMark/>
          </w:tcPr>
          <w:p w14:paraId="60CAD847"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Naphtha</w:t>
            </w:r>
          </w:p>
        </w:tc>
        <w:tc>
          <w:tcPr>
            <w:tcW w:w="1127" w:type="dxa"/>
            <w:tcBorders>
              <w:top w:val="nil"/>
              <w:left w:val="nil"/>
              <w:bottom w:val="nil"/>
              <w:right w:val="nil"/>
            </w:tcBorders>
            <w:shd w:val="clear" w:color="auto" w:fill="auto"/>
            <w:hideMark/>
          </w:tcPr>
          <w:p w14:paraId="60D80ECE" w14:textId="77777777" w:rsidR="00575654"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APR</w:t>
            </w:r>
          </w:p>
          <w:p w14:paraId="5BBCEE12" w14:textId="77777777" w:rsidR="00F80BE3" w:rsidRPr="004D19FF" w:rsidRDefault="00F80BE3"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AF</w:t>
            </w:r>
          </w:p>
          <w:p w14:paraId="7A05FE54" w14:textId="77777777" w:rsidR="0010788C" w:rsidRPr="004D19FF" w:rsidRDefault="00575654"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SF</w:t>
            </w:r>
            <w:r w:rsidR="0010788C" w:rsidRPr="004D19FF">
              <w:rPr>
                <w:rFonts w:ascii="Times New Roman" w:eastAsia="Times New Roman" w:hAnsi="Times New Roman" w:cs="Times New Roman"/>
                <w:color w:val="000000"/>
                <w:sz w:val="18"/>
                <w:szCs w:val="18"/>
              </w:rPr>
              <w:br/>
              <w:t>FT</w:t>
            </w:r>
            <w:r w:rsidR="0010788C" w:rsidRPr="004D19FF">
              <w:rPr>
                <w:rFonts w:ascii="Times New Roman" w:eastAsia="Times New Roman" w:hAnsi="Times New Roman" w:cs="Times New Roman"/>
                <w:color w:val="000000"/>
                <w:sz w:val="18"/>
                <w:szCs w:val="18"/>
              </w:rPr>
              <w:br/>
              <w:t>HDCJ</w:t>
            </w:r>
            <w:r w:rsidR="0010788C" w:rsidRPr="004D19FF">
              <w:rPr>
                <w:rFonts w:ascii="Times New Roman" w:eastAsia="Times New Roman" w:hAnsi="Times New Roman" w:cs="Times New Roman"/>
                <w:color w:val="000000"/>
                <w:sz w:val="18"/>
                <w:szCs w:val="18"/>
              </w:rPr>
              <w:br/>
              <w:t>HRJ/HEFA</w:t>
            </w:r>
            <w:r w:rsidR="0010788C" w:rsidRPr="004D19FF">
              <w:rPr>
                <w:rFonts w:ascii="Times New Roman" w:eastAsia="Times New Roman" w:hAnsi="Times New Roman" w:cs="Times New Roman"/>
                <w:color w:val="000000"/>
                <w:sz w:val="18"/>
                <w:szCs w:val="18"/>
              </w:rPr>
              <w:br/>
              <w:t>CH</w:t>
            </w:r>
            <w:r w:rsidR="009B625D" w:rsidRPr="004D19FF">
              <w:rPr>
                <w:rFonts w:ascii="Times New Roman" w:eastAsia="Times New Roman" w:hAnsi="Times New Roman" w:cs="Times New Roman"/>
                <w:color w:val="000000"/>
                <w:sz w:val="18"/>
                <w:szCs w:val="18"/>
              </w:rPr>
              <w:t>J</w:t>
            </w:r>
          </w:p>
        </w:tc>
        <w:tc>
          <w:tcPr>
            <w:tcW w:w="2947" w:type="dxa"/>
            <w:tcBorders>
              <w:top w:val="nil"/>
              <w:left w:val="nil"/>
              <w:bottom w:val="nil"/>
              <w:right w:val="nil"/>
            </w:tcBorders>
            <w:shd w:val="clear" w:color="auto" w:fill="auto"/>
            <w:hideMark/>
          </w:tcPr>
          <w:p w14:paraId="52FADBE5"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Generated along with aviation </w:t>
            </w:r>
            <w:r w:rsidR="001A0A97" w:rsidRPr="004D19FF">
              <w:rPr>
                <w:rFonts w:ascii="Times New Roman" w:eastAsia="Times New Roman" w:hAnsi="Times New Roman" w:cs="Times New Roman"/>
                <w:color w:val="000000"/>
                <w:sz w:val="18"/>
                <w:szCs w:val="18"/>
              </w:rPr>
              <w:t>bio</w:t>
            </w:r>
            <w:r w:rsidRPr="004D19FF">
              <w:rPr>
                <w:rFonts w:ascii="Times New Roman" w:eastAsia="Times New Roman" w:hAnsi="Times New Roman" w:cs="Times New Roman"/>
                <w:color w:val="000000"/>
                <w:sz w:val="18"/>
                <w:szCs w:val="18"/>
              </w:rPr>
              <w:t>fuel</w:t>
            </w:r>
            <w:r w:rsidR="001A0A97" w:rsidRPr="004D19FF">
              <w:rPr>
                <w:rFonts w:ascii="Times New Roman" w:eastAsia="Times New Roman" w:hAnsi="Times New Roman" w:cs="Times New Roman"/>
                <w:color w:val="000000"/>
                <w:sz w:val="18"/>
                <w:szCs w:val="18"/>
              </w:rPr>
              <w:t xml:space="preserve"> (final production step)</w:t>
            </w:r>
          </w:p>
        </w:tc>
        <w:tc>
          <w:tcPr>
            <w:tcW w:w="3984" w:type="dxa"/>
            <w:tcBorders>
              <w:top w:val="nil"/>
              <w:left w:val="nil"/>
              <w:bottom w:val="nil"/>
              <w:right w:val="nil"/>
            </w:tcBorders>
            <w:shd w:val="clear" w:color="auto" w:fill="auto"/>
            <w:hideMark/>
          </w:tcPr>
          <w:p w14:paraId="7CD2B1EF"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Gasoline blending component</w:t>
            </w:r>
            <w:r w:rsidRPr="004D19FF">
              <w:rPr>
                <w:rFonts w:ascii="Times New Roman" w:eastAsia="Times New Roman" w:hAnsi="Times New Roman" w:cs="Times New Roman"/>
                <w:color w:val="000000"/>
                <w:sz w:val="18"/>
                <w:szCs w:val="18"/>
              </w:rPr>
              <w:br/>
              <w:t>• Precursors for plastics manufacturing</w:t>
            </w:r>
            <w:r w:rsidRPr="004D19FF">
              <w:rPr>
                <w:rFonts w:ascii="Times New Roman" w:eastAsia="Times New Roman" w:hAnsi="Times New Roman" w:cs="Times New Roman"/>
                <w:color w:val="000000"/>
                <w:sz w:val="18"/>
                <w:szCs w:val="18"/>
              </w:rPr>
              <w:br/>
              <w:t>• Can be recy</w:t>
            </w:r>
            <w:r w:rsidR="001A0A97" w:rsidRPr="004D19FF">
              <w:rPr>
                <w:rFonts w:ascii="Times New Roman" w:eastAsia="Times New Roman" w:hAnsi="Times New Roman" w:cs="Times New Roman"/>
                <w:color w:val="000000"/>
                <w:sz w:val="18"/>
                <w:szCs w:val="18"/>
              </w:rPr>
              <w:t>cled in the FT unit to produce additional aviation fuel</w:t>
            </w:r>
            <w:r w:rsidR="001A0A97" w:rsidRPr="004D19FF">
              <w:rPr>
                <w:rFonts w:ascii="Times New Roman" w:eastAsia="Times New Roman" w:hAnsi="Times New Roman" w:cs="Times New Roman"/>
                <w:color w:val="000000"/>
                <w:sz w:val="18"/>
                <w:szCs w:val="18"/>
              </w:rPr>
              <w:br/>
              <w:t xml:space="preserve">• Displaces </w:t>
            </w:r>
            <w:r w:rsidRPr="004D19FF">
              <w:rPr>
                <w:rFonts w:ascii="Times New Roman" w:eastAsia="Times New Roman" w:hAnsi="Times New Roman" w:cs="Times New Roman"/>
                <w:color w:val="000000"/>
                <w:sz w:val="18"/>
                <w:szCs w:val="18"/>
              </w:rPr>
              <w:t>fossil-based naphtha from petrochemical sources</w:t>
            </w:r>
          </w:p>
        </w:tc>
      </w:tr>
      <w:tr w:rsidR="0010788C" w:rsidRPr="004D19FF" w14:paraId="3A365116" w14:textId="77777777" w:rsidTr="002800AD">
        <w:trPr>
          <w:trHeight w:val="905"/>
        </w:trPr>
        <w:tc>
          <w:tcPr>
            <w:tcW w:w="1295" w:type="dxa"/>
            <w:tcBorders>
              <w:top w:val="nil"/>
              <w:left w:val="nil"/>
              <w:bottom w:val="nil"/>
              <w:right w:val="nil"/>
            </w:tcBorders>
            <w:shd w:val="clear" w:color="auto" w:fill="auto"/>
            <w:noWrap/>
            <w:hideMark/>
          </w:tcPr>
          <w:p w14:paraId="58E3D91D"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lastRenderedPageBreak/>
              <w:t>2,3-butanediol</w:t>
            </w:r>
          </w:p>
        </w:tc>
        <w:tc>
          <w:tcPr>
            <w:tcW w:w="1127" w:type="dxa"/>
            <w:tcBorders>
              <w:top w:val="nil"/>
              <w:left w:val="nil"/>
              <w:bottom w:val="nil"/>
              <w:right w:val="nil"/>
            </w:tcBorders>
            <w:shd w:val="clear" w:color="auto" w:fill="auto"/>
            <w:noWrap/>
            <w:hideMark/>
          </w:tcPr>
          <w:p w14:paraId="380D079A"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SF</w:t>
            </w:r>
          </w:p>
        </w:tc>
        <w:tc>
          <w:tcPr>
            <w:tcW w:w="2947" w:type="dxa"/>
            <w:tcBorders>
              <w:top w:val="nil"/>
              <w:left w:val="nil"/>
              <w:bottom w:val="nil"/>
              <w:right w:val="nil"/>
            </w:tcBorders>
            <w:shd w:val="clear" w:color="auto" w:fill="auto"/>
            <w:hideMark/>
          </w:tcPr>
          <w:p w14:paraId="66E95F28" w14:textId="77777777" w:rsidR="0010788C" w:rsidRPr="004D19FF" w:rsidRDefault="0065347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Generated along with ethanol, may be recovered through a separation process prior to the ethanol production (optional)</w:t>
            </w:r>
          </w:p>
        </w:tc>
        <w:tc>
          <w:tcPr>
            <w:tcW w:w="3984" w:type="dxa"/>
            <w:tcBorders>
              <w:top w:val="nil"/>
              <w:left w:val="nil"/>
              <w:bottom w:val="nil"/>
              <w:right w:val="nil"/>
            </w:tcBorders>
            <w:shd w:val="clear" w:color="auto" w:fill="auto"/>
            <w:hideMark/>
          </w:tcPr>
          <w:p w14:paraId="21F474EC"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Conversion to various precursors n</w:t>
            </w:r>
            <w:r w:rsidR="00DB37C9" w:rsidRPr="004D19FF">
              <w:rPr>
                <w:rFonts w:ascii="Times New Roman" w:eastAsia="Times New Roman" w:hAnsi="Times New Roman" w:cs="Times New Roman"/>
                <w:color w:val="000000"/>
                <w:sz w:val="18"/>
                <w:szCs w:val="18"/>
              </w:rPr>
              <w:t>amely MEK</w:t>
            </w:r>
            <w:r w:rsidRPr="004D19FF">
              <w:rPr>
                <w:rFonts w:ascii="Times New Roman" w:eastAsia="Times New Roman" w:hAnsi="Times New Roman" w:cs="Times New Roman"/>
                <w:color w:val="000000"/>
                <w:sz w:val="18"/>
                <w:szCs w:val="18"/>
              </w:rPr>
              <w:t>, 1,3</w:t>
            </w:r>
            <w:r w:rsidR="0065347C" w:rsidRPr="004D19FF">
              <w:rPr>
                <w:rFonts w:ascii="Times New Roman" w:eastAsia="Times New Roman" w:hAnsi="Times New Roman" w:cs="Times New Roman"/>
                <w:color w:val="000000"/>
                <w:sz w:val="18"/>
                <w:szCs w:val="18"/>
              </w:rPr>
              <w:t>-butadiene, etc.</w:t>
            </w:r>
            <w:r w:rsidR="0065347C" w:rsidRPr="004D19FF">
              <w:rPr>
                <w:rFonts w:ascii="Times New Roman" w:eastAsia="Times New Roman" w:hAnsi="Times New Roman" w:cs="Times New Roman"/>
                <w:color w:val="000000"/>
                <w:sz w:val="18"/>
                <w:szCs w:val="18"/>
              </w:rPr>
              <w:br/>
              <w:t xml:space="preserve">• Displaces </w:t>
            </w:r>
            <w:r w:rsidRPr="004D19FF">
              <w:rPr>
                <w:rFonts w:ascii="Times New Roman" w:eastAsia="Times New Roman" w:hAnsi="Times New Roman" w:cs="Times New Roman"/>
                <w:color w:val="000000"/>
                <w:sz w:val="18"/>
                <w:szCs w:val="18"/>
              </w:rPr>
              <w:t>2,3-BDO from chemical engineering (or synthetic) methods</w:t>
            </w:r>
          </w:p>
        </w:tc>
      </w:tr>
      <w:tr w:rsidR="0010788C" w:rsidRPr="004D19FF" w14:paraId="25EC1932" w14:textId="77777777" w:rsidTr="002800AD">
        <w:trPr>
          <w:trHeight w:val="1392"/>
        </w:trPr>
        <w:tc>
          <w:tcPr>
            <w:tcW w:w="1295" w:type="dxa"/>
            <w:tcBorders>
              <w:top w:val="nil"/>
              <w:left w:val="nil"/>
              <w:bottom w:val="single" w:sz="4" w:space="0" w:color="auto"/>
              <w:right w:val="nil"/>
            </w:tcBorders>
            <w:shd w:val="clear" w:color="auto" w:fill="auto"/>
            <w:noWrap/>
            <w:hideMark/>
          </w:tcPr>
          <w:p w14:paraId="50D17A2E"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Isobutene</w:t>
            </w:r>
          </w:p>
        </w:tc>
        <w:tc>
          <w:tcPr>
            <w:tcW w:w="1127" w:type="dxa"/>
            <w:tcBorders>
              <w:top w:val="nil"/>
              <w:left w:val="nil"/>
              <w:bottom w:val="single" w:sz="4" w:space="0" w:color="auto"/>
              <w:right w:val="nil"/>
            </w:tcBorders>
            <w:shd w:val="clear" w:color="auto" w:fill="auto"/>
            <w:noWrap/>
            <w:hideMark/>
          </w:tcPr>
          <w:p w14:paraId="0F49119A"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AF</w:t>
            </w:r>
          </w:p>
        </w:tc>
        <w:tc>
          <w:tcPr>
            <w:tcW w:w="2947" w:type="dxa"/>
            <w:tcBorders>
              <w:top w:val="nil"/>
              <w:left w:val="nil"/>
              <w:bottom w:val="single" w:sz="4" w:space="0" w:color="auto"/>
              <w:right w:val="nil"/>
            </w:tcBorders>
            <w:shd w:val="clear" w:color="auto" w:fill="auto"/>
            <w:hideMark/>
          </w:tcPr>
          <w:p w14:paraId="01350117"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Derived from isobutanol, which can be further processed the dehydration (optional)</w:t>
            </w:r>
          </w:p>
        </w:tc>
        <w:tc>
          <w:tcPr>
            <w:tcW w:w="3984" w:type="dxa"/>
            <w:tcBorders>
              <w:top w:val="nil"/>
              <w:left w:val="nil"/>
              <w:bottom w:val="single" w:sz="4" w:space="0" w:color="auto"/>
              <w:right w:val="nil"/>
            </w:tcBorders>
            <w:shd w:val="clear" w:color="auto" w:fill="auto"/>
            <w:hideMark/>
          </w:tcPr>
          <w:p w14:paraId="69776F0C"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Precursor for numerous </w:t>
            </w:r>
            <w:r w:rsidR="00C75DBA" w:rsidRPr="004D19FF">
              <w:rPr>
                <w:rFonts w:ascii="Times New Roman" w:eastAsia="Times New Roman" w:hAnsi="Times New Roman" w:cs="Times New Roman"/>
                <w:color w:val="000000"/>
                <w:sz w:val="18"/>
                <w:szCs w:val="18"/>
              </w:rPr>
              <w:t>products</w:t>
            </w:r>
            <w:r w:rsidRPr="004D19FF">
              <w:rPr>
                <w:rFonts w:ascii="Times New Roman" w:eastAsia="Times New Roman" w:hAnsi="Times New Roman" w:cs="Times New Roman"/>
                <w:color w:val="000000"/>
                <w:sz w:val="18"/>
                <w:szCs w:val="18"/>
              </w:rPr>
              <w:t xml:space="preserve"> such as butyl rubber, plastics, </w:t>
            </w:r>
            <w:r w:rsidR="00C75DBA" w:rsidRPr="004D19FF">
              <w:rPr>
                <w:rFonts w:ascii="Times New Roman" w:eastAsia="Times New Roman" w:hAnsi="Times New Roman" w:cs="Times New Roman"/>
                <w:color w:val="000000"/>
                <w:sz w:val="18"/>
                <w:szCs w:val="18"/>
              </w:rPr>
              <w:t>isooctane</w:t>
            </w:r>
            <w:r w:rsidRPr="004D19FF">
              <w:rPr>
                <w:rFonts w:ascii="Times New Roman" w:eastAsia="Times New Roman" w:hAnsi="Times New Roman" w:cs="Times New Roman"/>
                <w:color w:val="000000"/>
                <w:sz w:val="18"/>
                <w:szCs w:val="18"/>
              </w:rPr>
              <w:t>, etc.</w:t>
            </w:r>
            <w:r w:rsidRPr="004D19FF">
              <w:rPr>
                <w:rFonts w:ascii="Times New Roman" w:eastAsia="Times New Roman" w:hAnsi="Times New Roman" w:cs="Times New Roman"/>
                <w:color w:val="000000"/>
                <w:sz w:val="18"/>
                <w:szCs w:val="18"/>
              </w:rPr>
              <w:br/>
              <w:t>• One of the main LPG constituents</w:t>
            </w:r>
            <w:r w:rsidRPr="004D19FF">
              <w:rPr>
                <w:rFonts w:ascii="Times New Roman" w:eastAsia="Times New Roman" w:hAnsi="Times New Roman" w:cs="Times New Roman"/>
                <w:color w:val="000000"/>
                <w:sz w:val="18"/>
                <w:szCs w:val="18"/>
              </w:rPr>
              <w:br/>
              <w:t>• Dimerization for isooctane production</w:t>
            </w:r>
            <w:r w:rsidRPr="004D19FF">
              <w:rPr>
                <w:rFonts w:ascii="Times New Roman" w:eastAsia="Times New Roman" w:hAnsi="Times New Roman" w:cs="Times New Roman"/>
                <w:color w:val="000000"/>
                <w:sz w:val="18"/>
                <w:szCs w:val="18"/>
              </w:rPr>
              <w:br/>
              <w:t xml:space="preserve">• Polymerization in butyl </w:t>
            </w:r>
            <w:r w:rsidR="00575654" w:rsidRPr="004D19FF">
              <w:rPr>
                <w:rFonts w:ascii="Times New Roman" w:eastAsia="Times New Roman" w:hAnsi="Times New Roman" w:cs="Times New Roman"/>
                <w:color w:val="000000"/>
                <w:sz w:val="18"/>
                <w:szCs w:val="18"/>
              </w:rPr>
              <w:t>rubber production</w:t>
            </w:r>
            <w:r w:rsidR="00575654" w:rsidRPr="004D19FF">
              <w:rPr>
                <w:rFonts w:ascii="Times New Roman" w:eastAsia="Times New Roman" w:hAnsi="Times New Roman" w:cs="Times New Roman"/>
                <w:color w:val="000000"/>
                <w:sz w:val="18"/>
                <w:szCs w:val="18"/>
              </w:rPr>
              <w:br/>
              <w:t>• Displaces</w:t>
            </w:r>
            <w:r w:rsidRPr="004D19FF">
              <w:rPr>
                <w:rFonts w:ascii="Times New Roman" w:eastAsia="Times New Roman" w:hAnsi="Times New Roman" w:cs="Times New Roman"/>
                <w:color w:val="000000"/>
                <w:sz w:val="18"/>
                <w:szCs w:val="18"/>
              </w:rPr>
              <w:t xml:space="preserve"> isobutene from petrochemical sources</w:t>
            </w:r>
          </w:p>
        </w:tc>
      </w:tr>
      <w:tr w:rsidR="0010788C" w:rsidRPr="004D19FF" w14:paraId="304D4872" w14:textId="77777777" w:rsidTr="007B59AF">
        <w:trPr>
          <w:trHeight w:val="278"/>
        </w:trPr>
        <w:tc>
          <w:tcPr>
            <w:tcW w:w="9353" w:type="dxa"/>
            <w:gridSpan w:val="4"/>
            <w:tcBorders>
              <w:top w:val="single" w:sz="4" w:space="0" w:color="auto"/>
              <w:left w:val="nil"/>
              <w:bottom w:val="single" w:sz="4" w:space="0" w:color="auto"/>
              <w:right w:val="nil"/>
            </w:tcBorders>
            <w:shd w:val="clear" w:color="auto" w:fill="auto"/>
            <w:noWrap/>
            <w:hideMark/>
          </w:tcPr>
          <w:p w14:paraId="6D8F5F70" w14:textId="77777777" w:rsidR="0010788C" w:rsidRPr="004D19FF" w:rsidRDefault="0010788C" w:rsidP="006D3FCE">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Liquid fuels</w:t>
            </w:r>
          </w:p>
        </w:tc>
      </w:tr>
      <w:tr w:rsidR="0010788C" w:rsidRPr="004D19FF" w14:paraId="55DF78C1" w14:textId="77777777" w:rsidTr="003B41F5">
        <w:trPr>
          <w:trHeight w:val="728"/>
        </w:trPr>
        <w:tc>
          <w:tcPr>
            <w:tcW w:w="1295" w:type="dxa"/>
            <w:tcBorders>
              <w:top w:val="nil"/>
              <w:left w:val="nil"/>
              <w:bottom w:val="nil"/>
              <w:right w:val="nil"/>
            </w:tcBorders>
            <w:shd w:val="clear" w:color="auto" w:fill="auto"/>
            <w:noWrap/>
            <w:hideMark/>
          </w:tcPr>
          <w:p w14:paraId="1FE10187"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Isooctane</w:t>
            </w:r>
          </w:p>
        </w:tc>
        <w:tc>
          <w:tcPr>
            <w:tcW w:w="1127" w:type="dxa"/>
            <w:tcBorders>
              <w:top w:val="nil"/>
              <w:left w:val="nil"/>
              <w:bottom w:val="nil"/>
              <w:right w:val="nil"/>
            </w:tcBorders>
            <w:shd w:val="clear" w:color="auto" w:fill="auto"/>
            <w:noWrap/>
            <w:hideMark/>
          </w:tcPr>
          <w:p w14:paraId="16044FCB"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AF </w:t>
            </w:r>
          </w:p>
        </w:tc>
        <w:tc>
          <w:tcPr>
            <w:tcW w:w="2947" w:type="dxa"/>
            <w:tcBorders>
              <w:top w:val="nil"/>
              <w:left w:val="nil"/>
              <w:bottom w:val="nil"/>
              <w:right w:val="nil"/>
            </w:tcBorders>
            <w:shd w:val="clear" w:color="auto" w:fill="auto"/>
            <w:hideMark/>
          </w:tcPr>
          <w:p w14:paraId="3E75D79E"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w:t>
            </w:r>
            <w:r w:rsidR="00575654" w:rsidRPr="004D19FF">
              <w:rPr>
                <w:rFonts w:ascii="Times New Roman" w:eastAsia="Times New Roman" w:hAnsi="Times New Roman" w:cs="Times New Roman"/>
                <w:color w:val="000000"/>
                <w:sz w:val="18"/>
                <w:szCs w:val="18"/>
              </w:rPr>
              <w:t>Generated along with aviation biofuel (final production step)</w:t>
            </w:r>
          </w:p>
        </w:tc>
        <w:tc>
          <w:tcPr>
            <w:tcW w:w="3984" w:type="dxa"/>
            <w:tcBorders>
              <w:top w:val="nil"/>
              <w:left w:val="nil"/>
              <w:bottom w:val="nil"/>
              <w:right w:val="nil"/>
            </w:tcBorders>
            <w:shd w:val="clear" w:color="auto" w:fill="auto"/>
            <w:hideMark/>
          </w:tcPr>
          <w:p w14:paraId="49DD9D11"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(Premium-grade) gasoline production</w:t>
            </w:r>
            <w:r w:rsidRPr="004D19FF">
              <w:rPr>
                <w:rFonts w:ascii="Times New Roman" w:eastAsia="Times New Roman" w:hAnsi="Times New Roman" w:cs="Times New Roman"/>
                <w:color w:val="000000"/>
                <w:sz w:val="18"/>
                <w:szCs w:val="18"/>
              </w:rPr>
              <w:br/>
              <w:t>• Displace</w:t>
            </w:r>
            <w:r w:rsidR="00575654" w:rsidRPr="004D19FF">
              <w:rPr>
                <w:rFonts w:ascii="Times New Roman" w:eastAsia="Times New Roman" w:hAnsi="Times New Roman" w:cs="Times New Roman"/>
                <w:color w:val="000000"/>
                <w:sz w:val="18"/>
                <w:szCs w:val="18"/>
              </w:rPr>
              <w:t>s</w:t>
            </w:r>
            <w:r w:rsidRPr="004D19FF">
              <w:rPr>
                <w:rFonts w:ascii="Times New Roman" w:eastAsia="Times New Roman" w:hAnsi="Times New Roman" w:cs="Times New Roman"/>
                <w:color w:val="000000"/>
                <w:sz w:val="18"/>
                <w:szCs w:val="18"/>
              </w:rPr>
              <w:t xml:space="preserve"> fossil-based isooctane from   petrochemical sources</w:t>
            </w:r>
          </w:p>
        </w:tc>
      </w:tr>
      <w:tr w:rsidR="0010788C" w:rsidRPr="004D19FF" w14:paraId="1DA90F97" w14:textId="77777777" w:rsidTr="003B41F5">
        <w:trPr>
          <w:trHeight w:val="1170"/>
        </w:trPr>
        <w:tc>
          <w:tcPr>
            <w:tcW w:w="1295" w:type="dxa"/>
            <w:tcBorders>
              <w:top w:val="nil"/>
              <w:left w:val="nil"/>
              <w:bottom w:val="nil"/>
              <w:right w:val="nil"/>
            </w:tcBorders>
            <w:shd w:val="clear" w:color="auto" w:fill="auto"/>
            <w:noWrap/>
            <w:hideMark/>
          </w:tcPr>
          <w:p w14:paraId="79286D4F"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Gasoline</w:t>
            </w:r>
          </w:p>
        </w:tc>
        <w:tc>
          <w:tcPr>
            <w:tcW w:w="1127" w:type="dxa"/>
            <w:tcBorders>
              <w:top w:val="nil"/>
              <w:left w:val="nil"/>
              <w:bottom w:val="nil"/>
              <w:right w:val="nil"/>
            </w:tcBorders>
            <w:shd w:val="clear" w:color="auto" w:fill="auto"/>
            <w:hideMark/>
          </w:tcPr>
          <w:p w14:paraId="1EF670CE"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AF</w:t>
            </w:r>
            <w:r w:rsidRPr="004D19FF">
              <w:rPr>
                <w:rFonts w:ascii="Times New Roman" w:eastAsia="Times New Roman" w:hAnsi="Times New Roman" w:cs="Times New Roman"/>
                <w:color w:val="000000"/>
                <w:sz w:val="18"/>
                <w:szCs w:val="18"/>
              </w:rPr>
              <w:br/>
              <w:t>FT</w:t>
            </w:r>
          </w:p>
        </w:tc>
        <w:tc>
          <w:tcPr>
            <w:tcW w:w="2947" w:type="dxa"/>
            <w:tcBorders>
              <w:top w:val="nil"/>
              <w:left w:val="nil"/>
              <w:bottom w:val="nil"/>
              <w:right w:val="nil"/>
            </w:tcBorders>
            <w:shd w:val="clear" w:color="auto" w:fill="auto"/>
            <w:hideMark/>
          </w:tcPr>
          <w:p w14:paraId="6F52411C"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Derived from isobutanol in the AF process, which can be further upgraded to isooctane (optional) </w:t>
            </w:r>
            <w:r w:rsidRPr="004D19FF">
              <w:rPr>
                <w:rFonts w:ascii="Times New Roman" w:eastAsia="Times New Roman" w:hAnsi="Times New Roman" w:cs="Times New Roman"/>
                <w:color w:val="000000"/>
                <w:sz w:val="18"/>
                <w:szCs w:val="18"/>
              </w:rPr>
              <w:br/>
              <w:t xml:space="preserve">• Generated along with aviation fuel </w:t>
            </w:r>
            <w:r w:rsidR="00575654" w:rsidRPr="004D19FF">
              <w:rPr>
                <w:rFonts w:ascii="Times New Roman" w:eastAsia="Times New Roman" w:hAnsi="Times New Roman" w:cs="Times New Roman"/>
                <w:color w:val="000000"/>
                <w:sz w:val="18"/>
                <w:szCs w:val="18"/>
              </w:rPr>
              <w:t>(final production step)</w:t>
            </w:r>
          </w:p>
        </w:tc>
        <w:tc>
          <w:tcPr>
            <w:tcW w:w="3984" w:type="dxa"/>
            <w:tcBorders>
              <w:top w:val="nil"/>
              <w:left w:val="nil"/>
              <w:bottom w:val="nil"/>
              <w:right w:val="nil"/>
            </w:tcBorders>
            <w:shd w:val="clear" w:color="auto" w:fill="auto"/>
            <w:hideMark/>
          </w:tcPr>
          <w:p w14:paraId="4198CACE"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Transportation fuel </w:t>
            </w:r>
            <w:r w:rsidRPr="004D19FF">
              <w:rPr>
                <w:rFonts w:ascii="Times New Roman" w:eastAsia="Times New Roman" w:hAnsi="Times New Roman" w:cs="Times New Roman"/>
                <w:color w:val="000000"/>
                <w:sz w:val="18"/>
                <w:szCs w:val="18"/>
              </w:rPr>
              <w:br/>
              <w:t>• Displace</w:t>
            </w:r>
            <w:r w:rsidR="00575654" w:rsidRPr="004D19FF">
              <w:rPr>
                <w:rFonts w:ascii="Times New Roman" w:eastAsia="Times New Roman" w:hAnsi="Times New Roman" w:cs="Times New Roman"/>
                <w:color w:val="000000"/>
                <w:sz w:val="18"/>
                <w:szCs w:val="18"/>
              </w:rPr>
              <w:t>s</w:t>
            </w:r>
            <w:r w:rsidRPr="004D19FF">
              <w:rPr>
                <w:rFonts w:ascii="Times New Roman" w:eastAsia="Times New Roman" w:hAnsi="Times New Roman" w:cs="Times New Roman"/>
                <w:color w:val="000000"/>
                <w:sz w:val="18"/>
                <w:szCs w:val="18"/>
              </w:rPr>
              <w:t xml:space="preserve"> fossil-based gasoline derived from petrochemical source</w:t>
            </w:r>
          </w:p>
        </w:tc>
      </w:tr>
      <w:tr w:rsidR="0010788C" w:rsidRPr="004D19FF" w14:paraId="24414EC6" w14:textId="77777777" w:rsidTr="003B41F5">
        <w:trPr>
          <w:trHeight w:val="1098"/>
        </w:trPr>
        <w:tc>
          <w:tcPr>
            <w:tcW w:w="1295" w:type="dxa"/>
            <w:tcBorders>
              <w:top w:val="nil"/>
              <w:left w:val="nil"/>
              <w:bottom w:val="single" w:sz="4" w:space="0" w:color="auto"/>
              <w:right w:val="nil"/>
            </w:tcBorders>
            <w:shd w:val="clear" w:color="auto" w:fill="auto"/>
            <w:noWrap/>
            <w:hideMark/>
          </w:tcPr>
          <w:p w14:paraId="79C7C3A8"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Diesel</w:t>
            </w:r>
          </w:p>
        </w:tc>
        <w:tc>
          <w:tcPr>
            <w:tcW w:w="1127" w:type="dxa"/>
            <w:tcBorders>
              <w:top w:val="nil"/>
              <w:left w:val="nil"/>
              <w:bottom w:val="single" w:sz="4" w:space="0" w:color="auto"/>
              <w:right w:val="nil"/>
            </w:tcBorders>
            <w:shd w:val="clear" w:color="auto" w:fill="auto"/>
            <w:hideMark/>
          </w:tcPr>
          <w:p w14:paraId="7FA9FFE2"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APR</w:t>
            </w:r>
            <w:r w:rsidRPr="004D19FF">
              <w:rPr>
                <w:rFonts w:ascii="Times New Roman" w:eastAsia="Times New Roman" w:hAnsi="Times New Roman" w:cs="Times New Roman"/>
                <w:color w:val="000000"/>
                <w:sz w:val="18"/>
                <w:szCs w:val="18"/>
              </w:rPr>
              <w:br/>
              <w:t>AF</w:t>
            </w:r>
            <w:r w:rsidRPr="004D19FF">
              <w:rPr>
                <w:rFonts w:ascii="Times New Roman" w:eastAsia="Times New Roman" w:hAnsi="Times New Roman" w:cs="Times New Roman"/>
                <w:color w:val="000000"/>
                <w:sz w:val="18"/>
                <w:szCs w:val="18"/>
              </w:rPr>
              <w:br/>
              <w:t>FT</w:t>
            </w:r>
            <w:r w:rsidRPr="004D19FF">
              <w:rPr>
                <w:rFonts w:ascii="Times New Roman" w:eastAsia="Times New Roman" w:hAnsi="Times New Roman" w:cs="Times New Roman"/>
                <w:color w:val="000000"/>
                <w:sz w:val="18"/>
                <w:szCs w:val="18"/>
              </w:rPr>
              <w:br/>
              <w:t>HRJ/HEFA</w:t>
            </w:r>
          </w:p>
        </w:tc>
        <w:tc>
          <w:tcPr>
            <w:tcW w:w="2947" w:type="dxa"/>
            <w:tcBorders>
              <w:top w:val="nil"/>
              <w:left w:val="nil"/>
              <w:bottom w:val="single" w:sz="4" w:space="0" w:color="auto"/>
              <w:right w:val="nil"/>
            </w:tcBorders>
            <w:shd w:val="clear" w:color="auto" w:fill="auto"/>
            <w:hideMark/>
          </w:tcPr>
          <w:p w14:paraId="37CA8B0C"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Generated along with aviation fuel from APR, FT and HEFA processes</w:t>
            </w:r>
            <w:r w:rsidRPr="004D19FF">
              <w:rPr>
                <w:rFonts w:ascii="Times New Roman" w:eastAsia="Times New Roman" w:hAnsi="Times New Roman" w:cs="Times New Roman"/>
                <w:color w:val="000000"/>
                <w:sz w:val="18"/>
                <w:szCs w:val="18"/>
              </w:rPr>
              <w:br/>
              <w:t xml:space="preserve">• Derived from isobutanol in the AF process, </w:t>
            </w:r>
            <w:r w:rsidR="0046215C" w:rsidRPr="004D19FF">
              <w:rPr>
                <w:rFonts w:ascii="Times New Roman" w:eastAsia="Times New Roman" w:hAnsi="Times New Roman" w:cs="Times New Roman"/>
                <w:color w:val="000000"/>
                <w:sz w:val="18"/>
                <w:szCs w:val="18"/>
              </w:rPr>
              <w:t>which can be further upgraded to diesel (optional)</w:t>
            </w:r>
          </w:p>
        </w:tc>
        <w:tc>
          <w:tcPr>
            <w:tcW w:w="3984" w:type="dxa"/>
            <w:tcBorders>
              <w:top w:val="nil"/>
              <w:left w:val="nil"/>
              <w:bottom w:val="single" w:sz="4" w:space="0" w:color="auto"/>
              <w:right w:val="nil"/>
            </w:tcBorders>
            <w:shd w:val="clear" w:color="auto" w:fill="auto"/>
            <w:hideMark/>
          </w:tcPr>
          <w:p w14:paraId="70450E45"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Transportation fuel </w:t>
            </w:r>
            <w:r w:rsidRPr="004D19FF">
              <w:rPr>
                <w:rFonts w:ascii="Times New Roman" w:eastAsia="Times New Roman" w:hAnsi="Times New Roman" w:cs="Times New Roman"/>
                <w:color w:val="000000"/>
                <w:sz w:val="18"/>
                <w:szCs w:val="18"/>
                <w:vertAlign w:val="subscript"/>
              </w:rPr>
              <w:br/>
            </w:r>
            <w:r w:rsidRPr="004D19FF">
              <w:rPr>
                <w:rFonts w:ascii="Times New Roman" w:eastAsia="Times New Roman" w:hAnsi="Times New Roman" w:cs="Times New Roman"/>
                <w:color w:val="000000"/>
                <w:sz w:val="18"/>
                <w:szCs w:val="18"/>
              </w:rPr>
              <w:t>• Displace</w:t>
            </w:r>
            <w:r w:rsidR="00575654" w:rsidRPr="004D19FF">
              <w:rPr>
                <w:rFonts w:ascii="Times New Roman" w:eastAsia="Times New Roman" w:hAnsi="Times New Roman" w:cs="Times New Roman"/>
                <w:color w:val="000000"/>
                <w:sz w:val="18"/>
                <w:szCs w:val="18"/>
              </w:rPr>
              <w:t>s</w:t>
            </w:r>
            <w:r w:rsidRPr="004D19FF">
              <w:rPr>
                <w:rFonts w:ascii="Times New Roman" w:eastAsia="Times New Roman" w:hAnsi="Times New Roman" w:cs="Times New Roman"/>
                <w:color w:val="000000"/>
                <w:sz w:val="18"/>
                <w:szCs w:val="18"/>
              </w:rPr>
              <w:t xml:space="preserve"> fossil-based diesel derived from petrochemical sources</w:t>
            </w:r>
            <w:r w:rsidRPr="004D19FF">
              <w:rPr>
                <w:rFonts w:ascii="Times New Roman" w:eastAsia="Times New Roman" w:hAnsi="Times New Roman" w:cs="Times New Roman"/>
                <w:color w:val="000000"/>
                <w:sz w:val="18"/>
                <w:szCs w:val="18"/>
              </w:rPr>
              <w:br/>
              <w:t xml:space="preserve"> </w:t>
            </w:r>
          </w:p>
        </w:tc>
      </w:tr>
      <w:tr w:rsidR="0010788C" w:rsidRPr="004D19FF" w14:paraId="2867EF8D" w14:textId="77777777" w:rsidTr="007B59AF">
        <w:trPr>
          <w:trHeight w:val="278"/>
        </w:trPr>
        <w:tc>
          <w:tcPr>
            <w:tcW w:w="9353" w:type="dxa"/>
            <w:gridSpan w:val="4"/>
            <w:tcBorders>
              <w:top w:val="single" w:sz="4" w:space="0" w:color="auto"/>
              <w:left w:val="nil"/>
              <w:bottom w:val="single" w:sz="4" w:space="0" w:color="auto"/>
              <w:right w:val="nil"/>
            </w:tcBorders>
            <w:shd w:val="clear" w:color="auto" w:fill="auto"/>
            <w:noWrap/>
            <w:hideMark/>
          </w:tcPr>
          <w:p w14:paraId="7877D65F" w14:textId="77777777" w:rsidR="0010788C" w:rsidRPr="004D19FF" w:rsidRDefault="0010788C" w:rsidP="006D3FCE">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Others</w:t>
            </w:r>
          </w:p>
        </w:tc>
      </w:tr>
      <w:tr w:rsidR="0010788C" w:rsidRPr="004D19FF" w14:paraId="6ADC3219" w14:textId="77777777" w:rsidTr="002800AD">
        <w:trPr>
          <w:trHeight w:val="697"/>
        </w:trPr>
        <w:tc>
          <w:tcPr>
            <w:tcW w:w="1295" w:type="dxa"/>
            <w:tcBorders>
              <w:top w:val="nil"/>
              <w:left w:val="nil"/>
              <w:bottom w:val="nil"/>
              <w:right w:val="nil"/>
            </w:tcBorders>
            <w:shd w:val="clear" w:color="auto" w:fill="auto"/>
            <w:noWrap/>
            <w:hideMark/>
          </w:tcPr>
          <w:p w14:paraId="365DC393"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Waxes</w:t>
            </w:r>
          </w:p>
        </w:tc>
        <w:tc>
          <w:tcPr>
            <w:tcW w:w="1127" w:type="dxa"/>
            <w:tcBorders>
              <w:top w:val="nil"/>
              <w:left w:val="nil"/>
              <w:bottom w:val="nil"/>
              <w:right w:val="nil"/>
            </w:tcBorders>
            <w:shd w:val="clear" w:color="auto" w:fill="auto"/>
            <w:noWrap/>
            <w:hideMark/>
          </w:tcPr>
          <w:p w14:paraId="46249F97"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FT</w:t>
            </w:r>
          </w:p>
        </w:tc>
        <w:tc>
          <w:tcPr>
            <w:tcW w:w="2947" w:type="dxa"/>
            <w:tcBorders>
              <w:top w:val="nil"/>
              <w:left w:val="nil"/>
              <w:bottom w:val="nil"/>
              <w:right w:val="nil"/>
            </w:tcBorders>
            <w:shd w:val="clear" w:color="auto" w:fill="auto"/>
            <w:noWrap/>
            <w:hideMark/>
          </w:tcPr>
          <w:p w14:paraId="060B3EBF"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G</w:t>
            </w:r>
            <w:r w:rsidR="00FC1281" w:rsidRPr="004D19FF">
              <w:rPr>
                <w:rFonts w:ascii="Times New Roman" w:eastAsia="Times New Roman" w:hAnsi="Times New Roman" w:cs="Times New Roman"/>
                <w:color w:val="000000"/>
                <w:sz w:val="18"/>
                <w:szCs w:val="18"/>
              </w:rPr>
              <w:t>enerate along with aviation biofuel (final production step)</w:t>
            </w:r>
          </w:p>
        </w:tc>
        <w:tc>
          <w:tcPr>
            <w:tcW w:w="3984" w:type="dxa"/>
            <w:tcBorders>
              <w:top w:val="nil"/>
              <w:left w:val="nil"/>
              <w:bottom w:val="nil"/>
              <w:right w:val="nil"/>
            </w:tcBorders>
            <w:shd w:val="clear" w:color="auto" w:fill="auto"/>
            <w:hideMark/>
          </w:tcPr>
          <w:p w14:paraId="7872E586"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Raw materials for various products such as petroleum jellies, adhesive, etc.</w:t>
            </w:r>
            <w:r w:rsidRPr="004D19FF">
              <w:rPr>
                <w:rFonts w:ascii="Times New Roman" w:eastAsia="Times New Roman" w:hAnsi="Times New Roman" w:cs="Times New Roman"/>
                <w:color w:val="000000"/>
                <w:sz w:val="18"/>
                <w:szCs w:val="18"/>
              </w:rPr>
              <w:br/>
              <w:t>• Displace</w:t>
            </w:r>
            <w:r w:rsidR="009E14B7" w:rsidRPr="004D19FF">
              <w:rPr>
                <w:rFonts w:ascii="Times New Roman" w:eastAsia="Times New Roman" w:hAnsi="Times New Roman" w:cs="Times New Roman"/>
                <w:color w:val="000000"/>
                <w:sz w:val="18"/>
                <w:szCs w:val="18"/>
              </w:rPr>
              <w:t>s</w:t>
            </w:r>
            <w:r w:rsidRPr="004D19FF">
              <w:rPr>
                <w:rFonts w:ascii="Times New Roman" w:eastAsia="Times New Roman" w:hAnsi="Times New Roman" w:cs="Times New Roman"/>
                <w:color w:val="000000"/>
                <w:sz w:val="18"/>
                <w:szCs w:val="18"/>
              </w:rPr>
              <w:t xml:space="preserve"> petrochemical-based waxes</w:t>
            </w:r>
          </w:p>
        </w:tc>
      </w:tr>
      <w:tr w:rsidR="0010788C" w:rsidRPr="004D19FF" w14:paraId="50AEC780" w14:textId="77777777" w:rsidTr="002800AD">
        <w:trPr>
          <w:trHeight w:val="754"/>
        </w:trPr>
        <w:tc>
          <w:tcPr>
            <w:tcW w:w="1295" w:type="dxa"/>
            <w:tcBorders>
              <w:top w:val="nil"/>
              <w:left w:val="nil"/>
              <w:bottom w:val="single" w:sz="4" w:space="0" w:color="auto"/>
              <w:right w:val="nil"/>
            </w:tcBorders>
            <w:shd w:val="clear" w:color="auto" w:fill="auto"/>
            <w:hideMark/>
          </w:tcPr>
          <w:p w14:paraId="1C7AE2FE"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High-protein animal feed</w:t>
            </w:r>
          </w:p>
        </w:tc>
        <w:tc>
          <w:tcPr>
            <w:tcW w:w="1127" w:type="dxa"/>
            <w:tcBorders>
              <w:top w:val="nil"/>
              <w:left w:val="nil"/>
              <w:bottom w:val="single" w:sz="4" w:space="0" w:color="auto"/>
              <w:right w:val="nil"/>
            </w:tcBorders>
            <w:shd w:val="clear" w:color="auto" w:fill="auto"/>
            <w:noWrap/>
            <w:hideMark/>
          </w:tcPr>
          <w:p w14:paraId="3162F222"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AF</w:t>
            </w:r>
          </w:p>
        </w:tc>
        <w:tc>
          <w:tcPr>
            <w:tcW w:w="2947" w:type="dxa"/>
            <w:tcBorders>
              <w:top w:val="nil"/>
              <w:left w:val="nil"/>
              <w:bottom w:val="single" w:sz="4" w:space="0" w:color="auto"/>
              <w:right w:val="nil"/>
            </w:tcBorders>
            <w:shd w:val="clear" w:color="auto" w:fill="auto"/>
            <w:hideMark/>
          </w:tcPr>
          <w:p w14:paraId="3BEFBD3F"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Derived from fermentation residues and </w:t>
            </w:r>
            <w:r w:rsidR="009E14B7" w:rsidRPr="004D19FF">
              <w:rPr>
                <w:rFonts w:ascii="Times New Roman" w:eastAsia="Times New Roman" w:hAnsi="Times New Roman" w:cs="Times New Roman"/>
                <w:color w:val="000000"/>
                <w:sz w:val="18"/>
                <w:szCs w:val="18"/>
              </w:rPr>
              <w:t>may require further processing such as</w:t>
            </w:r>
            <w:r w:rsidRPr="004D19FF">
              <w:rPr>
                <w:rFonts w:ascii="Times New Roman" w:eastAsia="Times New Roman" w:hAnsi="Times New Roman" w:cs="Times New Roman"/>
                <w:color w:val="000000"/>
                <w:sz w:val="18"/>
                <w:szCs w:val="18"/>
              </w:rPr>
              <w:t xml:space="preserve"> </w:t>
            </w:r>
            <w:r w:rsidR="009E14B7" w:rsidRPr="004D19FF">
              <w:rPr>
                <w:rFonts w:ascii="Times New Roman" w:eastAsia="Times New Roman" w:hAnsi="Times New Roman" w:cs="Times New Roman"/>
                <w:color w:val="000000"/>
                <w:sz w:val="18"/>
                <w:szCs w:val="18"/>
              </w:rPr>
              <w:t xml:space="preserve">evaporation/drying </w:t>
            </w:r>
          </w:p>
        </w:tc>
        <w:tc>
          <w:tcPr>
            <w:tcW w:w="3984" w:type="dxa"/>
            <w:tcBorders>
              <w:top w:val="nil"/>
              <w:left w:val="nil"/>
              <w:bottom w:val="single" w:sz="4" w:space="0" w:color="auto"/>
              <w:right w:val="nil"/>
            </w:tcBorders>
            <w:shd w:val="clear" w:color="auto" w:fill="auto"/>
            <w:hideMark/>
          </w:tcPr>
          <w:p w14:paraId="773BEAE2" w14:textId="77777777" w:rsidR="0010788C" w:rsidRPr="004D19FF" w:rsidRDefault="0010788C" w:rsidP="006D3FCE">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High protein and nutrient concentrations derived from dried distiller grains</w:t>
            </w:r>
            <w:r w:rsidR="00237BFD" w:rsidRPr="004D19FF">
              <w:rPr>
                <w:rFonts w:ascii="Times New Roman" w:eastAsia="Times New Roman" w:hAnsi="Times New Roman" w:cs="Times New Roman"/>
                <w:color w:val="000000"/>
                <w:sz w:val="18"/>
                <w:szCs w:val="18"/>
              </w:rPr>
              <w:br/>
              <w:t>• Displace</w:t>
            </w:r>
            <w:r w:rsidR="009E14B7" w:rsidRPr="004D19FF">
              <w:rPr>
                <w:rFonts w:ascii="Times New Roman" w:eastAsia="Times New Roman" w:hAnsi="Times New Roman" w:cs="Times New Roman"/>
                <w:color w:val="000000"/>
                <w:sz w:val="18"/>
                <w:szCs w:val="18"/>
              </w:rPr>
              <w:t>s</w:t>
            </w:r>
            <w:r w:rsidR="00237BFD" w:rsidRPr="004D19FF">
              <w:rPr>
                <w:rFonts w:ascii="Times New Roman" w:eastAsia="Times New Roman" w:hAnsi="Times New Roman" w:cs="Times New Roman"/>
                <w:color w:val="000000"/>
                <w:sz w:val="18"/>
                <w:szCs w:val="18"/>
              </w:rPr>
              <w:t xml:space="preserve"> </w:t>
            </w:r>
            <w:r w:rsidR="009E14B7" w:rsidRPr="004D19FF">
              <w:rPr>
                <w:rFonts w:ascii="Times New Roman" w:eastAsia="Times New Roman" w:hAnsi="Times New Roman" w:cs="Times New Roman"/>
                <w:color w:val="000000"/>
                <w:sz w:val="18"/>
                <w:szCs w:val="18"/>
              </w:rPr>
              <w:t>marginal carbohydrate, protein and lipid sources (</w:t>
            </w:r>
            <w:r w:rsidR="00237BFD" w:rsidRPr="004D19FF">
              <w:rPr>
                <w:rFonts w:ascii="Times New Roman" w:eastAsia="Times New Roman" w:hAnsi="Times New Roman" w:cs="Times New Roman"/>
                <w:color w:val="000000"/>
                <w:sz w:val="18"/>
                <w:szCs w:val="18"/>
              </w:rPr>
              <w:t>maize</w:t>
            </w:r>
            <w:r w:rsidRPr="004D19FF">
              <w:rPr>
                <w:rFonts w:ascii="Times New Roman" w:eastAsia="Times New Roman" w:hAnsi="Times New Roman" w:cs="Times New Roman"/>
                <w:color w:val="000000"/>
                <w:sz w:val="18"/>
                <w:szCs w:val="18"/>
              </w:rPr>
              <w:t>, soybean meals</w:t>
            </w:r>
            <w:r w:rsidR="009E14B7" w:rsidRPr="004D19FF">
              <w:rPr>
                <w:rFonts w:ascii="Times New Roman" w:eastAsia="Times New Roman" w:hAnsi="Times New Roman" w:cs="Times New Roman"/>
                <w:color w:val="000000"/>
                <w:sz w:val="18"/>
                <w:szCs w:val="18"/>
              </w:rPr>
              <w:t xml:space="preserve"> and palm oil)</w:t>
            </w:r>
            <w:r w:rsidRPr="004D19FF">
              <w:rPr>
                <w:rFonts w:ascii="Times New Roman" w:eastAsia="Times New Roman" w:hAnsi="Times New Roman" w:cs="Times New Roman"/>
                <w:color w:val="000000"/>
                <w:sz w:val="18"/>
                <w:szCs w:val="18"/>
              </w:rPr>
              <w:t xml:space="preserve"> in animal feed</w:t>
            </w:r>
          </w:p>
        </w:tc>
      </w:tr>
    </w:tbl>
    <w:p w14:paraId="5C286CD0" w14:textId="77777777" w:rsidR="00D671B6" w:rsidRPr="004D19FF" w:rsidRDefault="0055183C" w:rsidP="00BC4779">
      <w:pPr>
        <w:spacing w:before="240" w:after="120" w:line="276" w:lineRule="auto"/>
        <w:jc w:val="thaiDistribute"/>
        <w:rPr>
          <w:rFonts w:ascii="Times New Roman" w:hAnsi="Times New Roman"/>
          <w:sz w:val="20"/>
          <w:szCs w:val="20"/>
        </w:rPr>
      </w:pPr>
      <w:r w:rsidRPr="004D19FF">
        <w:rPr>
          <w:rFonts w:ascii="Times New Roman" w:hAnsi="Times New Roman"/>
          <w:b/>
          <w:sz w:val="20"/>
          <w:szCs w:val="20"/>
        </w:rPr>
        <w:t>5</w:t>
      </w:r>
      <w:r w:rsidR="00D671B6" w:rsidRPr="004D19FF">
        <w:rPr>
          <w:rFonts w:ascii="Times New Roman" w:hAnsi="Times New Roman"/>
          <w:b/>
          <w:sz w:val="20"/>
          <w:szCs w:val="20"/>
        </w:rPr>
        <w:t xml:space="preserve">. </w:t>
      </w:r>
      <w:r w:rsidR="00863EE0">
        <w:rPr>
          <w:rFonts w:ascii="Times New Roman" w:hAnsi="Times New Roman"/>
          <w:b/>
          <w:sz w:val="20"/>
          <w:szCs w:val="20"/>
        </w:rPr>
        <w:t>Electric and C</w:t>
      </w:r>
      <w:r w:rsidR="00C55AF6" w:rsidRPr="004D19FF">
        <w:rPr>
          <w:rFonts w:ascii="Times New Roman" w:hAnsi="Times New Roman"/>
          <w:b/>
          <w:sz w:val="20"/>
          <w:szCs w:val="20"/>
        </w:rPr>
        <w:t>arbon-free aviation</w:t>
      </w:r>
    </w:p>
    <w:p w14:paraId="15E3564F" w14:textId="77777777" w:rsidR="008F627F" w:rsidRPr="004D19FF" w:rsidRDefault="00460D2E" w:rsidP="00BC4779">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Solutions for </w:t>
      </w:r>
      <w:r w:rsidR="00872495">
        <w:rPr>
          <w:rFonts w:ascii="Times New Roman" w:hAnsi="Times New Roman"/>
          <w:sz w:val="20"/>
          <w:szCs w:val="20"/>
        </w:rPr>
        <w:t>electric and carbon-free aviation</w:t>
      </w:r>
      <w:r w:rsidRPr="004D19FF">
        <w:rPr>
          <w:rFonts w:ascii="Times New Roman" w:hAnsi="Times New Roman"/>
          <w:sz w:val="20"/>
          <w:szCs w:val="20"/>
        </w:rPr>
        <w:t xml:space="preserve"> are also emerging as mitigation strategies for climate change, local air quality and noise</w:t>
      </w:r>
      <w:r w:rsidR="00863EE0">
        <w:rPr>
          <w:rFonts w:ascii="Times New Roman" w:hAnsi="Times New Roman"/>
          <w:sz w:val="20"/>
          <w:szCs w:val="20"/>
        </w:rPr>
        <w:t xml:space="preserve"> mitigation</w:t>
      </w:r>
      <w:r w:rsidRPr="004D19FF">
        <w:rPr>
          <w:rFonts w:ascii="Times New Roman" w:hAnsi="Times New Roman"/>
          <w:sz w:val="20"/>
          <w:szCs w:val="20"/>
        </w:rPr>
        <w:t>. These include electric-, hydrogen- as well as solar-power</w:t>
      </w:r>
      <w:r w:rsidR="000922F1" w:rsidRPr="004D19FF">
        <w:rPr>
          <w:rFonts w:ascii="Times New Roman" w:hAnsi="Times New Roman"/>
          <w:sz w:val="20"/>
          <w:szCs w:val="20"/>
        </w:rPr>
        <w:t xml:space="preserve">ed </w:t>
      </w:r>
      <w:r w:rsidR="004E43BD">
        <w:rPr>
          <w:rFonts w:ascii="Times New Roman" w:hAnsi="Times New Roman"/>
          <w:sz w:val="20"/>
          <w:szCs w:val="20"/>
        </w:rPr>
        <w:t>aviation</w:t>
      </w:r>
      <w:r w:rsidR="00974EE4" w:rsidRPr="004D19FF">
        <w:rPr>
          <w:rFonts w:ascii="Times New Roman" w:hAnsi="Times New Roman"/>
          <w:sz w:val="20"/>
          <w:szCs w:val="20"/>
        </w:rPr>
        <w:t xml:space="preserve">; </w:t>
      </w:r>
      <w:r w:rsidR="000922F1" w:rsidRPr="004D19FF">
        <w:rPr>
          <w:rFonts w:ascii="Times New Roman" w:hAnsi="Times New Roman"/>
          <w:sz w:val="20"/>
          <w:szCs w:val="20"/>
        </w:rPr>
        <w:t xml:space="preserve">the most promising research </w:t>
      </w:r>
      <w:r w:rsidR="000922F1" w:rsidRPr="004D19FF">
        <w:rPr>
          <w:rFonts w:ascii="Times New Roman" w:hAnsi="Times New Roman" w:cs="Times New Roman"/>
          <w:sz w:val="20"/>
          <w:szCs w:val="20"/>
        </w:rPr>
        <w:t>&amp;</w:t>
      </w:r>
      <w:r w:rsidR="000922F1" w:rsidRPr="004D19FF">
        <w:rPr>
          <w:rFonts w:ascii="Times New Roman" w:hAnsi="Times New Roman"/>
          <w:sz w:val="20"/>
          <w:szCs w:val="20"/>
        </w:rPr>
        <w:t xml:space="preserve"> development projects are mentioned below and summarized in </w:t>
      </w:r>
      <w:r w:rsidR="00403A45" w:rsidRPr="004D19FF">
        <w:rPr>
          <w:rFonts w:ascii="Times New Roman" w:hAnsi="Times New Roman"/>
          <w:sz w:val="20"/>
          <w:szCs w:val="20"/>
        </w:rPr>
        <w:t>Fig. 12</w:t>
      </w:r>
      <w:r w:rsidR="00D5327B" w:rsidRPr="004D19FF">
        <w:rPr>
          <w:rFonts w:ascii="Times New Roman" w:hAnsi="Times New Roman"/>
          <w:sz w:val="20"/>
          <w:szCs w:val="20"/>
        </w:rPr>
        <w:t>.</w:t>
      </w:r>
    </w:p>
    <w:p w14:paraId="4D72DA02" w14:textId="77777777" w:rsidR="00697AEF" w:rsidRPr="004D19FF" w:rsidRDefault="0055183C" w:rsidP="00BC4779">
      <w:pPr>
        <w:spacing w:after="120" w:line="276" w:lineRule="auto"/>
        <w:jc w:val="thaiDistribute"/>
        <w:rPr>
          <w:rFonts w:ascii="Times New Roman" w:hAnsi="Times New Roman"/>
          <w:i/>
          <w:sz w:val="20"/>
          <w:szCs w:val="20"/>
        </w:rPr>
      </w:pPr>
      <w:r w:rsidRPr="004D19FF">
        <w:rPr>
          <w:rFonts w:ascii="Times New Roman" w:hAnsi="Times New Roman"/>
          <w:i/>
          <w:sz w:val="20"/>
          <w:szCs w:val="20"/>
        </w:rPr>
        <w:t>5</w:t>
      </w:r>
      <w:r w:rsidR="00DA18C2" w:rsidRPr="004D19FF">
        <w:rPr>
          <w:rFonts w:ascii="Times New Roman" w:hAnsi="Times New Roman"/>
          <w:i/>
          <w:sz w:val="20"/>
          <w:szCs w:val="20"/>
        </w:rPr>
        <w:t xml:space="preserve">.1 </w:t>
      </w:r>
      <w:r w:rsidR="00D04C62" w:rsidRPr="004D19FF">
        <w:rPr>
          <w:rFonts w:ascii="Times New Roman" w:hAnsi="Times New Roman"/>
          <w:i/>
          <w:sz w:val="20"/>
          <w:szCs w:val="20"/>
        </w:rPr>
        <w:t>E</w:t>
      </w:r>
      <w:r w:rsidR="00E057EA" w:rsidRPr="004D19FF">
        <w:rPr>
          <w:rFonts w:ascii="Times New Roman" w:hAnsi="Times New Roman"/>
          <w:i/>
          <w:sz w:val="20"/>
          <w:szCs w:val="20"/>
        </w:rPr>
        <w:t>lectric</w:t>
      </w:r>
      <w:r w:rsidR="00697AEF" w:rsidRPr="004D19FF">
        <w:rPr>
          <w:rFonts w:ascii="Times New Roman" w:hAnsi="Times New Roman"/>
          <w:i/>
          <w:sz w:val="20"/>
          <w:szCs w:val="20"/>
        </w:rPr>
        <w:t xml:space="preserve"> </w:t>
      </w:r>
      <w:r w:rsidR="003D57A7" w:rsidRPr="004D19FF">
        <w:rPr>
          <w:rFonts w:ascii="Times New Roman" w:hAnsi="Times New Roman"/>
          <w:i/>
          <w:sz w:val="20"/>
          <w:szCs w:val="20"/>
        </w:rPr>
        <w:t>aviation</w:t>
      </w:r>
    </w:p>
    <w:p w14:paraId="4A22593D" w14:textId="5ED3641C" w:rsidR="00994D09" w:rsidRDefault="00042DF0" w:rsidP="00BC4779">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Electric </w:t>
      </w:r>
      <w:r w:rsidR="00CC1819" w:rsidRPr="004D19FF">
        <w:rPr>
          <w:rFonts w:ascii="Times New Roman" w:hAnsi="Times New Roman"/>
          <w:sz w:val="20"/>
          <w:szCs w:val="20"/>
        </w:rPr>
        <w:t xml:space="preserve">propulsion </w:t>
      </w:r>
      <w:r w:rsidR="00994D09">
        <w:rPr>
          <w:rFonts w:ascii="Times New Roman" w:hAnsi="Times New Roman"/>
          <w:sz w:val="20"/>
          <w:szCs w:val="20"/>
        </w:rPr>
        <w:t xml:space="preserve">can be distinguished by two key features. First, it involves the use of an electric motor to supply mechanical power to the aircraft propeller (Fig. 13). Second, as also illustrated in Fig. 13 presenting the configurations that have been tested or studied, electric aviation often, albeit not always, involve energy storage technologies such as batteries. As highlighted in Fig. 13, electric propulsion does not purely rely on electricity through </w:t>
      </w:r>
      <w:r w:rsidR="00127BB4">
        <w:rPr>
          <w:rFonts w:ascii="Times New Roman" w:hAnsi="Times New Roman"/>
          <w:sz w:val="20"/>
          <w:szCs w:val="20"/>
        </w:rPr>
        <w:t>battery (or fuel cell</w:t>
      </w:r>
      <w:r w:rsidR="00994D09">
        <w:rPr>
          <w:rFonts w:ascii="Times New Roman" w:hAnsi="Times New Roman"/>
          <w:sz w:val="20"/>
          <w:szCs w:val="20"/>
        </w:rPr>
        <w:t>) technologies, but often involve liquid fuels, whether conventional fossil kerosene,</w:t>
      </w:r>
      <w:r w:rsidR="00B56DE6">
        <w:rPr>
          <w:rFonts w:ascii="Times New Roman" w:hAnsi="Times New Roman"/>
          <w:sz w:val="20"/>
          <w:szCs w:val="20"/>
        </w:rPr>
        <w:t xml:space="preserve"> and a proportion of</w:t>
      </w:r>
      <w:r w:rsidR="00994D09">
        <w:rPr>
          <w:rFonts w:ascii="Times New Roman" w:hAnsi="Times New Roman"/>
          <w:sz w:val="20"/>
          <w:szCs w:val="20"/>
        </w:rPr>
        <w:t xml:space="preserve"> biofuels or electrofuels.</w:t>
      </w:r>
    </w:p>
    <w:p w14:paraId="22C66330" w14:textId="1610C872" w:rsidR="00232D54" w:rsidRDefault="00232D54" w:rsidP="00BC4779">
      <w:pPr>
        <w:spacing w:after="120" w:line="276" w:lineRule="auto"/>
        <w:jc w:val="thaiDistribute"/>
        <w:rPr>
          <w:rFonts w:ascii="Times New Roman" w:hAnsi="Times New Roman"/>
          <w:sz w:val="20"/>
          <w:szCs w:val="20"/>
        </w:rPr>
      </w:pPr>
      <w:r>
        <w:rPr>
          <w:rFonts w:ascii="Times New Roman" w:hAnsi="Times New Roman"/>
          <w:sz w:val="20"/>
          <w:szCs w:val="20"/>
        </w:rPr>
        <w:t xml:space="preserve">Accordingly, two terms are often used, namely the concept of “all electric” involving electric motor only as well as no liquid fuels, and the concept of “hybrid electric” where a gas turbine may be additionally involved as well as liquid fuels. The all electric concept is also denoted as “full electric” </w:t>
      </w:r>
      <w:r w:rsidRPr="004D19FF">
        <w:rPr>
          <w:rFonts w:ascii="Times New Roman" w:hAnsi="Times New Roman"/>
          <w:sz w:val="20"/>
          <w:szCs w:val="20"/>
        </w:rPr>
        <w:t xml:space="preserve">(e.g. in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KfbsoDB3","properties":{"formattedCitation":"[27,28,191]","plainCitation":"[27,28,191]","noteIndex":0},"citationItems":[{"id":"968HXJ10/EzyouZB9","uris":["http://www.mendeley.com/documents/?uuid=e590de0e-eddb-4e2c-af54-88ffb4401d06"],"uri":["http://www.mendeley.com/documents/?uuid=e590de0e-eddb-4e2c-af54-88ffb4401d06"],"itemData":{"DOI":"10.1016/j.jtrangeo.2020.102730","ISSN":"09666923","abstract":"Under the looming climate crisis, aviation needs to find new solutions to cut its greenhouse gas emissions. One pathway towards zero emissions is the use of electric aircraft. While current battery technology will not allow for medium and long-haul flights at full capacity, on short-haul routes First Generation Electric Aircraft (FGEA) could play a significant role in the near future. Current FGEA under development could carry 9–19 passengers on distances of 400–1046 km by 2025. This study focuses on the emissions reduction potentials of FGEA in Finland. It compares the carbon dioxide equivalent (CO2-eq) emissions and real travel times (RTT) from door-to-door of FGEA on 47 routes with existing aircraft, train and car transport modes, as well as with proposed high-speed rail (HSR) and electric vehicle implementation. The study found that replacing all existing aircraft with FGEA can clearly be recommended as it would result in a reduction of CO2-eq emissions and RTT. Existing cars should only be replaced by FGEA on routes beyond 170 km. The replacement of existing trains by FGEA under the current energy mix is not recommended. However, once electricity could be provided from renewable energy sources exclusively, it would become feasible to replace existing trains on distances beyond 170 km and HSR beyond 400 km with FGEA.","author":[{"dropping-particle":"","family":"Baumeister","given":"Stefan","non-dropping-particle":"","parse-names":false,"suffix":""},{"dropping-particle":"","family":"Leung","given":"Abraham","non-dropping-particle":"","parse-names":false,"suffix":""},{"dropping-particle":"","family":"Ryley","given":"Tim","non-dropping-particle":"","parse-names":false,"suffix":""}],"container-title":"Journal of Transport Geography","id":"ITEM-1","issue":"February","issued":{"date-parts":[["2020"]]},"page":"102730","publisher":"Elsevier","title":"The emission reduction potentials of First Generation Electric Aircraft (FGEA) in Finland","type":"article-journal","volume":"85"}},{"id":"968HXJ10/zhnjb6IV","uris":["http://www.mendeley.com/documents/?uuid=caabf6fe-3334-4288-a290-6bb24e1af54d"],"uri":["http://www.mendeley.com/documents/?uuid=caabf6fe-3334-4288-a290-6bb24e1af54d"],"itemData":{"DOI":"10.3390/en11010217","ISSN":"19961073","abstract":"Ambitious targets to reduce emissions caused by aviation in the light of an expected ongoing rise of the air transport demand in the future drive the research of propulsion systems with lower CO2 emissions. Regional hybrid electric aircraft (HEA) powered by conventional gas turbines and battery powered electric motors are investigated to test hybrid propulsion operation strategies. Especially the role of the battery within environmentally friendly concepts with significantly reduced carbon footprint is analyzed. Thus, a new simulation approach for HEA is introduced. The main findings underline the importance of choosing the right power-to-energy-ratio of a battery according to the flight mission. The gravimetric energy and power density of the electric storages determine the technologically feasibility of hybrid concepts. Cost competitive HEA configurations are found, but do not promise the targeted CO2 emission savings, when the well-to-wheel system is regarded with its actual costs. Sensitivity studies are used to determine external levers that favor the profitability of HEA.","author":[{"dropping-particle":"","family":"Hoelzen","given":"Julian","non-dropping-particle":"","parse-names":false,"suffix":""},{"dropping-particle":"","family":"Liu","given":"Yaolong","non-dropping-particle":"","parse-names":false,"suffix":""},{"dropping-particle":"","family":"Bensmann","given":"Boris","non-dropping-particle":"","parse-names":false,"suffix":""},{"dropping-particle":"","family":"Winnefeld","given":"Christopher","non-dropping-particle":"","parse-names":false,"suffix":""},{"dropping-particle":"","family":"Elham","given":"Ali","non-dropping-particle":"","parse-names":false,"suffix":""},{"dropping-particle":"","family":"Friedrichs","given":"Jens","non-dropping-particle":"","parse-names":false,"suffix":""},{"dropping-particle":"","family":"Hanke-Rauschenbach","given":"Richard","non-dropping-particle":"","parse-names":false,"suffix":""}],"container-title":"Energies","id":"ITEM-2","issue":"1","issued":{"date-parts":[["2018"]]},"page":"1-26","title":"Conceptual design of operation strategies for hybrid electric aircraft","type":"article-journal","volume":"11"}},{"id":"968HXJ10/mGEa3YV5","uris":["http://www.mendeley.com/documents/?uuid=91fbef27-778a-4f0f-910f-0faf680e81c7"],"uri":["http://www.mendeley.com/documents/?uuid=91fbef27-778a-4f0f-910f-0faf680e81c7"],"itemData":{"author":[{"dropping-particle":"","family":"Misra","given":"Ajay","non-dropping-particle":"","parse-names":false,"suffix":""}],"container-title":"40th International Conference and Expo on Advanced  Ceramics and Composites","id":"ITEM-3","issued":{"date-parts":[["2016"]]},"title":"Energy Conversion and Storage Requirements for Hybrid Electric Aircraft","type":"article-journal"}}],"schema":"https://github.com/citation-style-language/schema/raw/master/csl-citation.json"} </w:instrText>
      </w:r>
      <w:r w:rsidRPr="004D19FF">
        <w:rPr>
          <w:rFonts w:ascii="Times New Roman" w:hAnsi="Times New Roman"/>
          <w:sz w:val="20"/>
          <w:szCs w:val="20"/>
        </w:rPr>
        <w:fldChar w:fldCharType="separate"/>
      </w:r>
      <w:r w:rsidR="0051129D" w:rsidRPr="0051129D">
        <w:rPr>
          <w:rFonts w:ascii="Times New Roman" w:hAnsi="Times New Roman" w:cs="Times New Roman"/>
          <w:sz w:val="20"/>
        </w:rPr>
        <w:t>[27,28,191]</w:t>
      </w:r>
      <w:r w:rsidRPr="004D19FF">
        <w:rPr>
          <w:rFonts w:ascii="Times New Roman" w:hAnsi="Times New Roman"/>
          <w:sz w:val="20"/>
          <w:szCs w:val="20"/>
        </w:rPr>
        <w:fldChar w:fldCharType="end"/>
      </w:r>
      <w:r w:rsidRPr="004D19FF">
        <w:rPr>
          <w:rFonts w:ascii="Times New Roman" w:hAnsi="Times New Roman"/>
          <w:sz w:val="20"/>
          <w:szCs w:val="20"/>
        </w:rPr>
        <w:t>)</w:t>
      </w:r>
      <w:r>
        <w:rPr>
          <w:rFonts w:ascii="Times New Roman" w:hAnsi="Times New Roman"/>
          <w:sz w:val="20"/>
          <w:szCs w:val="20"/>
        </w:rPr>
        <w:t xml:space="preserve">. As shown in Fig. 13 and throughout this section, the term propeller is used to represent devices generating thrust either by propeller in the turboprop or by fans in the turbofans. It also encompasses the generation of shaft power in the case of turboshaft engines. The term gas turbine refers to the turboshaft, turboprop and turbofan engines collectively. Converter refers to the devices </w:t>
      </w:r>
      <w:r>
        <w:rPr>
          <w:rFonts w:ascii="Times New Roman" w:hAnsi="Times New Roman"/>
          <w:sz w:val="20"/>
          <w:szCs w:val="20"/>
        </w:rPr>
        <w:lastRenderedPageBreak/>
        <w:t xml:space="preserve">converting the voltage of the electrical power source, sometimes denoted as power </w:t>
      </w:r>
      <w:r w:rsidRPr="005234C2">
        <w:rPr>
          <w:rFonts w:ascii="Times New Roman" w:hAnsi="Times New Roman"/>
          <w:sz w:val="20"/>
          <w:szCs w:val="20"/>
        </w:rPr>
        <w:t>electronic</w:t>
      </w:r>
      <w:r w:rsidR="005234C2" w:rsidRPr="005234C2">
        <w:rPr>
          <w:rFonts w:ascii="Times New Roman" w:hAnsi="Times New Roman"/>
          <w:sz w:val="20"/>
          <w:szCs w:val="20"/>
        </w:rPr>
        <w:t xml:space="preserve"> </w:t>
      </w:r>
      <w:r w:rsidR="005234C2" w:rsidRPr="005234C2">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BOr9Gg8","properties":{"formattedCitation":"[192]","plainCitation":"[192]","noteIndex":0},"citationItems":[{"id":"968HXJ10/pwolqBr5","uris":["http://www.mendeley.com/documents/?uuid=d5afd989-042e-4cfd-b001-19fd9fd52f22"],"uri":["http://www.mendeley.com/documents/?uuid=d5afd989-042e-4cfd-b001-19fd9fd52f22"],"itemData":{"abstract":"No more blue-sky thinking: how and why the aviation sector is moving towards cleaner, greener skies","author":[{"dropping-particle":"","family":"Domone","given":"James","non-dropping-particle":"","parse-names":false,"suffix":""}],"id":"ITEM-1","issue":"June","issued":{"date-parts":[["2018"]]},"number-of-pages":"12","title":"The challenges and benefits of the electrification of aircraft","type":"report"}}],"schema":"https://github.com/citation-style-language/schema/raw/master/csl-citation.json"} </w:instrText>
      </w:r>
      <w:r w:rsidR="005234C2" w:rsidRPr="005234C2">
        <w:rPr>
          <w:rFonts w:ascii="Times New Roman" w:hAnsi="Times New Roman"/>
          <w:sz w:val="20"/>
          <w:szCs w:val="20"/>
        </w:rPr>
        <w:fldChar w:fldCharType="separate"/>
      </w:r>
      <w:r w:rsidR="005D3B73" w:rsidRPr="005D3B73">
        <w:rPr>
          <w:rFonts w:ascii="Times New Roman" w:hAnsi="Times New Roman" w:cs="Times New Roman"/>
          <w:sz w:val="20"/>
        </w:rPr>
        <w:t>[192]</w:t>
      </w:r>
      <w:r w:rsidR="005234C2" w:rsidRPr="005234C2">
        <w:rPr>
          <w:rFonts w:ascii="Times New Roman" w:hAnsi="Times New Roman"/>
          <w:sz w:val="20"/>
          <w:szCs w:val="20"/>
        </w:rPr>
        <w:fldChar w:fldCharType="end"/>
      </w:r>
      <w:r w:rsidRPr="005234C2">
        <w:rPr>
          <w:rFonts w:ascii="Times New Roman" w:hAnsi="Times New Roman"/>
          <w:sz w:val="20"/>
          <w:szCs w:val="20"/>
        </w:rPr>
        <w:t>,</w:t>
      </w:r>
      <w:r>
        <w:rPr>
          <w:rFonts w:ascii="Times New Roman" w:hAnsi="Times New Roman"/>
          <w:sz w:val="20"/>
          <w:szCs w:val="20"/>
        </w:rPr>
        <w:t xml:space="preserve"> and considers that one type of converter is inverter, which converts direct current (DC) to alternate current (AC). </w:t>
      </w:r>
    </w:p>
    <w:p w14:paraId="2FD7DCBD" w14:textId="26F71BCD" w:rsidR="00AB321B" w:rsidRPr="004D19FF" w:rsidRDefault="001214A3" w:rsidP="00BC4779">
      <w:pPr>
        <w:spacing w:after="120" w:line="276" w:lineRule="auto"/>
        <w:jc w:val="thaiDistribute"/>
        <w:rPr>
          <w:rFonts w:ascii="Times New Roman" w:hAnsi="Times New Roman"/>
          <w:sz w:val="20"/>
          <w:szCs w:val="20"/>
        </w:rPr>
      </w:pPr>
      <w:r>
        <w:rPr>
          <w:rFonts w:ascii="Times New Roman" w:hAnsi="Times New Roman"/>
          <w:sz w:val="20"/>
          <w:szCs w:val="20"/>
        </w:rPr>
        <w:t>To represent the proportion of electrical energy or electric power in total energy or power, two parameters are used</w:t>
      </w:r>
      <w:r w:rsidR="00F37F1D" w:rsidRPr="004D19FF">
        <w:rPr>
          <w:rFonts w:ascii="Times New Roman" w:hAnsi="Times New Roman"/>
          <w:sz w:val="20"/>
          <w:szCs w:val="20"/>
        </w:rPr>
        <w:t xml:space="preserve"> </w:t>
      </w:r>
      <w:r w:rsidR="00F37F1D"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aaD1a0cQ","properties":{"formattedCitation":"[193,194]","plainCitation":"[193,194]","noteIndex":0},"citationItems":[{"id":"968HXJ10/gRs1baCc","uris":["http://www.mendeley.com/documents/?uuid=9cdb0013-590f-437f-815b-b249dd3f0807"],"uri":["http://www.mendeley.com/documents/?uuid=9cdb0013-590f-437f-815b-b249dd3f0807"],"itemData":{"abstract":"An increased focus on electric applications to propulsion for both ground vehicles and airplanes has been observed in recent years, thanks to more reliable and more perform- ing batteries and electric motors. Electric propulsion for aircraft applications is still rep- resenting a very small portion of current standard aviation due to large mass penalties of batteries and due to rather unexplored design procedures. The present work focuses on establishing a general procedure to design an all-electric and serial hybrid-electric aircraft from a conceptual point of view and to simulate their flight profile to assess energy consumption to ensure the highest accuracy possible. A Matlab™code named Hyperion was developed and validated using existing aircraft as a reference, consider- ing the limit case of a simulated conventional aircraft. The considered procedure is based on the assumption of a propeller-driven aircraft powered by electric motors fed by batteries, which are, in case of a hybrid airplane, charged by a generator. Prelim- inary aircraft sizing is conducted by means of required power and estimated required energy, and actual performance is simulated step by step with an iterative procedure based on final state of charge and fuel tank, if present, levels. Literature studies and technology survey are carried out to establish a robust working base, that is consid- ered in a wide set of parametric studies to assess sensitivity of key parameters such as battery performance, cruise speed and altitude, aircraft range among others, on param- eters as takeoff, battery and fuel mass, wing surface, motor power and energy degree of hybridization.","author":[{"dropping-particle":"","family":"Rossi","given":"Niccolò","non-dropping-particle":"","parse-names":false,"suffix":""}],"id":"ITEM-1","issued":{"date-parts":[["2017"]]},"publisher":"Politecnico di Milano","title":"Conceptual Design of Hybrid-Electric Aircraft","type":"thesis"}},{"id":"968HXJ10/prRa6h6G","uris":["http://www.mendeley.com/documents/?uuid=dc97940b-c0a0-455c-8eb7-2e2b81889828"],"uri":["http://www.mendeley.com/documents/?uuid=dc97940b-c0a0-455c-8eb7-2e2b81889828"],"itemData":{"DOI":"10.1016/j.jclepro.2019.119477","ISSN":"09596526","abstract":"The aeronautic industry is facing increasing pressure to design more efficient and sustainable aircraft to mitigate their impact on the environment. These solutions are mainly focused on: aerodynamics, structures/materials, propulsion and operations. This paper focuses on the potential of electric propulsion systems in different aircraft segments for reducing the environmental impact in the aircraft life cycle. With a twofold contribution and linking different areas, this study presents a methodological proposal for the environmental assessment of the propulsion system change in a consequential Life Cycle Assessment perspective. This methodology uses data from both a modified conceptual aircraft design adapted to hybrid-electric aircraft and a battery study. Results show not only the environmental impacts of the required battery systems for each aircraft segment in a life cycle perspective, but also in what contexts the hybrid-electric propulsion may be considered a best alternative environmentally when compared with fuel propulsion systems. For that, a sensitivity analysis illustrate the results for different electricity mix contexts and for different battery cell capacities. The main contribution for the overall life cycle impact is the process of charging a battery system, therefore the source of electricity generation is crucial for the environmental sustainability of a hybrid-electric aircraft.","author":[{"dropping-particle":"","family":"Ribeiro","given":"João","non-dropping-particle":"","parse-names":false,"suffix":""},{"dropping-particle":"","family":"Afonso","given":"Frederico","non-dropping-particle":"","parse-names":false,"suffix":""},{"dropping-particle":"","family":"Ribeiro","given":"Inês","non-dropping-particle":"","parse-names":false,"suffix":""},{"dropping-particle":"","family":"Ferreira","given":"Bruna","non-dropping-particle":"","parse-names":false,"suffix":""},{"dropping-particle":"","family":"Policarpo","given":"Hugo","non-dropping-particle":"","parse-names":false,"suffix":""},{"dropping-particle":"","family":"Peças","given":"Paulo","non-dropping-particle":"","parse-names":false,"suffix":""},{"dropping-particle":"","family":"Lau","given":"Fernando","non-dropping-particle":"","parse-names":false,"suffix":""}],"container-title":"Journal of Cleaner Production","id":"ITEM-2","issued":{"date-parts":[["2020"]]},"title":"Environmental assessment of hybrid-electric propulsion in conceptual aircraft design","type":"article-journal","volume":"247"}}],"schema":"https://github.com/citation-style-language/schema/raw/master/csl-citation.json"} </w:instrText>
      </w:r>
      <w:r w:rsidR="00F37F1D" w:rsidRPr="004D19FF">
        <w:rPr>
          <w:rFonts w:ascii="Times New Roman" w:hAnsi="Times New Roman"/>
          <w:sz w:val="20"/>
          <w:szCs w:val="20"/>
        </w:rPr>
        <w:fldChar w:fldCharType="separate"/>
      </w:r>
      <w:r w:rsidR="005D3B73" w:rsidRPr="005D3B73">
        <w:rPr>
          <w:rFonts w:ascii="Times New Roman" w:hAnsi="Times New Roman" w:cs="Times New Roman"/>
          <w:sz w:val="20"/>
        </w:rPr>
        <w:t>[193,194]</w:t>
      </w:r>
      <w:r w:rsidR="00F37F1D" w:rsidRPr="004D19FF">
        <w:rPr>
          <w:rFonts w:ascii="Times New Roman" w:hAnsi="Times New Roman"/>
          <w:sz w:val="20"/>
          <w:szCs w:val="20"/>
        </w:rPr>
        <w:fldChar w:fldCharType="end"/>
      </w:r>
      <w:r>
        <w:rPr>
          <w:rFonts w:ascii="Times New Roman" w:hAnsi="Times New Roman"/>
          <w:sz w:val="20"/>
          <w:szCs w:val="20"/>
        </w:rPr>
        <w:t>), respectively degree of energy hybridization (H</w:t>
      </w:r>
      <w:r w:rsidRPr="001214A3">
        <w:rPr>
          <w:rFonts w:ascii="Times New Roman" w:hAnsi="Times New Roman"/>
          <w:sz w:val="20"/>
          <w:szCs w:val="20"/>
          <w:vertAlign w:val="subscript"/>
        </w:rPr>
        <w:t>E</w:t>
      </w:r>
      <w:r>
        <w:rPr>
          <w:rFonts w:ascii="Times New Roman" w:hAnsi="Times New Roman"/>
          <w:sz w:val="20"/>
          <w:szCs w:val="20"/>
        </w:rPr>
        <w:t>) and degree of power hybridization (H</w:t>
      </w:r>
      <w:r w:rsidRPr="001214A3">
        <w:rPr>
          <w:rFonts w:ascii="Times New Roman" w:hAnsi="Times New Roman"/>
          <w:sz w:val="20"/>
          <w:szCs w:val="20"/>
          <w:vertAlign w:val="subscript"/>
        </w:rPr>
        <w:t>P</w:t>
      </w:r>
      <w:r>
        <w:rPr>
          <w:rFonts w:ascii="Times New Roman" w:hAnsi="Times New Roman"/>
          <w:sz w:val="20"/>
          <w:szCs w:val="20"/>
        </w:rPr>
        <w:t>).</w:t>
      </w:r>
      <w:r w:rsidR="00F37F1D" w:rsidRPr="004D19FF">
        <w:rPr>
          <w:rFonts w:ascii="Times New Roman" w:hAnsi="Times New Roman"/>
          <w:sz w:val="20"/>
          <w:szCs w:val="20"/>
        </w:rPr>
        <w:t xml:space="preserve"> </w:t>
      </w:r>
      <w:r w:rsidR="0065629B" w:rsidRPr="004D19FF">
        <w:rPr>
          <w:rFonts w:ascii="Times New Roman" w:hAnsi="Times New Roman"/>
          <w:sz w:val="20"/>
          <w:szCs w:val="20"/>
        </w:rPr>
        <w:t>H</w:t>
      </w:r>
      <w:r w:rsidR="0065629B" w:rsidRPr="004D19FF">
        <w:rPr>
          <w:rFonts w:ascii="Times New Roman" w:hAnsi="Times New Roman"/>
          <w:sz w:val="20"/>
          <w:szCs w:val="20"/>
          <w:vertAlign w:val="subscript"/>
        </w:rPr>
        <w:t>E</w:t>
      </w:r>
      <w:r w:rsidR="0065629B" w:rsidRPr="004D19FF">
        <w:rPr>
          <w:rFonts w:ascii="Times New Roman" w:hAnsi="Times New Roman"/>
          <w:sz w:val="20"/>
          <w:szCs w:val="20"/>
        </w:rPr>
        <w:t xml:space="preserve"> and H</w:t>
      </w:r>
      <w:r w:rsidR="0065629B" w:rsidRPr="004D19FF">
        <w:rPr>
          <w:rFonts w:ascii="Times New Roman" w:hAnsi="Times New Roman"/>
          <w:sz w:val="20"/>
          <w:szCs w:val="20"/>
          <w:vertAlign w:val="subscript"/>
        </w:rPr>
        <w:t>P</w:t>
      </w:r>
      <w:r w:rsidR="00362CF4">
        <w:rPr>
          <w:rFonts w:ascii="Times New Roman" w:hAnsi="Times New Roman"/>
          <w:sz w:val="20"/>
          <w:szCs w:val="20"/>
        </w:rPr>
        <w:t xml:space="preserve"> vary</w:t>
      </w:r>
      <w:r w:rsidR="0065629B" w:rsidRPr="004D19FF">
        <w:rPr>
          <w:rFonts w:ascii="Times New Roman" w:hAnsi="Times New Roman"/>
          <w:sz w:val="20"/>
          <w:szCs w:val="20"/>
        </w:rPr>
        <w:t xml:space="preserve"> varied from 0 to 1 depending on </w:t>
      </w:r>
      <w:r w:rsidR="00362CF4">
        <w:rPr>
          <w:rFonts w:ascii="Times New Roman" w:hAnsi="Times New Roman"/>
          <w:sz w:val="20"/>
          <w:szCs w:val="20"/>
        </w:rPr>
        <w:t xml:space="preserve">the </w:t>
      </w:r>
      <w:r w:rsidR="0065629B" w:rsidRPr="004D19FF">
        <w:rPr>
          <w:rFonts w:ascii="Times New Roman" w:hAnsi="Times New Roman"/>
          <w:sz w:val="20"/>
          <w:szCs w:val="20"/>
        </w:rPr>
        <w:t xml:space="preserve">conceptual designs </w:t>
      </w:r>
      <w:r w:rsidR="0065629B"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998WsVy","properties":{"formattedCitation":"[193,195]","plainCitation":"[193,195]","noteIndex":0},"citationItems":[{"id":"968HXJ10/68mAWp3j","uris":["http://www.mendeley.com/documents/?uuid=1e2cf6d1-0bb7-41da-b364-bf2d44c874b8"],"uri":["http://www.mendeley.com/documents/?uuid=1e2cf6d1-0bb7-41da-b364-bf2d44c874b8"],"itemData":{"abstract":"Ambitious future emission and noise reduction targets, unveiled by the European Commission with the Strategic Research and Innovation Agenda (SRIA) and the National Aeronautics Space Administration (NASA) with their N+3 goals for the aviation industry, encourage new radical aircraft concepts. A potential solution to fulfill these targets has been identified as the introduction of hybrid and universally-electric aircraft with an entry into service (EIS) for 2035+. Those solutions have the potential to increase the overall vehicular efficiency and decrease the required mission energy demand. A key element of such concepts is the design of the electric part of the power train including the underlying electric systems architecture with regard to efficiency and mass. Current research focuses on the design and optimization of hybrid-electric power trains, as universally-electric aircraft are penalized for the excessive weight of existing designs. Several system and aircraft level studies are available for such concepts. In view of hybrid-electric power trains with different energy supply options, the serial and parallel hybrid-electric topologies are the most promising. Other studies focus on the optimization of the gas turbine performance as a main power supplier of a hybrid- electric power train. The characteristics of the entire electric systems architecture have been considered as a black box in the most cases with constant efficiency values over the entire flight envelope. Sizing impacts of the electric architecture with regard to different shaft power and rotational speed demands of the electric motor and different transmission voltages during design and off-design have been neglected. For an overall performance estimation and optimization of a hybrid-electric power train the level of detail of both contributors are important. Another aspect to be considered is the mechanisms by which the hybrid- electric propulsion system should be operated during the mission to generate the lowest CO2 emissions. For that purpose a method is presented here which allows for the sizing of the electric system architecture on a conceptual design level covering sensitivities with regard to design system shaft power, rotational speed, and transmission voltage in dependency of the involved com- ponents. Therefore, electric component models are developed covering those basic sensitivities with regard to mass and efficiency characteristics in design and off-design. The develope…","author":[{"dropping-particle":"","family":"Vratny","given":"Patrick Christoph","non-dropping-particle":"","parse-names":false,"suffix":""}],"id":"ITEM-1","issued":{"date-parts":[["2018"]]},"page":"1-166","title":"Conceptual Design Methods of Electric Power Architectures for Hybrid Energy Aircraft","type":"article-journal"}},{"id":"968HXJ10/gRs1baCc","uris":["http://www.mendeley.com/documents/?uuid=9cdb0013-590f-437f-815b-b249dd3f0807"],"uri":["http://www.mendeley.com/documents/?uuid=9cdb0013-590f-437f-815b-b249dd3f0807"],"itemData":{"abstract":"An increased focus on electric applications to propulsion for both ground vehicles and airplanes has been observed in recent years, thanks to more reliable and more perform- ing batteries and electric motors. Electric propulsion for aircraft applications is still rep- resenting a very small portion of current standard aviation due to large mass penalties of batteries and due to rather unexplored design procedures. The present work focuses on establishing a general procedure to design an all-electric and serial hybrid-electric aircraft from a conceptual point of view and to simulate their flight profile to assess energy consumption to ensure the highest accuracy possible. A Matlab™code named Hyperion was developed and validated using existing aircraft as a reference, consider- ing the limit case of a simulated conventional aircraft. The considered procedure is based on the assumption of a propeller-driven aircraft powered by electric motors fed by batteries, which are, in case of a hybrid airplane, charged by a generator. Prelim- inary aircraft sizing is conducted by means of required power and estimated required energy, and actual performance is simulated step by step with an iterative procedure based on final state of charge and fuel tank, if present, levels. Literature studies and technology survey are carried out to establish a robust working base, that is consid- ered in a wide set of parametric studies to assess sensitivity of key parameters such as battery performance, cruise speed and altitude, aircraft range among others, on param- eters as takeoff, battery and fuel mass, wing surface, motor power and energy degree of hybridization.","author":[{"dropping-particle":"","family":"Rossi","given":"Niccolò","non-dropping-particle":"","parse-names":false,"suffix":""}],"id":"ITEM-2","issued":{"date-parts":[["2017"]]},"publisher":"Politecnico di Milano","title":"Conceptual Design of Hybrid-Electric Aircraft","type":"thesis"}}],"schema":"https://github.com/citation-style-language/schema/raw/master/csl-citation.json"} </w:instrText>
      </w:r>
      <w:r w:rsidR="0065629B" w:rsidRPr="004D19FF">
        <w:rPr>
          <w:rFonts w:ascii="Times New Roman" w:hAnsi="Times New Roman"/>
          <w:sz w:val="20"/>
          <w:szCs w:val="20"/>
        </w:rPr>
        <w:fldChar w:fldCharType="separate"/>
      </w:r>
      <w:r w:rsidR="005D3B73" w:rsidRPr="005D3B73">
        <w:rPr>
          <w:rFonts w:ascii="Times New Roman" w:hAnsi="Times New Roman" w:cs="Times New Roman"/>
          <w:sz w:val="20"/>
        </w:rPr>
        <w:t>[193,195]</w:t>
      </w:r>
      <w:r w:rsidR="0065629B" w:rsidRPr="004D19FF">
        <w:rPr>
          <w:rFonts w:ascii="Times New Roman" w:hAnsi="Times New Roman"/>
          <w:sz w:val="20"/>
          <w:szCs w:val="20"/>
        </w:rPr>
        <w:fldChar w:fldCharType="end"/>
      </w:r>
      <w:r w:rsidR="0065629B" w:rsidRPr="004D19FF">
        <w:rPr>
          <w:rFonts w:ascii="Times New Roman" w:hAnsi="Times New Roman"/>
          <w:sz w:val="20"/>
          <w:szCs w:val="20"/>
        </w:rPr>
        <w:t xml:space="preserve">. </w:t>
      </w:r>
      <w:r w:rsidR="00D2500B">
        <w:rPr>
          <w:rFonts w:ascii="Times New Roman" w:hAnsi="Times New Roman"/>
          <w:sz w:val="20"/>
          <w:szCs w:val="20"/>
        </w:rPr>
        <w:t xml:space="preserve">The </w:t>
      </w:r>
      <w:r w:rsidR="003E7411">
        <w:rPr>
          <w:rFonts w:ascii="Times New Roman" w:hAnsi="Times New Roman"/>
          <w:sz w:val="20"/>
          <w:szCs w:val="20"/>
        </w:rPr>
        <w:t xml:space="preserve">case of an all </w:t>
      </w:r>
      <w:r w:rsidR="00D2500B">
        <w:rPr>
          <w:rFonts w:ascii="Times New Roman" w:hAnsi="Times New Roman"/>
          <w:sz w:val="20"/>
          <w:szCs w:val="20"/>
        </w:rPr>
        <w:t>electric configuration (Fig. 13c) involves that (H</w:t>
      </w:r>
      <w:r w:rsidR="00D2500B" w:rsidRPr="00D2500B">
        <w:rPr>
          <w:rFonts w:ascii="Times New Roman" w:hAnsi="Times New Roman"/>
          <w:sz w:val="20"/>
          <w:szCs w:val="20"/>
          <w:vertAlign w:val="subscript"/>
        </w:rPr>
        <w:t>P</w:t>
      </w:r>
      <w:r w:rsidR="00D2500B">
        <w:rPr>
          <w:rFonts w:ascii="Times New Roman" w:hAnsi="Times New Roman"/>
          <w:sz w:val="20"/>
          <w:szCs w:val="20"/>
        </w:rPr>
        <w:t>=1) because the propeller is powered by an electric motor only, but also involve that (H</w:t>
      </w:r>
      <w:r w:rsidR="00D2500B" w:rsidRPr="00D2500B">
        <w:rPr>
          <w:rFonts w:ascii="Times New Roman" w:hAnsi="Times New Roman"/>
          <w:sz w:val="20"/>
          <w:szCs w:val="20"/>
          <w:vertAlign w:val="subscript"/>
        </w:rPr>
        <w:t>E</w:t>
      </w:r>
      <w:r w:rsidR="00D2500B">
        <w:rPr>
          <w:rFonts w:ascii="Times New Roman" w:hAnsi="Times New Roman"/>
          <w:sz w:val="20"/>
          <w:szCs w:val="20"/>
        </w:rPr>
        <w:t xml:space="preserve">=1) because it relies solely on energy </w:t>
      </w:r>
      <w:r w:rsidR="00C67B20">
        <w:rPr>
          <w:rFonts w:ascii="Times New Roman" w:hAnsi="Times New Roman"/>
          <w:sz w:val="20"/>
          <w:szCs w:val="20"/>
        </w:rPr>
        <w:t>sourcing</w:t>
      </w:r>
      <w:r w:rsidR="00D2500B">
        <w:rPr>
          <w:rFonts w:ascii="Times New Roman" w:hAnsi="Times New Roman"/>
          <w:sz w:val="20"/>
          <w:szCs w:val="20"/>
        </w:rPr>
        <w:t xml:space="preserve"> technologies (batteries, fuel cells) without any liquid fuel combustion</w:t>
      </w:r>
      <w:r w:rsidR="00AB7B03" w:rsidRPr="004D19FF">
        <w:rPr>
          <w:rFonts w:ascii="Times New Roman" w:hAnsi="Times New Roman"/>
          <w:sz w:val="20"/>
          <w:szCs w:val="20"/>
        </w:rPr>
        <w:t xml:space="preserve"> </w:t>
      </w:r>
      <w:r w:rsidR="00921CA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P29T6lVD","properties":{"formattedCitation":"[193]","plainCitation":"[193]","noteIndex":0},"citationItems":[{"id":"968HXJ10/gRs1baCc","uris":["http://www.mendeley.com/documents/?uuid=9cdb0013-590f-437f-815b-b249dd3f0807"],"uri":["http://www.mendeley.com/documents/?uuid=9cdb0013-590f-437f-815b-b249dd3f0807"],"itemData":{"abstract":"An increased focus on electric applications to propulsion for both ground vehicles and airplanes has been observed in recent years, thanks to more reliable and more perform- ing batteries and electric motors. Electric propulsion for aircraft applications is still rep- resenting a very small portion of current standard aviation due to large mass penalties of batteries and due to rather unexplored design procedures. The present work focuses on establishing a general procedure to design an all-electric and serial hybrid-electric aircraft from a conceptual point of view and to simulate their flight profile to assess energy consumption to ensure the highest accuracy possible. A Matlab™code named Hyperion was developed and validated using existing aircraft as a reference, consider- ing the limit case of a simulated conventional aircraft. The considered procedure is based on the assumption of a propeller-driven aircraft powered by electric motors fed by batteries, which are, in case of a hybrid airplane, charged by a generator. Prelim- inary aircraft sizing is conducted by means of required power and estimated required energy, and actual performance is simulated step by step with an iterative procedure based on final state of charge and fuel tank, if present, levels. Literature studies and technology survey are carried out to establish a robust working base, that is consid- ered in a wide set of parametric studies to assess sensitivity of key parameters such as battery performance, cruise speed and altitude, aircraft range among others, on param- eters as takeoff, battery and fuel mass, wing surface, motor power and energy degree of hybridization.","author":[{"dropping-particle":"","family":"Rossi","given":"Niccolò","non-dropping-particle":"","parse-names":false,"suffix":""}],"id":"ITEM-1","issued":{"date-parts":[["2017"]]},"publisher":"Politecnico di Milano","title":"Conceptual Design of Hybrid-Electric Aircraft","type":"thesis"}}],"schema":"https://github.com/citation-style-language/schema/raw/master/csl-citation.json"} </w:instrText>
      </w:r>
      <w:r w:rsidR="00921CA2" w:rsidRPr="004D19FF">
        <w:rPr>
          <w:rFonts w:ascii="Times New Roman" w:hAnsi="Times New Roman"/>
          <w:sz w:val="20"/>
          <w:szCs w:val="20"/>
        </w:rPr>
        <w:fldChar w:fldCharType="separate"/>
      </w:r>
      <w:r w:rsidR="005D3B73" w:rsidRPr="005D3B73">
        <w:rPr>
          <w:rFonts w:ascii="Times New Roman" w:hAnsi="Times New Roman" w:cs="Times New Roman"/>
          <w:sz w:val="20"/>
        </w:rPr>
        <w:t>[193]</w:t>
      </w:r>
      <w:r w:rsidR="00921CA2" w:rsidRPr="004D19FF">
        <w:rPr>
          <w:rFonts w:ascii="Times New Roman" w:hAnsi="Times New Roman"/>
          <w:sz w:val="20"/>
          <w:szCs w:val="20"/>
        </w:rPr>
        <w:fldChar w:fldCharType="end"/>
      </w:r>
      <w:r w:rsidR="00AB7B03" w:rsidRPr="004D19FF">
        <w:rPr>
          <w:rFonts w:ascii="Times New Roman" w:hAnsi="Times New Roman"/>
          <w:sz w:val="20"/>
          <w:szCs w:val="20"/>
        </w:rPr>
        <w:t xml:space="preserve">. </w:t>
      </w:r>
      <w:r w:rsidR="00F72662">
        <w:rPr>
          <w:rFonts w:ascii="Times New Roman" w:hAnsi="Times New Roman"/>
          <w:sz w:val="20"/>
          <w:szCs w:val="20"/>
        </w:rPr>
        <w:t>In conventional aircrafts, gas turbines are powered by liquid fuels combustion, meaning that both H</w:t>
      </w:r>
      <w:r w:rsidR="00F72662" w:rsidRPr="00F72662">
        <w:rPr>
          <w:rFonts w:ascii="Times New Roman" w:hAnsi="Times New Roman"/>
          <w:sz w:val="20"/>
          <w:szCs w:val="20"/>
          <w:vertAlign w:val="subscript"/>
        </w:rPr>
        <w:t>E</w:t>
      </w:r>
      <w:r w:rsidR="00F72662">
        <w:rPr>
          <w:rFonts w:ascii="Times New Roman" w:hAnsi="Times New Roman"/>
          <w:sz w:val="20"/>
          <w:szCs w:val="20"/>
        </w:rPr>
        <w:t xml:space="preserve"> and H</w:t>
      </w:r>
      <w:r w:rsidR="00F72662" w:rsidRPr="00F72662">
        <w:rPr>
          <w:rFonts w:ascii="Times New Roman" w:hAnsi="Times New Roman"/>
          <w:sz w:val="20"/>
          <w:szCs w:val="20"/>
          <w:vertAlign w:val="subscript"/>
        </w:rPr>
        <w:t>P</w:t>
      </w:r>
      <w:r w:rsidR="00F72662">
        <w:rPr>
          <w:rFonts w:ascii="Times New Roman" w:hAnsi="Times New Roman"/>
          <w:sz w:val="20"/>
          <w:szCs w:val="20"/>
        </w:rPr>
        <w:t xml:space="preserve"> equals to zero.</w:t>
      </w:r>
      <w:r w:rsidR="004D13BB">
        <w:rPr>
          <w:rFonts w:ascii="Times New Roman" w:hAnsi="Times New Roman"/>
          <w:sz w:val="20"/>
          <w:szCs w:val="20"/>
        </w:rPr>
        <w:t xml:space="preserve"> In the case of a partial turboelectric approach (Fig. 13d), H</w:t>
      </w:r>
      <w:r w:rsidR="004D13BB" w:rsidRPr="004D13BB">
        <w:rPr>
          <w:rFonts w:ascii="Times New Roman" w:hAnsi="Times New Roman"/>
          <w:sz w:val="20"/>
          <w:szCs w:val="20"/>
          <w:vertAlign w:val="subscript"/>
        </w:rPr>
        <w:t>E</w:t>
      </w:r>
      <w:r w:rsidR="004D13BB">
        <w:rPr>
          <w:rFonts w:ascii="Times New Roman" w:hAnsi="Times New Roman"/>
          <w:sz w:val="20"/>
          <w:szCs w:val="20"/>
        </w:rPr>
        <w:t xml:space="preserve"> would be zero as there are no energy storage devices involved, which H</w:t>
      </w:r>
      <w:r w:rsidR="004D13BB" w:rsidRPr="004D13BB">
        <w:rPr>
          <w:rFonts w:ascii="Times New Roman" w:hAnsi="Times New Roman"/>
          <w:sz w:val="20"/>
          <w:szCs w:val="20"/>
          <w:vertAlign w:val="subscript"/>
        </w:rPr>
        <w:t>P</w:t>
      </w:r>
      <w:r w:rsidR="004D13BB">
        <w:rPr>
          <w:rFonts w:ascii="Times New Roman" w:hAnsi="Times New Roman"/>
          <w:sz w:val="20"/>
          <w:szCs w:val="20"/>
        </w:rPr>
        <w:t xml:space="preserve"> would be between 0 and 1 because both a gas turbine and an electric motor are used to supply energy to the propeller. In this particular case, however, a clear standard for attributing the appropriate non-zero and non-one hybridization value is still missing </w:t>
      </w:r>
      <w:r w:rsidR="00921CA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GUkWd4iD","properties":{"formattedCitation":"[193,195]","plainCitation":"[193,195]","noteIndex":0},"citationItems":[{"id":"968HXJ10/68mAWp3j","uris":["http://www.mendeley.com/documents/?uuid=1e2cf6d1-0bb7-41da-b364-bf2d44c874b8"],"uri":["http://www.mendeley.com/documents/?uuid=1e2cf6d1-0bb7-41da-b364-bf2d44c874b8"],"itemData":{"abstract":"Ambitious future emission and noise reduction targets, unveiled by the European Commission with the Strategic Research and Innovation Agenda (SRIA) and the National Aeronautics Space Administration (NASA) with their N+3 goals for the aviation industry, encourage new radical aircraft concepts. A potential solution to fulfill these targets has been identified as the introduction of hybrid and universally-electric aircraft with an entry into service (EIS) for 2035+. Those solutions have the potential to increase the overall vehicular efficiency and decrease the required mission energy demand. A key element of such concepts is the design of the electric part of the power train including the underlying electric systems architecture with regard to efficiency and mass. Current research focuses on the design and optimization of hybrid-electric power trains, as universally-electric aircraft are penalized for the excessive weight of existing designs. Several system and aircraft level studies are available for such concepts. In view of hybrid-electric power trains with different energy supply options, the serial and parallel hybrid-electric topologies are the most promising. Other studies focus on the optimization of the gas turbine performance as a main power supplier of a hybrid- electric power train. The characteristics of the entire electric systems architecture have been considered as a black box in the most cases with constant efficiency values over the entire flight envelope. Sizing impacts of the electric architecture with regard to different shaft power and rotational speed demands of the electric motor and different transmission voltages during design and off-design have been neglected. For an overall performance estimation and optimization of a hybrid-electric power train the level of detail of both contributors are important. Another aspect to be considered is the mechanisms by which the hybrid- electric propulsion system should be operated during the mission to generate the lowest CO2 emissions. For that purpose a method is presented here which allows for the sizing of the electric system architecture on a conceptual design level covering sensitivities with regard to design system shaft power, rotational speed, and transmission voltage in dependency of the involved com- ponents. Therefore, electric component models are developed covering those basic sensitivities with regard to mass and efficiency characteristics in design and off-design. The develope…","author":[{"dropping-particle":"","family":"Vratny","given":"Patrick Christoph","non-dropping-particle":"","parse-names":false,"suffix":""}],"id":"ITEM-1","issued":{"date-parts":[["2018"]]},"page":"1-166","title":"Conceptual Design Methods of Electric Power Architectures for Hybrid Energy Aircraft","type":"article-journal"}},{"id":"968HXJ10/gRs1baCc","uris":["http://www.mendeley.com/documents/?uuid=9cdb0013-590f-437f-815b-b249dd3f0807"],"uri":["http://www.mendeley.com/documents/?uuid=9cdb0013-590f-437f-815b-b249dd3f0807"],"itemData":{"abstract":"An increased focus on electric applications to propulsion for both ground vehicles and airplanes has been observed in recent years, thanks to more reliable and more perform- ing batteries and electric motors. Electric propulsion for aircraft applications is still rep- resenting a very small portion of current standard aviation due to large mass penalties of batteries and due to rather unexplored design procedures. The present work focuses on establishing a general procedure to design an all-electric and serial hybrid-electric aircraft from a conceptual point of view and to simulate their flight profile to assess energy consumption to ensure the highest accuracy possible. A Matlab™code named Hyperion was developed and validated using existing aircraft as a reference, consider- ing the limit case of a simulated conventional aircraft. The considered procedure is based on the assumption of a propeller-driven aircraft powered by electric motors fed by batteries, which are, in case of a hybrid airplane, charged by a generator. Prelim- inary aircraft sizing is conducted by means of required power and estimated required energy, and actual performance is simulated step by step with an iterative procedure based on final state of charge and fuel tank, if present, levels. Literature studies and technology survey are carried out to establish a robust working base, that is consid- ered in a wide set of parametric studies to assess sensitivity of key parameters such as battery performance, cruise speed and altitude, aircraft range among others, on param- eters as takeoff, battery and fuel mass, wing surface, motor power and energy degree of hybridization.","author":[{"dropping-particle":"","family":"Rossi","given":"Niccolò","non-dropping-particle":"","parse-names":false,"suffix":""}],"id":"ITEM-2","issued":{"date-parts":[["2017"]]},"publisher":"Politecnico di Milano","title":"Conceptual Design of Hybrid-Electric Aircraft","type":"thesis"}}],"schema":"https://github.com/citation-style-language/schema/raw/master/csl-citation.json"} </w:instrText>
      </w:r>
      <w:r w:rsidR="00921CA2" w:rsidRPr="004D19FF">
        <w:rPr>
          <w:rFonts w:ascii="Times New Roman" w:hAnsi="Times New Roman"/>
          <w:sz w:val="20"/>
          <w:szCs w:val="20"/>
        </w:rPr>
        <w:fldChar w:fldCharType="separate"/>
      </w:r>
      <w:r w:rsidR="005D3B73" w:rsidRPr="005D3B73">
        <w:rPr>
          <w:rFonts w:ascii="Times New Roman" w:hAnsi="Times New Roman" w:cs="Times New Roman"/>
          <w:sz w:val="20"/>
        </w:rPr>
        <w:t>[193,195]</w:t>
      </w:r>
      <w:r w:rsidR="00921CA2" w:rsidRPr="004D19FF">
        <w:rPr>
          <w:rFonts w:ascii="Times New Roman" w:hAnsi="Times New Roman"/>
          <w:sz w:val="20"/>
          <w:szCs w:val="20"/>
        </w:rPr>
        <w:fldChar w:fldCharType="end"/>
      </w:r>
      <w:r w:rsidR="00DA6648" w:rsidRPr="004D19FF">
        <w:rPr>
          <w:rFonts w:ascii="Times New Roman" w:hAnsi="Times New Roman"/>
          <w:sz w:val="20"/>
          <w:szCs w:val="20"/>
        </w:rPr>
        <w:t xml:space="preserve">. </w:t>
      </w:r>
    </w:p>
    <w:p w14:paraId="073C1043" w14:textId="344FB1B1" w:rsidR="00F15B23" w:rsidRDefault="002F11B3" w:rsidP="00BC4779">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Electric aircrafts relying on batteries have gained substantial interest in the recent years. </w:t>
      </w:r>
      <w:r w:rsidR="00F15B23">
        <w:rPr>
          <w:rFonts w:ascii="Times New Roman" w:hAnsi="Times New Roman"/>
          <w:sz w:val="20"/>
          <w:szCs w:val="20"/>
        </w:rPr>
        <w:t>The so-called “m</w:t>
      </w:r>
      <w:r w:rsidR="00C67B20">
        <w:rPr>
          <w:rFonts w:ascii="Times New Roman" w:hAnsi="Times New Roman"/>
          <w:sz w:val="20"/>
          <w:szCs w:val="20"/>
        </w:rPr>
        <w:t xml:space="preserve">ore </w:t>
      </w:r>
      <w:r w:rsidR="00407AD5" w:rsidRPr="004D19FF">
        <w:rPr>
          <w:rFonts w:ascii="Times New Roman" w:hAnsi="Times New Roman"/>
          <w:sz w:val="20"/>
          <w:szCs w:val="20"/>
        </w:rPr>
        <w:t>electric</w:t>
      </w:r>
      <w:r w:rsidR="00F15B23">
        <w:rPr>
          <w:rFonts w:ascii="Times New Roman" w:hAnsi="Times New Roman"/>
          <w:sz w:val="20"/>
          <w:szCs w:val="20"/>
        </w:rPr>
        <w:t>”</w:t>
      </w:r>
      <w:r w:rsidR="00407AD5" w:rsidRPr="004D19FF">
        <w:rPr>
          <w:rFonts w:ascii="Times New Roman" w:hAnsi="Times New Roman"/>
          <w:sz w:val="20"/>
          <w:szCs w:val="20"/>
        </w:rPr>
        <w:t xml:space="preserve"> architecture </w:t>
      </w:r>
      <w:r w:rsidR="00F15B23">
        <w:rPr>
          <w:rFonts w:ascii="Times New Roman" w:hAnsi="Times New Roman"/>
          <w:sz w:val="20"/>
          <w:szCs w:val="20"/>
        </w:rPr>
        <w:t xml:space="preserve">involving the use of energy storage technologies </w:t>
      </w:r>
      <w:r w:rsidR="00407AD5" w:rsidRPr="004D19FF">
        <w:rPr>
          <w:rFonts w:ascii="Times New Roman" w:hAnsi="Times New Roman"/>
          <w:sz w:val="20"/>
          <w:szCs w:val="20"/>
        </w:rPr>
        <w:t xml:space="preserve">has </w:t>
      </w:r>
      <w:r w:rsidR="00E5314E" w:rsidRPr="004D19FF">
        <w:rPr>
          <w:rFonts w:ascii="Times New Roman" w:hAnsi="Times New Roman"/>
          <w:sz w:val="20"/>
          <w:szCs w:val="20"/>
        </w:rPr>
        <w:t xml:space="preserve">already been applied </w:t>
      </w:r>
      <w:r w:rsidR="00F15B23">
        <w:rPr>
          <w:rFonts w:ascii="Times New Roman" w:hAnsi="Times New Roman"/>
          <w:sz w:val="20"/>
          <w:szCs w:val="20"/>
        </w:rPr>
        <w:t>in aircrafts for services other than</w:t>
      </w:r>
      <w:r w:rsidR="002E3022" w:rsidRPr="004D19FF">
        <w:rPr>
          <w:rFonts w:ascii="Times New Roman" w:hAnsi="Times New Roman"/>
          <w:sz w:val="20"/>
          <w:szCs w:val="20"/>
        </w:rPr>
        <w:t xml:space="preserve"> </w:t>
      </w:r>
      <w:r w:rsidR="00000DA4" w:rsidRPr="004D19FF">
        <w:rPr>
          <w:rFonts w:ascii="Times New Roman" w:hAnsi="Times New Roman"/>
          <w:sz w:val="20"/>
          <w:szCs w:val="20"/>
        </w:rPr>
        <w:t>propulsion</w:t>
      </w:r>
      <w:r w:rsidR="002E3022" w:rsidRPr="004D19FF">
        <w:rPr>
          <w:rFonts w:ascii="Times New Roman" w:hAnsi="Times New Roman"/>
          <w:sz w:val="20"/>
          <w:szCs w:val="20"/>
        </w:rPr>
        <w:t xml:space="preserve"> </w:t>
      </w:r>
      <w:r w:rsidR="00193AC2" w:rsidRPr="004D19FF">
        <w:rPr>
          <w:rFonts w:ascii="Times New Roman" w:hAnsi="Times New Roman"/>
          <w:sz w:val="20"/>
          <w:szCs w:val="20"/>
        </w:rPr>
        <w:t xml:space="preserve">(e.g. </w:t>
      </w:r>
      <w:r w:rsidR="00F15B23">
        <w:rPr>
          <w:rFonts w:ascii="Times New Roman" w:hAnsi="Times New Roman"/>
          <w:sz w:val="20"/>
          <w:szCs w:val="20"/>
        </w:rPr>
        <w:t xml:space="preserve">flight control system and cabin </w:t>
      </w:r>
      <w:r w:rsidR="00CD0199" w:rsidRPr="004D19FF">
        <w:rPr>
          <w:rFonts w:ascii="Times New Roman" w:hAnsi="Times New Roman"/>
          <w:sz w:val="20"/>
          <w:szCs w:val="20"/>
        </w:rPr>
        <w:t>environmental control system</w:t>
      </w:r>
      <w:r w:rsidR="00193AC2" w:rsidRPr="004D19FF">
        <w:rPr>
          <w:rFonts w:ascii="Times New Roman" w:hAnsi="Times New Roman"/>
          <w:sz w:val="20"/>
          <w:szCs w:val="20"/>
        </w:rPr>
        <w:t>)</w:t>
      </w:r>
      <w:r w:rsidR="001411A3" w:rsidRPr="004D19FF">
        <w:rPr>
          <w:rFonts w:ascii="Times New Roman" w:hAnsi="Times New Roman"/>
          <w:sz w:val="20"/>
          <w:szCs w:val="20"/>
        </w:rPr>
        <w:t xml:space="preserve"> </w:t>
      </w:r>
      <w:r w:rsidR="00A909E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KpPqdLHG","properties":{"formattedCitation":"[192,196,197]","plainCitation":"[192,196,197]","noteIndex":0},"citationItems":[{"id":"968HXJ10/NdmPZTxr","uris":["http://www.mendeley.com/documents/?uuid=ce05aca7-73b4-4f31-9501-e46106f36a8d"],"uri":["http://www.mendeley.com/documents/?uuid=ce05aca7-73b4-4f31-9501-e46106f36a8d"],"itemData":{"author":[{"dropping-particle":"","family":"The Faraday Institute","given":"","non-dropping-particle":"","parse-names":false,"suffix":""}],"id":"ITEM-1","issued":{"date-parts":[["2020"]]},"title":"Faraday Report: High-energy battery technologies","type":"report"}},{"id":"968HXJ10/pwolqBr5","uris":["http://www.mendeley.com/documents/?uuid=d5afd989-042e-4cfd-b001-19fd9fd52f22"],"uri":["http://www.mendeley.com/documents/?uuid=d5afd989-042e-4cfd-b001-19fd9fd52f22"],"itemData":{"abstract":"No more blue-sky thinking: how and why the aviation sector is moving towards cleaner, greener skies","author":[{"dropping-particle":"","family":"Domone","given":"James","non-dropping-particle":"","parse-names":false,"suffix":""}],"id":"ITEM-2","issue":"June","issued":{"date-parts":[["2018"]]},"number-of-pages":"12","title":"The challenges and benefits of the electrification of aircraft","type":"report"}},{"id":"968HXJ10/SnYG0TaS","uris":["http://www.mendeley.com/documents/?uuid=1e61edda-a447-4570-bb1d-4b7b797fd0c6"],"uri":["http://www.mendeley.com/documents/?uuid=1e61edda-a447-4570-bb1d-4b7b797fd0c6"],"itemData":{"abstract":"Is aircraft electrification the next chapter in aviation? Many other industries have already completely or partially electrified. With more complex and demanding requirements, aerospace proves a challenging sector to overhaul, however there is every indication to suggest that it will soon follow suit.","author":[{"dropping-particle":"","family":"Thomson","given":"Robert","non-dropping-particle":"","parse-names":false,"suffix":""},{"dropping-particle":"","family":"Sachdeva","given":"Nikhil","non-dropping-particle":"","parse-names":false,"suffix":""},{"dropping-particle":"","family":"Nazukin","given":"Maxim","non-dropping-particle":"","parse-names":false,"suffix":""},{"dropping-particle":"","family":"Martinez","given":"Nicolas","non-dropping-particle":"","parse-names":false,"suffix":""}],"container-title":"Think: Act","id":"ITEM-3","issued":{"date-parts":[["2017"]]},"page":"1-32","title":"Aircraft Electrical Propulsion – The Next Chapter of Aviation?","type":"article-journal"}}],"schema":"https://github.com/citation-style-language/schema/raw/master/csl-citation.json"} </w:instrText>
      </w:r>
      <w:r w:rsidR="00A909E3" w:rsidRPr="004D19FF">
        <w:rPr>
          <w:rFonts w:ascii="Times New Roman" w:hAnsi="Times New Roman"/>
          <w:sz w:val="20"/>
          <w:szCs w:val="20"/>
        </w:rPr>
        <w:fldChar w:fldCharType="separate"/>
      </w:r>
      <w:r w:rsidR="005D3B73" w:rsidRPr="005D3B73">
        <w:rPr>
          <w:rFonts w:ascii="Times New Roman" w:hAnsi="Times New Roman" w:cs="Times New Roman"/>
          <w:sz w:val="20"/>
        </w:rPr>
        <w:t>[192,196,197]</w:t>
      </w:r>
      <w:r w:rsidR="00A909E3" w:rsidRPr="004D19FF">
        <w:rPr>
          <w:rFonts w:ascii="Times New Roman" w:hAnsi="Times New Roman"/>
          <w:sz w:val="20"/>
          <w:szCs w:val="20"/>
        </w:rPr>
        <w:fldChar w:fldCharType="end"/>
      </w:r>
      <w:r w:rsidR="00F15B23">
        <w:rPr>
          <w:rFonts w:ascii="Times New Roman" w:hAnsi="Times New Roman"/>
          <w:sz w:val="20"/>
          <w:szCs w:val="20"/>
        </w:rPr>
        <w:t xml:space="preserve">, for instance in the Airbus 350 and Boeing 787 </w:t>
      </w:r>
      <w:r w:rsidR="00F15B2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yfx8ROh","properties":{"formattedCitation":"[192,193]","plainCitation":"[192,193]","noteIndex":0},"citationItems":[{"id":"968HXJ10/pwolqBr5","uris":["http://www.mendeley.com/documents/?uuid=d5afd989-042e-4cfd-b001-19fd9fd52f22"],"uri":["http://www.mendeley.com/documents/?uuid=d5afd989-042e-4cfd-b001-19fd9fd52f22"],"itemData":{"abstract":"No more blue-sky thinking: how and why the aviation sector is moving towards cleaner, greener skies","author":[{"dropping-particle":"","family":"Domone","given":"James","non-dropping-particle":"","parse-names":false,"suffix":""}],"id":"ITEM-1","issue":"June","issued":{"date-parts":[["2018"]]},"number-of-pages":"12","title":"The challenges and benefits of the electrification of aircraft","type":"report"}},{"id":"968HXJ10/gRs1baCc","uris":["http://www.mendeley.com/documents/?uuid=9cdb0013-590f-437f-815b-b249dd3f0807"],"uri":["http://www.mendeley.com/documents/?uuid=9cdb0013-590f-437f-815b-b249dd3f0807"],"itemData":{"abstract":"An increased focus on electric applications to propulsion for both ground vehicles and airplanes has been observed in recent years, thanks to more reliable and more perform- ing batteries and electric motors. Electric propulsion for aircraft applications is still rep- resenting a very small portion of current standard aviation due to large mass penalties of batteries and due to rather unexplored design procedures. The present work focuses on establishing a general procedure to design an all-electric and serial hybrid-electric aircraft from a conceptual point of view and to simulate their flight profile to assess energy consumption to ensure the highest accuracy possible. A Matlab™code named Hyperion was developed and validated using existing aircraft as a reference, consider- ing the limit case of a simulated conventional aircraft. The considered procedure is based on the assumption of a propeller-driven aircraft powered by electric motors fed by batteries, which are, in case of a hybrid airplane, charged by a generator. Prelim- inary aircraft sizing is conducted by means of required power and estimated required energy, and actual performance is simulated step by step with an iterative procedure based on final state of charge and fuel tank, if present, levels. Literature studies and technology survey are carried out to establish a robust working base, that is consid- ered in a wide set of parametric studies to assess sensitivity of key parameters such as battery performance, cruise speed and altitude, aircraft range among others, on param- eters as takeoff, battery and fuel mass, wing surface, motor power and energy degree of hybridization.","author":[{"dropping-particle":"","family":"Rossi","given":"Niccolò","non-dropping-particle":"","parse-names":false,"suffix":""}],"id":"ITEM-2","issued":{"date-parts":[["2017"]]},"publisher":"Politecnico di Milano","title":"Conceptual Design of Hybrid-Electric Aircraft","type":"thesis"}}],"schema":"https://github.com/citation-style-language/schema/raw/master/csl-citation.json"} </w:instrText>
      </w:r>
      <w:r w:rsidR="00F15B23" w:rsidRPr="004D19FF">
        <w:rPr>
          <w:rFonts w:ascii="Times New Roman" w:hAnsi="Times New Roman"/>
          <w:sz w:val="20"/>
          <w:szCs w:val="20"/>
        </w:rPr>
        <w:fldChar w:fldCharType="separate"/>
      </w:r>
      <w:r w:rsidR="005D3B73" w:rsidRPr="005D3B73">
        <w:rPr>
          <w:rFonts w:ascii="Times New Roman" w:hAnsi="Times New Roman" w:cs="Times New Roman"/>
          <w:sz w:val="20"/>
        </w:rPr>
        <w:t>[192,193]</w:t>
      </w:r>
      <w:r w:rsidR="00F15B23" w:rsidRPr="004D19FF">
        <w:rPr>
          <w:rFonts w:ascii="Times New Roman" w:hAnsi="Times New Roman"/>
          <w:sz w:val="20"/>
          <w:szCs w:val="20"/>
        </w:rPr>
        <w:fldChar w:fldCharType="end"/>
      </w:r>
      <w:r w:rsidR="00F15B23" w:rsidRPr="004D19FF">
        <w:rPr>
          <w:rFonts w:ascii="Times New Roman" w:hAnsi="Times New Roman"/>
          <w:sz w:val="20"/>
          <w:szCs w:val="20"/>
        </w:rPr>
        <w:t>.</w:t>
      </w:r>
      <w:r w:rsidR="00F15B23">
        <w:rPr>
          <w:rFonts w:ascii="Times New Roman" w:hAnsi="Times New Roman"/>
          <w:sz w:val="20"/>
          <w:szCs w:val="20"/>
        </w:rPr>
        <w:t xml:space="preserve"> Batteries have been introduced in these aircrafts in order to reduce fuel consumption and </w:t>
      </w:r>
      <w:r w:rsidR="00F15B23" w:rsidRPr="004D19FF">
        <w:rPr>
          <w:rFonts w:ascii="Times New Roman" w:hAnsi="Times New Roman"/>
          <w:sz w:val="20"/>
          <w:szCs w:val="20"/>
        </w:rPr>
        <w:t>thus aircraft CO</w:t>
      </w:r>
      <w:r w:rsidR="00F15B23" w:rsidRPr="004D19FF">
        <w:rPr>
          <w:rFonts w:ascii="Times New Roman" w:hAnsi="Times New Roman"/>
          <w:sz w:val="20"/>
          <w:szCs w:val="20"/>
          <w:vertAlign w:val="subscript"/>
        </w:rPr>
        <w:t xml:space="preserve">2 </w:t>
      </w:r>
      <w:r w:rsidR="00F15B23" w:rsidRPr="004D19FF">
        <w:rPr>
          <w:rFonts w:ascii="Times New Roman" w:hAnsi="Times New Roman"/>
          <w:sz w:val="20"/>
          <w:szCs w:val="20"/>
        </w:rPr>
        <w:t>emissions (H</w:t>
      </w:r>
      <w:r w:rsidR="00F15B23" w:rsidRPr="004D19FF">
        <w:rPr>
          <w:rFonts w:ascii="Times New Roman" w:hAnsi="Times New Roman"/>
          <w:sz w:val="20"/>
          <w:szCs w:val="20"/>
          <w:vertAlign w:val="subscript"/>
        </w:rPr>
        <w:t xml:space="preserve">P </w:t>
      </w:r>
      <w:r w:rsidR="00F15B23" w:rsidRPr="004D19FF">
        <w:rPr>
          <w:rFonts w:ascii="Times New Roman" w:hAnsi="Times New Roman"/>
          <w:sz w:val="20"/>
          <w:szCs w:val="20"/>
        </w:rPr>
        <w:t>&lt; 0.05)</w:t>
      </w:r>
      <w:r w:rsidR="00A862E8" w:rsidRPr="00A862E8">
        <w:rPr>
          <w:rFonts w:ascii="Times New Roman" w:hAnsi="Times New Roman"/>
          <w:sz w:val="20"/>
          <w:szCs w:val="20"/>
        </w:rPr>
        <w:t xml:space="preserve"> </w:t>
      </w:r>
      <w:r w:rsidR="00A862E8"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bdrrP3kX","properties":{"formattedCitation":"[192,193]","plainCitation":"[192,193]","noteIndex":0},"citationItems":[{"id":"968HXJ10/pwolqBr5","uris":["http://www.mendeley.com/documents/?uuid=d5afd989-042e-4cfd-b001-19fd9fd52f22"],"uri":["http://www.mendeley.com/documents/?uuid=d5afd989-042e-4cfd-b001-19fd9fd52f22"],"itemData":{"abstract":"No more blue-sky thinking: how and why the aviation sector is moving towards cleaner, greener skies","author":[{"dropping-particle":"","family":"Domone","given":"James","non-dropping-particle":"","parse-names":false,"suffix":""}],"id":"ITEM-1","issue":"June","issued":{"date-parts":[["2018"]]},"number-of-pages":"12","title":"The challenges and benefits of the electrification of aircraft","type":"report"}},{"id":"968HXJ10/gRs1baCc","uris":["http://www.mendeley.com/documents/?uuid=9cdb0013-590f-437f-815b-b249dd3f0807"],"uri":["http://www.mendeley.com/documents/?uuid=9cdb0013-590f-437f-815b-b249dd3f0807"],"itemData":{"abstract":"An increased focus on electric applications to propulsion for both ground vehicles and airplanes has been observed in recent years, thanks to more reliable and more perform- ing batteries and electric motors. Electric propulsion for aircraft applications is still rep- resenting a very small portion of current standard aviation due to large mass penalties of batteries and due to rather unexplored design procedures. The present work focuses on establishing a general procedure to design an all-electric and serial hybrid-electric aircraft from a conceptual point of view and to simulate their flight profile to assess energy consumption to ensure the highest accuracy possible. A Matlab™code named Hyperion was developed and validated using existing aircraft as a reference, consider- ing the limit case of a simulated conventional aircraft. The considered procedure is based on the assumption of a propeller-driven aircraft powered by electric motors fed by batteries, which are, in case of a hybrid airplane, charged by a generator. Prelim- inary aircraft sizing is conducted by means of required power and estimated required energy, and actual performance is simulated step by step with an iterative procedure based on final state of charge and fuel tank, if present, levels. Literature studies and technology survey are carried out to establish a robust working base, that is consid- ered in a wide set of parametric studies to assess sensitivity of key parameters such as battery performance, cruise speed and altitude, aircraft range among others, on param- eters as takeoff, battery and fuel mass, wing surface, motor power and energy degree of hybridization.","author":[{"dropping-particle":"","family":"Rossi","given":"Niccolò","non-dropping-particle":"","parse-names":false,"suffix":""}],"id":"ITEM-2","issued":{"date-parts":[["2017"]]},"publisher":"Politecnico di Milano","title":"Conceptual Design of Hybrid-Electric Aircraft","type":"thesis"}}],"schema":"https://github.com/citation-style-language/schema/raw/master/csl-citation.json"} </w:instrText>
      </w:r>
      <w:r w:rsidR="00A862E8" w:rsidRPr="004D19FF">
        <w:rPr>
          <w:rFonts w:ascii="Times New Roman" w:hAnsi="Times New Roman"/>
          <w:sz w:val="20"/>
          <w:szCs w:val="20"/>
        </w:rPr>
        <w:fldChar w:fldCharType="separate"/>
      </w:r>
      <w:r w:rsidR="005D3B73" w:rsidRPr="005D3B73">
        <w:rPr>
          <w:rFonts w:ascii="Times New Roman" w:hAnsi="Times New Roman" w:cs="Times New Roman"/>
          <w:sz w:val="20"/>
        </w:rPr>
        <w:t>[192,193]</w:t>
      </w:r>
      <w:r w:rsidR="00A862E8" w:rsidRPr="004D19FF">
        <w:rPr>
          <w:rFonts w:ascii="Times New Roman" w:hAnsi="Times New Roman"/>
          <w:sz w:val="20"/>
          <w:szCs w:val="20"/>
        </w:rPr>
        <w:fldChar w:fldCharType="end"/>
      </w:r>
      <w:r w:rsidR="00F15B23">
        <w:rPr>
          <w:rFonts w:ascii="Times New Roman" w:hAnsi="Times New Roman"/>
          <w:sz w:val="20"/>
          <w:szCs w:val="20"/>
        </w:rPr>
        <w:t xml:space="preserve">. </w:t>
      </w:r>
    </w:p>
    <w:p w14:paraId="26488666" w14:textId="6DFCD87B" w:rsidR="00185E5F" w:rsidRPr="004D19FF" w:rsidRDefault="00970F63" w:rsidP="00BC4779">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In the hybrid electric </w:t>
      </w:r>
      <w:r w:rsidR="008B0EB1" w:rsidRPr="004D19FF">
        <w:rPr>
          <w:rFonts w:ascii="Times New Roman" w:hAnsi="Times New Roman"/>
          <w:sz w:val="20"/>
          <w:szCs w:val="20"/>
        </w:rPr>
        <w:t>propulsion</w:t>
      </w:r>
      <w:r w:rsidRPr="004D19FF">
        <w:rPr>
          <w:rFonts w:ascii="Times New Roman" w:hAnsi="Times New Roman"/>
          <w:sz w:val="20"/>
          <w:szCs w:val="20"/>
        </w:rPr>
        <w:t xml:space="preserve">, </w:t>
      </w:r>
      <w:r w:rsidR="00193AC2" w:rsidRPr="004D19FF">
        <w:rPr>
          <w:rFonts w:ascii="Times New Roman" w:hAnsi="Times New Roman"/>
          <w:sz w:val="20"/>
          <w:szCs w:val="20"/>
        </w:rPr>
        <w:t>gas turbine</w:t>
      </w:r>
      <w:r w:rsidR="00326EC0" w:rsidRPr="004D19FF">
        <w:rPr>
          <w:rFonts w:ascii="Times New Roman" w:hAnsi="Times New Roman"/>
          <w:sz w:val="20"/>
          <w:szCs w:val="20"/>
        </w:rPr>
        <w:t xml:space="preserve"> </w:t>
      </w:r>
      <w:r w:rsidRPr="004D19FF">
        <w:rPr>
          <w:rFonts w:ascii="Times New Roman" w:hAnsi="Times New Roman"/>
          <w:sz w:val="20"/>
          <w:szCs w:val="20"/>
        </w:rPr>
        <w:t xml:space="preserve">and electric </w:t>
      </w:r>
      <w:r w:rsidR="00976D16" w:rsidRPr="004D19FF">
        <w:rPr>
          <w:rFonts w:ascii="Times New Roman" w:hAnsi="Times New Roman"/>
          <w:sz w:val="20"/>
          <w:szCs w:val="20"/>
        </w:rPr>
        <w:t>motor</w:t>
      </w:r>
      <w:r w:rsidR="00146DE1" w:rsidRPr="004D19FF">
        <w:rPr>
          <w:rFonts w:ascii="Times New Roman" w:hAnsi="Times New Roman"/>
          <w:sz w:val="20"/>
          <w:szCs w:val="20"/>
        </w:rPr>
        <w:t xml:space="preserve"> </w:t>
      </w:r>
      <w:r w:rsidRPr="004D19FF">
        <w:rPr>
          <w:rFonts w:ascii="Times New Roman" w:hAnsi="Times New Roman"/>
          <w:sz w:val="20"/>
          <w:szCs w:val="20"/>
        </w:rPr>
        <w:t xml:space="preserve">are </w:t>
      </w:r>
      <w:r w:rsidR="00167941">
        <w:rPr>
          <w:rFonts w:ascii="Times New Roman" w:hAnsi="Times New Roman"/>
          <w:sz w:val="20"/>
          <w:szCs w:val="20"/>
        </w:rPr>
        <w:t>used to independently generate</w:t>
      </w:r>
      <w:r w:rsidRPr="004D19FF">
        <w:rPr>
          <w:rFonts w:ascii="Times New Roman" w:hAnsi="Times New Roman"/>
          <w:sz w:val="20"/>
          <w:szCs w:val="20"/>
        </w:rPr>
        <w:t xml:space="preserve"> power from </w:t>
      </w:r>
      <w:r w:rsidR="00571EED" w:rsidRPr="004D19FF">
        <w:rPr>
          <w:rFonts w:ascii="Times New Roman" w:hAnsi="Times New Roman"/>
          <w:sz w:val="20"/>
          <w:szCs w:val="20"/>
        </w:rPr>
        <w:t xml:space="preserve">fuel </w:t>
      </w:r>
      <w:r w:rsidR="001F7A48" w:rsidRPr="004D19FF">
        <w:rPr>
          <w:rFonts w:ascii="Times New Roman" w:hAnsi="Times New Roman"/>
          <w:sz w:val="20"/>
          <w:szCs w:val="20"/>
        </w:rPr>
        <w:t xml:space="preserve">combustion </w:t>
      </w:r>
      <w:r w:rsidR="00167941">
        <w:rPr>
          <w:rFonts w:ascii="Times New Roman" w:hAnsi="Times New Roman"/>
          <w:sz w:val="20"/>
          <w:szCs w:val="20"/>
        </w:rPr>
        <w:t>and batteries</w:t>
      </w:r>
      <w:r w:rsidRPr="004D19FF">
        <w:rPr>
          <w:rFonts w:ascii="Times New Roman" w:hAnsi="Times New Roman"/>
          <w:sz w:val="20"/>
          <w:szCs w:val="20"/>
        </w:rPr>
        <w:t xml:space="preserve">, </w:t>
      </w:r>
      <w:r w:rsidRPr="005234C2">
        <w:rPr>
          <w:rFonts w:ascii="Times New Roman" w:hAnsi="Times New Roman"/>
          <w:sz w:val="20"/>
          <w:szCs w:val="20"/>
        </w:rPr>
        <w:t>respectively</w:t>
      </w:r>
      <w:r w:rsidR="005234C2" w:rsidRPr="005234C2">
        <w:rPr>
          <w:rFonts w:ascii="Times New Roman" w:hAnsi="Times New Roman"/>
          <w:sz w:val="20"/>
          <w:szCs w:val="20"/>
        </w:rPr>
        <w:t xml:space="preserve"> </w:t>
      </w:r>
      <w:r w:rsidR="005234C2" w:rsidRPr="005234C2">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8QWHEht5","properties":{"formattedCitation":"[198]","plainCitation":"[198]","noteIndex":0},"citationItems":[{"id":"968HXJ10/TZSyGNjh","uris":["http://www.mendeley.com/documents/?uuid=fc0b63b5-8573-4a70-b014-63da461b32ae"],"uri":["http://www.mendeley.com/documents/?uuid=fc0b63b5-8573-4a70-b014-63da461b32ae"],"itemData":{"abstract":"This work presents the conceptual design of two hybrid aircrafts (four and six passengers) and the structural and aeroelastic analyses for the wing and empennages. The requirements in the conceptual phase were established by the aeronautical design competition held annually by the American Institute of Aeronautics and Astronautics (AIAA). The initial characteristics and geometries of a conventional aircraft were estimated through the study of historical trends. Then, the hybridization characteristics were evaluated using the series architecture, which affects mainly the range equations and the definition of the propulsive system elements that better fit the project, e. g., the internal combustion engine and batteries. To explore the multidisciplinary characteristics of the aircraft development, it was implemented an optimization procedure based on a genetic algorithm fully integrated with an aerodynamic module with performance and stability constraints, searching for the best values of the geometrical design variables. After finishing the conceptual design, the structural evaluation of wing and empennages (horizontal and vertical) was performed considering only static loads, but the failure index and the buckling instability were checked. The evaluated loads were extracted from aerodynamic models at the extreme conditions of flight envelope presented in V-n diagrams. First, the structural components were defined in aluminum 7050-T651 and later using composite material, specifically the carbon-epoxy Hexcel 8552 NMS 128/2. Additionally, only the aeroelastic analysis for the wing was evaluated, because in this work the fuselage analysis wasn't done. The results showed no flutter speed and no divergence phenomena within the aircraft's flight envelope, which is justified by the torsional rigidity obtained in the main box structure.","author":[{"dropping-particle":"","family":"Gil","given":"Alexandre Acerra","non-dropping-particle":"","parse-names":false,"suffix":""},{"dropping-particle":"","family":"Silva","given":"Higor Luis","non-dropping-particle":"","parse-names":false,"suffix":""}],"id":"ITEM-1","issued":{"date-parts":[["2017"]]},"number-of-pages":"1-123","title":"Hybrid-Electric Aircraft: Conceptual Design, Structural and Aeroelastic Analyses","type":"thesis"}}],"schema":"https://github.com/citation-style-language/schema/raw/master/csl-citation.json"} </w:instrText>
      </w:r>
      <w:r w:rsidR="005234C2" w:rsidRPr="005234C2">
        <w:rPr>
          <w:rFonts w:ascii="Times New Roman" w:hAnsi="Times New Roman"/>
          <w:sz w:val="20"/>
          <w:szCs w:val="20"/>
        </w:rPr>
        <w:fldChar w:fldCharType="separate"/>
      </w:r>
      <w:r w:rsidR="005D3B73" w:rsidRPr="005D3B73">
        <w:rPr>
          <w:rFonts w:ascii="Times New Roman" w:hAnsi="Times New Roman" w:cs="Times New Roman"/>
          <w:sz w:val="20"/>
        </w:rPr>
        <w:t>[198]</w:t>
      </w:r>
      <w:r w:rsidR="005234C2" w:rsidRPr="005234C2">
        <w:rPr>
          <w:rFonts w:ascii="Times New Roman" w:hAnsi="Times New Roman"/>
          <w:sz w:val="20"/>
          <w:szCs w:val="20"/>
        </w:rPr>
        <w:fldChar w:fldCharType="end"/>
      </w:r>
      <w:r w:rsidRPr="005234C2">
        <w:rPr>
          <w:rFonts w:ascii="Times New Roman" w:hAnsi="Times New Roman"/>
          <w:sz w:val="20"/>
          <w:szCs w:val="20"/>
        </w:rPr>
        <w:t>.</w:t>
      </w:r>
      <w:r w:rsidRPr="004D19FF">
        <w:rPr>
          <w:rFonts w:ascii="Times New Roman" w:hAnsi="Times New Roman"/>
          <w:sz w:val="20"/>
          <w:szCs w:val="20"/>
        </w:rPr>
        <w:t xml:space="preserve"> </w:t>
      </w:r>
      <w:r w:rsidR="00167941">
        <w:rPr>
          <w:rFonts w:ascii="Times New Roman" w:hAnsi="Times New Roman"/>
          <w:sz w:val="20"/>
          <w:szCs w:val="20"/>
        </w:rPr>
        <w:t xml:space="preserve">As </w:t>
      </w:r>
      <w:r w:rsidR="00403A75" w:rsidRPr="004D19FF">
        <w:rPr>
          <w:rFonts w:ascii="Times New Roman" w:hAnsi="Times New Roman"/>
          <w:sz w:val="20"/>
          <w:szCs w:val="20"/>
        </w:rPr>
        <w:t xml:space="preserve">AC power is </w:t>
      </w:r>
      <w:r w:rsidR="00167941">
        <w:rPr>
          <w:rFonts w:ascii="Times New Roman" w:hAnsi="Times New Roman"/>
          <w:sz w:val="20"/>
          <w:szCs w:val="20"/>
        </w:rPr>
        <w:t xml:space="preserve">required for most </w:t>
      </w:r>
      <w:r w:rsidR="006B63AD">
        <w:rPr>
          <w:rFonts w:ascii="Times New Roman" w:hAnsi="Times New Roman"/>
          <w:sz w:val="20"/>
          <w:szCs w:val="20"/>
        </w:rPr>
        <w:t xml:space="preserve">of the </w:t>
      </w:r>
      <w:r w:rsidR="00403A75" w:rsidRPr="004D19FF">
        <w:rPr>
          <w:rFonts w:ascii="Times New Roman" w:hAnsi="Times New Roman"/>
          <w:sz w:val="20"/>
          <w:szCs w:val="20"/>
        </w:rPr>
        <w:t xml:space="preserve">electric motors </w:t>
      </w:r>
      <w:r w:rsidR="00167941">
        <w:rPr>
          <w:rFonts w:ascii="Times New Roman" w:hAnsi="Times New Roman"/>
          <w:sz w:val="20"/>
          <w:szCs w:val="20"/>
        </w:rPr>
        <w:t xml:space="preserve">that can be used </w:t>
      </w:r>
      <w:r w:rsidR="00403A75" w:rsidRPr="004D19FF">
        <w:rPr>
          <w:rFonts w:ascii="Times New Roman" w:hAnsi="Times New Roman"/>
          <w:sz w:val="20"/>
          <w:szCs w:val="20"/>
        </w:rPr>
        <w:t xml:space="preserve">in </w:t>
      </w:r>
      <w:r w:rsidR="0085698F" w:rsidRPr="004D19FF">
        <w:rPr>
          <w:rFonts w:ascii="Times New Roman" w:hAnsi="Times New Roman"/>
          <w:sz w:val="20"/>
          <w:szCs w:val="20"/>
        </w:rPr>
        <w:t>aviation</w:t>
      </w:r>
      <w:r w:rsidR="00167941">
        <w:rPr>
          <w:rFonts w:ascii="Times New Roman" w:hAnsi="Times New Roman"/>
          <w:sz w:val="20"/>
          <w:szCs w:val="20"/>
        </w:rPr>
        <w:t>, converters are</w:t>
      </w:r>
      <w:r w:rsidR="00403A75" w:rsidRPr="004D19FF">
        <w:rPr>
          <w:rFonts w:ascii="Times New Roman" w:hAnsi="Times New Roman"/>
          <w:sz w:val="20"/>
          <w:szCs w:val="20"/>
        </w:rPr>
        <w:t xml:space="preserve"> </w:t>
      </w:r>
      <w:r w:rsidR="00721029" w:rsidRPr="004D19FF">
        <w:rPr>
          <w:rFonts w:ascii="Times New Roman" w:hAnsi="Times New Roman"/>
          <w:sz w:val="20"/>
          <w:szCs w:val="20"/>
        </w:rPr>
        <w:t>required</w:t>
      </w:r>
      <w:r w:rsidR="00403A75" w:rsidRPr="004D19FF">
        <w:rPr>
          <w:rFonts w:ascii="Times New Roman" w:hAnsi="Times New Roman"/>
          <w:sz w:val="20"/>
          <w:szCs w:val="20"/>
        </w:rPr>
        <w:t xml:space="preserve"> </w:t>
      </w:r>
      <w:r w:rsidR="00A909E3" w:rsidRPr="005234C2">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8ufG3K9M","properties":{"formattedCitation":"[199]","plainCitation":"[199]","noteIndex":0},"citationItems":[{"id":"968HXJ10/obSwVbZZ","uris":["http://www.mendeley.com/documents/?uuid=1c9532ea-5e3e-4caa-a6ca-3ede3b626345"],"uri":["http://www.mendeley.com/documents/?uuid=1c9532ea-5e3e-4caa-a6ca-3ede3b626345"],"itemData":{"author":[{"dropping-particle":"","family":"Modular Approach to Hybrid Electric Propulsion Architecture (MAHEPA)","given":"","non-dropping-particle":"","parse-names":false,"suffix":""}],"container-title":"Modular Approach to Hybrid Electric Propulsion Architecture (MAHEPA)","id":"ITEM-1","issued":{"date-parts":[["2017"]]},"number-of-pages":"1-87","title":"D1 . 1 : Concept of Modular Architecture for Hybrid Electric Propulsion of Aircraft December , 2017","type":"report"}}],"schema":"https://github.com/citation-style-language/schema/raw/master/csl-citation.json"} </w:instrText>
      </w:r>
      <w:r w:rsidR="00A909E3" w:rsidRPr="005234C2">
        <w:rPr>
          <w:rFonts w:ascii="Times New Roman" w:hAnsi="Times New Roman"/>
          <w:sz w:val="20"/>
          <w:szCs w:val="20"/>
        </w:rPr>
        <w:fldChar w:fldCharType="separate"/>
      </w:r>
      <w:r w:rsidR="005D3B73" w:rsidRPr="005D3B73">
        <w:rPr>
          <w:rFonts w:ascii="Times New Roman" w:hAnsi="Times New Roman" w:cs="Times New Roman"/>
          <w:sz w:val="20"/>
        </w:rPr>
        <w:t>[199]</w:t>
      </w:r>
      <w:r w:rsidR="00A909E3" w:rsidRPr="005234C2">
        <w:rPr>
          <w:rFonts w:ascii="Times New Roman" w:hAnsi="Times New Roman"/>
          <w:sz w:val="20"/>
          <w:szCs w:val="20"/>
        </w:rPr>
        <w:fldChar w:fldCharType="end"/>
      </w:r>
      <w:r w:rsidR="00403A75" w:rsidRPr="005234C2">
        <w:rPr>
          <w:rFonts w:ascii="Times New Roman" w:hAnsi="Times New Roman"/>
          <w:sz w:val="20"/>
          <w:szCs w:val="20"/>
        </w:rPr>
        <w:t>.</w:t>
      </w:r>
      <w:r w:rsidR="00403A75" w:rsidRPr="004D19FF">
        <w:rPr>
          <w:rFonts w:ascii="Times New Roman" w:hAnsi="Times New Roman"/>
          <w:sz w:val="20"/>
          <w:szCs w:val="20"/>
        </w:rPr>
        <w:t xml:space="preserve"> </w:t>
      </w:r>
      <w:r w:rsidR="00167941">
        <w:rPr>
          <w:rFonts w:ascii="Times New Roman" w:hAnsi="Times New Roman"/>
          <w:sz w:val="20"/>
          <w:szCs w:val="20"/>
        </w:rPr>
        <w:t>The p</w:t>
      </w:r>
      <w:r w:rsidR="00FB6D18" w:rsidRPr="004D19FF">
        <w:rPr>
          <w:rFonts w:ascii="Times New Roman" w:hAnsi="Times New Roman"/>
          <w:sz w:val="20"/>
          <w:szCs w:val="20"/>
        </w:rPr>
        <w:t>arallel and</w:t>
      </w:r>
      <w:r w:rsidR="004725E2" w:rsidRPr="004D19FF">
        <w:rPr>
          <w:rFonts w:ascii="Times New Roman" w:hAnsi="Times New Roman"/>
          <w:sz w:val="20"/>
          <w:szCs w:val="20"/>
        </w:rPr>
        <w:t xml:space="preserve"> </w:t>
      </w:r>
      <w:r w:rsidR="0092213D" w:rsidRPr="004D19FF">
        <w:rPr>
          <w:rFonts w:ascii="Times New Roman" w:hAnsi="Times New Roman"/>
          <w:sz w:val="20"/>
          <w:szCs w:val="20"/>
        </w:rPr>
        <w:t>ser</w:t>
      </w:r>
      <w:r w:rsidR="00905414" w:rsidRPr="004D19FF">
        <w:rPr>
          <w:rFonts w:ascii="Times New Roman" w:hAnsi="Times New Roman"/>
          <w:sz w:val="20"/>
          <w:szCs w:val="20"/>
        </w:rPr>
        <w:t xml:space="preserve">ies hybrid electric </w:t>
      </w:r>
      <w:r w:rsidR="00DF5D32" w:rsidRPr="004D19FF">
        <w:rPr>
          <w:rFonts w:ascii="Times New Roman" w:hAnsi="Times New Roman"/>
          <w:sz w:val="20"/>
          <w:szCs w:val="20"/>
        </w:rPr>
        <w:t xml:space="preserve">concepts </w:t>
      </w:r>
      <w:r w:rsidR="00036292" w:rsidRPr="004D19FF">
        <w:rPr>
          <w:rFonts w:ascii="Times New Roman" w:hAnsi="Times New Roman"/>
          <w:sz w:val="20"/>
          <w:szCs w:val="20"/>
        </w:rPr>
        <w:t xml:space="preserve">are </w:t>
      </w:r>
      <w:r w:rsidR="006B63AD">
        <w:rPr>
          <w:rFonts w:ascii="Times New Roman" w:hAnsi="Times New Roman"/>
          <w:sz w:val="20"/>
          <w:szCs w:val="20"/>
        </w:rPr>
        <w:t xml:space="preserve">the </w:t>
      </w:r>
      <w:r w:rsidR="00036292" w:rsidRPr="004D19FF">
        <w:rPr>
          <w:rFonts w:ascii="Times New Roman" w:hAnsi="Times New Roman"/>
          <w:sz w:val="20"/>
          <w:szCs w:val="20"/>
        </w:rPr>
        <w:t>two</w:t>
      </w:r>
      <w:r w:rsidR="006B63AD">
        <w:rPr>
          <w:rFonts w:ascii="Times New Roman" w:hAnsi="Times New Roman"/>
          <w:sz w:val="20"/>
          <w:szCs w:val="20"/>
        </w:rPr>
        <w:t xml:space="preserve"> main</w:t>
      </w:r>
      <w:r w:rsidR="00036292" w:rsidRPr="004D19FF">
        <w:rPr>
          <w:rFonts w:ascii="Times New Roman" w:hAnsi="Times New Roman"/>
          <w:sz w:val="20"/>
          <w:szCs w:val="20"/>
        </w:rPr>
        <w:t xml:space="preserve"> configuration</w:t>
      </w:r>
      <w:r w:rsidR="00167941">
        <w:rPr>
          <w:rFonts w:ascii="Times New Roman" w:hAnsi="Times New Roman"/>
          <w:sz w:val="20"/>
          <w:szCs w:val="20"/>
        </w:rPr>
        <w:t>s that have been tested</w:t>
      </w:r>
      <w:r w:rsidR="00036292" w:rsidRPr="004D19FF">
        <w:rPr>
          <w:rFonts w:ascii="Times New Roman" w:hAnsi="Times New Roman"/>
          <w:sz w:val="20"/>
          <w:szCs w:val="20"/>
        </w:rPr>
        <w:t xml:space="preserve"> (Figs. 1</w:t>
      </w:r>
      <w:r w:rsidR="008C4535" w:rsidRPr="004D19FF">
        <w:rPr>
          <w:rFonts w:ascii="Times New Roman" w:hAnsi="Times New Roman"/>
          <w:sz w:val="20"/>
          <w:szCs w:val="20"/>
        </w:rPr>
        <w:t>3</w:t>
      </w:r>
      <w:r w:rsidR="00403A45" w:rsidRPr="004D19FF">
        <w:rPr>
          <w:rFonts w:ascii="Times New Roman" w:hAnsi="Times New Roman"/>
          <w:sz w:val="20"/>
          <w:szCs w:val="20"/>
        </w:rPr>
        <w:t xml:space="preserve">a and </w:t>
      </w:r>
      <w:r w:rsidR="00036292" w:rsidRPr="004D19FF">
        <w:rPr>
          <w:rFonts w:ascii="Times New Roman" w:hAnsi="Times New Roman"/>
          <w:sz w:val="20"/>
          <w:szCs w:val="20"/>
        </w:rPr>
        <w:t>b), however</w:t>
      </w:r>
      <w:r w:rsidR="00167941">
        <w:rPr>
          <w:rFonts w:ascii="Times New Roman" w:hAnsi="Times New Roman"/>
          <w:sz w:val="20"/>
          <w:szCs w:val="20"/>
        </w:rPr>
        <w:t>, a series-hybrid scheme has</w:t>
      </w:r>
      <w:r w:rsidR="00571EED" w:rsidRPr="004D19FF">
        <w:rPr>
          <w:rFonts w:ascii="Times New Roman" w:hAnsi="Times New Roman"/>
          <w:sz w:val="20"/>
          <w:szCs w:val="20"/>
        </w:rPr>
        <w:t xml:space="preserve"> also </w:t>
      </w:r>
      <w:r w:rsidR="00167941">
        <w:rPr>
          <w:rFonts w:ascii="Times New Roman" w:hAnsi="Times New Roman"/>
          <w:sz w:val="20"/>
          <w:szCs w:val="20"/>
        </w:rPr>
        <w:t xml:space="preserve">been </w:t>
      </w:r>
      <w:r w:rsidR="00571EED" w:rsidRPr="004D19FF">
        <w:rPr>
          <w:rFonts w:ascii="Times New Roman" w:hAnsi="Times New Roman"/>
          <w:sz w:val="20"/>
          <w:szCs w:val="20"/>
        </w:rPr>
        <w:t>demonstrated</w:t>
      </w:r>
      <w:r w:rsidR="00085B5C" w:rsidRPr="004D19FF">
        <w:rPr>
          <w:rFonts w:ascii="Times New Roman" w:hAnsi="Times New Roman"/>
          <w:sz w:val="20"/>
          <w:szCs w:val="20"/>
        </w:rPr>
        <w:t xml:space="preserve"> (not depicted</w:t>
      </w:r>
      <w:r w:rsidR="00167941">
        <w:rPr>
          <w:rFonts w:ascii="Times New Roman" w:hAnsi="Times New Roman"/>
          <w:sz w:val="20"/>
          <w:szCs w:val="20"/>
        </w:rPr>
        <w:t xml:space="preserve"> in Fig. 13</w:t>
      </w:r>
      <w:r w:rsidR="00085B5C" w:rsidRPr="004D19FF">
        <w:rPr>
          <w:rFonts w:ascii="Times New Roman" w:hAnsi="Times New Roman"/>
          <w:sz w:val="20"/>
          <w:szCs w:val="20"/>
        </w:rPr>
        <w:t>)</w:t>
      </w:r>
      <w:r w:rsidR="00571EED" w:rsidRPr="004D19FF">
        <w:rPr>
          <w:rFonts w:ascii="Times New Roman" w:hAnsi="Times New Roman"/>
          <w:sz w:val="20"/>
          <w:szCs w:val="20"/>
        </w:rPr>
        <w:t xml:space="preserve"> </w:t>
      </w:r>
      <w:r w:rsidR="00A909E3"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7F76r2U","properties":{"formattedCitation":"[199,200]","plainCitation":"[199,200]","noteIndex":0},"citationItems":[{"id":"968HXJ10/HqqdtH9y","uris":["http://www.mendeley.com/documents/?uuid=1b3878c0-83bb-49ec-8eb1-ac0ebcccddbe"],"uri":["http://www.mendeley.com/documents/?uuid=1b3878c0-83bb-49ec-8eb1-ac0ebcccddbe"],"itemData":{"DOI":"10.1016/j.cja.2020.07.017","ISSN":"10009361","author":[{"dropping-particle":"","family":"XIE","given":"Ye","non-dropping-particle":"","parse-names":false,"suffix":""},{"dropping-particle":"","family":"SAVVARISAL","given":"","non-dropping-particle":"","parse-names":false,"suffix":""},{"dropping-particle":"","family":"ANTONIOS","given":"Tsourdos","non-dropping-particle":"","parse-names":false,"suffix":""},{"dropping-particle":"","family":"DAN","given":"Zhang","non-dropping-particle":"","parse-names":false,"suffix":""},{"dropping-particle":"","family":"JASON","given":"Gu","non-dropping-particle":"","parse-names":false,"suffix":""}],"container-title":"Chinese Journal of Aeronautics","id":"ITEM-1","issue":"August","issued":{"date-parts":[["2020"]]},"publisher":"Chinese Society of Aeronautics and Astronautics","title":"Review of hybrid electric powered aircraft, its conceptual design and energy management methodologies","type":"article-journal"}},{"id":"968HXJ10/obSwVbZZ","uris":["http://www.mendeley.com/documents/?uuid=1c9532ea-5e3e-4caa-a6ca-3ede3b626345"],"uri":["http://www.mendeley.com/documents/?uuid=1c9532ea-5e3e-4caa-a6ca-3ede3b626345"],"itemData":{"author":[{"dropping-particle":"","family":"Modular Approach to Hybrid Electric Propulsion Architecture (MAHEPA)","given":"","non-dropping-particle":"","parse-names":false,"suffix":""}],"container-title":"Modular Approach to Hybrid Electric Propulsion Architecture (MAHEPA)","id":"ITEM-2","issued":{"date-parts":[["2017"]]},"number-of-pages":"1-87","title":"D1 . 1 : Concept of Modular Architecture for Hybrid Electric Propulsion of Aircraft December , 2017","type":"report"}}],"schema":"https://github.com/citation-style-language/schema/raw/master/csl-citation.json"} </w:instrText>
      </w:r>
      <w:r w:rsidR="00A909E3" w:rsidRPr="004D19FF">
        <w:rPr>
          <w:rFonts w:ascii="Times New Roman" w:hAnsi="Times New Roman"/>
          <w:sz w:val="20"/>
          <w:szCs w:val="20"/>
        </w:rPr>
        <w:fldChar w:fldCharType="separate"/>
      </w:r>
      <w:r w:rsidR="005D3B73" w:rsidRPr="005D3B73">
        <w:rPr>
          <w:rFonts w:ascii="Times New Roman" w:hAnsi="Times New Roman" w:cs="Times New Roman"/>
          <w:sz w:val="20"/>
        </w:rPr>
        <w:t>[199,200]</w:t>
      </w:r>
      <w:r w:rsidR="00A909E3" w:rsidRPr="004D19FF">
        <w:rPr>
          <w:rFonts w:ascii="Times New Roman" w:hAnsi="Times New Roman"/>
          <w:sz w:val="20"/>
          <w:szCs w:val="20"/>
        </w:rPr>
        <w:fldChar w:fldCharType="end"/>
      </w:r>
      <w:r w:rsidR="0092213D" w:rsidRPr="004D19FF">
        <w:rPr>
          <w:rFonts w:ascii="Times New Roman" w:hAnsi="Times New Roman"/>
          <w:sz w:val="20"/>
          <w:szCs w:val="20"/>
        </w:rPr>
        <w:t xml:space="preserve">. </w:t>
      </w:r>
      <w:r w:rsidR="00167941">
        <w:rPr>
          <w:rFonts w:ascii="Times New Roman" w:hAnsi="Times New Roman"/>
          <w:sz w:val="20"/>
          <w:szCs w:val="20"/>
        </w:rPr>
        <w:t xml:space="preserve">The parallel electric hybrid configuration (Fig. 13a) involves </w:t>
      </w:r>
      <w:r w:rsidR="00E827CA" w:rsidRPr="004D19FF">
        <w:rPr>
          <w:rFonts w:ascii="Times New Roman" w:hAnsi="Times New Roman"/>
          <w:sz w:val="20"/>
          <w:szCs w:val="20"/>
        </w:rPr>
        <w:t>two power outputs</w:t>
      </w:r>
      <w:r w:rsidR="00580C41" w:rsidRPr="004D19FF">
        <w:rPr>
          <w:rFonts w:ascii="Times New Roman" w:hAnsi="Times New Roman"/>
          <w:sz w:val="20"/>
          <w:szCs w:val="20"/>
        </w:rPr>
        <w:t xml:space="preserve">, </w:t>
      </w:r>
      <w:r w:rsidR="00167941">
        <w:rPr>
          <w:rFonts w:ascii="Times New Roman" w:hAnsi="Times New Roman"/>
          <w:sz w:val="20"/>
          <w:szCs w:val="20"/>
        </w:rPr>
        <w:t>hence a</w:t>
      </w:r>
      <w:r w:rsidR="00580C41" w:rsidRPr="004D19FF">
        <w:rPr>
          <w:rFonts w:ascii="Times New Roman" w:hAnsi="Times New Roman"/>
          <w:sz w:val="20"/>
          <w:szCs w:val="20"/>
        </w:rPr>
        <w:t xml:space="preserve"> m</w:t>
      </w:r>
      <w:r w:rsidR="00995A10" w:rsidRPr="004D19FF">
        <w:rPr>
          <w:rFonts w:ascii="Times New Roman" w:hAnsi="Times New Roman"/>
          <w:sz w:val="20"/>
          <w:szCs w:val="20"/>
        </w:rPr>
        <w:t xml:space="preserve">echanical transmission </w:t>
      </w:r>
      <w:r w:rsidR="00167941">
        <w:rPr>
          <w:rFonts w:ascii="Times New Roman" w:hAnsi="Times New Roman"/>
          <w:sz w:val="20"/>
          <w:szCs w:val="20"/>
        </w:rPr>
        <w:t xml:space="preserve">(typically </w:t>
      </w:r>
      <w:r w:rsidR="00524AB0" w:rsidRPr="004D19FF">
        <w:rPr>
          <w:rFonts w:ascii="Times New Roman" w:hAnsi="Times New Roman"/>
          <w:sz w:val="20"/>
          <w:szCs w:val="20"/>
        </w:rPr>
        <w:t>gearbox</w:t>
      </w:r>
      <w:r w:rsidR="00167941">
        <w:rPr>
          <w:rFonts w:ascii="Times New Roman" w:hAnsi="Times New Roman"/>
          <w:sz w:val="20"/>
          <w:szCs w:val="20"/>
        </w:rPr>
        <w:t>)</w:t>
      </w:r>
      <w:r w:rsidR="00524AB0" w:rsidRPr="004D19FF">
        <w:rPr>
          <w:rFonts w:ascii="Times New Roman" w:hAnsi="Times New Roman"/>
          <w:sz w:val="20"/>
          <w:szCs w:val="20"/>
        </w:rPr>
        <w:t xml:space="preserve"> is</w:t>
      </w:r>
      <w:r w:rsidR="00A54082" w:rsidRPr="004D19FF">
        <w:rPr>
          <w:rFonts w:ascii="Times New Roman" w:hAnsi="Times New Roman"/>
          <w:sz w:val="20"/>
          <w:szCs w:val="20"/>
        </w:rPr>
        <w:t xml:space="preserve"> </w:t>
      </w:r>
      <w:r w:rsidR="0065629B" w:rsidRPr="004D19FF">
        <w:rPr>
          <w:rFonts w:ascii="Times New Roman" w:hAnsi="Times New Roman"/>
          <w:sz w:val="20"/>
          <w:szCs w:val="20"/>
        </w:rPr>
        <w:t>required</w:t>
      </w:r>
      <w:r w:rsidR="00A54082" w:rsidRPr="004D19FF">
        <w:rPr>
          <w:rFonts w:ascii="Times New Roman" w:hAnsi="Times New Roman"/>
          <w:sz w:val="20"/>
          <w:szCs w:val="20"/>
        </w:rPr>
        <w:t xml:space="preserve"> to </w:t>
      </w:r>
      <w:r w:rsidR="00632143" w:rsidRPr="004D19FF">
        <w:rPr>
          <w:rFonts w:ascii="Times New Roman" w:hAnsi="Times New Roman"/>
          <w:sz w:val="20"/>
          <w:szCs w:val="20"/>
        </w:rPr>
        <w:t>integrate</w:t>
      </w:r>
      <w:r w:rsidR="00A54082" w:rsidRPr="004D19FF">
        <w:rPr>
          <w:rFonts w:ascii="Times New Roman" w:hAnsi="Times New Roman"/>
          <w:sz w:val="20"/>
          <w:szCs w:val="20"/>
        </w:rPr>
        <w:t xml:space="preserve"> </w:t>
      </w:r>
      <w:r w:rsidR="004C4637" w:rsidRPr="004D19FF">
        <w:rPr>
          <w:rFonts w:ascii="Times New Roman" w:hAnsi="Times New Roman"/>
          <w:sz w:val="20"/>
          <w:szCs w:val="20"/>
        </w:rPr>
        <w:t xml:space="preserve">and control </w:t>
      </w:r>
      <w:r w:rsidR="00167941">
        <w:rPr>
          <w:rFonts w:ascii="Times New Roman" w:hAnsi="Times New Roman"/>
          <w:sz w:val="20"/>
          <w:szCs w:val="20"/>
        </w:rPr>
        <w:t xml:space="preserve">these two </w:t>
      </w:r>
      <w:r w:rsidR="00A54082" w:rsidRPr="004D19FF">
        <w:rPr>
          <w:rFonts w:ascii="Times New Roman" w:hAnsi="Times New Roman"/>
          <w:sz w:val="20"/>
          <w:szCs w:val="20"/>
        </w:rPr>
        <w:t>mechanical power</w:t>
      </w:r>
      <w:r w:rsidR="00167941">
        <w:rPr>
          <w:rFonts w:ascii="Times New Roman" w:hAnsi="Times New Roman"/>
          <w:sz w:val="20"/>
          <w:szCs w:val="20"/>
        </w:rPr>
        <w:t xml:space="preserve"> sources</w:t>
      </w:r>
      <w:r w:rsidR="00A54082" w:rsidRPr="004D19FF">
        <w:rPr>
          <w:rFonts w:ascii="Times New Roman" w:hAnsi="Times New Roman"/>
          <w:sz w:val="20"/>
          <w:szCs w:val="20"/>
        </w:rPr>
        <w:t xml:space="preserve"> </w:t>
      </w:r>
      <w:r w:rsidR="00F6790C">
        <w:rPr>
          <w:rFonts w:ascii="Times New Roman" w:hAnsi="Times New Roman"/>
          <w:sz w:val="20"/>
          <w:szCs w:val="20"/>
        </w:rPr>
        <w:t xml:space="preserve">prior to the </w:t>
      </w:r>
      <w:r w:rsidR="00D706FB" w:rsidRPr="004D19FF">
        <w:rPr>
          <w:rFonts w:ascii="Times New Roman" w:hAnsi="Times New Roman"/>
          <w:sz w:val="20"/>
          <w:szCs w:val="20"/>
        </w:rPr>
        <w:t xml:space="preserve">propeller </w:t>
      </w:r>
      <w:r w:rsidR="00BE00D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oA7HRCdC","properties":{"formattedCitation":"[199,201,202]","plainCitation":"[199,201,202]","noteIndex":0},"citationItems":[{"id":"968HXJ10/0clKpHtN","uris":["http://www.mendeley.com/documents/?uuid=92660d3e-5c75-4fba-acfa-1bc5cc45fdbc"],"uri":["http://www.mendeley.com/documents/?uuid=92660d3e-5c75-4fba-acfa-1bc5cc45fdbc"],"itemData":{"DOI":"10.3390/AEROSPACE6070077","ISSN":"22264310","abstract":"The article proposes the design of a test bench simulator to test a parallel hybrid propulsion architecture for aeronautical applications. The virtual test bench simulates, in a scaled version, the real test bench, designed for a power of about 0.4 MW. After presenting the architecture of the real propulsion system, the virtual test bench is described. The real system is basically composed by a paralleled electric motor and thermal engine which provide mechanical power to the propeller. Saving cost and volume the test bench is composed by electric motors simulates the behaviors of the real propulsion system despite their differences. The dynamic relationships expressing the transmission of torque between the components, and the method of down-sizing the power delivered are highlighted. Particular attention is given to the real inertia actions that must be simulated on the virtual test bench. An application of the proposed methodology is then presented through the simulation of the take-off phase, and the torque time histories, angular velocities and powers generated on the virtual test bench are used to verify the corresponding time histories expected in the real system.","author":[{"dropping-particle":"","family":"Boggero","given":"Luca","non-dropping-particle":"","parse-names":false,"suffix":""},{"dropping-particle":"","family":"Corpino","given":"Sabrina","non-dropping-particle":"","parse-names":false,"suffix":""},{"dropping-particle":"","family":"Martin","given":"Andrea","non-dropping-particle":"De","parse-names":false,"suffix":""},{"dropping-particle":"","family":"Evangelista","given":"Giuseppe","non-dropping-particle":"","parse-names":false,"suffix":""},{"dropping-particle":"","family":"Fioriti","given":"Marco","non-dropping-particle":"","parse-names":false,"suffix":""},{"dropping-particle":"","family":"Sorli","given":"Massimo","non-dropping-particle":"","parse-names":false,"suffix":""}],"container-title":"Aerospace","id":"ITEM-1","issue":"7","issued":{"date-parts":[["2019"]]},"title":"A virtual test bench of a parallel hybrid propulsion system for UAVs","type":"article-journal","volume":"6"}},{"id":"968HXJ10/bilQGHBq","uris":["http://www.mendeley.com/documents/?uuid=b0195203-659c-490a-b168-f8531bdfef61"],"uri":["http://www.mendeley.com/documents/?uuid=b0195203-659c-490a-b168-f8531bdfef61"],"itemData":{"DOI":"10.3390/app9081538","ISBN":"8862277121","ISSN":"20763417","abstract":"This study investigated the matching designs between a power integration mechanism (PIM) and transmission system for single-motor parallel hybrid electric vehicles. The optimal matching design may lead to optimal efficiency and performance in parallel hybrid vehicles. The Simulink/Simscape environment is used to model the powertrain system of parallel hybrid electric vehicles, which the characteristics of the PIM, location of the gearbox at the driveline, and design of the gear ratio of a gearbox influenced. The matching design principles for torque-coupled-type PIM (TC-PIM) parameters and the location of the gearbox are based on the speed range of the electric motor and the internal combustion engine. The parameters of the TC-PIM (i.e., k1 and k2) are based on the k ratio theory. Numerical simulations of an extra-urban driving cycle and acceleration tests reveal that a higher kratio has greater improved power-assist ability under a pre-transmission architecture. For example, a kratio of 1.6 can improve the power-assist ability by 8.5% when compared with a kratio of 1. By using an appropriate gear ratio and kratio, the top speed of a hybrid electric vehicle is enhanced by 9.3%.","author":[{"dropping-particle":"","family":"Chen","given":"Po Tuan","non-dropping-particle":"","parse-names":false,"suffix":""},{"dropping-particle":"","family":"Pai","given":"Ping Hao","non-dropping-particle":"","parse-names":false,"suffix":""},{"dropping-particle":"","family":"Yang","given":"Cheng Jung","non-dropping-particle":"","parse-names":false,"suffix":""},{"dropping-particle":"","family":"Huang","given":"K. David","non-dropping-particle":"","parse-names":false,"suffix":""}],"container-title":"Applied Sciences (Switzerland)","id":"ITEM-2","issue":"8","issued":{"date-parts":[["2019"]]},"title":"Development of transmission systems for parallel hybrid electric vehicles","type":"article-journal","volume":"9"}},{"id":"968HXJ10/obSwVbZZ","uris":["http://www.mendeley.com/documents/?uuid=1c9532ea-5e3e-4caa-a6ca-3ede3b626345"],"uri":["http://www.mendeley.com/documents/?uuid=1c9532ea-5e3e-4caa-a6ca-3ede3b626345"],"itemData":{"author":[{"dropping-particle":"","family":"Modular Approach to Hybrid Electric Propulsion Architecture (MAHEPA)","given":"","non-dropping-particle":"","parse-names":false,"suffix":""}],"container-title":"Modular Approach to Hybrid Electric Propulsion Architecture (MAHEPA)","id":"ITEM-3","issued":{"date-parts":[["2017"]]},"number-of-pages":"1-87","title":"D1 . 1 : Concept of Modular Architecture for Hybrid Electric Propulsion of Aircraft December , 2017","type":"report"}}],"schema":"https://github.com/citation-style-language/schema/raw/master/csl-citation.json"} </w:instrText>
      </w:r>
      <w:r w:rsidR="00BE00DA" w:rsidRPr="004D19FF">
        <w:rPr>
          <w:rFonts w:ascii="Times New Roman" w:hAnsi="Times New Roman"/>
          <w:sz w:val="20"/>
          <w:szCs w:val="20"/>
        </w:rPr>
        <w:fldChar w:fldCharType="separate"/>
      </w:r>
      <w:r w:rsidR="005D3B73" w:rsidRPr="005D3B73">
        <w:rPr>
          <w:rFonts w:ascii="Times New Roman" w:hAnsi="Times New Roman" w:cs="Times New Roman"/>
          <w:sz w:val="20"/>
        </w:rPr>
        <w:t>[199,201,202]</w:t>
      </w:r>
      <w:r w:rsidR="00BE00DA" w:rsidRPr="004D19FF">
        <w:rPr>
          <w:rFonts w:ascii="Times New Roman" w:hAnsi="Times New Roman"/>
          <w:sz w:val="20"/>
          <w:szCs w:val="20"/>
        </w:rPr>
        <w:fldChar w:fldCharType="end"/>
      </w:r>
      <w:r w:rsidR="00A54082" w:rsidRPr="004D19FF">
        <w:rPr>
          <w:rFonts w:ascii="Times New Roman" w:hAnsi="Times New Roman"/>
          <w:sz w:val="20"/>
          <w:szCs w:val="20"/>
        </w:rPr>
        <w:t xml:space="preserve">. </w:t>
      </w:r>
      <w:r w:rsidR="00167941">
        <w:rPr>
          <w:rFonts w:ascii="Times New Roman" w:hAnsi="Times New Roman"/>
          <w:sz w:val="20"/>
          <w:szCs w:val="20"/>
        </w:rPr>
        <w:t xml:space="preserve">In the series electric hybrid configuration, </w:t>
      </w:r>
      <w:r w:rsidR="0092213D" w:rsidRPr="004D19FF">
        <w:rPr>
          <w:rFonts w:ascii="Times New Roman" w:hAnsi="Times New Roman"/>
          <w:sz w:val="20"/>
          <w:szCs w:val="20"/>
        </w:rPr>
        <w:t>the generator</w:t>
      </w:r>
      <w:r w:rsidR="003E1AB1" w:rsidRPr="004D19FF">
        <w:rPr>
          <w:rFonts w:ascii="Times New Roman" w:hAnsi="Times New Roman"/>
          <w:sz w:val="20"/>
          <w:szCs w:val="20"/>
        </w:rPr>
        <w:t xml:space="preserve"> powered by the gas turbine</w:t>
      </w:r>
      <w:r w:rsidR="0092213D" w:rsidRPr="004D19FF">
        <w:rPr>
          <w:rFonts w:ascii="Times New Roman" w:hAnsi="Times New Roman"/>
          <w:sz w:val="20"/>
          <w:szCs w:val="20"/>
        </w:rPr>
        <w:t xml:space="preserve"> </w:t>
      </w:r>
      <w:r w:rsidR="00167941">
        <w:rPr>
          <w:rFonts w:ascii="Times New Roman" w:hAnsi="Times New Roman"/>
          <w:sz w:val="20"/>
          <w:szCs w:val="20"/>
        </w:rPr>
        <w:t>produces both</w:t>
      </w:r>
      <w:r w:rsidR="0085698F" w:rsidRPr="004D19FF">
        <w:rPr>
          <w:rFonts w:ascii="Times New Roman" w:hAnsi="Times New Roman"/>
          <w:sz w:val="20"/>
          <w:szCs w:val="20"/>
        </w:rPr>
        <w:t xml:space="preserve"> electricity for</w:t>
      </w:r>
      <w:r w:rsidR="0092213D" w:rsidRPr="004D19FF">
        <w:rPr>
          <w:rFonts w:ascii="Times New Roman" w:hAnsi="Times New Roman"/>
          <w:sz w:val="20"/>
          <w:szCs w:val="20"/>
        </w:rPr>
        <w:t xml:space="preserve"> </w:t>
      </w:r>
      <w:r w:rsidR="00167941">
        <w:rPr>
          <w:rFonts w:ascii="Times New Roman" w:hAnsi="Times New Roman"/>
          <w:sz w:val="20"/>
          <w:szCs w:val="20"/>
        </w:rPr>
        <w:t xml:space="preserve">the </w:t>
      </w:r>
      <w:r w:rsidR="0092213D" w:rsidRPr="004D19FF">
        <w:rPr>
          <w:rFonts w:ascii="Times New Roman" w:hAnsi="Times New Roman"/>
          <w:sz w:val="20"/>
          <w:szCs w:val="20"/>
        </w:rPr>
        <w:t xml:space="preserve">electric motor(s) </w:t>
      </w:r>
      <w:r w:rsidR="00167941">
        <w:rPr>
          <w:rFonts w:ascii="Times New Roman" w:hAnsi="Times New Roman"/>
          <w:sz w:val="20"/>
          <w:szCs w:val="20"/>
        </w:rPr>
        <w:t>which is</w:t>
      </w:r>
      <w:r w:rsidR="00CB13E2" w:rsidRPr="004D19FF">
        <w:rPr>
          <w:rFonts w:ascii="Times New Roman" w:hAnsi="Times New Roman"/>
          <w:sz w:val="20"/>
          <w:szCs w:val="20"/>
        </w:rPr>
        <w:t xml:space="preserve"> </w:t>
      </w:r>
      <w:r w:rsidR="00355600" w:rsidRPr="004D19FF">
        <w:rPr>
          <w:rFonts w:ascii="Times New Roman" w:hAnsi="Times New Roman"/>
          <w:sz w:val="20"/>
          <w:szCs w:val="20"/>
        </w:rPr>
        <w:t>directly linked to the propeller</w:t>
      </w:r>
      <w:r w:rsidR="00DC55AA" w:rsidRPr="004D19FF">
        <w:rPr>
          <w:rFonts w:ascii="Times New Roman" w:hAnsi="Times New Roman"/>
          <w:sz w:val="20"/>
          <w:szCs w:val="20"/>
        </w:rPr>
        <w:t xml:space="preserve"> (H</w:t>
      </w:r>
      <w:r w:rsidR="00DC55AA" w:rsidRPr="004D19FF">
        <w:rPr>
          <w:rFonts w:ascii="Times New Roman" w:hAnsi="Times New Roman"/>
          <w:sz w:val="20"/>
          <w:szCs w:val="20"/>
          <w:vertAlign w:val="subscript"/>
        </w:rPr>
        <w:t>P</w:t>
      </w:r>
      <w:r w:rsidR="00DC55AA" w:rsidRPr="004D19FF">
        <w:rPr>
          <w:rFonts w:ascii="Times New Roman" w:hAnsi="Times New Roman"/>
          <w:sz w:val="20"/>
          <w:szCs w:val="20"/>
        </w:rPr>
        <w:t xml:space="preserve"> = 1)</w:t>
      </w:r>
      <w:r w:rsidR="00B949C3" w:rsidRPr="004D19FF">
        <w:rPr>
          <w:rFonts w:ascii="Times New Roman" w:hAnsi="Times New Roman"/>
          <w:sz w:val="20"/>
          <w:szCs w:val="20"/>
        </w:rPr>
        <w:t xml:space="preserve">, and </w:t>
      </w:r>
      <w:r w:rsidR="0092213D" w:rsidRPr="004D19FF">
        <w:rPr>
          <w:rFonts w:ascii="Times New Roman" w:hAnsi="Times New Roman"/>
          <w:sz w:val="20"/>
          <w:szCs w:val="20"/>
        </w:rPr>
        <w:t>to charge battery on-board</w:t>
      </w:r>
      <w:r w:rsidR="00943F9B" w:rsidRPr="004D19FF">
        <w:rPr>
          <w:rFonts w:ascii="Times New Roman" w:hAnsi="Times New Roman"/>
          <w:sz w:val="20"/>
          <w:szCs w:val="20"/>
        </w:rPr>
        <w:t xml:space="preserve"> </w:t>
      </w:r>
      <w:r w:rsidR="00A402E6" w:rsidRPr="004D19FF">
        <w:rPr>
          <w:rFonts w:ascii="Times New Roman" w:hAnsi="Times New Roman"/>
          <w:sz w:val="20"/>
          <w:szCs w:val="20"/>
        </w:rPr>
        <w:t>(</w:t>
      </w:r>
      <w:r w:rsidR="00421EC2" w:rsidRPr="004D19FF">
        <w:rPr>
          <w:rFonts w:ascii="Times New Roman" w:hAnsi="Times New Roman"/>
          <w:sz w:val="20"/>
          <w:szCs w:val="20"/>
        </w:rPr>
        <w:t xml:space="preserve">0 &lt; </w:t>
      </w:r>
      <w:r w:rsidR="00A402E6" w:rsidRPr="004D19FF">
        <w:rPr>
          <w:rFonts w:ascii="Times New Roman" w:hAnsi="Times New Roman"/>
          <w:sz w:val="20"/>
          <w:szCs w:val="20"/>
        </w:rPr>
        <w:t>H</w:t>
      </w:r>
      <w:r w:rsidR="00A402E6" w:rsidRPr="004D19FF">
        <w:rPr>
          <w:rFonts w:ascii="Times New Roman" w:hAnsi="Times New Roman"/>
          <w:sz w:val="20"/>
          <w:szCs w:val="20"/>
          <w:vertAlign w:val="subscript"/>
        </w:rPr>
        <w:t>E</w:t>
      </w:r>
      <w:r w:rsidR="009A07BF" w:rsidRPr="004D19FF">
        <w:rPr>
          <w:rFonts w:ascii="Times New Roman" w:hAnsi="Times New Roman"/>
          <w:sz w:val="20"/>
          <w:szCs w:val="20"/>
          <w:vertAlign w:val="subscript"/>
        </w:rPr>
        <w:t xml:space="preserve"> </w:t>
      </w:r>
      <w:r w:rsidR="00A402E6" w:rsidRPr="004D19FF">
        <w:rPr>
          <w:rFonts w:ascii="Times New Roman" w:hAnsi="Times New Roman"/>
          <w:sz w:val="20"/>
          <w:szCs w:val="20"/>
        </w:rPr>
        <w:t>&lt;1)</w:t>
      </w:r>
      <w:r w:rsidR="009C7FD2" w:rsidRPr="004D19FF">
        <w:rPr>
          <w:rFonts w:ascii="Times New Roman" w:hAnsi="Times New Roman"/>
          <w:sz w:val="20"/>
          <w:szCs w:val="20"/>
        </w:rPr>
        <w:t xml:space="preserve"> </w:t>
      </w:r>
      <w:r w:rsidR="00BE00D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gIaKD328","properties":{"formattedCitation":"[28,193,203]","plainCitation":"[28,193,203]","noteIndex":0},"citationItems":[{"id":"968HXJ10/mogzrAyf","uris":["http://www.mendeley.com/documents/?uuid=4896ca83-0ae9-498c-85f1-585f74777e4e"],"uri":["http://www.mendeley.com/documents/?uuid=4896ca83-0ae9-498c-85f1-585f74777e4e"],"itemData":{"abstract":"Following the latest aggressive emission and external noise reduction targets set by the aviation industry, there now exists an increasing amount of research and emphasis on changing the propulsion and power systems of aircraft. With the aim of expanding upon the current repository of studies focusing on tightly-coupled and integrated hybrid-electric propulsion systems, a new approach to the preliminary sizing of such systems is introduced herein.The purpose of this approach is to establish a methodology for the fully integrated preliminary sizing of hybrid-electric airplanes. The specificity of the established methodology is its ability to cover a variety of implementations on different hybrid-electric airplanes. Furthermore, a sensitivity study is performed to assess the impact of hybridization ratio on airplane max takeoff weight. Finally, in order to assess its accuracy and validity, due to the lack of data on hybrid-electric airplanes the sizing method was applied to the aircraft chosen as baseline for this study, Pilatus PC-12. The obtained results were compared to the existing set of data on this airplane, and the match between the two was found to be satisfactory. Nomenclature α Loss due to flight conditions η Battery efficiency η b Battery efficiency η EC Energy Conversion efficiency η em Electric motor efficiency η gas Turboshaft efficiency η i Inverted efficiency η P R Propulsion efficiency η p Propeller efficiency η T R Transmission efficiency η w Wire transmission efficiency c b Battery specific energy c p Thermal engine specific fuel consumption g Acceleration of gravity L/D Aircraft glide ratio P elec Electric power P f Fuel power P ins Installed power P p Propeller power P sup Supplied power P use Useful power Soc State of Charge W batt Battery weight W E","author":[{"dropping-particle":"","family":"Elmousadik","given":"Souha","non-dropping-particle":"","parse-names":false,"suffix":""},{"dropping-particle":"","family":"Ridard","given":"Vladimir","non-dropping-particle":"","parse-names":false,"suffix":""},{"dropping-particle":"","family":"Secrieru","given":"Nicolas","non-dropping-particle":"","parse-names":false,"suffix":""},{"dropping-particle":"","family":"Joksimovic","given":"Aleksandar","non-dropping-particle":"","parse-names":false,"suffix":""},{"dropping-particle":"","family":"Maury","given":"Christophe","non-dropping-particle":"","parse-names":false,"suffix":""},{"dropping-particle":"","family":"Carbonneau","given":"Xavier","non-dropping-particle":"","parse-names":false,"suffix":""},{"dropping-particle":"","family":"Elmousadik","given":"S","non-dropping-particle":"","parse-names":false,"suffix":""},{"dropping-particle":"","family":"Ridard","given":"V","non-dropping-particle":"","parse-names":false,"suffix":""},{"dropping-particle":"","family":"Sécrieru","given":"N","non-dropping-particle":"","parse-names":false,"suffix":""}],"container-title":"Advanced Aircraft Efficiency in a Global Air Transport System (AEGATS 18)","id":"ITEM-1","issued":{"date-parts":[["2018"]]},"page":"1-11","title":"New Preliminary Sizing Methodology for a Commuter Airplane with Hybrid-Electric Distributed Propulsion Souha","type":"article-journal"}},{"id":"968HXJ10/zhnjb6IV","uris":["http://www.mendeley.com/documents/?uuid=caabf6fe-3334-4288-a290-6bb24e1af54d"],"uri":["http://www.mendeley.com/documents/?uuid=caabf6fe-3334-4288-a290-6bb24e1af54d"],"itemData":{"DOI":"10.3390/en11010217","ISSN":"19961073","abstract":"Ambitious targets to reduce emissions caused by aviation in the light of an expected ongoing rise of the air transport demand in the future drive the research of propulsion systems with lower CO2 emissions. Regional hybrid electric aircraft (HEA) powered by conventional gas turbines and battery powered electric motors are investigated to test hybrid propulsion operation strategies. Especially the role of the battery within environmentally friendly concepts with significantly reduced carbon footprint is analyzed. Thus, a new simulation approach for HEA is introduced. The main findings underline the importance of choosing the right power-to-energy-ratio of a battery according to the flight mission. The gravimetric energy and power density of the electric storages determine the technologically feasibility of hybrid concepts. Cost competitive HEA configurations are found, but do not promise the targeted CO2 emission savings, when the well-to-wheel system is regarded with its actual costs. Sensitivity studies are used to determine external levers that favor the profitability of HEA.","author":[{"dropping-particle":"","family":"Hoelzen","given":"Julian","non-dropping-particle":"","parse-names":false,"suffix":""},{"dropping-particle":"","family":"Liu","given":"Yaolong","non-dropping-particle":"","parse-names":false,"suffix":""},{"dropping-particle":"","family":"Bensmann","given":"Boris","non-dropping-particle":"","parse-names":false,"suffix":""},{"dropping-particle":"","family":"Winnefeld","given":"Christopher","non-dropping-particle":"","parse-names":false,"suffix":""},{"dropping-particle":"","family":"Elham","given":"Ali","non-dropping-particle":"","parse-names":false,"suffix":""},{"dropping-particle":"","family":"Friedrichs","given":"Jens","non-dropping-particle":"","parse-names":false,"suffix":""},{"dropping-particle":"","family":"Hanke-Rauschenbach","given":"Richard","non-dropping-particle":"","parse-names":false,"suffix":""}],"container-title":"Energies","id":"ITEM-2","issue":"1","issued":{"date-parts":[["2018"]]},"page":"1-26","title":"Conceptual design of operation strategies for hybrid electric aircraft","type":"article-journal","volume":"11"}},{"id":"968HXJ10/gRs1baCc","uris":["http://www.mendeley.com/documents/?uuid=9cdb0013-590f-437f-815b-b249dd3f0807"],"uri":["http://www.mendeley.com/documents/?uuid=9cdb0013-590f-437f-815b-b249dd3f0807"],"itemData":{"abstract":"An increased focus on electric applications to propulsion for both ground vehicles and airplanes has been observed in recent years, thanks to more reliable and more perform- ing batteries and electric motors. Electric propulsion for aircraft applications is still rep- resenting a very small portion of current standard aviation due to large mass penalties of batteries and due to rather unexplored design procedures. The present work focuses on establishing a general procedure to design an all-electric and serial hybrid-electric aircraft from a conceptual point of view and to simulate their flight profile to assess energy consumption to ensure the highest accuracy possible. A Matlab™code named Hyperion was developed and validated using existing aircraft as a reference, consider- ing the limit case of a simulated conventional aircraft. The considered procedure is based on the assumption of a propeller-driven aircraft powered by electric motors fed by batteries, which are, in case of a hybrid airplane, charged by a generator. Prelim- inary aircraft sizing is conducted by means of required power and estimated required energy, and actual performance is simulated step by step with an iterative procedure based on final state of charge and fuel tank, if present, levels. Literature studies and technology survey are carried out to establish a robust working base, that is consid- ered in a wide set of parametric studies to assess sensitivity of key parameters such as battery performance, cruise speed and altitude, aircraft range among others, on param- eters as takeoff, battery and fuel mass, wing surface, motor power and energy degree of hybridization.","author":[{"dropping-particle":"","family":"Rossi","given":"Niccolò","non-dropping-particle":"","parse-names":false,"suffix":""}],"id":"ITEM-3","issued":{"date-parts":[["2017"]]},"publisher":"Politecnico di Milano","title":"Conceptual Design of Hybrid-Electric Aircraft","type":"thesis"}}],"schema":"https://github.com/citation-style-language/schema/raw/master/csl-citation.json"} </w:instrText>
      </w:r>
      <w:r w:rsidR="00BE00DA" w:rsidRPr="004D19FF">
        <w:rPr>
          <w:rFonts w:ascii="Times New Roman" w:hAnsi="Times New Roman"/>
          <w:sz w:val="20"/>
          <w:szCs w:val="20"/>
        </w:rPr>
        <w:fldChar w:fldCharType="separate"/>
      </w:r>
      <w:r w:rsidR="0051129D" w:rsidRPr="0051129D">
        <w:rPr>
          <w:rFonts w:ascii="Times New Roman" w:hAnsi="Times New Roman" w:cs="Times New Roman"/>
          <w:sz w:val="20"/>
        </w:rPr>
        <w:t>[28,193,203]</w:t>
      </w:r>
      <w:r w:rsidR="00BE00DA" w:rsidRPr="004D19FF">
        <w:rPr>
          <w:rFonts w:ascii="Times New Roman" w:hAnsi="Times New Roman"/>
          <w:sz w:val="20"/>
          <w:szCs w:val="20"/>
        </w:rPr>
        <w:fldChar w:fldCharType="end"/>
      </w:r>
      <w:r w:rsidR="009D0D7F" w:rsidRPr="004D19FF">
        <w:rPr>
          <w:rFonts w:ascii="Times New Roman" w:hAnsi="Times New Roman"/>
          <w:sz w:val="20"/>
          <w:szCs w:val="20"/>
        </w:rPr>
        <w:t xml:space="preserve"> </w:t>
      </w:r>
      <w:r w:rsidR="00F55A89" w:rsidRPr="004D19FF">
        <w:rPr>
          <w:rFonts w:ascii="Times New Roman" w:hAnsi="Times New Roman"/>
          <w:sz w:val="20"/>
          <w:szCs w:val="20"/>
        </w:rPr>
        <w:t xml:space="preserve">(Fig. </w:t>
      </w:r>
      <w:r w:rsidR="008C4535" w:rsidRPr="004D19FF">
        <w:rPr>
          <w:rFonts w:ascii="Times New Roman" w:hAnsi="Times New Roman"/>
          <w:sz w:val="20"/>
          <w:szCs w:val="20"/>
        </w:rPr>
        <w:t>13</w:t>
      </w:r>
      <w:r w:rsidR="00F55A89" w:rsidRPr="004D19FF">
        <w:rPr>
          <w:rFonts w:ascii="Times New Roman" w:hAnsi="Times New Roman"/>
          <w:sz w:val="20"/>
          <w:szCs w:val="20"/>
        </w:rPr>
        <w:t>b)</w:t>
      </w:r>
      <w:r w:rsidR="0092213D" w:rsidRPr="004D19FF">
        <w:rPr>
          <w:rFonts w:ascii="Times New Roman" w:hAnsi="Times New Roman"/>
          <w:sz w:val="20"/>
          <w:szCs w:val="20"/>
        </w:rPr>
        <w:t>.</w:t>
      </w:r>
      <w:r w:rsidR="00A402E6" w:rsidRPr="004D19FF">
        <w:rPr>
          <w:rFonts w:ascii="Times New Roman" w:hAnsi="Times New Roman"/>
          <w:sz w:val="20"/>
          <w:szCs w:val="20"/>
        </w:rPr>
        <w:t xml:space="preserve"> </w:t>
      </w:r>
      <w:r w:rsidR="00167941">
        <w:rPr>
          <w:rFonts w:ascii="Times New Roman" w:hAnsi="Times New Roman"/>
          <w:sz w:val="20"/>
          <w:szCs w:val="20"/>
        </w:rPr>
        <w:t>The series electric hybrid system involves a</w:t>
      </w:r>
      <w:r w:rsidR="00FC0820" w:rsidRPr="004D19FF">
        <w:rPr>
          <w:rFonts w:ascii="Times New Roman" w:hAnsi="Times New Roman"/>
          <w:sz w:val="20"/>
          <w:szCs w:val="20"/>
        </w:rPr>
        <w:t xml:space="preserve">dditional </w:t>
      </w:r>
      <w:r w:rsidR="006C667B" w:rsidRPr="004D19FF">
        <w:rPr>
          <w:rFonts w:ascii="Times New Roman" w:hAnsi="Times New Roman"/>
          <w:sz w:val="20"/>
          <w:szCs w:val="20"/>
        </w:rPr>
        <w:t>fuel</w:t>
      </w:r>
      <w:r w:rsidR="00167941">
        <w:rPr>
          <w:rFonts w:ascii="Times New Roman" w:hAnsi="Times New Roman"/>
          <w:sz w:val="20"/>
          <w:szCs w:val="20"/>
        </w:rPr>
        <w:t xml:space="preserve"> </w:t>
      </w:r>
      <w:r w:rsidR="00FC0820" w:rsidRPr="004D19FF">
        <w:rPr>
          <w:rFonts w:ascii="Times New Roman" w:hAnsi="Times New Roman"/>
          <w:sz w:val="20"/>
          <w:szCs w:val="20"/>
        </w:rPr>
        <w:t xml:space="preserve"> for recharging battery during flight resulting in increasing </w:t>
      </w:r>
      <w:r w:rsidR="00B36F01" w:rsidRPr="004D19FF">
        <w:rPr>
          <w:rFonts w:ascii="Times New Roman" w:hAnsi="Times New Roman"/>
          <w:sz w:val="20"/>
          <w:szCs w:val="20"/>
        </w:rPr>
        <w:t xml:space="preserve">the </w:t>
      </w:r>
      <w:r w:rsidR="00FC0820" w:rsidRPr="004D19FF">
        <w:rPr>
          <w:rFonts w:ascii="Times New Roman" w:hAnsi="Times New Roman"/>
          <w:sz w:val="20"/>
          <w:szCs w:val="20"/>
        </w:rPr>
        <w:t>overall weight</w:t>
      </w:r>
      <w:r w:rsidR="0085698F" w:rsidRPr="004D19FF">
        <w:rPr>
          <w:rFonts w:ascii="Times New Roman" w:hAnsi="Times New Roman"/>
          <w:sz w:val="20"/>
          <w:szCs w:val="20"/>
        </w:rPr>
        <w:t xml:space="preserve"> </w:t>
      </w:r>
      <w:r w:rsidR="00CF7C3D">
        <w:rPr>
          <w:rFonts w:ascii="Times New Roman" w:hAnsi="Times New Roman"/>
          <w:sz w:val="20"/>
          <w:szCs w:val="20"/>
        </w:rPr>
        <w:t xml:space="preserve">and cost operation </w:t>
      </w:r>
      <w:r w:rsidR="0085698F" w:rsidRPr="004D19FF">
        <w:rPr>
          <w:rFonts w:ascii="Times New Roman" w:hAnsi="Times New Roman"/>
          <w:sz w:val="20"/>
          <w:szCs w:val="20"/>
        </w:rPr>
        <w:t>as a tradeoff of this configuration</w:t>
      </w:r>
      <w:r w:rsidR="004179AA" w:rsidRPr="004D19FF">
        <w:rPr>
          <w:rFonts w:ascii="Times New Roman" w:hAnsi="Times New Roman"/>
          <w:sz w:val="20"/>
          <w:szCs w:val="20"/>
        </w:rPr>
        <w:t xml:space="preserve"> </w:t>
      </w:r>
      <w:r w:rsidR="00BE00D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hYid6L5","properties":{"formattedCitation":"[28]","plainCitation":"[28]","noteIndex":0},"citationItems":[{"id":"968HXJ10/zhnjb6IV","uris":["http://www.mendeley.com/documents/?uuid=caabf6fe-3334-4288-a290-6bb24e1af54d"],"uri":["http://www.mendeley.com/documents/?uuid=caabf6fe-3334-4288-a290-6bb24e1af54d"],"itemData":{"DOI":"10.3390/en11010217","ISSN":"19961073","abstract":"Ambitious targets to reduce emissions caused by aviation in the light of an expected ongoing rise of the air transport demand in the future drive the research of propulsion systems with lower CO2 emissions. Regional hybrid electric aircraft (HEA) powered by conventional gas turbines and battery powered electric motors are investigated to test hybrid propulsion operation strategies. Especially the role of the battery within environmentally friendly concepts with significantly reduced carbon footprint is analyzed. Thus, a new simulation approach for HEA is introduced. The main findings underline the importance of choosing the right power-to-energy-ratio of a battery according to the flight mission. The gravimetric energy and power density of the electric storages determine the technologically feasibility of hybrid concepts. Cost competitive HEA configurations are found, but do not promise the targeted CO2 emission savings, when the well-to-wheel system is regarded with its actual costs. Sensitivity studies are used to determine external levers that favor the profitability of HEA.","author":[{"dropping-particle":"","family":"Hoelzen","given":"Julian","non-dropping-particle":"","parse-names":false,"suffix":""},{"dropping-particle":"","family":"Liu","given":"Yaolong","non-dropping-particle":"","parse-names":false,"suffix":""},{"dropping-particle":"","family":"Bensmann","given":"Boris","non-dropping-particle":"","parse-names":false,"suffix":""},{"dropping-particle":"","family":"Winnefeld","given":"Christopher","non-dropping-particle":"","parse-names":false,"suffix":""},{"dropping-particle":"","family":"Elham","given":"Ali","non-dropping-particle":"","parse-names":false,"suffix":""},{"dropping-particle":"","family":"Friedrichs","given":"Jens","non-dropping-particle":"","parse-names":false,"suffix":""},{"dropping-particle":"","family":"Hanke-Rauschenbach","given":"Richard","non-dropping-particle":"","parse-names":false,"suffix":""}],"container-title":"Energies","id":"ITEM-1","issue":"1","issued":{"date-parts":[["2018"]]},"page":"1-26","title":"Conceptual design of operation strategies for hybrid electric aircraft","type":"article-journal","volume":"11"}}],"schema":"https://github.com/citation-style-language/schema/raw/master/csl-citation.json"} </w:instrText>
      </w:r>
      <w:r w:rsidR="00BE00DA" w:rsidRPr="004D19FF">
        <w:rPr>
          <w:rFonts w:ascii="Times New Roman" w:hAnsi="Times New Roman"/>
          <w:sz w:val="20"/>
          <w:szCs w:val="20"/>
        </w:rPr>
        <w:fldChar w:fldCharType="separate"/>
      </w:r>
      <w:r w:rsidR="0051129D" w:rsidRPr="0051129D">
        <w:rPr>
          <w:rFonts w:ascii="Times New Roman" w:hAnsi="Times New Roman" w:cs="Times New Roman"/>
          <w:sz w:val="20"/>
        </w:rPr>
        <w:t>[28]</w:t>
      </w:r>
      <w:r w:rsidR="00BE00DA" w:rsidRPr="004D19FF">
        <w:rPr>
          <w:rFonts w:ascii="Times New Roman" w:hAnsi="Times New Roman"/>
          <w:sz w:val="20"/>
          <w:szCs w:val="20"/>
        </w:rPr>
        <w:fldChar w:fldCharType="end"/>
      </w:r>
      <w:r w:rsidR="00B36F01" w:rsidRPr="004D19FF">
        <w:rPr>
          <w:rFonts w:ascii="Times New Roman" w:hAnsi="Times New Roman"/>
          <w:sz w:val="20"/>
          <w:szCs w:val="20"/>
        </w:rPr>
        <w:t xml:space="preserve">. </w:t>
      </w:r>
      <w:r w:rsidR="00864AC5" w:rsidRPr="004D19FF">
        <w:rPr>
          <w:rFonts w:ascii="Times New Roman" w:hAnsi="Times New Roman"/>
          <w:sz w:val="20"/>
          <w:szCs w:val="20"/>
        </w:rPr>
        <w:t>The ch</w:t>
      </w:r>
      <w:r w:rsidR="007B3769">
        <w:rPr>
          <w:rFonts w:ascii="Times New Roman" w:hAnsi="Times New Roman"/>
          <w:sz w:val="20"/>
          <w:szCs w:val="20"/>
        </w:rPr>
        <w:t>oice of architecture is dependent</w:t>
      </w:r>
      <w:r w:rsidR="00864AC5" w:rsidRPr="004D19FF">
        <w:rPr>
          <w:rFonts w:ascii="Times New Roman" w:hAnsi="Times New Roman"/>
          <w:sz w:val="20"/>
          <w:szCs w:val="20"/>
        </w:rPr>
        <w:t xml:space="preserve"> upon numerous factors. For instance, i</w:t>
      </w:r>
      <w:r w:rsidR="00714821">
        <w:rPr>
          <w:rFonts w:ascii="Times New Roman" w:hAnsi="Times New Roman"/>
          <w:sz w:val="20"/>
          <w:szCs w:val="20"/>
        </w:rPr>
        <w:t xml:space="preserve">f </w:t>
      </w:r>
      <w:r w:rsidR="0087534D">
        <w:rPr>
          <w:rFonts w:ascii="Times New Roman" w:hAnsi="Times New Roman"/>
          <w:sz w:val="20"/>
          <w:szCs w:val="20"/>
        </w:rPr>
        <w:t>on-</w:t>
      </w:r>
      <w:r w:rsidR="00B36F01" w:rsidRPr="004D19FF">
        <w:rPr>
          <w:rFonts w:ascii="Times New Roman" w:hAnsi="Times New Roman"/>
          <w:sz w:val="20"/>
          <w:szCs w:val="20"/>
        </w:rPr>
        <w:t>ground charging infrastructure</w:t>
      </w:r>
      <w:r w:rsidR="00714821">
        <w:rPr>
          <w:rFonts w:ascii="Times New Roman" w:hAnsi="Times New Roman"/>
          <w:sz w:val="20"/>
          <w:szCs w:val="20"/>
        </w:rPr>
        <w:t xml:space="preserve"> is available at airports, the parallel electric hybrid configuration </w:t>
      </w:r>
      <w:r w:rsidR="00B36F01" w:rsidRPr="004D19FF">
        <w:rPr>
          <w:rFonts w:ascii="Times New Roman" w:hAnsi="Times New Roman"/>
          <w:sz w:val="20"/>
          <w:szCs w:val="20"/>
        </w:rPr>
        <w:t xml:space="preserve">might be </w:t>
      </w:r>
      <w:r w:rsidR="00714821">
        <w:rPr>
          <w:rFonts w:ascii="Times New Roman" w:hAnsi="Times New Roman"/>
          <w:sz w:val="20"/>
          <w:szCs w:val="20"/>
        </w:rPr>
        <w:t>preferred, while the series configuration would be favored in the opposite case</w:t>
      </w:r>
      <w:r w:rsidR="00B36F01" w:rsidRPr="004D19FF">
        <w:rPr>
          <w:rFonts w:ascii="Times New Roman" w:hAnsi="Times New Roman"/>
          <w:sz w:val="20"/>
          <w:szCs w:val="20"/>
        </w:rPr>
        <w:t xml:space="preserve"> </w:t>
      </w:r>
      <w:r w:rsidR="00BE00D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EJ1za6JP","properties":{"formattedCitation":"[28]","plainCitation":"[28]","noteIndex":0},"citationItems":[{"id":"968HXJ10/zhnjb6IV","uris":["http://www.mendeley.com/documents/?uuid=caabf6fe-3334-4288-a290-6bb24e1af54d"],"uri":["http://www.mendeley.com/documents/?uuid=caabf6fe-3334-4288-a290-6bb24e1af54d"],"itemData":{"DOI":"10.3390/en11010217","ISSN":"19961073","abstract":"Ambitious targets to reduce emissions caused by aviation in the light of an expected ongoing rise of the air transport demand in the future drive the research of propulsion systems with lower CO2 emissions. Regional hybrid electric aircraft (HEA) powered by conventional gas turbines and battery powered electric motors are investigated to test hybrid propulsion operation strategies. Especially the role of the battery within environmentally friendly concepts with significantly reduced carbon footprint is analyzed. Thus, a new simulation approach for HEA is introduced. The main findings underline the importance of choosing the right power-to-energy-ratio of a battery according to the flight mission. The gravimetric energy and power density of the electric storages determine the technologically feasibility of hybrid concepts. Cost competitive HEA configurations are found, but do not promise the targeted CO2 emission savings, when the well-to-wheel system is regarded with its actual costs. Sensitivity studies are used to determine external levers that favor the profitability of HEA.","author":[{"dropping-particle":"","family":"Hoelzen","given":"Julian","non-dropping-particle":"","parse-names":false,"suffix":""},{"dropping-particle":"","family":"Liu","given":"Yaolong","non-dropping-particle":"","parse-names":false,"suffix":""},{"dropping-particle":"","family":"Bensmann","given":"Boris","non-dropping-particle":"","parse-names":false,"suffix":""},{"dropping-particle":"","family":"Winnefeld","given":"Christopher","non-dropping-particle":"","parse-names":false,"suffix":""},{"dropping-particle":"","family":"Elham","given":"Ali","non-dropping-particle":"","parse-names":false,"suffix":""},{"dropping-particle":"","family":"Friedrichs","given":"Jens","non-dropping-particle":"","parse-names":false,"suffix":""},{"dropping-particle":"","family":"Hanke-Rauschenbach","given":"Richard","non-dropping-particle":"","parse-names":false,"suffix":""}],"container-title":"Energies","id":"ITEM-1","issue":"1","issued":{"date-parts":[["2018"]]},"page":"1-26","title":"Conceptual design of operation strategies for hybrid electric aircraft","type":"article-journal","volume":"11"}}],"schema":"https://github.com/citation-style-language/schema/raw/master/csl-citation.json"} </w:instrText>
      </w:r>
      <w:r w:rsidR="00BE00DA" w:rsidRPr="004D19FF">
        <w:rPr>
          <w:rFonts w:ascii="Times New Roman" w:hAnsi="Times New Roman"/>
          <w:sz w:val="20"/>
          <w:szCs w:val="20"/>
        </w:rPr>
        <w:fldChar w:fldCharType="separate"/>
      </w:r>
      <w:r w:rsidR="0051129D" w:rsidRPr="0051129D">
        <w:rPr>
          <w:rFonts w:ascii="Times New Roman" w:hAnsi="Times New Roman" w:cs="Times New Roman"/>
          <w:sz w:val="20"/>
        </w:rPr>
        <w:t>[28]</w:t>
      </w:r>
      <w:r w:rsidR="00BE00DA" w:rsidRPr="004D19FF">
        <w:rPr>
          <w:rFonts w:ascii="Times New Roman" w:hAnsi="Times New Roman"/>
          <w:sz w:val="20"/>
          <w:szCs w:val="20"/>
        </w:rPr>
        <w:fldChar w:fldCharType="end"/>
      </w:r>
      <w:r w:rsidR="00E1111B" w:rsidRPr="004D19FF">
        <w:rPr>
          <w:rFonts w:ascii="Times New Roman" w:hAnsi="Times New Roman"/>
          <w:sz w:val="20"/>
          <w:szCs w:val="20"/>
        </w:rPr>
        <w:t xml:space="preserve">. Emission reduction </w:t>
      </w:r>
      <w:r w:rsidR="00513925" w:rsidRPr="004D19FF">
        <w:rPr>
          <w:rFonts w:ascii="Times New Roman" w:hAnsi="Times New Roman"/>
          <w:sz w:val="20"/>
          <w:szCs w:val="20"/>
        </w:rPr>
        <w:t xml:space="preserve">from </w:t>
      </w:r>
      <w:r w:rsidR="004179AA" w:rsidRPr="004D19FF">
        <w:rPr>
          <w:rFonts w:ascii="Times New Roman" w:hAnsi="Times New Roman"/>
          <w:sz w:val="20"/>
          <w:szCs w:val="20"/>
        </w:rPr>
        <w:t>fuel combustion</w:t>
      </w:r>
      <w:r w:rsidR="00513925" w:rsidRPr="004D19FF">
        <w:rPr>
          <w:rFonts w:ascii="Times New Roman" w:hAnsi="Times New Roman"/>
          <w:sz w:val="20"/>
          <w:szCs w:val="20"/>
        </w:rPr>
        <w:t xml:space="preserve"> </w:t>
      </w:r>
      <w:r w:rsidR="00E1111B" w:rsidRPr="004D19FF">
        <w:rPr>
          <w:rFonts w:ascii="Times New Roman" w:hAnsi="Times New Roman"/>
          <w:sz w:val="20"/>
          <w:szCs w:val="20"/>
        </w:rPr>
        <w:t xml:space="preserve">might be greater </w:t>
      </w:r>
      <w:r w:rsidR="00714821">
        <w:rPr>
          <w:rFonts w:ascii="Times New Roman" w:hAnsi="Times New Roman"/>
          <w:sz w:val="20"/>
          <w:szCs w:val="20"/>
        </w:rPr>
        <w:t>for the</w:t>
      </w:r>
      <w:r w:rsidR="00E1111B" w:rsidRPr="004D19FF">
        <w:rPr>
          <w:rFonts w:ascii="Times New Roman" w:hAnsi="Times New Roman"/>
          <w:sz w:val="20"/>
          <w:szCs w:val="20"/>
        </w:rPr>
        <w:t xml:space="preserve"> series con</w:t>
      </w:r>
      <w:r w:rsidR="00513925" w:rsidRPr="004D19FF">
        <w:rPr>
          <w:rFonts w:ascii="Times New Roman" w:hAnsi="Times New Roman"/>
          <w:sz w:val="20"/>
          <w:szCs w:val="20"/>
        </w:rPr>
        <w:t>figuration (25</w:t>
      </w:r>
      <w:r w:rsidR="00714821">
        <w:rPr>
          <w:rFonts w:ascii="Times New Roman" w:hAnsi="Times New Roman"/>
          <w:sz w:val="20"/>
          <w:szCs w:val="20"/>
        </w:rPr>
        <w:t>-50% reduction compared to conventional aircrafts powered by fossil kerosene)</w:t>
      </w:r>
      <w:r w:rsidR="00E1111B" w:rsidRPr="004D19FF">
        <w:rPr>
          <w:rFonts w:ascii="Times New Roman" w:hAnsi="Times New Roman"/>
          <w:sz w:val="20"/>
          <w:szCs w:val="20"/>
        </w:rPr>
        <w:t xml:space="preserve"> in c</w:t>
      </w:r>
      <w:r w:rsidR="00714821">
        <w:rPr>
          <w:rFonts w:ascii="Times New Roman" w:hAnsi="Times New Roman"/>
          <w:sz w:val="20"/>
          <w:szCs w:val="20"/>
        </w:rPr>
        <w:t>omparison</w:t>
      </w:r>
      <w:r w:rsidR="00E1111B" w:rsidRPr="004D19FF">
        <w:rPr>
          <w:rFonts w:ascii="Times New Roman" w:hAnsi="Times New Roman"/>
          <w:sz w:val="20"/>
          <w:szCs w:val="20"/>
        </w:rPr>
        <w:t xml:space="preserve"> with t</w:t>
      </w:r>
      <w:r w:rsidR="00513925" w:rsidRPr="004D19FF">
        <w:rPr>
          <w:rFonts w:ascii="Times New Roman" w:hAnsi="Times New Roman"/>
          <w:sz w:val="20"/>
          <w:szCs w:val="20"/>
        </w:rPr>
        <w:t xml:space="preserve">he </w:t>
      </w:r>
      <w:r w:rsidR="00714821">
        <w:rPr>
          <w:rFonts w:ascii="Times New Roman" w:hAnsi="Times New Roman"/>
          <w:sz w:val="20"/>
          <w:szCs w:val="20"/>
        </w:rPr>
        <w:t>parallel configuration</w:t>
      </w:r>
      <w:r w:rsidR="00D242CE" w:rsidRPr="004D19FF">
        <w:rPr>
          <w:rFonts w:ascii="Times New Roman" w:hAnsi="Times New Roman"/>
          <w:sz w:val="20"/>
          <w:szCs w:val="20"/>
        </w:rPr>
        <w:t xml:space="preserve"> (10-20% reduction) </w:t>
      </w:r>
      <w:r w:rsidR="00BE00D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7XGiNvd9","properties":{"formattedCitation":"[204]","plainCitation":"[204]","noteIndex":0},"citationItems":[{"id":"968HXJ10/ThnDpyF8","uris":["http://www.mendeley.com/documents/?uuid=bd870aee-d2ad-4c5e-8072-3f089bca66ee"],"uri":["http://www.mendeley.com/documents/?uuid=bd870aee-d2ad-4c5e-8072-3f089bca66ee"],"itemData":{"author":[{"dropping-particle":"","family":"Roland Berger","given":"","non-dropping-particle":"","parse-names":false,"suffix":""}],"id":"ITEM-1","issued":{"date-parts":[["2020"]]},"title":"A future fuel for aviation?","type":"report"}}],"schema":"https://github.com/citation-style-language/schema/raw/master/csl-citation.json"} </w:instrText>
      </w:r>
      <w:r w:rsidR="00BE00DA" w:rsidRPr="004D19FF">
        <w:rPr>
          <w:rFonts w:ascii="Times New Roman" w:hAnsi="Times New Roman"/>
          <w:sz w:val="20"/>
          <w:szCs w:val="20"/>
        </w:rPr>
        <w:fldChar w:fldCharType="separate"/>
      </w:r>
      <w:r w:rsidR="005D3B73" w:rsidRPr="005D3B73">
        <w:rPr>
          <w:rFonts w:ascii="Times New Roman" w:hAnsi="Times New Roman" w:cs="Times New Roman"/>
          <w:sz w:val="20"/>
        </w:rPr>
        <w:t>[204]</w:t>
      </w:r>
      <w:r w:rsidR="00BE00DA" w:rsidRPr="004D19FF">
        <w:rPr>
          <w:rFonts w:ascii="Times New Roman" w:hAnsi="Times New Roman"/>
          <w:sz w:val="20"/>
          <w:szCs w:val="20"/>
        </w:rPr>
        <w:fldChar w:fldCharType="end"/>
      </w:r>
      <w:r w:rsidR="00D242CE" w:rsidRPr="004D19FF">
        <w:rPr>
          <w:rFonts w:ascii="Times New Roman" w:hAnsi="Times New Roman"/>
          <w:sz w:val="20"/>
          <w:szCs w:val="20"/>
        </w:rPr>
        <w:t xml:space="preserve">. </w:t>
      </w:r>
      <w:r w:rsidR="00714821" w:rsidRPr="004D19FF">
        <w:rPr>
          <w:rFonts w:ascii="Times New Roman" w:hAnsi="Times New Roman"/>
          <w:sz w:val="20"/>
          <w:szCs w:val="20"/>
        </w:rPr>
        <w:t xml:space="preserve">The </w:t>
      </w:r>
      <w:r w:rsidR="00714821">
        <w:rPr>
          <w:rFonts w:ascii="Times New Roman" w:hAnsi="Times New Roman"/>
          <w:sz w:val="20"/>
          <w:szCs w:val="20"/>
        </w:rPr>
        <w:t xml:space="preserve">parallel configuration also involves greater </w:t>
      </w:r>
      <w:r w:rsidR="00714821" w:rsidRPr="004D19FF">
        <w:rPr>
          <w:rFonts w:ascii="Times New Roman" w:hAnsi="Times New Roman"/>
          <w:sz w:val="20"/>
          <w:szCs w:val="20"/>
        </w:rPr>
        <w:t xml:space="preserve">complexity </w:t>
      </w:r>
      <w:r w:rsidR="00714821"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u5rUjOaB","properties":{"formattedCitation":"[199,200]","plainCitation":"[199,200]","noteIndex":0},"citationItems":[{"id":"968HXJ10/HqqdtH9y","uris":["http://www.mendeley.com/documents/?uuid=1b3878c0-83bb-49ec-8eb1-ac0ebcccddbe"],"uri":["http://www.mendeley.com/documents/?uuid=1b3878c0-83bb-49ec-8eb1-ac0ebcccddbe"],"itemData":{"DOI":"10.1016/j.cja.2020.07.017","ISSN":"10009361","author":[{"dropping-particle":"","family":"XIE","given":"Ye","non-dropping-particle":"","parse-names":false,"suffix":""},{"dropping-particle":"","family":"SAVVARISAL","given":"","non-dropping-particle":"","parse-names":false,"suffix":""},{"dropping-particle":"","family":"ANTONIOS","given":"Tsourdos","non-dropping-particle":"","parse-names":false,"suffix":""},{"dropping-particle":"","family":"DAN","given":"Zhang","non-dropping-particle":"","parse-names":false,"suffix":""},{"dropping-particle":"","family":"JASON","given":"Gu","non-dropping-particle":"","parse-names":false,"suffix":""}],"container-title":"Chinese Journal of Aeronautics","id":"ITEM-1","issue":"August","issued":{"date-parts":[["2020"]]},"publisher":"Chinese Society of Aeronautics and Astronautics","title":"Review of hybrid electric powered aircraft, its conceptual design and energy management methodologies","type":"article-journal"}},{"id":"968HXJ10/obSwVbZZ","uris":["http://www.mendeley.com/documents/?uuid=1c9532ea-5e3e-4caa-a6ca-3ede3b626345"],"uri":["http://www.mendeley.com/documents/?uuid=1c9532ea-5e3e-4caa-a6ca-3ede3b626345"],"itemData":{"author":[{"dropping-particle":"","family":"Modular Approach to Hybrid Electric Propulsion Architecture (MAHEPA)","given":"","non-dropping-particle":"","parse-names":false,"suffix":""}],"container-title":"Modular Approach to Hybrid Electric Propulsion Architecture (MAHEPA)","id":"ITEM-2","issued":{"date-parts":[["2017"]]},"number-of-pages":"1-87","title":"D1 . 1 : Concept of Modular Architecture for Hybrid Electric Propulsion of Aircraft December , 2017","type":"report"}}],"schema":"https://github.com/citation-style-language/schema/raw/master/csl-citation.json"} </w:instrText>
      </w:r>
      <w:r w:rsidR="00714821" w:rsidRPr="004D19FF">
        <w:rPr>
          <w:rFonts w:ascii="Times New Roman" w:hAnsi="Times New Roman"/>
          <w:sz w:val="20"/>
          <w:szCs w:val="20"/>
        </w:rPr>
        <w:fldChar w:fldCharType="separate"/>
      </w:r>
      <w:r w:rsidR="005D3B73" w:rsidRPr="005D3B73">
        <w:rPr>
          <w:rFonts w:ascii="Times New Roman" w:hAnsi="Times New Roman" w:cs="Times New Roman"/>
          <w:sz w:val="20"/>
        </w:rPr>
        <w:t>[199,200]</w:t>
      </w:r>
      <w:r w:rsidR="00714821" w:rsidRPr="004D19FF">
        <w:rPr>
          <w:rFonts w:ascii="Times New Roman" w:hAnsi="Times New Roman"/>
          <w:sz w:val="20"/>
          <w:szCs w:val="20"/>
        </w:rPr>
        <w:fldChar w:fldCharType="end"/>
      </w:r>
      <w:r w:rsidR="00714821">
        <w:rPr>
          <w:rFonts w:ascii="Times New Roman" w:hAnsi="Times New Roman"/>
          <w:sz w:val="20"/>
          <w:szCs w:val="20"/>
        </w:rPr>
        <w:t xml:space="preserve"> and may involve p</w:t>
      </w:r>
      <w:r w:rsidR="00105677" w:rsidRPr="004D19FF">
        <w:rPr>
          <w:rFonts w:ascii="Times New Roman" w:hAnsi="Times New Roman"/>
          <w:sz w:val="20"/>
          <w:szCs w:val="20"/>
        </w:rPr>
        <w:t xml:space="preserve">ower losses </w:t>
      </w:r>
      <w:r w:rsidR="00714821">
        <w:rPr>
          <w:rFonts w:ascii="Times New Roman" w:hAnsi="Times New Roman"/>
          <w:sz w:val="20"/>
          <w:szCs w:val="20"/>
        </w:rPr>
        <w:t>in the</w:t>
      </w:r>
      <w:r w:rsidR="00105677" w:rsidRPr="004D19FF">
        <w:rPr>
          <w:rFonts w:ascii="Times New Roman" w:hAnsi="Times New Roman"/>
          <w:sz w:val="20"/>
          <w:szCs w:val="20"/>
        </w:rPr>
        <w:t xml:space="preserve"> mechanical-electrical en</w:t>
      </w:r>
      <w:r w:rsidR="004179AA" w:rsidRPr="004D19FF">
        <w:rPr>
          <w:rFonts w:ascii="Times New Roman" w:hAnsi="Times New Roman"/>
          <w:sz w:val="20"/>
          <w:szCs w:val="20"/>
        </w:rPr>
        <w:t>ergy conversion (through the con</w:t>
      </w:r>
      <w:r w:rsidR="00105677" w:rsidRPr="004D19FF">
        <w:rPr>
          <w:rFonts w:ascii="Times New Roman" w:hAnsi="Times New Roman"/>
          <w:sz w:val="20"/>
          <w:szCs w:val="20"/>
        </w:rPr>
        <w:t xml:space="preserve">verter). </w:t>
      </w:r>
    </w:p>
    <w:p w14:paraId="4758C967" w14:textId="62EF88A2" w:rsidR="00010D0F" w:rsidRPr="004D19FF" w:rsidRDefault="00B914F9" w:rsidP="00BC4779">
      <w:pPr>
        <w:spacing w:after="120" w:line="276" w:lineRule="auto"/>
        <w:jc w:val="thaiDistribute"/>
        <w:rPr>
          <w:rFonts w:ascii="Times New Roman" w:hAnsi="Times New Roman"/>
          <w:sz w:val="20"/>
          <w:szCs w:val="20"/>
        </w:rPr>
      </w:pPr>
      <w:r>
        <w:rPr>
          <w:rFonts w:ascii="Times New Roman" w:hAnsi="Times New Roman"/>
          <w:sz w:val="20"/>
          <w:szCs w:val="20"/>
        </w:rPr>
        <w:t xml:space="preserve">In </w:t>
      </w:r>
      <w:r w:rsidR="003736F8" w:rsidRPr="004D19FF">
        <w:rPr>
          <w:rFonts w:ascii="Times New Roman" w:hAnsi="Times New Roman"/>
          <w:sz w:val="20"/>
          <w:szCs w:val="20"/>
        </w:rPr>
        <w:t>all electric system</w:t>
      </w:r>
      <w:r>
        <w:rPr>
          <w:rFonts w:ascii="Times New Roman" w:hAnsi="Times New Roman"/>
          <w:sz w:val="20"/>
          <w:szCs w:val="20"/>
        </w:rPr>
        <w:t>s</w:t>
      </w:r>
      <w:r w:rsidR="00F55A89" w:rsidRPr="004D19FF">
        <w:rPr>
          <w:rFonts w:ascii="Times New Roman" w:hAnsi="Times New Roman"/>
          <w:sz w:val="20"/>
          <w:szCs w:val="20"/>
        </w:rPr>
        <w:t xml:space="preserve"> (Fig. 1</w:t>
      </w:r>
      <w:r w:rsidR="008C4535" w:rsidRPr="004D19FF">
        <w:rPr>
          <w:rFonts w:ascii="Times New Roman" w:hAnsi="Times New Roman"/>
          <w:sz w:val="20"/>
          <w:szCs w:val="20"/>
        </w:rPr>
        <w:t>3</w:t>
      </w:r>
      <w:r w:rsidR="00F55A89" w:rsidRPr="004D19FF">
        <w:rPr>
          <w:rFonts w:ascii="Times New Roman" w:hAnsi="Times New Roman"/>
          <w:sz w:val="20"/>
          <w:szCs w:val="20"/>
        </w:rPr>
        <w:t>c)</w:t>
      </w:r>
      <w:r w:rsidR="003736F8" w:rsidRPr="004D19FF">
        <w:rPr>
          <w:rFonts w:ascii="Times New Roman" w:hAnsi="Times New Roman"/>
          <w:sz w:val="20"/>
          <w:szCs w:val="20"/>
        </w:rPr>
        <w:t xml:space="preserve">, </w:t>
      </w:r>
      <w:r>
        <w:rPr>
          <w:rFonts w:ascii="Times New Roman" w:hAnsi="Times New Roman"/>
          <w:sz w:val="20"/>
          <w:szCs w:val="20"/>
        </w:rPr>
        <w:t xml:space="preserve">energy storage devices are </w:t>
      </w:r>
      <w:r w:rsidR="00010D0F" w:rsidRPr="004D19FF">
        <w:rPr>
          <w:rFonts w:ascii="Times New Roman" w:hAnsi="Times New Roman"/>
          <w:sz w:val="20"/>
          <w:szCs w:val="20"/>
        </w:rPr>
        <w:t xml:space="preserve">the only </w:t>
      </w:r>
      <w:r w:rsidR="00000DA4" w:rsidRPr="004D19FF">
        <w:rPr>
          <w:rFonts w:ascii="Times New Roman" w:hAnsi="Times New Roman"/>
          <w:sz w:val="20"/>
          <w:szCs w:val="20"/>
        </w:rPr>
        <w:t>propulsion</w:t>
      </w:r>
      <w:r w:rsidR="00010D0F" w:rsidRPr="004D19FF">
        <w:rPr>
          <w:rFonts w:ascii="Times New Roman" w:hAnsi="Times New Roman"/>
          <w:sz w:val="20"/>
          <w:szCs w:val="20"/>
        </w:rPr>
        <w:t xml:space="preserve"> source </w:t>
      </w:r>
      <w:r>
        <w:rPr>
          <w:rFonts w:ascii="Times New Roman" w:hAnsi="Times New Roman"/>
          <w:sz w:val="20"/>
          <w:szCs w:val="20"/>
        </w:rPr>
        <w:t>for the aircraft</w:t>
      </w:r>
      <w:r w:rsidR="00010D0F" w:rsidRPr="004D19FF">
        <w:rPr>
          <w:rFonts w:ascii="Times New Roman" w:hAnsi="Times New Roman"/>
          <w:sz w:val="20"/>
          <w:szCs w:val="20"/>
        </w:rPr>
        <w:t xml:space="preserve"> </w:t>
      </w:r>
      <w:r w:rsidR="00BE00D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giMdgQM","properties":{"formattedCitation":"[205]","plainCitation":"[205]","noteIndex":0},"citationItems":[{"id":"968HXJ10/X9aHQ7TG","uris":["http://www.mendeley.com/documents/?uuid=1b46538f-e1c0-4167-9d0e-c1a07d2840fd"],"uri":["http://www.mendeley.com/documents/?uuid=1b46538f-e1c0-4167-9d0e-c1a07d2840fd"],"itemData":{"author":[{"dropping-particle":"","family":"International Air Transport Association (IATA)","given":"","non-dropping-particle":"","parse-names":false,"suffix":""}],"id":"ITEM-1","issued":{"date-parts":[["2019"]]},"page":"1-51","title":"Aircraft Technology Roadmap to 2050","type":"article-journal"}}],"schema":"https://github.com/citation-style-language/schema/raw/master/csl-citation.json"} </w:instrText>
      </w:r>
      <w:r w:rsidR="00BE00DA" w:rsidRPr="004D19FF">
        <w:rPr>
          <w:rFonts w:ascii="Times New Roman" w:hAnsi="Times New Roman"/>
          <w:sz w:val="20"/>
          <w:szCs w:val="20"/>
        </w:rPr>
        <w:fldChar w:fldCharType="separate"/>
      </w:r>
      <w:r w:rsidR="005D3B73" w:rsidRPr="005D3B73">
        <w:rPr>
          <w:rFonts w:ascii="Times New Roman" w:hAnsi="Times New Roman" w:cs="Times New Roman"/>
          <w:sz w:val="20"/>
        </w:rPr>
        <w:t>[205]</w:t>
      </w:r>
      <w:r w:rsidR="00BE00DA" w:rsidRPr="004D19FF">
        <w:rPr>
          <w:rFonts w:ascii="Times New Roman" w:hAnsi="Times New Roman"/>
          <w:sz w:val="20"/>
          <w:szCs w:val="20"/>
        </w:rPr>
        <w:fldChar w:fldCharType="end"/>
      </w:r>
      <w:r w:rsidR="00010D0F" w:rsidRPr="004D19FF">
        <w:rPr>
          <w:rFonts w:ascii="Times New Roman" w:hAnsi="Times New Roman"/>
          <w:sz w:val="20"/>
          <w:szCs w:val="20"/>
        </w:rPr>
        <w:t xml:space="preserve">. </w:t>
      </w:r>
      <w:r>
        <w:rPr>
          <w:rFonts w:ascii="Times New Roman" w:hAnsi="Times New Roman"/>
          <w:sz w:val="20"/>
          <w:szCs w:val="20"/>
        </w:rPr>
        <w:t>However, the amount of power that can be stored in currently available batteries, which have a rather low energy storage density</w:t>
      </w:r>
      <w:r w:rsidR="00BC26F0">
        <w:rPr>
          <w:rFonts w:ascii="Times New Roman" w:hAnsi="Times New Roman"/>
          <w:sz w:val="20"/>
          <w:szCs w:val="20"/>
        </w:rPr>
        <w:t xml:space="preserve"> (at best ca.</w:t>
      </w:r>
      <w:r w:rsidR="005D3B73">
        <w:rPr>
          <w:rFonts w:ascii="Times New Roman" w:hAnsi="Times New Roman"/>
          <w:sz w:val="20"/>
          <w:szCs w:val="20"/>
        </w:rPr>
        <w:t xml:space="preserve"> 5</w:t>
      </w:r>
      <w:r w:rsidR="00BC26F0">
        <w:rPr>
          <w:rFonts w:ascii="Times New Roman" w:hAnsi="Times New Roman"/>
          <w:sz w:val="20"/>
          <w:szCs w:val="20"/>
        </w:rPr>
        <w:t xml:space="preserve"> MJ kg</w:t>
      </w:r>
      <w:r w:rsidR="00BC26F0" w:rsidRPr="00BC26F0">
        <w:rPr>
          <w:rFonts w:ascii="Times New Roman" w:hAnsi="Times New Roman"/>
          <w:sz w:val="20"/>
          <w:szCs w:val="20"/>
          <w:vertAlign w:val="superscript"/>
        </w:rPr>
        <w:t>-1</w:t>
      </w:r>
      <w:r w:rsidR="00BC26F0">
        <w:rPr>
          <w:rFonts w:ascii="Times New Roman" w:hAnsi="Times New Roman"/>
          <w:sz w:val="20"/>
          <w:szCs w:val="20"/>
        </w:rPr>
        <w:t xml:space="preserve"> </w:t>
      </w:r>
      <w:r w:rsidR="005D3B73">
        <w:rPr>
          <w:rFonts w:ascii="Times New Roman" w:hAnsi="Times New Roman"/>
          <w:sz w:val="20"/>
          <w:szCs w:val="20"/>
        </w:rPr>
        <w:t xml:space="preserve">battery </w:t>
      </w:r>
      <w:r w:rsidR="00BC26F0">
        <w:rPr>
          <w:rFonts w:ascii="Times New Roman" w:hAnsi="Times New Roman"/>
          <w:sz w:val="20"/>
          <w:szCs w:val="20"/>
        </w:rPr>
        <w:t>in comparison to 43 MJ kg</w:t>
      </w:r>
      <w:r w:rsidR="00BC26F0" w:rsidRPr="00BC26F0">
        <w:rPr>
          <w:rFonts w:ascii="Times New Roman" w:hAnsi="Times New Roman"/>
          <w:sz w:val="20"/>
          <w:szCs w:val="20"/>
          <w:vertAlign w:val="superscript"/>
        </w:rPr>
        <w:t xml:space="preserve">-1 </w:t>
      </w:r>
      <w:r w:rsidR="00DD044D">
        <w:rPr>
          <w:rFonts w:ascii="Times New Roman" w:hAnsi="Times New Roman"/>
          <w:sz w:val="20"/>
          <w:szCs w:val="20"/>
        </w:rPr>
        <w:t>required for liquid fuels in ASTM D1655 and ADTM D7566</w:t>
      </w:r>
      <w:r w:rsidR="005D3B73">
        <w:rPr>
          <w:rFonts w:ascii="Times New Roman" w:hAnsi="Times New Roman"/>
          <w:sz w:val="20"/>
          <w:szCs w:val="20"/>
        </w:rPr>
        <w:t xml:space="preserve">; </w:t>
      </w:r>
      <w:r w:rsidR="005D3B73">
        <w:rPr>
          <w:rFonts w:ascii="Times New Roman" w:hAnsi="Times New Roman"/>
          <w:sz w:val="20"/>
          <w:szCs w:val="20"/>
        </w:rPr>
        <w:fldChar w:fldCharType="begin"/>
      </w:r>
      <w:r w:rsidR="0051129D">
        <w:rPr>
          <w:rFonts w:ascii="Times New Roman" w:hAnsi="Times New Roman"/>
          <w:sz w:val="20"/>
          <w:szCs w:val="20"/>
        </w:rPr>
        <w:instrText xml:space="preserve"> ADDIN ZOTERO_ITEM CSL_CITATION {"citationID":"PJsaUvXk","properties":{"formattedCitation":"[206\\uc0\\u8211{}208]","plainCitation":"[206–208]","noteIndex":0},"citationItems":[{"id":3190,"uris":["http://zotero.org/groups/2763812/items/AHNATDER"],"uri":["http://zotero.org/groups/2763812/items/AHNATDER"],"itemData":{"id":3190,"type":"article-journal","abstract":"Lithium-air batteries are investigated for propulsion aggregates in vehicles as they theoretically offer at least 10 times better energy density than the best battery technology (lithium-ion) of today. A possible input to guide development is expected from Life Cycle Assessment (LCA) of the manufacture, use and recycling of the lithium-air battery. For this purpose, lithium-air cells are analyzed from cradle to grave, i.e., from raw material production, cathode manufacturing, electrolyte preparation, cell assembly, use in a typical vehicle to end-of-life treatment and recycling. The aim of this investigation is highlighting environmental hotspots of lithium-air batteries to facilitate their improvement, in addition to scrutinizing anticipated environmental benefits compared to other battery technologies. Life cycle impacts are quantified in terms of climate impact, abiotic resource depletion and toxicity. Data is partly based on assumptions and estimates guided from similar materials and processes common to lithium-ion technologies. Laboratory scale results for lithium-air systems are considered, which include expectations in their future development for efficiency gains. At the present level of lithium-air cell performance, production-related impacts dominate all environmental impact categories. However, as the performance of the lithium-air cell develops (and less cells are needed), battery-related losses during operation become the major source of environmental impacts. The battery internal electricity losses become heat that may need considerable amounts of additional energy for its transportation out of the battery. It is recommended that future battery cell development projects already at the design stage consider suitable methods and processes for efficient and environmentally benign cell-level recycling. LCA could provide additional arguments and a quantitative basis for lithium battery recycling. This emphasizes the need to develop LCA toxicity impact methods in order to properly assess lithium.","container-title":"Journal of Cleaner Production","DOI":"10.1016/j.jclepro.2016.06.104","ISSN":"0959-6526","journalAbbreviation":"Journal of Cleaner Production","language":"en","page":"299-311","source":"ScienceDirect","title":"Life cycle assessment of lithium-air battery cells","volume":"135","author":[{"family":"Zackrisson","given":"Mats"},{"family":"Fransson","given":"Kristin"},{"family":"Hildenbrand","given":"Jutta"},{"family":"Lampic","given":"Gorazd"},{"family":"O'Dwyer","given":"Colm"}],"issued":{"date-parts":[["2016",11,1]]}}},{"id":210,"uris":["http://zotero.org/groups/2763812/items/Q3BM7MCH"],"uri":["http://zotero.org/groups/2763812/items/Q3BM7MCH"],"itemData":{"id":210,"type":"book","event-place":"West Conshohocken, Pennsylvania, U.S.","note":"container-title: Annual Book of ASTM Standards\nDOI: 10.1520/D1655-19A","publisher-place":"West Conshohocken, Pennsylvania, U.S.","title":"ASTM D1655-19a, Standard Specification for Aviation Turbine Fuels","URL":"https://www.astm.org/Standards/D7566.htm","author":[{"literal":"ASTM"}],"issued":{"date-parts":[["2019"]]}}},{"id":209,"uris":["http://zotero.org/groups/2763812/items/75G9HJPC"],"uri":["http://zotero.org/groups/2763812/items/75G9HJPC"],"itemData":{"id":209,"type":"report","abstract":"This standard is issued under the fixed designation D 1655; the number immediately following the designation indicates the year of original adoption or, in the case of revision, the year of last revision. A number in parentheses indicates the year of last reapproval. A superscript epsilon (e) indicates an editorial change since the last revision or reapproval.","event-place":"West Conshohocken, Pennsylvania, U.S.","note":"container-title: Annual Book of ASTM Standards\nDOI: 10.1520/D7566-19B","publisher-place":"West Conshohocken, Pennsylvania, U.S.","title":"ASTM D7566-19b, Standard Specification for Aviation Turbine Fuel Containing Synthesized Hydrocarbons","author":[{"literal":"ASTM"}],"issued":{"date-parts":[["2019"]]}}}],"schema":"https://github.com/citation-style-language/schema/raw/master/csl-citation.json"} </w:instrText>
      </w:r>
      <w:r w:rsidR="005D3B73">
        <w:rPr>
          <w:rFonts w:ascii="Times New Roman" w:hAnsi="Times New Roman"/>
          <w:sz w:val="20"/>
          <w:szCs w:val="20"/>
        </w:rPr>
        <w:fldChar w:fldCharType="separate"/>
      </w:r>
      <w:r w:rsidR="00681D64" w:rsidRPr="00681D64">
        <w:rPr>
          <w:rFonts w:ascii="Times New Roman" w:hAnsi="Times New Roman" w:cs="Times New Roman"/>
          <w:sz w:val="20"/>
          <w:szCs w:val="24"/>
        </w:rPr>
        <w:t>[206–208]</w:t>
      </w:r>
      <w:r w:rsidR="005D3B73">
        <w:rPr>
          <w:rFonts w:ascii="Times New Roman" w:hAnsi="Times New Roman"/>
          <w:sz w:val="20"/>
          <w:szCs w:val="20"/>
        </w:rPr>
        <w:fldChar w:fldCharType="end"/>
      </w:r>
      <w:r w:rsidR="00B70D99">
        <w:rPr>
          <w:rFonts w:ascii="Times New Roman" w:hAnsi="Times New Roman"/>
          <w:sz w:val="20"/>
          <w:szCs w:val="20"/>
        </w:rPr>
        <w:t>; Table 2</w:t>
      </w:r>
      <w:r w:rsidR="00BC26F0">
        <w:rPr>
          <w:rFonts w:ascii="Times New Roman" w:hAnsi="Times New Roman"/>
          <w:sz w:val="20"/>
          <w:szCs w:val="20"/>
        </w:rPr>
        <w:t>)</w:t>
      </w:r>
      <w:r>
        <w:rPr>
          <w:rFonts w:ascii="Times New Roman" w:hAnsi="Times New Roman"/>
          <w:sz w:val="20"/>
          <w:szCs w:val="20"/>
        </w:rPr>
        <w:t xml:space="preserve">, </w:t>
      </w:r>
      <w:r w:rsidR="00681D64">
        <w:rPr>
          <w:rFonts w:ascii="Times New Roman" w:hAnsi="Times New Roman"/>
          <w:sz w:val="20"/>
          <w:szCs w:val="20"/>
        </w:rPr>
        <w:t>especially</w:t>
      </w:r>
      <w:r>
        <w:rPr>
          <w:rFonts w:ascii="Times New Roman" w:hAnsi="Times New Roman"/>
          <w:sz w:val="20"/>
          <w:szCs w:val="20"/>
        </w:rPr>
        <w:t xml:space="preserve"> in comparison to the maximum power required during the takeoff phase</w:t>
      </w:r>
      <w:r w:rsidR="00920742" w:rsidRPr="004D19FF">
        <w:rPr>
          <w:rFonts w:ascii="Times New Roman" w:hAnsi="Times New Roman"/>
          <w:sz w:val="20"/>
          <w:szCs w:val="20"/>
        </w:rPr>
        <w:t xml:space="preserve"> </w:t>
      </w:r>
      <w:r w:rsidR="00BE00DA"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F63PXAb","properties":{"formattedCitation":"[209]","plainCitation":"[209]","noteIndex":0},"citationItems":[{"id":"968HXJ10/GL9KQb1K","uris":["http://www.mendeley.com/documents/?uuid=fceb41a7-0f08-420c-90e0-ee4b7607fd0a"],"uri":["http://www.mendeley.com/documents/?uuid=fceb41a7-0f08-420c-90e0-ee4b7607fd0a"],"itemData":{"DOI":"10.17226/23490","ISBN":"0309440963","abstract":"The primary human activities that release carbon dioxide (CO2) into the atmosphere are the combustion of fossil fuels (coal, natural gas, and oil) to generate electricity, the provision of energy for transportation, and as a consequence of some industrial processes. Although aviation CO2 emissions only make up approximately 2.0 to 2.5 percent of total global annual CO2 emissions, research to reduce CO2 emissions is urgent because (1) such reductions may be legislated even as commercial air travel grows, (2) because it takes new technology a long time to propagate into and through the aviation fleet, and (3) because of the ongoing impact of global CO2 emissions. Commercial Aircraft Propulsion and Energy Systems Research develops a national research agenda for reducing CO2 emissions from commercial aviation. This report focuses on propulsion and energy technologies for reducing carbon emissions from large, commercial aircraft single-aisle and twin-aisle aircraft that carry 100 or more passengers because such aircraft account for more than 90 percent of global emissions from commercial aircraft. Moreover, while smaller aircraft also emit CO2, they make only a minor contribution to global emissions, and many technologies that reduce CO2 emissions for large aircraft also apply to smaller aircraft. As commercial aviation continues to grow in terms of revenue-passenger miles and cargo ton miles, CO2 emissions are expected to increase. To reduce the contribution of aviation to climate change, it is essential to improve the effectiveness of ongoing efforts to reduce emissions and initiate research into new approaches.","author":[{"dropping-particle":"","family":"The National academies press","given":"","non-dropping-particle":"","parse-names":false,"suffix":""}],"container-title":"The National academies press","id":"ITEM-1","issued":{"date-parts":[["2016"]]},"number-of-pages":"1-122","publisher":"National Academies Press","title":"Commercial aircraft propulsion and energy systems research: Reducing global carbon emissions","type":"report"}}],"schema":"https://github.com/citation-style-language/schema/raw/master/csl-citation.json"} </w:instrText>
      </w:r>
      <w:r w:rsidR="00BE00DA" w:rsidRPr="004D19FF">
        <w:rPr>
          <w:rFonts w:ascii="Times New Roman" w:hAnsi="Times New Roman"/>
          <w:sz w:val="20"/>
          <w:szCs w:val="20"/>
        </w:rPr>
        <w:fldChar w:fldCharType="separate"/>
      </w:r>
      <w:r w:rsidR="00681D64" w:rsidRPr="00681D64">
        <w:rPr>
          <w:rFonts w:ascii="Times New Roman" w:hAnsi="Times New Roman" w:cs="Times New Roman"/>
          <w:sz w:val="20"/>
        </w:rPr>
        <w:t>[209]</w:t>
      </w:r>
      <w:r w:rsidR="00BE00DA" w:rsidRPr="004D19FF">
        <w:rPr>
          <w:rFonts w:ascii="Times New Roman" w:hAnsi="Times New Roman"/>
          <w:sz w:val="20"/>
          <w:szCs w:val="20"/>
        </w:rPr>
        <w:fldChar w:fldCharType="end"/>
      </w:r>
      <w:r w:rsidR="00920742" w:rsidRPr="004D19FF">
        <w:rPr>
          <w:rFonts w:ascii="Times New Roman" w:hAnsi="Times New Roman"/>
          <w:sz w:val="20"/>
          <w:szCs w:val="20"/>
        </w:rPr>
        <w:t>.</w:t>
      </w:r>
      <w:r w:rsidR="00C74FC9" w:rsidRPr="004D19FF">
        <w:rPr>
          <w:rFonts w:ascii="Times New Roman" w:hAnsi="Times New Roman"/>
          <w:sz w:val="20"/>
          <w:szCs w:val="20"/>
        </w:rPr>
        <w:t xml:space="preserve"> </w:t>
      </w:r>
      <w:r>
        <w:rPr>
          <w:rFonts w:ascii="Times New Roman" w:hAnsi="Times New Roman"/>
          <w:sz w:val="20"/>
          <w:szCs w:val="20"/>
        </w:rPr>
        <w:t>Hence, liquid fuels are still required (configurations of Fig</w:t>
      </w:r>
      <w:r w:rsidR="008751EE">
        <w:rPr>
          <w:rFonts w:ascii="Times New Roman" w:hAnsi="Times New Roman"/>
          <w:sz w:val="20"/>
          <w:szCs w:val="20"/>
        </w:rPr>
        <w:t>s</w:t>
      </w:r>
      <w:r>
        <w:rPr>
          <w:rFonts w:ascii="Times New Roman" w:hAnsi="Times New Roman"/>
          <w:sz w:val="20"/>
          <w:szCs w:val="20"/>
        </w:rPr>
        <w:t>. 13a,</w:t>
      </w:r>
      <w:r w:rsidR="008751EE">
        <w:rPr>
          <w:rFonts w:ascii="Times New Roman" w:hAnsi="Times New Roman"/>
          <w:sz w:val="20"/>
          <w:szCs w:val="20"/>
        </w:rPr>
        <w:t xml:space="preserve"> </w:t>
      </w:r>
      <w:r>
        <w:rPr>
          <w:rFonts w:ascii="Times New Roman" w:hAnsi="Times New Roman"/>
          <w:sz w:val="20"/>
          <w:szCs w:val="20"/>
        </w:rPr>
        <w:t>b,</w:t>
      </w:r>
      <w:r w:rsidR="008751EE">
        <w:rPr>
          <w:rFonts w:ascii="Times New Roman" w:hAnsi="Times New Roman"/>
          <w:sz w:val="20"/>
          <w:szCs w:val="20"/>
        </w:rPr>
        <w:t xml:space="preserve"> </w:t>
      </w:r>
      <w:r>
        <w:rPr>
          <w:rFonts w:ascii="Times New Roman" w:hAnsi="Times New Roman"/>
          <w:sz w:val="20"/>
          <w:szCs w:val="20"/>
        </w:rPr>
        <w:t>d,</w:t>
      </w:r>
      <w:r w:rsidR="008751EE">
        <w:rPr>
          <w:rFonts w:ascii="Times New Roman" w:hAnsi="Times New Roman"/>
          <w:sz w:val="20"/>
          <w:szCs w:val="20"/>
        </w:rPr>
        <w:t xml:space="preserve"> and </w:t>
      </w:r>
      <w:r>
        <w:rPr>
          <w:rFonts w:ascii="Times New Roman" w:hAnsi="Times New Roman"/>
          <w:sz w:val="20"/>
          <w:szCs w:val="20"/>
        </w:rPr>
        <w:t xml:space="preserve">e) for commercial airplanes (typically with carrying capacity &gt;30 passengers). </w:t>
      </w:r>
      <w:r w:rsidR="00C74FC9" w:rsidRPr="004D19FF">
        <w:rPr>
          <w:rFonts w:ascii="Times New Roman" w:hAnsi="Times New Roman"/>
          <w:sz w:val="20"/>
          <w:szCs w:val="20"/>
        </w:rPr>
        <w:t>L</w:t>
      </w:r>
      <w:r w:rsidR="00010D0F" w:rsidRPr="004D19FF">
        <w:rPr>
          <w:rFonts w:ascii="Times New Roman" w:hAnsi="Times New Roman"/>
          <w:sz w:val="20"/>
          <w:szCs w:val="20"/>
        </w:rPr>
        <w:t xml:space="preserve">iquid biofuels/electrofuels with the acceptable aromatic content (minimum 8% as ASTM D7566) might be used instead of </w:t>
      </w:r>
      <w:r w:rsidR="00AA3C33" w:rsidRPr="004D19FF">
        <w:rPr>
          <w:rFonts w:ascii="Times New Roman" w:hAnsi="Times New Roman"/>
          <w:sz w:val="20"/>
          <w:szCs w:val="20"/>
        </w:rPr>
        <w:t>conventional</w:t>
      </w:r>
      <w:r w:rsidR="00010D0F" w:rsidRPr="004D19FF">
        <w:rPr>
          <w:rFonts w:ascii="Times New Roman" w:hAnsi="Times New Roman"/>
          <w:sz w:val="20"/>
          <w:szCs w:val="20"/>
        </w:rPr>
        <w:t xml:space="preserve"> kerosene in the future. </w:t>
      </w:r>
    </w:p>
    <w:p w14:paraId="34333FCC" w14:textId="7384995D" w:rsidR="005E357E" w:rsidRPr="004D19FF" w:rsidRDefault="00B101FB" w:rsidP="00BC4779">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Several projects have been launched to demonstrate </w:t>
      </w:r>
      <w:r w:rsidR="00482598" w:rsidRPr="004D19FF">
        <w:rPr>
          <w:rFonts w:ascii="Times New Roman" w:hAnsi="Times New Roman"/>
          <w:sz w:val="20"/>
          <w:szCs w:val="20"/>
        </w:rPr>
        <w:t xml:space="preserve">the feasibility of </w:t>
      </w:r>
      <w:r w:rsidRPr="004D19FF">
        <w:rPr>
          <w:rFonts w:ascii="Times New Roman" w:hAnsi="Times New Roman"/>
          <w:sz w:val="20"/>
          <w:szCs w:val="20"/>
        </w:rPr>
        <w:t xml:space="preserve">100% electric or hybrid electricity/kerosene </w:t>
      </w:r>
      <w:r w:rsidR="00D70A3C" w:rsidRPr="004D19FF">
        <w:rPr>
          <w:rFonts w:ascii="Times New Roman" w:hAnsi="Times New Roman"/>
          <w:sz w:val="20"/>
          <w:szCs w:val="20"/>
        </w:rPr>
        <w:t>propulsion systems</w:t>
      </w:r>
      <w:r w:rsidR="004732BB" w:rsidRPr="004D19FF">
        <w:rPr>
          <w:rFonts w:ascii="Times New Roman" w:hAnsi="Times New Roman"/>
          <w:sz w:val="20"/>
          <w:szCs w:val="20"/>
        </w:rPr>
        <w:t xml:space="preserve"> </w:t>
      </w:r>
      <w:r w:rsidR="00403A45" w:rsidRPr="004D19FF">
        <w:rPr>
          <w:rFonts w:ascii="Times New Roman" w:hAnsi="Times New Roman"/>
          <w:sz w:val="20"/>
          <w:szCs w:val="20"/>
        </w:rPr>
        <w:t>(F</w:t>
      </w:r>
      <w:r w:rsidR="00A60C5A">
        <w:rPr>
          <w:rFonts w:ascii="Times New Roman" w:hAnsi="Times New Roman"/>
          <w:sz w:val="20"/>
          <w:szCs w:val="20"/>
        </w:rPr>
        <w:t>ig. 12</w:t>
      </w:r>
      <w:r w:rsidR="004732BB" w:rsidRPr="004D19FF">
        <w:rPr>
          <w:rFonts w:ascii="Times New Roman" w:hAnsi="Times New Roman"/>
          <w:sz w:val="20"/>
          <w:szCs w:val="20"/>
        </w:rPr>
        <w:t>)</w:t>
      </w:r>
      <w:r w:rsidRPr="004D19FF">
        <w:rPr>
          <w:rFonts w:ascii="Times New Roman" w:hAnsi="Times New Roman"/>
          <w:sz w:val="20"/>
          <w:szCs w:val="20"/>
        </w:rPr>
        <w:t>. For example, the</w:t>
      </w:r>
      <w:r w:rsidR="004732BB" w:rsidRPr="004D19FF">
        <w:rPr>
          <w:rFonts w:ascii="Times New Roman" w:hAnsi="Times New Roman"/>
          <w:sz w:val="20"/>
          <w:szCs w:val="20"/>
        </w:rPr>
        <w:t xml:space="preserve"> company magniX (Canada) designed and demonstrated</w:t>
      </w:r>
      <w:r w:rsidRPr="004D19FF">
        <w:rPr>
          <w:rFonts w:ascii="Times New Roman" w:hAnsi="Times New Roman"/>
          <w:sz w:val="20"/>
          <w:szCs w:val="20"/>
        </w:rPr>
        <w:t xml:space="preserve"> high-power density electric propulsion system with the world’s first fully electric commercial seaplane</w:t>
      </w:r>
      <w:r w:rsidR="00482598" w:rsidRPr="004D19FF">
        <w:rPr>
          <w:rFonts w:ascii="Times New Roman" w:hAnsi="Times New Roman"/>
          <w:sz w:val="20"/>
          <w:szCs w:val="20"/>
        </w:rPr>
        <w:t>,</w:t>
      </w:r>
      <w:r w:rsidRPr="004D19FF">
        <w:rPr>
          <w:rFonts w:ascii="Times New Roman" w:hAnsi="Times New Roman"/>
          <w:sz w:val="20"/>
          <w:szCs w:val="20"/>
        </w:rPr>
        <w:t xml:space="preserve"> test</w:t>
      </w:r>
      <w:r w:rsidR="00482598" w:rsidRPr="004D19FF">
        <w:rPr>
          <w:rFonts w:ascii="Times New Roman" w:hAnsi="Times New Roman"/>
          <w:sz w:val="20"/>
          <w:szCs w:val="20"/>
        </w:rPr>
        <w:t>ed on</w:t>
      </w:r>
      <w:r w:rsidRPr="004D19FF">
        <w:rPr>
          <w:rFonts w:ascii="Times New Roman" w:hAnsi="Times New Roman"/>
          <w:sz w:val="20"/>
          <w:szCs w:val="20"/>
        </w:rPr>
        <w:t xml:space="preserve"> flight in December 2019 (6-passenger aircraft</w:t>
      </w:r>
      <w:r w:rsidR="004732BB" w:rsidRPr="004D19FF">
        <w:rPr>
          <w:rFonts w:ascii="Times New Roman" w:hAnsi="Times New Roman"/>
          <w:sz w:val="20"/>
          <w:szCs w:val="20"/>
        </w:rPr>
        <w:t>; flight range of 1,000 km</w:t>
      </w:r>
      <w:r w:rsidRPr="004D19FF">
        <w:rPr>
          <w:rFonts w:ascii="Times New Roman" w:hAnsi="Times New Roman"/>
          <w:sz w:val="20"/>
          <w:szCs w:val="20"/>
        </w:rPr>
        <w:t xml:space="preserve">) </w:t>
      </w:r>
      <w:r w:rsidR="00BB26A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iXR7lk1t","properties":{"formattedCitation":"[210]","plainCitation":"[210]","noteIndex":0},"citationItems":[{"id":"968HXJ10/O7rwuB46","uris":["http://www.mendeley.com/documents/?uuid=79df727b-286c-31ac-b4f4-f82a42632a5c"],"uri":["http://www.mendeley.com/documents/?uuid=79df727b-286c-31ac-b4f4-f82a42632a5c"],"itemData":{"URL":"https://www.magnix.aero/","accessed":{"date-parts":[["2019","12","12"]]},"author":[{"dropping-particle":"","family":"magniX","given":"","non-dropping-particle":"","parse-names":false,"suffix":""}],"container-title":"magniX","id":"ITEM-1","issued":{"date-parts":[["2019"]]},"title":"magniX","type":"webpage"}}],"schema":"https://github.com/citation-style-language/schema/raw/master/csl-citation.json"} </w:instrText>
      </w:r>
      <w:r w:rsidR="00BB26A5" w:rsidRPr="004D19FF">
        <w:rPr>
          <w:rFonts w:ascii="Times New Roman" w:hAnsi="Times New Roman"/>
          <w:sz w:val="20"/>
          <w:szCs w:val="20"/>
        </w:rPr>
        <w:fldChar w:fldCharType="separate"/>
      </w:r>
      <w:r w:rsidR="00681D64" w:rsidRPr="00681D64">
        <w:rPr>
          <w:rFonts w:ascii="Times New Roman" w:hAnsi="Times New Roman" w:cs="Times New Roman"/>
          <w:sz w:val="20"/>
        </w:rPr>
        <w:t>[210]</w:t>
      </w:r>
      <w:r w:rsidR="00BB26A5" w:rsidRPr="004D19FF">
        <w:rPr>
          <w:rFonts w:ascii="Times New Roman" w:hAnsi="Times New Roman"/>
          <w:sz w:val="20"/>
          <w:szCs w:val="20"/>
        </w:rPr>
        <w:fldChar w:fldCharType="end"/>
      </w:r>
      <w:r w:rsidRPr="004D19FF">
        <w:rPr>
          <w:rFonts w:ascii="Times New Roman" w:hAnsi="Times New Roman"/>
          <w:sz w:val="20"/>
          <w:szCs w:val="20"/>
        </w:rPr>
        <w:t xml:space="preserve">. </w:t>
      </w:r>
      <w:r w:rsidR="004732BB" w:rsidRPr="004D19FF">
        <w:rPr>
          <w:rFonts w:ascii="Times New Roman" w:hAnsi="Times New Roman"/>
          <w:sz w:val="20"/>
          <w:szCs w:val="20"/>
        </w:rPr>
        <w:t>In May 2020, magniX together with Harbour</w:t>
      </w:r>
      <w:r w:rsidR="005F6627">
        <w:rPr>
          <w:rFonts w:ascii="Times New Roman" w:hAnsi="Times New Roman"/>
          <w:sz w:val="20"/>
          <w:szCs w:val="20"/>
        </w:rPr>
        <w:t xml:space="preserve"> Air successfully tested an al</w:t>
      </w:r>
      <w:r w:rsidR="003E7411">
        <w:rPr>
          <w:rFonts w:ascii="Times New Roman" w:hAnsi="Times New Roman"/>
          <w:sz w:val="20"/>
          <w:szCs w:val="20"/>
        </w:rPr>
        <w:t xml:space="preserve">l </w:t>
      </w:r>
      <w:r w:rsidR="004732BB" w:rsidRPr="004D19FF">
        <w:rPr>
          <w:rFonts w:ascii="Times New Roman" w:hAnsi="Times New Roman"/>
          <w:sz w:val="20"/>
          <w:szCs w:val="20"/>
        </w:rPr>
        <w:t>electric</w:t>
      </w:r>
      <w:r w:rsidR="0081799E" w:rsidRPr="004D19FF">
        <w:rPr>
          <w:rFonts w:ascii="Times New Roman" w:hAnsi="Times New Roman"/>
          <w:sz w:val="20"/>
          <w:szCs w:val="20"/>
        </w:rPr>
        <w:t xml:space="preserve"> powered </w:t>
      </w:r>
      <w:r w:rsidR="009E0B81" w:rsidRPr="004D19FF">
        <w:rPr>
          <w:rFonts w:ascii="Times New Roman" w:hAnsi="Times New Roman"/>
          <w:sz w:val="20"/>
          <w:szCs w:val="20"/>
        </w:rPr>
        <w:t xml:space="preserve">system </w:t>
      </w:r>
      <w:r w:rsidR="0081799E" w:rsidRPr="004D19FF">
        <w:rPr>
          <w:rFonts w:ascii="Times New Roman" w:hAnsi="Times New Roman"/>
          <w:sz w:val="20"/>
          <w:szCs w:val="20"/>
        </w:rPr>
        <w:t>carrying up to 9 passengers</w:t>
      </w:r>
      <w:r w:rsidR="004732BB" w:rsidRPr="004D19FF">
        <w:rPr>
          <w:rFonts w:ascii="Times New Roman" w:hAnsi="Times New Roman"/>
          <w:sz w:val="20"/>
          <w:szCs w:val="20"/>
        </w:rPr>
        <w:t xml:space="preserve"> for a reported flight range of </w:t>
      </w:r>
      <w:r w:rsidR="00910800" w:rsidRPr="004D19FF">
        <w:rPr>
          <w:rFonts w:ascii="Times New Roman" w:hAnsi="Times New Roman"/>
          <w:sz w:val="20"/>
          <w:szCs w:val="20"/>
        </w:rPr>
        <w:t>ca.</w:t>
      </w:r>
      <w:r w:rsidR="004732BB" w:rsidRPr="004D19FF">
        <w:rPr>
          <w:rFonts w:ascii="Times New Roman" w:hAnsi="Times New Roman"/>
          <w:sz w:val="20"/>
          <w:szCs w:val="20"/>
        </w:rPr>
        <w:t xml:space="preserve"> 160 </w:t>
      </w:r>
      <w:r w:rsidR="004732BB" w:rsidRPr="004D19FF">
        <w:rPr>
          <w:rFonts w:ascii="Times New Roman" w:hAnsi="Times New Roman"/>
          <w:sz w:val="20"/>
          <w:szCs w:val="20"/>
        </w:rPr>
        <w:lastRenderedPageBreak/>
        <w:t>km (e-Caravan; retrofitted from Ceravan 208)</w:t>
      </w:r>
      <w:r w:rsidR="009C3F58" w:rsidRPr="004D19FF">
        <w:rPr>
          <w:rFonts w:ascii="Times New Roman" w:hAnsi="Times New Roman"/>
          <w:sz w:val="20"/>
          <w:szCs w:val="20"/>
        </w:rPr>
        <w:t xml:space="preserve"> </w:t>
      </w:r>
      <w:r w:rsidR="009C3F58"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MEcFUkY0","properties":{"formattedCitation":"[211,212]","plainCitation":"[211,212]","noteIndex":0},"citationItems":[{"id":"968HXJ10/Uh4B0saw","uris":["http://www.mendeley.com/documents/?uuid=68a4d829-a2fa-379e-860a-895b8e7cbcbb"],"uri":["http://www.mendeley.com/documents/?uuid=68a4d829-a2fa-379e-860a-895b8e7cbcbb"],"itemData":{"URL":"https://techxplore.com/news/2020-05-groundbreaking-all-electric-plane-paving-greener.html","accessed":{"date-parts":[["2020","8","25"]]},"author":[{"dropping-particle":"","family":"Grad","given":"Peter","non-dropping-particle":"","parse-names":false,"suffix":""}],"container-title":"Tech Xplore","id":"ITEM-1","issued":{"date-parts":[["2020"]]},"title":"Groundbreaking all-electric plane paving way to greener aviation","type":"webpage"}},{"id":"968HXJ10/yD8uiv1N","uris":["http://www.mendeley.com/documents/?uuid=5fd703a3-d0a0-30be-abfb-2e28bc578f2d"],"uri":["http://www.mendeley.com/documents/?uuid=5fd703a3-d0a0-30be-abfb-2e28bc578f2d"],"itemData":{"URL":"https://www.euronews.com/living/2020/06/01/world-s-largest-all-electric-plane-generates-zero-carbon-emissions","accessed":{"date-parts":[["2020","8","25"]]},"author":[{"dropping-particle":"","family":"Campbell","given":"Maeve","non-dropping-particle":"","parse-names":false,"suffix":""}],"container-title":"LIVING","id":"ITEM-2","issued":{"date-parts":[["2020"]]},"title":"World's largest all-electric plane generates zero carbon emissions | Living","type":"webpage"}}],"schema":"https://github.com/citation-style-language/schema/raw/master/csl-citation.json"} </w:instrText>
      </w:r>
      <w:r w:rsidR="009C3F58" w:rsidRPr="004D19FF">
        <w:rPr>
          <w:rFonts w:ascii="Times New Roman" w:hAnsi="Times New Roman"/>
          <w:sz w:val="20"/>
          <w:szCs w:val="20"/>
        </w:rPr>
        <w:fldChar w:fldCharType="separate"/>
      </w:r>
      <w:r w:rsidR="00681D64" w:rsidRPr="00681D64">
        <w:rPr>
          <w:rFonts w:ascii="Times New Roman" w:hAnsi="Times New Roman" w:cs="Times New Roman"/>
          <w:sz w:val="20"/>
        </w:rPr>
        <w:t>[211,212]</w:t>
      </w:r>
      <w:r w:rsidR="009C3F58" w:rsidRPr="004D19FF">
        <w:rPr>
          <w:rFonts w:ascii="Times New Roman" w:hAnsi="Times New Roman"/>
          <w:sz w:val="20"/>
          <w:szCs w:val="20"/>
        </w:rPr>
        <w:fldChar w:fldCharType="end"/>
      </w:r>
      <w:r w:rsidR="0081799E" w:rsidRPr="004D19FF">
        <w:rPr>
          <w:rFonts w:ascii="Times New Roman" w:hAnsi="Times New Roman"/>
          <w:sz w:val="20"/>
          <w:szCs w:val="20"/>
        </w:rPr>
        <w:t xml:space="preserve">. </w:t>
      </w:r>
      <w:r w:rsidR="003342E5" w:rsidRPr="004D19FF">
        <w:rPr>
          <w:rFonts w:ascii="Times New Roman" w:hAnsi="Times New Roman"/>
          <w:sz w:val="20"/>
          <w:szCs w:val="20"/>
        </w:rPr>
        <w:t>It is</w:t>
      </w:r>
      <w:r w:rsidR="004107AE" w:rsidRPr="004D19FF">
        <w:rPr>
          <w:rFonts w:ascii="Times New Roman" w:hAnsi="Times New Roman"/>
          <w:sz w:val="20"/>
          <w:szCs w:val="20"/>
        </w:rPr>
        <w:t>, at the time of writing,</w:t>
      </w:r>
      <w:r w:rsidR="003E7411">
        <w:rPr>
          <w:rFonts w:ascii="Times New Roman" w:hAnsi="Times New Roman"/>
          <w:sz w:val="20"/>
          <w:szCs w:val="20"/>
        </w:rPr>
        <w:t xml:space="preserve"> the largest all </w:t>
      </w:r>
      <w:r w:rsidR="003342E5" w:rsidRPr="004D19FF">
        <w:rPr>
          <w:rFonts w:ascii="Times New Roman" w:hAnsi="Times New Roman"/>
          <w:sz w:val="20"/>
          <w:szCs w:val="20"/>
        </w:rPr>
        <w:t xml:space="preserve">electric aircraft </w:t>
      </w:r>
      <w:r w:rsidR="004107AE" w:rsidRPr="004D19FF">
        <w:rPr>
          <w:rFonts w:ascii="Times New Roman" w:hAnsi="Times New Roman"/>
          <w:sz w:val="20"/>
          <w:szCs w:val="20"/>
        </w:rPr>
        <w:t xml:space="preserve">with </w:t>
      </w:r>
      <w:r w:rsidR="006F2A63" w:rsidRPr="004D19FF">
        <w:rPr>
          <w:rFonts w:ascii="Times New Roman" w:hAnsi="Times New Roman"/>
          <w:sz w:val="20"/>
          <w:szCs w:val="20"/>
        </w:rPr>
        <w:t>successful test flight</w:t>
      </w:r>
      <w:r w:rsidR="003342E5" w:rsidRPr="004D19FF">
        <w:rPr>
          <w:rFonts w:ascii="Times New Roman" w:hAnsi="Times New Roman"/>
          <w:sz w:val="20"/>
          <w:szCs w:val="20"/>
        </w:rPr>
        <w:t xml:space="preserve">. </w:t>
      </w:r>
      <w:r w:rsidRPr="004D19FF">
        <w:rPr>
          <w:rFonts w:ascii="Times New Roman" w:hAnsi="Times New Roman"/>
          <w:sz w:val="20"/>
          <w:szCs w:val="20"/>
        </w:rPr>
        <w:t>The startup Eviation (Israel) launc</w:t>
      </w:r>
      <w:r w:rsidR="003E7411">
        <w:rPr>
          <w:rFonts w:ascii="Times New Roman" w:hAnsi="Times New Roman"/>
          <w:sz w:val="20"/>
          <w:szCs w:val="20"/>
        </w:rPr>
        <w:t xml:space="preserve">hed Alice, a nine-passenger all </w:t>
      </w:r>
      <w:r w:rsidRPr="004D19FF">
        <w:rPr>
          <w:rFonts w:ascii="Times New Roman" w:hAnsi="Times New Roman"/>
          <w:sz w:val="20"/>
          <w:szCs w:val="20"/>
        </w:rPr>
        <w:t>electric aircraft with a</w:t>
      </w:r>
      <w:r w:rsidR="004107AE" w:rsidRPr="004D19FF">
        <w:rPr>
          <w:rFonts w:ascii="Times New Roman" w:hAnsi="Times New Roman"/>
          <w:sz w:val="20"/>
          <w:szCs w:val="20"/>
        </w:rPr>
        <w:t>n autonomy</w:t>
      </w:r>
      <w:r w:rsidRPr="004D19FF">
        <w:rPr>
          <w:rFonts w:ascii="Times New Roman" w:hAnsi="Times New Roman"/>
          <w:sz w:val="20"/>
          <w:szCs w:val="20"/>
        </w:rPr>
        <w:t xml:space="preserve"> r</w:t>
      </w:r>
      <w:r w:rsidR="00482598" w:rsidRPr="004D19FF">
        <w:rPr>
          <w:rFonts w:ascii="Times New Roman" w:hAnsi="Times New Roman"/>
          <w:sz w:val="20"/>
          <w:szCs w:val="20"/>
        </w:rPr>
        <w:t>ange of 650 miles</w:t>
      </w:r>
      <w:r w:rsidR="00636A28">
        <w:rPr>
          <w:rFonts w:ascii="Times New Roman" w:hAnsi="Times New Roman"/>
          <w:sz w:val="20"/>
          <w:szCs w:val="20"/>
        </w:rPr>
        <w:t xml:space="preserve"> (1,046 km)</w:t>
      </w:r>
      <w:r w:rsidR="004107AE" w:rsidRPr="004D19FF">
        <w:rPr>
          <w:rFonts w:ascii="Times New Roman" w:hAnsi="Times New Roman"/>
          <w:sz w:val="20"/>
          <w:szCs w:val="20"/>
        </w:rPr>
        <w:t xml:space="preserve">, </w:t>
      </w:r>
      <w:r w:rsidRPr="004D19FF">
        <w:rPr>
          <w:rFonts w:ascii="Times New Roman" w:hAnsi="Times New Roman"/>
          <w:sz w:val="20"/>
          <w:szCs w:val="20"/>
        </w:rPr>
        <w:t xml:space="preserve">expected to be in service by 2022 </w:t>
      </w:r>
      <w:r w:rsidR="000E0D30"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cDQx1ZD","properties":{"formattedCitation":"[213]","plainCitation":"[213]","noteIndex":0},"citationItems":[{"id":"968HXJ10/xspGziDS","uris":["http://www.mendeley.com/documents/?uuid=708e4a36-812c-3ce1-a539-e9f9cba264dd"],"uri":["http://www.mendeley.com/documents/?uuid=708e4a36-812c-3ce1-a539-e9f9cba264dd"],"itemData":{"URL":"https://www.eviation.co/alice/","accessed":{"date-parts":[["2019","12","13"]]},"author":[{"dropping-particle":"","family":"Eviation","given":"","non-dropping-particle":"","parse-names":false,"suffix":""}],"container-title":"Eviation","id":"ITEM-1","issued":{"date-parts":[["2019"]]},"title":"Alice | Eviation","type":"webpage"}}],"schema":"https://github.com/citation-style-language/schema/raw/master/csl-citation.json"} </w:instrText>
      </w:r>
      <w:r w:rsidR="000E0D30" w:rsidRPr="004D19FF">
        <w:rPr>
          <w:rFonts w:ascii="Times New Roman" w:hAnsi="Times New Roman"/>
          <w:sz w:val="20"/>
          <w:szCs w:val="20"/>
        </w:rPr>
        <w:fldChar w:fldCharType="separate"/>
      </w:r>
      <w:r w:rsidR="00681D64" w:rsidRPr="00681D64">
        <w:rPr>
          <w:rFonts w:ascii="Times New Roman" w:hAnsi="Times New Roman" w:cs="Times New Roman"/>
          <w:sz w:val="20"/>
        </w:rPr>
        <w:t>[213]</w:t>
      </w:r>
      <w:r w:rsidR="000E0D30" w:rsidRPr="004D19FF">
        <w:rPr>
          <w:rFonts w:ascii="Times New Roman" w:hAnsi="Times New Roman"/>
          <w:sz w:val="20"/>
          <w:szCs w:val="20"/>
        </w:rPr>
        <w:fldChar w:fldCharType="end"/>
      </w:r>
      <w:r w:rsidRPr="004D19FF">
        <w:rPr>
          <w:rFonts w:ascii="Times New Roman" w:hAnsi="Times New Roman"/>
          <w:sz w:val="20"/>
          <w:szCs w:val="20"/>
        </w:rPr>
        <w:t xml:space="preserve">. The aircraft relies on a battery </w:t>
      </w:r>
      <w:r w:rsidR="00636A28">
        <w:rPr>
          <w:rFonts w:ascii="Times New Roman" w:hAnsi="Times New Roman"/>
          <w:sz w:val="20"/>
          <w:szCs w:val="20"/>
        </w:rPr>
        <w:t xml:space="preserve">that </w:t>
      </w:r>
      <w:r w:rsidRPr="004D19FF">
        <w:rPr>
          <w:rFonts w:ascii="Times New Roman" w:hAnsi="Times New Roman"/>
          <w:sz w:val="20"/>
          <w:szCs w:val="20"/>
        </w:rPr>
        <w:t xml:space="preserve">can be </w:t>
      </w:r>
      <w:r w:rsidR="0026366A" w:rsidRPr="004D19FF">
        <w:rPr>
          <w:rFonts w:ascii="Times New Roman" w:hAnsi="Times New Roman"/>
          <w:sz w:val="20"/>
          <w:szCs w:val="20"/>
        </w:rPr>
        <w:t xml:space="preserve">fully </w:t>
      </w:r>
      <w:r w:rsidRPr="004D19FF">
        <w:rPr>
          <w:rFonts w:ascii="Times New Roman" w:hAnsi="Times New Roman"/>
          <w:sz w:val="20"/>
          <w:szCs w:val="20"/>
        </w:rPr>
        <w:t xml:space="preserve">charged </w:t>
      </w:r>
      <w:r w:rsidR="0026366A" w:rsidRPr="004D19FF">
        <w:rPr>
          <w:rFonts w:ascii="Times New Roman" w:hAnsi="Times New Roman"/>
          <w:sz w:val="20"/>
          <w:szCs w:val="20"/>
        </w:rPr>
        <w:t>within 70 minutes</w:t>
      </w:r>
      <w:r w:rsidRPr="004D19FF">
        <w:rPr>
          <w:rFonts w:ascii="Times New Roman" w:hAnsi="Times New Roman"/>
          <w:sz w:val="20"/>
          <w:szCs w:val="20"/>
        </w:rPr>
        <w:t xml:space="preserve"> </w:t>
      </w:r>
      <w:r w:rsidR="00482598" w:rsidRPr="004D19FF">
        <w:rPr>
          <w:rFonts w:ascii="Times New Roman" w:hAnsi="Times New Roman"/>
          <w:sz w:val="20"/>
          <w:szCs w:val="20"/>
        </w:rPr>
        <w:t>and is expected</w:t>
      </w:r>
      <w:r w:rsidR="00E54D6E" w:rsidRPr="004D19FF">
        <w:rPr>
          <w:rFonts w:ascii="Times New Roman" w:hAnsi="Times New Roman"/>
          <w:sz w:val="20"/>
          <w:szCs w:val="20"/>
        </w:rPr>
        <w:t xml:space="preserve"> to be FAA certificated</w:t>
      </w:r>
      <w:r w:rsidR="00636A28">
        <w:rPr>
          <w:rFonts w:ascii="Times New Roman" w:hAnsi="Times New Roman"/>
          <w:sz w:val="20"/>
          <w:szCs w:val="20"/>
        </w:rPr>
        <w:t xml:space="preserve"> (FAA: USA Federal Aviation Admi</w:t>
      </w:r>
      <w:r w:rsidR="00AF64EF">
        <w:rPr>
          <w:rFonts w:ascii="Times New Roman" w:hAnsi="Times New Roman"/>
          <w:sz w:val="20"/>
          <w:szCs w:val="20"/>
        </w:rPr>
        <w:t>ni</w:t>
      </w:r>
      <w:r w:rsidR="00636A28">
        <w:rPr>
          <w:rFonts w:ascii="Times New Roman" w:hAnsi="Times New Roman"/>
          <w:sz w:val="20"/>
          <w:szCs w:val="20"/>
        </w:rPr>
        <w:t>stration)</w:t>
      </w:r>
      <w:r w:rsidR="00E54D6E" w:rsidRPr="004D19FF">
        <w:rPr>
          <w:rFonts w:ascii="Times New Roman" w:hAnsi="Times New Roman"/>
          <w:sz w:val="20"/>
          <w:szCs w:val="20"/>
        </w:rPr>
        <w:t xml:space="preserve"> by 2022</w:t>
      </w:r>
      <w:r w:rsidRPr="004D19FF">
        <w:rPr>
          <w:rFonts w:ascii="Times New Roman" w:hAnsi="Times New Roman"/>
          <w:sz w:val="20"/>
          <w:szCs w:val="20"/>
        </w:rPr>
        <w:t xml:space="preserve"> </w:t>
      </w:r>
      <w:r w:rsidR="000E0D30"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cHtdGoIy","properties":{"formattedCitation":"[213]","plainCitation":"[213]","noteIndex":0},"citationItems":[{"id":"968HXJ10/xspGziDS","uris":["http://www.mendeley.com/documents/?uuid=708e4a36-812c-3ce1-a539-e9f9cba264dd"],"uri":["http://www.mendeley.com/documents/?uuid=708e4a36-812c-3ce1-a539-e9f9cba264dd"],"itemData":{"URL":"https://www.eviation.co/alice/","accessed":{"date-parts":[["2019","12","13"]]},"author":[{"dropping-particle":"","family":"Eviation","given":"","non-dropping-particle":"","parse-names":false,"suffix":""}],"container-title":"Eviation","id":"ITEM-1","issued":{"date-parts":[["2019"]]},"title":"Alice | Eviation","type":"webpage"}}],"schema":"https://github.com/citation-style-language/schema/raw/master/csl-citation.json"} </w:instrText>
      </w:r>
      <w:r w:rsidR="000E0D30" w:rsidRPr="004D19FF">
        <w:rPr>
          <w:rFonts w:ascii="Times New Roman" w:hAnsi="Times New Roman"/>
          <w:sz w:val="20"/>
          <w:szCs w:val="20"/>
        </w:rPr>
        <w:fldChar w:fldCharType="separate"/>
      </w:r>
      <w:r w:rsidR="00681D64" w:rsidRPr="00681D64">
        <w:rPr>
          <w:rFonts w:ascii="Times New Roman" w:hAnsi="Times New Roman" w:cs="Times New Roman"/>
          <w:sz w:val="20"/>
        </w:rPr>
        <w:t>[213]</w:t>
      </w:r>
      <w:r w:rsidR="000E0D30" w:rsidRPr="004D19FF">
        <w:rPr>
          <w:rFonts w:ascii="Times New Roman" w:hAnsi="Times New Roman"/>
          <w:sz w:val="20"/>
          <w:szCs w:val="20"/>
        </w:rPr>
        <w:fldChar w:fldCharType="end"/>
      </w:r>
      <w:r w:rsidRPr="004D19FF">
        <w:rPr>
          <w:rFonts w:ascii="Times New Roman" w:hAnsi="Times New Roman"/>
          <w:sz w:val="20"/>
          <w:szCs w:val="20"/>
        </w:rPr>
        <w:t xml:space="preserve">. </w:t>
      </w:r>
      <w:r w:rsidR="00FB2BC9" w:rsidRPr="004D19FF">
        <w:rPr>
          <w:rFonts w:ascii="Times New Roman" w:hAnsi="Times New Roman"/>
          <w:sz w:val="20"/>
          <w:szCs w:val="20"/>
        </w:rPr>
        <w:t>H</w:t>
      </w:r>
      <w:r w:rsidR="00B36025" w:rsidRPr="004D19FF">
        <w:rPr>
          <w:rFonts w:ascii="Times New Roman" w:hAnsi="Times New Roman"/>
          <w:sz w:val="20"/>
          <w:szCs w:val="20"/>
        </w:rPr>
        <w:t xml:space="preserve">owever, a fire incident </w:t>
      </w:r>
      <w:r w:rsidR="004107AE" w:rsidRPr="004D19FF">
        <w:rPr>
          <w:rFonts w:ascii="Times New Roman" w:hAnsi="Times New Roman"/>
          <w:sz w:val="20"/>
          <w:szCs w:val="20"/>
        </w:rPr>
        <w:t>has</w:t>
      </w:r>
      <w:r w:rsidR="0096292F" w:rsidRPr="004D19FF">
        <w:rPr>
          <w:rFonts w:ascii="Times New Roman" w:hAnsi="Times New Roman"/>
          <w:sz w:val="20"/>
          <w:szCs w:val="20"/>
        </w:rPr>
        <w:t xml:space="preserve"> occurred during Alice </w:t>
      </w:r>
      <w:r w:rsidR="00293A0C" w:rsidRPr="004D19FF">
        <w:rPr>
          <w:rFonts w:ascii="Times New Roman" w:hAnsi="Times New Roman"/>
          <w:sz w:val="20"/>
          <w:szCs w:val="20"/>
        </w:rPr>
        <w:t xml:space="preserve">ground </w:t>
      </w:r>
      <w:r w:rsidR="0096292F" w:rsidRPr="004D19FF">
        <w:rPr>
          <w:rFonts w:ascii="Times New Roman" w:hAnsi="Times New Roman"/>
          <w:sz w:val="20"/>
          <w:szCs w:val="20"/>
        </w:rPr>
        <w:t>test in January 2020</w:t>
      </w:r>
      <w:r w:rsidR="00FB2BC9" w:rsidRPr="004D19FF">
        <w:rPr>
          <w:rFonts w:ascii="Times New Roman" w:hAnsi="Times New Roman"/>
          <w:sz w:val="20"/>
          <w:szCs w:val="20"/>
        </w:rPr>
        <w:t xml:space="preserve"> caused by a </w:t>
      </w:r>
      <w:r w:rsidR="00BD6F30" w:rsidRPr="004D19FF">
        <w:rPr>
          <w:rFonts w:ascii="Times New Roman" w:hAnsi="Times New Roman"/>
          <w:sz w:val="20"/>
          <w:szCs w:val="20"/>
        </w:rPr>
        <w:t xml:space="preserve">fault with a </w:t>
      </w:r>
      <w:r w:rsidR="00FB2BC9" w:rsidRPr="004D19FF">
        <w:rPr>
          <w:rFonts w:ascii="Times New Roman" w:hAnsi="Times New Roman"/>
          <w:sz w:val="20"/>
          <w:szCs w:val="20"/>
        </w:rPr>
        <w:t>ground-based battery system</w:t>
      </w:r>
      <w:r w:rsidR="002736D0" w:rsidRPr="004D19FF">
        <w:rPr>
          <w:rFonts w:ascii="Times New Roman" w:hAnsi="Times New Roman"/>
          <w:sz w:val="20"/>
          <w:szCs w:val="20"/>
        </w:rPr>
        <w:t xml:space="preserve"> </w:t>
      </w:r>
      <w:r w:rsidR="002736D0"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YDP3LiTU","properties":{"formattedCitation":"[214]","plainCitation":"[214]","noteIndex":0},"citationItems":[{"id":"968HXJ10/F3k2HVnG","uris":["http://www.mendeley.com/documents/?uuid=f2f20cab-4329-332d-bbb3-f0d210a79e90"],"uri":["http://www.mendeley.com/documents/?uuid=f2f20cab-4329-332d-bbb3-f0d210a79e90"],"itemData":{"URL":"https://www.ainonline.com/aviation-news/business-aviation/2020-01-24/eviations-electric-alice-aircraft-catches-fire-during-ground-tests","accessed":{"date-parts":[["2020","8","25"]]},"author":[{"dropping-particle":"","family":"Alcock","given":"Charles","non-dropping-particle":"","parse-names":false,"suffix":""}],"container-title":"AIN online","id":"ITEM-1","issued":{"date-parts":[["2020"]]},"title":"Eviation's Alice Electric Aircraft Caught Fire in Prescott, Arizona | Business Aviation News: Aviation International News","type":"webpage"}}],"schema":"https://github.com/citation-style-language/schema/raw/master/csl-citation.json"} </w:instrText>
      </w:r>
      <w:r w:rsidR="002736D0" w:rsidRPr="004D19FF">
        <w:rPr>
          <w:rFonts w:ascii="Times New Roman" w:hAnsi="Times New Roman"/>
          <w:sz w:val="20"/>
          <w:szCs w:val="20"/>
        </w:rPr>
        <w:fldChar w:fldCharType="separate"/>
      </w:r>
      <w:r w:rsidR="00681D64" w:rsidRPr="00681D64">
        <w:rPr>
          <w:rFonts w:ascii="Times New Roman" w:hAnsi="Times New Roman" w:cs="Times New Roman"/>
          <w:sz w:val="20"/>
        </w:rPr>
        <w:t>[214]</w:t>
      </w:r>
      <w:r w:rsidR="002736D0" w:rsidRPr="004D19FF">
        <w:rPr>
          <w:rFonts w:ascii="Times New Roman" w:hAnsi="Times New Roman"/>
          <w:sz w:val="20"/>
          <w:szCs w:val="20"/>
        </w:rPr>
        <w:fldChar w:fldCharType="end"/>
      </w:r>
      <w:r w:rsidR="0096292F" w:rsidRPr="004D19FF">
        <w:rPr>
          <w:rFonts w:ascii="Times New Roman" w:hAnsi="Times New Roman"/>
          <w:sz w:val="20"/>
          <w:szCs w:val="20"/>
        </w:rPr>
        <w:t xml:space="preserve">. </w:t>
      </w:r>
      <w:r w:rsidR="007D72D4" w:rsidRPr="004D19FF">
        <w:rPr>
          <w:rFonts w:ascii="Times New Roman" w:hAnsi="Times New Roman"/>
          <w:sz w:val="20"/>
          <w:szCs w:val="20"/>
        </w:rPr>
        <w:t xml:space="preserve">In Europe, EasyJet </w:t>
      </w:r>
      <w:r w:rsidR="00482598" w:rsidRPr="004D19FF">
        <w:rPr>
          <w:rFonts w:ascii="Times New Roman" w:hAnsi="Times New Roman"/>
          <w:sz w:val="20"/>
          <w:szCs w:val="20"/>
        </w:rPr>
        <w:t>and</w:t>
      </w:r>
      <w:r w:rsidR="007D72D4" w:rsidRPr="004D19FF">
        <w:rPr>
          <w:rFonts w:ascii="Times New Roman" w:hAnsi="Times New Roman"/>
          <w:sz w:val="20"/>
          <w:szCs w:val="20"/>
        </w:rPr>
        <w:t xml:space="preserve"> Wright Electric </w:t>
      </w:r>
      <w:r w:rsidR="004107AE" w:rsidRPr="004D19FF">
        <w:rPr>
          <w:rFonts w:ascii="Times New Roman" w:hAnsi="Times New Roman"/>
          <w:sz w:val="20"/>
          <w:szCs w:val="20"/>
        </w:rPr>
        <w:t>are developing</w:t>
      </w:r>
      <w:r w:rsidR="00482598" w:rsidRPr="004D19FF">
        <w:rPr>
          <w:rFonts w:ascii="Times New Roman" w:hAnsi="Times New Roman"/>
          <w:sz w:val="20"/>
          <w:szCs w:val="20"/>
        </w:rPr>
        <w:t xml:space="preserve"> since 2017</w:t>
      </w:r>
      <w:r w:rsidR="00636A28">
        <w:rPr>
          <w:rFonts w:ascii="Times New Roman" w:hAnsi="Times New Roman"/>
          <w:sz w:val="20"/>
          <w:szCs w:val="20"/>
        </w:rPr>
        <w:t xml:space="preserve"> an </w:t>
      </w:r>
      <w:r w:rsidR="003E7411">
        <w:rPr>
          <w:rFonts w:ascii="Times New Roman" w:hAnsi="Times New Roman"/>
          <w:sz w:val="20"/>
          <w:szCs w:val="20"/>
        </w:rPr>
        <w:t xml:space="preserve">all </w:t>
      </w:r>
      <w:r w:rsidR="004107AE" w:rsidRPr="004D19FF">
        <w:rPr>
          <w:rFonts w:ascii="Times New Roman" w:hAnsi="Times New Roman"/>
          <w:sz w:val="20"/>
          <w:szCs w:val="20"/>
        </w:rPr>
        <w:t>electric aircraft</w:t>
      </w:r>
      <w:r w:rsidR="007D72D4" w:rsidRPr="004D19FF">
        <w:rPr>
          <w:rFonts w:ascii="Times New Roman" w:hAnsi="Times New Roman"/>
          <w:sz w:val="20"/>
          <w:szCs w:val="20"/>
        </w:rPr>
        <w:t xml:space="preserve"> (186 seats), and announced it will start using electric </w:t>
      </w:r>
      <w:r w:rsidR="00332C7A">
        <w:rPr>
          <w:rFonts w:ascii="Times New Roman" w:hAnsi="Times New Roman"/>
          <w:sz w:val="20"/>
          <w:szCs w:val="20"/>
        </w:rPr>
        <w:t>aircraft</w:t>
      </w:r>
      <w:r w:rsidR="007D72D4" w:rsidRPr="004D19FF">
        <w:rPr>
          <w:rFonts w:ascii="Times New Roman" w:hAnsi="Times New Roman"/>
          <w:sz w:val="20"/>
          <w:szCs w:val="20"/>
        </w:rPr>
        <w:t xml:space="preserve"> to cover short-haul routes by 2030 </w:t>
      </w:r>
      <w:r w:rsidR="00606D86"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U5u2sBMb","properties":{"formattedCitation":"[215]","plainCitation":"[215]","noteIndex":0},"citationItems":[{"id":"968HXJ10/4lB1ri2Z","uris":["http://www.mendeley.com/documents/?uuid=81554c9c-ae46-341d-bb1d-0ed0dd84dc7d"],"uri":["http://www.mendeley.com/documents/?uuid=81554c9c-ae46-341d-bb1d-0ed0dd84dc7d"],"itemData":{"URL":"https://mediacentre.easyjet.com/story/13660/easyjet-s-partner-wright-electric-begins-engine-development-program-for-186-seat-electric-aircraft","accessed":{"date-parts":[["2020","2","1"]]},"author":[{"dropping-particle":"","family":"easyJet","given":"","non-dropping-particle":"","parse-names":false,"suffix":""}],"container-title":"easyJet","id":"ITEM-1","issued":{"date-parts":[["2020"]]},"title":"easyJet's partner Wright Electric begins engine development program for 186 seat electric aircraft","type":"webpage"}}],"schema":"https://github.com/citation-style-language/schema/raw/master/csl-citation.json"} </w:instrText>
      </w:r>
      <w:r w:rsidR="00606D86" w:rsidRPr="004D19FF">
        <w:rPr>
          <w:rFonts w:ascii="Times New Roman" w:hAnsi="Times New Roman"/>
          <w:sz w:val="20"/>
          <w:szCs w:val="20"/>
        </w:rPr>
        <w:fldChar w:fldCharType="separate"/>
      </w:r>
      <w:r w:rsidR="00681D64" w:rsidRPr="00681D64">
        <w:rPr>
          <w:rFonts w:ascii="Times New Roman" w:hAnsi="Times New Roman" w:cs="Times New Roman"/>
          <w:sz w:val="20"/>
        </w:rPr>
        <w:t>[215]</w:t>
      </w:r>
      <w:r w:rsidR="00606D86" w:rsidRPr="004D19FF">
        <w:rPr>
          <w:rFonts w:ascii="Times New Roman" w:hAnsi="Times New Roman"/>
          <w:sz w:val="20"/>
          <w:szCs w:val="20"/>
        </w:rPr>
        <w:fldChar w:fldCharType="end"/>
      </w:r>
      <w:r w:rsidR="00B1007C" w:rsidRPr="004D19FF">
        <w:rPr>
          <w:rFonts w:ascii="Times New Roman" w:hAnsi="Times New Roman"/>
          <w:sz w:val="20"/>
          <w:szCs w:val="20"/>
        </w:rPr>
        <w:t xml:space="preserve">. </w:t>
      </w:r>
      <w:r w:rsidR="007D72D4" w:rsidRPr="004D19FF">
        <w:rPr>
          <w:rFonts w:ascii="Times New Roman" w:hAnsi="Times New Roman"/>
          <w:sz w:val="20"/>
          <w:szCs w:val="20"/>
        </w:rPr>
        <w:t>Additional detail</w:t>
      </w:r>
      <w:r w:rsidR="00636A28">
        <w:rPr>
          <w:rFonts w:ascii="Times New Roman" w:hAnsi="Times New Roman"/>
          <w:sz w:val="20"/>
          <w:szCs w:val="20"/>
        </w:rPr>
        <w:t>s</w:t>
      </w:r>
      <w:r w:rsidR="007D72D4" w:rsidRPr="004D19FF">
        <w:rPr>
          <w:rFonts w:ascii="Times New Roman" w:hAnsi="Times New Roman"/>
          <w:sz w:val="20"/>
          <w:szCs w:val="20"/>
        </w:rPr>
        <w:t xml:space="preserve"> on these emerging developments along with specifications on these technologies are presented in the SM</w:t>
      </w:r>
      <w:r w:rsidR="00A217A1">
        <w:rPr>
          <w:rFonts w:ascii="Times New Roman" w:hAnsi="Times New Roman"/>
          <w:sz w:val="20"/>
          <w:szCs w:val="20"/>
        </w:rPr>
        <w:t>1</w:t>
      </w:r>
      <w:r w:rsidR="007D72D4" w:rsidRPr="004D19FF">
        <w:rPr>
          <w:rFonts w:ascii="Times New Roman" w:hAnsi="Times New Roman"/>
          <w:sz w:val="20"/>
          <w:szCs w:val="20"/>
        </w:rPr>
        <w:t xml:space="preserve">. </w:t>
      </w:r>
      <w:r w:rsidR="00515C7F" w:rsidRPr="004D19FF">
        <w:rPr>
          <w:rFonts w:ascii="Times New Roman" w:hAnsi="Times New Roman"/>
          <w:sz w:val="20"/>
          <w:szCs w:val="20"/>
        </w:rPr>
        <w:t>Despite this growing momentum, t</w:t>
      </w:r>
      <w:r w:rsidR="00D42A3B">
        <w:rPr>
          <w:rFonts w:ascii="Times New Roman" w:hAnsi="Times New Roman"/>
          <w:sz w:val="20"/>
          <w:szCs w:val="20"/>
        </w:rPr>
        <w:t>here are limitations to battery-</w:t>
      </w:r>
      <w:r w:rsidR="00515C7F" w:rsidRPr="004D19FF">
        <w:rPr>
          <w:rFonts w:ascii="Times New Roman" w:hAnsi="Times New Roman"/>
          <w:sz w:val="20"/>
          <w:szCs w:val="20"/>
        </w:rPr>
        <w:t>powered aircrafts. First, they cover essentially</w:t>
      </w:r>
      <w:r w:rsidR="00910800" w:rsidRPr="004D19FF">
        <w:rPr>
          <w:rFonts w:ascii="Times New Roman" w:hAnsi="Times New Roman"/>
          <w:sz w:val="20"/>
          <w:szCs w:val="20"/>
        </w:rPr>
        <w:t xml:space="preserve"> short-</w:t>
      </w:r>
      <w:r w:rsidR="00DC7237" w:rsidRPr="004D19FF">
        <w:rPr>
          <w:rFonts w:ascii="Times New Roman" w:hAnsi="Times New Roman"/>
          <w:sz w:val="20"/>
          <w:szCs w:val="20"/>
        </w:rPr>
        <w:t>haul flight</w:t>
      </w:r>
      <w:r w:rsidR="00515C7F" w:rsidRPr="004D19FF">
        <w:rPr>
          <w:rFonts w:ascii="Times New Roman" w:hAnsi="Times New Roman"/>
          <w:sz w:val="20"/>
          <w:szCs w:val="20"/>
        </w:rPr>
        <w:t>s</w:t>
      </w:r>
      <w:r w:rsidR="009C0026" w:rsidRPr="004D19FF">
        <w:rPr>
          <w:rFonts w:ascii="Times New Roman" w:hAnsi="Times New Roman"/>
          <w:sz w:val="20"/>
          <w:szCs w:val="20"/>
        </w:rPr>
        <w:t xml:space="preserve"> due to the limited energy storage capacit</w:t>
      </w:r>
      <w:r w:rsidR="00482598" w:rsidRPr="004D19FF">
        <w:rPr>
          <w:rFonts w:ascii="Times New Roman" w:hAnsi="Times New Roman"/>
          <w:sz w:val="20"/>
          <w:szCs w:val="20"/>
        </w:rPr>
        <w:t>y</w:t>
      </w:r>
      <w:r w:rsidR="00910800" w:rsidRPr="004D19FF">
        <w:rPr>
          <w:rFonts w:ascii="Times New Roman" w:hAnsi="Times New Roman"/>
          <w:sz w:val="20"/>
          <w:szCs w:val="20"/>
        </w:rPr>
        <w:t>.</w:t>
      </w:r>
      <w:r w:rsidR="00482598" w:rsidRPr="004D19FF">
        <w:rPr>
          <w:rFonts w:ascii="Times New Roman" w:hAnsi="Times New Roman"/>
          <w:sz w:val="20"/>
          <w:szCs w:val="20"/>
        </w:rPr>
        <w:t xml:space="preserve"> </w:t>
      </w:r>
      <w:r w:rsidR="00910800" w:rsidRPr="004D19FF">
        <w:rPr>
          <w:rFonts w:ascii="Times New Roman" w:hAnsi="Times New Roman"/>
          <w:sz w:val="20"/>
          <w:szCs w:val="20"/>
        </w:rPr>
        <w:t>The</w:t>
      </w:r>
      <w:r w:rsidR="00DE6EF5">
        <w:rPr>
          <w:rFonts w:ascii="Times New Roman" w:hAnsi="Times New Roman"/>
          <w:sz w:val="20"/>
          <w:szCs w:val="20"/>
        </w:rPr>
        <w:t xml:space="preserve"> common</w:t>
      </w:r>
      <w:r w:rsidR="00817EB6" w:rsidRPr="004D19FF">
        <w:rPr>
          <w:rFonts w:ascii="Times New Roman" w:hAnsi="Times New Roman"/>
          <w:sz w:val="20"/>
          <w:szCs w:val="20"/>
        </w:rPr>
        <w:t xml:space="preserve"> </w:t>
      </w:r>
      <w:r w:rsidR="00DC02A1" w:rsidRPr="004D19FF">
        <w:rPr>
          <w:rFonts w:ascii="Times New Roman" w:hAnsi="Times New Roman"/>
          <w:sz w:val="20"/>
          <w:szCs w:val="20"/>
        </w:rPr>
        <w:t xml:space="preserve">lithium-ion </w:t>
      </w:r>
      <w:r w:rsidR="00376056" w:rsidRPr="004D19FF">
        <w:rPr>
          <w:rFonts w:ascii="Times New Roman" w:hAnsi="Times New Roman"/>
          <w:sz w:val="20"/>
          <w:szCs w:val="20"/>
        </w:rPr>
        <w:t>batteries</w:t>
      </w:r>
      <w:r w:rsidR="00817EB6" w:rsidRPr="004D19FF">
        <w:rPr>
          <w:rFonts w:ascii="Times New Roman" w:hAnsi="Times New Roman"/>
          <w:sz w:val="20"/>
          <w:szCs w:val="20"/>
        </w:rPr>
        <w:t xml:space="preserve"> (Li-ion) </w:t>
      </w:r>
      <w:r w:rsidR="00910800" w:rsidRPr="004D19FF">
        <w:rPr>
          <w:rFonts w:ascii="Times New Roman" w:hAnsi="Times New Roman"/>
          <w:sz w:val="20"/>
          <w:szCs w:val="20"/>
        </w:rPr>
        <w:t>have</w:t>
      </w:r>
      <w:r w:rsidR="00376056" w:rsidRPr="004D19FF">
        <w:rPr>
          <w:rFonts w:ascii="Times New Roman" w:hAnsi="Times New Roman"/>
          <w:sz w:val="20"/>
          <w:szCs w:val="20"/>
        </w:rPr>
        <w:t xml:space="preserve"> </w:t>
      </w:r>
      <w:r w:rsidR="00910800" w:rsidRPr="004D19FF">
        <w:rPr>
          <w:rFonts w:ascii="Times New Roman" w:hAnsi="Times New Roman"/>
          <w:sz w:val="20"/>
          <w:szCs w:val="20"/>
        </w:rPr>
        <w:t>a</w:t>
      </w:r>
      <w:r w:rsidR="00B70888" w:rsidRPr="004D19FF">
        <w:rPr>
          <w:rFonts w:ascii="Times New Roman" w:hAnsi="Times New Roman"/>
          <w:sz w:val="20"/>
          <w:szCs w:val="20"/>
        </w:rPr>
        <w:t xml:space="preserve"> maximum </w:t>
      </w:r>
      <w:r w:rsidR="00321796" w:rsidRPr="004D19FF">
        <w:rPr>
          <w:rFonts w:ascii="Times New Roman" w:hAnsi="Times New Roman"/>
          <w:sz w:val="20"/>
          <w:szCs w:val="20"/>
        </w:rPr>
        <w:t xml:space="preserve">specific energy density </w:t>
      </w:r>
      <w:r w:rsidR="00910800" w:rsidRPr="004D19FF">
        <w:rPr>
          <w:rFonts w:ascii="Times New Roman" w:hAnsi="Times New Roman"/>
          <w:sz w:val="20"/>
          <w:szCs w:val="20"/>
        </w:rPr>
        <w:t xml:space="preserve">of </w:t>
      </w:r>
      <w:r w:rsidR="002D1C16" w:rsidRPr="004D19FF">
        <w:rPr>
          <w:rFonts w:ascii="Times New Roman" w:hAnsi="Times New Roman"/>
          <w:sz w:val="20"/>
          <w:szCs w:val="20"/>
        </w:rPr>
        <w:t>4</w:t>
      </w:r>
      <w:r w:rsidR="0006115D" w:rsidRPr="004D19FF">
        <w:rPr>
          <w:rFonts w:ascii="Times New Roman" w:hAnsi="Times New Roman"/>
          <w:sz w:val="20"/>
          <w:szCs w:val="20"/>
        </w:rPr>
        <w:t>0</w:t>
      </w:r>
      <w:r w:rsidR="004B3579" w:rsidRPr="004D19FF">
        <w:rPr>
          <w:rFonts w:ascii="Times New Roman" w:hAnsi="Times New Roman"/>
          <w:sz w:val="20"/>
          <w:szCs w:val="20"/>
        </w:rPr>
        <w:t>0</w:t>
      </w:r>
      <w:r w:rsidR="006C4DEF">
        <w:rPr>
          <w:rFonts w:ascii="Times New Roman" w:hAnsi="Times New Roman"/>
          <w:sz w:val="20"/>
          <w:szCs w:val="20"/>
        </w:rPr>
        <w:t xml:space="preserve"> Wh </w:t>
      </w:r>
      <w:r w:rsidR="00321796" w:rsidRPr="004D19FF">
        <w:rPr>
          <w:rFonts w:ascii="Times New Roman" w:hAnsi="Times New Roman"/>
          <w:sz w:val="20"/>
          <w:szCs w:val="20"/>
        </w:rPr>
        <w:t>kg</w:t>
      </w:r>
      <w:r w:rsidR="006C4DEF" w:rsidRPr="006C4DEF">
        <w:rPr>
          <w:rFonts w:ascii="Times New Roman" w:hAnsi="Times New Roman" w:cs="Times New Roman"/>
          <w:sz w:val="20"/>
          <w:szCs w:val="20"/>
          <w:vertAlign w:val="superscript"/>
        </w:rPr>
        <w:t>-1</w:t>
      </w:r>
      <w:r w:rsidR="00321796" w:rsidRPr="004D19FF">
        <w:rPr>
          <w:rFonts w:ascii="Times New Roman" w:hAnsi="Times New Roman"/>
          <w:sz w:val="20"/>
          <w:szCs w:val="20"/>
        </w:rPr>
        <w:t xml:space="preserve"> </w:t>
      </w:r>
      <w:r w:rsidR="00DE6EF5">
        <w:rPr>
          <w:rFonts w:ascii="Times New Roman" w:hAnsi="Times New Roman"/>
          <w:sz w:val="20"/>
          <w:szCs w:val="20"/>
        </w:rPr>
        <w:t>(1.4 MJ kg</w:t>
      </w:r>
      <w:r w:rsidR="00DE6EF5" w:rsidRPr="00DE6EF5">
        <w:rPr>
          <w:rFonts w:ascii="Times New Roman" w:hAnsi="Times New Roman"/>
          <w:sz w:val="20"/>
          <w:szCs w:val="20"/>
          <w:vertAlign w:val="superscript"/>
        </w:rPr>
        <w:t>-1</w:t>
      </w:r>
      <w:r w:rsidR="00DE6EF5">
        <w:rPr>
          <w:rFonts w:ascii="Times New Roman" w:hAnsi="Times New Roman"/>
          <w:sz w:val="20"/>
          <w:szCs w:val="20"/>
        </w:rPr>
        <w:t xml:space="preserve">) </w:t>
      </w:r>
      <w:r w:rsidR="004B3579" w:rsidRPr="004D19FF">
        <w:rPr>
          <w:rFonts w:ascii="Times New Roman" w:hAnsi="Times New Roman"/>
          <w:sz w:val="20"/>
          <w:szCs w:val="20"/>
        </w:rPr>
        <w:t xml:space="preserve">at pack level </w:t>
      </w:r>
      <w:r w:rsidR="002D1C16"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LRfjx4xp","properties":{"formattedCitation":"[196,216]","plainCitation":"[196,216]","noteIndex":0},"citationItems":[{"id":"968HXJ10/XXx86WcZ","uris":["http://www.mendeley.com/documents/?uuid=133fbcaa-8d42-4e32-ba82-6d72ed63682d"],"uri":["http://www.mendeley.com/documents/?uuid=133fbcaa-8d42-4e32-ba82-6d72ed63682d"],"itemData":{"author":[{"dropping-particle":"","family":"Meeus","given":"Marcel","non-dropping-particle":"","parse-names":false,"suffix":""}],"id":"ITEM-1","issued":{"date-parts":[["2018"]]},"title":"Overview of Battery Cell Technologies Overview of battery technologies Bridging the Innovation Gap","type":"paper-conference"}},{"id":"968HXJ10/NdmPZTxr","uris":["http://www.mendeley.com/documents/?uuid=ce05aca7-73b4-4f31-9501-e46106f36a8d"],"uri":["http://www.mendeley.com/documents/?uuid=ce05aca7-73b4-4f31-9501-e46106f36a8d"],"itemData":{"author":[{"dropping-particle":"","family":"The Faraday Institute","given":"","non-dropping-particle":"","parse-names":false,"suffix":""}],"id":"ITEM-2","issued":{"date-parts":[["2020"]]},"title":"Faraday Report: High-energy battery technologies","type":"report"}}],"schema":"https://github.com/citation-style-language/schema/raw/master/csl-citation.json"} </w:instrText>
      </w:r>
      <w:r w:rsidR="002D1C16" w:rsidRPr="004D19FF">
        <w:rPr>
          <w:rFonts w:ascii="Times New Roman" w:hAnsi="Times New Roman"/>
          <w:sz w:val="20"/>
          <w:szCs w:val="20"/>
        </w:rPr>
        <w:fldChar w:fldCharType="separate"/>
      </w:r>
      <w:r w:rsidR="00681D64" w:rsidRPr="00681D64">
        <w:rPr>
          <w:rFonts w:ascii="Times New Roman" w:hAnsi="Times New Roman" w:cs="Times New Roman"/>
          <w:sz w:val="20"/>
        </w:rPr>
        <w:t>[196,216]</w:t>
      </w:r>
      <w:r w:rsidR="002D1C16" w:rsidRPr="004D19FF">
        <w:rPr>
          <w:rFonts w:ascii="Times New Roman" w:hAnsi="Times New Roman"/>
          <w:sz w:val="20"/>
          <w:szCs w:val="20"/>
        </w:rPr>
        <w:fldChar w:fldCharType="end"/>
      </w:r>
      <w:r w:rsidR="00910800" w:rsidRPr="004D19FF">
        <w:rPr>
          <w:rFonts w:ascii="Times New Roman" w:hAnsi="Times New Roman"/>
          <w:sz w:val="20"/>
          <w:szCs w:val="20"/>
        </w:rPr>
        <w:t xml:space="preserve">, which is </w:t>
      </w:r>
      <w:r w:rsidR="008C7945" w:rsidRPr="004D19FF">
        <w:rPr>
          <w:rFonts w:ascii="Times New Roman" w:hAnsi="Times New Roman"/>
          <w:sz w:val="20"/>
          <w:szCs w:val="20"/>
        </w:rPr>
        <w:t xml:space="preserve">relatively low in comparison with </w:t>
      </w:r>
      <w:r w:rsidR="00FB3207" w:rsidRPr="004D19FF">
        <w:rPr>
          <w:rFonts w:ascii="Times New Roman" w:hAnsi="Times New Roman"/>
          <w:sz w:val="20"/>
          <w:szCs w:val="20"/>
        </w:rPr>
        <w:t>conven</w:t>
      </w:r>
      <w:r w:rsidR="008C7945" w:rsidRPr="004D19FF">
        <w:rPr>
          <w:rFonts w:ascii="Times New Roman" w:hAnsi="Times New Roman"/>
          <w:sz w:val="20"/>
          <w:szCs w:val="20"/>
        </w:rPr>
        <w:t>tional kerosen</w:t>
      </w:r>
      <w:r w:rsidR="00B24464" w:rsidRPr="004D19FF">
        <w:rPr>
          <w:rFonts w:ascii="Times New Roman" w:hAnsi="Times New Roman"/>
          <w:sz w:val="20"/>
          <w:szCs w:val="20"/>
        </w:rPr>
        <w:t>e</w:t>
      </w:r>
      <w:r w:rsidR="00910800" w:rsidRPr="004D19FF">
        <w:rPr>
          <w:rFonts w:ascii="Times New Roman" w:hAnsi="Times New Roman"/>
          <w:sz w:val="20"/>
          <w:szCs w:val="20"/>
        </w:rPr>
        <w:t>, having a maximum specific energy density of ca.</w:t>
      </w:r>
      <w:r w:rsidR="00B24464" w:rsidRPr="004D19FF">
        <w:rPr>
          <w:rFonts w:ascii="Times New Roman" w:hAnsi="Times New Roman"/>
          <w:sz w:val="20"/>
          <w:szCs w:val="20"/>
        </w:rPr>
        <w:t xml:space="preserve"> 12</w:t>
      </w:r>
      <w:r w:rsidR="006C4DEF">
        <w:rPr>
          <w:rFonts w:ascii="Times New Roman" w:hAnsi="Times New Roman"/>
          <w:sz w:val="20"/>
          <w:szCs w:val="20"/>
        </w:rPr>
        <w:t xml:space="preserve">,000 Wh </w:t>
      </w:r>
      <w:r w:rsidR="008C7945" w:rsidRPr="004D19FF">
        <w:rPr>
          <w:rFonts w:ascii="Times New Roman" w:hAnsi="Times New Roman"/>
          <w:sz w:val="20"/>
          <w:szCs w:val="20"/>
        </w:rPr>
        <w:t>kg</w:t>
      </w:r>
      <w:r w:rsidR="006C4DEF" w:rsidRPr="006C4DEF">
        <w:rPr>
          <w:rFonts w:ascii="Times New Roman" w:hAnsi="Times New Roman" w:cs="Times New Roman"/>
          <w:sz w:val="20"/>
          <w:szCs w:val="20"/>
          <w:vertAlign w:val="superscript"/>
        </w:rPr>
        <w:t>-1</w:t>
      </w:r>
      <w:r w:rsidR="003268E4" w:rsidRPr="004D19FF">
        <w:rPr>
          <w:rFonts w:ascii="Times New Roman" w:hAnsi="Times New Roman"/>
          <w:sz w:val="20"/>
          <w:szCs w:val="20"/>
        </w:rPr>
        <w:t xml:space="preserve">. </w:t>
      </w:r>
      <w:r w:rsidR="00B02825" w:rsidRPr="004D19FF">
        <w:rPr>
          <w:rFonts w:ascii="Times New Roman" w:hAnsi="Times New Roman"/>
          <w:sz w:val="20"/>
          <w:szCs w:val="20"/>
        </w:rPr>
        <w:t>To overcome the challenge,</w:t>
      </w:r>
      <w:r w:rsidR="00D87E09" w:rsidRPr="004D19FF">
        <w:rPr>
          <w:rFonts w:ascii="Times New Roman" w:hAnsi="Times New Roman"/>
          <w:sz w:val="20"/>
          <w:szCs w:val="20"/>
        </w:rPr>
        <w:t xml:space="preserve"> numerous researches have intensively studied </w:t>
      </w:r>
      <w:r w:rsidR="00CF5726" w:rsidRPr="004D19FF">
        <w:rPr>
          <w:rFonts w:ascii="Times New Roman" w:hAnsi="Times New Roman"/>
          <w:sz w:val="20"/>
          <w:szCs w:val="20"/>
        </w:rPr>
        <w:t xml:space="preserve">and developed </w:t>
      </w:r>
      <w:r w:rsidR="00D87E09" w:rsidRPr="004D19FF">
        <w:rPr>
          <w:rFonts w:ascii="Times New Roman" w:hAnsi="Times New Roman"/>
          <w:sz w:val="20"/>
          <w:szCs w:val="20"/>
        </w:rPr>
        <w:t>high performance batteries including advanced lithium metal</w:t>
      </w:r>
      <w:r w:rsidR="00E95C38" w:rsidRPr="004D19FF">
        <w:rPr>
          <w:rFonts w:ascii="Times New Roman" w:hAnsi="Times New Roman"/>
          <w:sz w:val="20"/>
          <w:szCs w:val="20"/>
        </w:rPr>
        <w:t>/silicon</w:t>
      </w:r>
      <w:r w:rsidR="00D87E09" w:rsidRPr="004D19FF">
        <w:rPr>
          <w:rFonts w:ascii="Times New Roman" w:hAnsi="Times New Roman"/>
          <w:sz w:val="20"/>
          <w:szCs w:val="20"/>
        </w:rPr>
        <w:t xml:space="preserve"> anode</w:t>
      </w:r>
      <w:r w:rsidR="00E95C38" w:rsidRPr="004D19FF">
        <w:rPr>
          <w:rFonts w:ascii="Times New Roman" w:hAnsi="Times New Roman"/>
          <w:sz w:val="20"/>
          <w:szCs w:val="20"/>
        </w:rPr>
        <w:t xml:space="preserve"> (Adv. Li-ion)</w:t>
      </w:r>
      <w:r w:rsidR="00181FC7" w:rsidRPr="004D19FF">
        <w:rPr>
          <w:rFonts w:ascii="Times New Roman" w:hAnsi="Times New Roman"/>
          <w:sz w:val="20"/>
          <w:szCs w:val="20"/>
        </w:rPr>
        <w:t xml:space="preserve"> </w:t>
      </w:r>
      <w:r w:rsidR="00443CF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DTy3IIG7","properties":{"formattedCitation":"[196]","plainCitation":"[196]","noteIndex":0},"citationItems":[{"id":"968HXJ10/NdmPZTxr","uris":["http://www.mendeley.com/documents/?uuid=ce05aca7-73b4-4f31-9501-e46106f36a8d"],"uri":["http://www.mendeley.com/documents/?uuid=ce05aca7-73b4-4f31-9501-e46106f36a8d"],"itemData":{"author":[{"dropping-particle":"","family":"The Faraday Institute","given":"","non-dropping-particle":"","parse-names":false,"suffix":""}],"id":"ITEM-1","issued":{"date-parts":[["2020"]]},"title":"Faraday Report: High-energy battery technologies","type":"report"}}],"schema":"https://github.com/citation-style-language/schema/raw/master/csl-citation.json"} </w:instrText>
      </w:r>
      <w:r w:rsidR="00443CF2" w:rsidRPr="004D19FF">
        <w:rPr>
          <w:rFonts w:ascii="Times New Roman" w:hAnsi="Times New Roman"/>
          <w:sz w:val="20"/>
          <w:szCs w:val="20"/>
        </w:rPr>
        <w:fldChar w:fldCharType="separate"/>
      </w:r>
      <w:r w:rsidR="005D3B73" w:rsidRPr="005D3B73">
        <w:rPr>
          <w:rFonts w:ascii="Times New Roman" w:hAnsi="Times New Roman" w:cs="Times New Roman"/>
          <w:sz w:val="20"/>
        </w:rPr>
        <w:t>[196]</w:t>
      </w:r>
      <w:r w:rsidR="00443CF2" w:rsidRPr="004D19FF">
        <w:rPr>
          <w:rFonts w:ascii="Times New Roman" w:hAnsi="Times New Roman"/>
          <w:sz w:val="20"/>
          <w:szCs w:val="20"/>
        </w:rPr>
        <w:fldChar w:fldCharType="end"/>
      </w:r>
      <w:r w:rsidR="00D87E09" w:rsidRPr="004D19FF">
        <w:rPr>
          <w:rFonts w:ascii="Times New Roman" w:hAnsi="Times New Roman"/>
          <w:sz w:val="20"/>
          <w:szCs w:val="20"/>
        </w:rPr>
        <w:t>, solid-state electrolyte battery</w:t>
      </w:r>
      <w:r w:rsidR="00E95C38" w:rsidRPr="004D19FF">
        <w:rPr>
          <w:rFonts w:ascii="Times New Roman" w:hAnsi="Times New Roman"/>
          <w:sz w:val="20"/>
          <w:szCs w:val="20"/>
        </w:rPr>
        <w:t xml:space="preserve"> (SSB)</w:t>
      </w:r>
      <w:r w:rsidR="00181FC7" w:rsidRPr="004D19FF">
        <w:rPr>
          <w:rFonts w:ascii="Times New Roman" w:hAnsi="Times New Roman"/>
          <w:sz w:val="20"/>
          <w:szCs w:val="20"/>
        </w:rPr>
        <w:t xml:space="preserve"> </w:t>
      </w:r>
      <w:r w:rsidR="00443CF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p3Tg4G9","properties":{"formattedCitation":"[216,217]","plainCitation":"[216,217]","noteIndex":0},"citationItems":[{"id":"968HXJ10/WUbwyleu","uris":["http://www.mendeley.com/documents/?uuid=813e38c8-b885-4aef-85a1-bc19ade7c735"],"uri":["http://www.mendeley.com/documents/?uuid=813e38c8-b885-4aef-85a1-bc19ade7c735"],"itemData":{"abstract":"Solid state battery technology has recently garnered considerable interest from companies including Toyota, BMW, Dyson, and others. The primary driver behind the commercialization of solid state batteries (SSBs) is to enable the use of lithium metal as the anode, as opposed to the currently used carbon anode, which would result in ~20% energy density improvement. However, no reported solid state battery to date meets all of the performance metrics of state of the art liquid electrolyte lithium ion batteries (LIBs) and indeed several solid state electrolyte (SSE) technologies may never reach parity with current LIBs. We begin with a review of state of the art LIBs, including their current performance characteristics, commercial trends in cost, and future possibilities. We then discuss current SSB research by focusing on three classes of solid state electrolytes: Sulfides, Polymers, and Oxides. We discuss recent and ongoing commercialization attempts in the SSB field. Finally, we conclude with our perspective and timeline for the future of commercial batteries.","author":[{"dropping-particle":"","family":"Ulvestad","given":"Andrew","non-dropping-particle":"","parse-names":false,"suffix":""}],"id":"ITEM-1","issued":{"date-parts":[["2018"]]},"title":"A Brief Review of Current Lithium Ion Battery Technology and Potential Solid State Battery Technologies","type":"article-journal"}},{"id":"968HXJ10/XXx86WcZ","uris":["http://www.mendeley.com/documents/?uuid=133fbcaa-8d42-4e32-ba82-6d72ed63682d"],"uri":["http://www.mendeley.com/documents/?uuid=133fbcaa-8d42-4e32-ba82-6d72ed63682d"],"itemData":{"author":[{"dropping-particle":"","family":"Meeus","given":"Marcel","non-dropping-particle":"","parse-names":false,"suffix":""}],"id":"ITEM-2","issued":{"date-parts":[["2018"]]},"title":"Overview of Battery Cell Technologies Overview of battery technologies Bridging the Innovation Gap","type":"paper-conference"}}],"schema":"https://github.com/citation-style-language/schema/raw/master/csl-citation.json"} </w:instrText>
      </w:r>
      <w:r w:rsidR="00443CF2" w:rsidRPr="004D19FF">
        <w:rPr>
          <w:rFonts w:ascii="Times New Roman" w:hAnsi="Times New Roman"/>
          <w:sz w:val="20"/>
          <w:szCs w:val="20"/>
        </w:rPr>
        <w:fldChar w:fldCharType="separate"/>
      </w:r>
      <w:r w:rsidR="00681D64" w:rsidRPr="00681D64">
        <w:rPr>
          <w:rFonts w:ascii="Times New Roman" w:hAnsi="Times New Roman" w:cs="Times New Roman"/>
          <w:sz w:val="20"/>
        </w:rPr>
        <w:t>[216,217]</w:t>
      </w:r>
      <w:r w:rsidR="00443CF2" w:rsidRPr="004D19FF">
        <w:rPr>
          <w:rFonts w:ascii="Times New Roman" w:hAnsi="Times New Roman"/>
          <w:sz w:val="20"/>
          <w:szCs w:val="20"/>
        </w:rPr>
        <w:fldChar w:fldCharType="end"/>
      </w:r>
      <w:r w:rsidR="00D87E09" w:rsidRPr="004D19FF">
        <w:rPr>
          <w:rFonts w:ascii="Times New Roman" w:hAnsi="Times New Roman"/>
          <w:sz w:val="20"/>
          <w:szCs w:val="20"/>
        </w:rPr>
        <w:t>, lithium sulfur</w:t>
      </w:r>
      <w:r w:rsidR="00E95C38" w:rsidRPr="004D19FF">
        <w:rPr>
          <w:rFonts w:ascii="Times New Roman" w:hAnsi="Times New Roman"/>
          <w:sz w:val="20"/>
          <w:szCs w:val="20"/>
        </w:rPr>
        <w:t xml:space="preserve"> (Li-S)</w:t>
      </w:r>
      <w:r w:rsidR="00531AD8" w:rsidRPr="004D19FF">
        <w:rPr>
          <w:rFonts w:ascii="Times New Roman" w:hAnsi="Times New Roman"/>
          <w:sz w:val="20"/>
          <w:szCs w:val="20"/>
        </w:rPr>
        <w:t xml:space="preserve"> </w:t>
      </w:r>
      <w:r w:rsidR="00443CF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CZasDtd2","properties":{"formattedCitation":"[218,219]","plainCitation":"[218,219]","noteIndex":0},"citationItems":[{"id":"968HXJ10/DoO3ccSF","uris":["http://www.mendeley.com/documents/?uuid=cc364d35-b3ee-4533-8d4e-f2ecefa70145"],"uri":["http://www.mendeley.com/documents/?uuid=cc364d35-b3ee-4533-8d4e-f2ecefa70145"],"itemData":{"DOI":"10.1016/j.jpowsour.2017.01.036","ISSN":"03787753","abstract":"Lithium-sulfur (Li-S) battery is widely recognized as the most promising battery technology for future electric vehicles (EV). To understand the environmental sustainability performance of Li-S battery on future EVs, here a novel life cycle assessment (LCA) model is developed for comprehensive environmental impact assessment of a Li-S battery pack using a graphene sulfur composite cathode and a lithium metal anode protected by a lithium-ion conductive layer, for actual EV applications. The Li-S battery pack is configured with a 61.3 kWh capacity to power a mid-size EV for 320 km range. The life cycle inventory model is developed with a hybrid approach, based on our lab-scale synthesis of the graphene sulfur composite, our lab fabrication of Li-S battery cell, and our industrial partner's battery production processes. The impacts of the Li-S battery are assessed using the ReCiPe method and benchmarked with those of a conventional Nickle-Cobalt-Manganese (NCM)-Graphite battery pack under the same driving distance per charge. The environmental impact assessment results illustrate that Li-S battery is more environmentally friendly than conventional NCM-Graphite battery, with 9%–90% lower impact. Finally, the improvement pathways for the Li-S battery to meet the USABC (U.S. Advanced Battery Consortium) targets are presented with the corresponding environmental impact changes.","author":[{"dropping-particle":"","family":"Deng","given":"Yelin","non-dropping-particle":"","parse-names":false,"suffix":""},{"dropping-particle":"","family":"Li","given":"Jianyang","non-dropping-particle":"","parse-names":false,"suffix":""},{"dropping-particle":"","family":"Li","given":"Tonghui","non-dropping-particle":"","parse-names":false,"suffix":""},{"dropping-particle":"","family":"Gao","given":"Xianfeng","non-dropping-particle":"","parse-names":false,"suffix":""},{"dropping-particle":"","family":"Yuan","given":"Chris","non-dropping-particle":"","parse-names":false,"suffix":""}],"container-title":"Journal of Power Sources","id":"ITEM-1","issued":{"date-parts":[["2017"]]},"page":"284-295","publisher":"Elsevier B.V","title":"Life cycle assessment of lithium sulfur battery for electric vehicles","type":"article-journal","volume":"343"}},{"id":"968HXJ10/iDxendNT","uris":["http://www.mendeley.com/documents/?uuid=deb65c69-bd8f-4835-bd48-9dd1daba9879"],"uri":["http://www.mendeley.com/documents/?uuid=deb65c69-bd8f-4835-bd48-9dd1daba9879"],"itemData":{"DOI":"10.1016/B978-0-12-813794-9.00009-0","ISBN":"9780128137949","abstract":"Carbon has had an important role in devices employed for energy conversion and storage, but quickly and continuously growing knowledge about first-generation (carbon nanotubes, fullerene, graphene, and derivative elements), second-generation (doped or functionalized first-generation nanocarbons), and third-generation (hybrid and nanoarchitecture materials) has created new possibilities. This chapter discusses the applications of nanocarbon materials for energy storage and conversion; it gives some examples of their potential but also some of the critical aspects upon which attention needs to be focused. Specifically, the discussion covers Li-type batteries, supercapacitors, and pseudocapacitors, evidencing how the use of nanocarbons can enhance their performance, and some strategies to enhance their behavior.","author":[{"dropping-particle":"","family":"Perathoner","given":"Siglinda","non-dropping-particle":"","parse-names":false,"suffix":""},{"dropping-particle":"","family":"Centi","given":"Gabriele","non-dropping-particle":"","parse-names":false,"suffix":""}],"container-title":"Emerging Materials for Energy Conversion and Storage","id":"ITEM-2","issued":{"date-parts":[["2018"]]},"page":"305-325","publisher":"Elsevier Inc.","title":"Advanced nanocarbon materials for future energy applications","type":"article-journal"}}],"schema":"https://github.com/citation-style-language/schema/raw/master/csl-citation.json"} </w:instrText>
      </w:r>
      <w:r w:rsidR="00443CF2" w:rsidRPr="004D19FF">
        <w:rPr>
          <w:rFonts w:ascii="Times New Roman" w:hAnsi="Times New Roman"/>
          <w:sz w:val="20"/>
          <w:szCs w:val="20"/>
        </w:rPr>
        <w:fldChar w:fldCharType="separate"/>
      </w:r>
      <w:r w:rsidR="00681D64" w:rsidRPr="00681D64">
        <w:rPr>
          <w:rFonts w:ascii="Times New Roman" w:hAnsi="Times New Roman" w:cs="Times New Roman"/>
          <w:sz w:val="20"/>
        </w:rPr>
        <w:t>[218,219]</w:t>
      </w:r>
      <w:r w:rsidR="00443CF2" w:rsidRPr="004D19FF">
        <w:rPr>
          <w:rFonts w:ascii="Times New Roman" w:hAnsi="Times New Roman"/>
          <w:sz w:val="20"/>
          <w:szCs w:val="20"/>
        </w:rPr>
        <w:fldChar w:fldCharType="end"/>
      </w:r>
      <w:r w:rsidR="00D87E09" w:rsidRPr="004D19FF">
        <w:rPr>
          <w:rFonts w:ascii="Times New Roman" w:hAnsi="Times New Roman"/>
          <w:sz w:val="20"/>
          <w:szCs w:val="20"/>
        </w:rPr>
        <w:t>, lithium air</w:t>
      </w:r>
      <w:r w:rsidR="00E95C38" w:rsidRPr="004D19FF">
        <w:rPr>
          <w:rFonts w:ascii="Times New Roman" w:hAnsi="Times New Roman"/>
          <w:sz w:val="20"/>
          <w:szCs w:val="20"/>
        </w:rPr>
        <w:t xml:space="preserve"> (Li-air)</w:t>
      </w:r>
      <w:r w:rsidR="00531AD8" w:rsidRPr="004D19FF">
        <w:rPr>
          <w:rFonts w:ascii="Times New Roman" w:hAnsi="Times New Roman"/>
          <w:sz w:val="20"/>
          <w:szCs w:val="20"/>
        </w:rPr>
        <w:t xml:space="preserve"> </w:t>
      </w:r>
      <w:r w:rsidR="00443CF2"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bcwLWZB","properties":{"formattedCitation":"[220,221]","plainCitation":"[220,221]","noteIndex":0},"citationItems":[{"id":"968HXJ10/SsaocfVq","uris":["http://www.mendeley.com/documents/?uuid=9c3ceb6c-ca8c-423a-b991-19acde0d912e"],"uri":["http://www.mendeley.com/documents/?uuid=9c3ceb6c-ca8c-423a-b991-19acde0d912e"],"itemData":{"author":[{"dropping-particle":"","family":"Hansson","given":"Niklas","non-dropping-particle":"","parse-names":false,"suffix":""},{"dropping-particle":"","family":"Bradley","given":"Marty","non-dropping-particle":"","parse-names":false,"suffix":""},{"dropping-particle":"","family":"Campbell","given":"Matt","non-dropping-particle":"","parse-names":false,"suffix":""},{"dropping-particle":"","family":"Cherry","given":"De Andre J","non-dropping-particle":"","parse-names":false,"suffix":""},{"dropping-particle":"","family":"Cox","given":"Kelsea","non-dropping-particle":"","parse-names":false,"suffix":""},{"dropping-particle":"","family":"Angelo","given":"Dustin D","non-dropping-particle":"","parse-names":false,"suffix":""},{"dropping-particle":"","family":"Gonzalez","given":"Joseph","non-dropping-particle":"","parse-names":false,"suffix":""},{"dropping-particle":"","family":"Moore","given":"Curtis","non-dropping-particle":"","parse-names":false,"suffix":""},{"dropping-particle":"","family":"Zee","given":"Jeremy","non-dropping-particle":"","parse-names":false,"suffix":""}],"container-title":"Boeing Technical Journal Environmental","id":"ITEM-1","issued":{"date-parts":[["2018"]]},"page":"1-12","title":"Boeing Technical Journal Environmental Impacts of Aerospace Batteries International Organization for Standardization","type":"article-journal"}},{"id":"968HXJ10/eXlrK6pI","uris":["http://www.mendeley.com/documents/?uuid=777c132b-66e7-4f7a-8c04-175b3fa31c83"],"uri":["http://www.mendeley.com/documents/?uuid=777c132b-66e7-4f7a-8c04-175b3fa31c83"],"itemData":{"DOI":"10.1016/j.mtadv.2019.100031","ISSN":"25900498","abstract":"Rechargeable lithium–air batteries have a far higher theoretical energy density than lithium-ion batteries, and are, thus, expected to become a possible power source for electric vehicles (EVs). Three types of rechargeable lithium–air batteries have been developed: non-aqueous, aqueous, and solid. The majority of research efforts have been devoted to the non-aqueous battery in the past two decades. However, non-aqueous lithium–air batteries still have critical issues to be addressed to realize the practical use for EVs, such as a low practical areal capacity, low round-trip energy efficiency, and air purification. The aqueous and solid lithium–air systems do not have the critical issues observed in the non-aqueous system; however, they have not shown capacity for high power density and extended deep cycling. In this short review, our emphasis is on the progress made with respect to cell performance, such as capacity at high current density and cycle life, and we identify lithium–air battery prospects for EVs and key technologies.","author":[{"dropping-particle":"","family":"Imanishi","given":"N.","non-dropping-particle":"","parse-names":false,"suffix":""},{"dropping-particle":"","family":"Yamamoto","given":"O.","non-dropping-particle":"","parse-names":false,"suffix":""}],"container-title":"Materials Today Advances","id":"ITEM-2","issued":{"date-parts":[["2019"]]},"publisher":"Elsevier Ltd","title":"Perspectives and challenges of rechargeable lithium–air batteries","type":"article-journal","volume":"4"}}],"schema":"https://github.com/citation-style-language/schema/raw/master/csl-citation.json"} </w:instrText>
      </w:r>
      <w:r w:rsidR="00443CF2" w:rsidRPr="004D19FF">
        <w:rPr>
          <w:rFonts w:ascii="Times New Roman" w:hAnsi="Times New Roman"/>
          <w:sz w:val="20"/>
          <w:szCs w:val="20"/>
        </w:rPr>
        <w:fldChar w:fldCharType="separate"/>
      </w:r>
      <w:r w:rsidR="00681D64" w:rsidRPr="00681D64">
        <w:rPr>
          <w:rFonts w:ascii="Times New Roman" w:hAnsi="Times New Roman" w:cs="Times New Roman"/>
          <w:sz w:val="20"/>
        </w:rPr>
        <w:t>[220,221]</w:t>
      </w:r>
      <w:r w:rsidR="00443CF2" w:rsidRPr="004D19FF">
        <w:rPr>
          <w:rFonts w:ascii="Times New Roman" w:hAnsi="Times New Roman"/>
          <w:sz w:val="20"/>
          <w:szCs w:val="20"/>
        </w:rPr>
        <w:fldChar w:fldCharType="end"/>
      </w:r>
      <w:r w:rsidR="00C53B2A" w:rsidRPr="004D19FF">
        <w:rPr>
          <w:rFonts w:ascii="Times New Roman" w:hAnsi="Times New Roman"/>
          <w:sz w:val="20"/>
          <w:szCs w:val="20"/>
        </w:rPr>
        <w:t xml:space="preserve"> </w:t>
      </w:r>
      <w:r w:rsidR="00D87E09" w:rsidRPr="004D19FF">
        <w:rPr>
          <w:rFonts w:ascii="Times New Roman" w:hAnsi="Times New Roman"/>
          <w:sz w:val="20"/>
          <w:szCs w:val="20"/>
        </w:rPr>
        <w:t xml:space="preserve">without </w:t>
      </w:r>
      <w:r w:rsidR="000A2119" w:rsidRPr="004D19FF">
        <w:rPr>
          <w:rFonts w:ascii="Times New Roman" w:hAnsi="Times New Roman"/>
          <w:sz w:val="20"/>
          <w:szCs w:val="20"/>
        </w:rPr>
        <w:t>increasing the</w:t>
      </w:r>
      <w:r w:rsidR="00D87E09" w:rsidRPr="004D19FF">
        <w:rPr>
          <w:rFonts w:ascii="Times New Roman" w:hAnsi="Times New Roman"/>
          <w:sz w:val="20"/>
          <w:szCs w:val="20"/>
        </w:rPr>
        <w:t xml:space="preserve"> </w:t>
      </w:r>
      <w:r w:rsidR="005A6DA0">
        <w:rPr>
          <w:rFonts w:ascii="Times New Roman" w:hAnsi="Times New Roman"/>
          <w:sz w:val="20"/>
          <w:szCs w:val="20"/>
        </w:rPr>
        <w:t>aircraft weight</w:t>
      </w:r>
      <w:r w:rsidR="00D87E09" w:rsidRPr="004D19FF">
        <w:rPr>
          <w:rFonts w:ascii="Times New Roman" w:hAnsi="Times New Roman"/>
          <w:sz w:val="20"/>
          <w:szCs w:val="20"/>
        </w:rPr>
        <w:t xml:space="preserve">. </w:t>
      </w:r>
      <w:r w:rsidR="00DE6EF5">
        <w:rPr>
          <w:rFonts w:ascii="Times New Roman" w:hAnsi="Times New Roman"/>
          <w:sz w:val="20"/>
          <w:szCs w:val="20"/>
        </w:rPr>
        <w:t>Other issues include</w:t>
      </w:r>
      <w:r w:rsidR="00515C7F" w:rsidRPr="004D19FF">
        <w:rPr>
          <w:rFonts w:ascii="Times New Roman" w:hAnsi="Times New Roman"/>
          <w:sz w:val="20"/>
          <w:szCs w:val="20"/>
        </w:rPr>
        <w:t xml:space="preserve"> the</w:t>
      </w:r>
      <w:r w:rsidR="00DE6EF5">
        <w:rPr>
          <w:rFonts w:ascii="Times New Roman" w:hAnsi="Times New Roman"/>
          <w:sz w:val="20"/>
          <w:szCs w:val="20"/>
        </w:rPr>
        <w:t xml:space="preserve"> </w:t>
      </w:r>
      <w:r w:rsidR="00531057" w:rsidRPr="004D19FF">
        <w:rPr>
          <w:rFonts w:ascii="Times New Roman" w:hAnsi="Times New Roman"/>
          <w:sz w:val="20"/>
          <w:szCs w:val="20"/>
        </w:rPr>
        <w:t xml:space="preserve">charging time </w:t>
      </w:r>
      <w:r w:rsidR="00515C7F" w:rsidRPr="004D19FF">
        <w:rPr>
          <w:rFonts w:ascii="Times New Roman" w:hAnsi="Times New Roman"/>
          <w:sz w:val="20"/>
          <w:szCs w:val="20"/>
        </w:rPr>
        <w:t xml:space="preserve">of batteries </w:t>
      </w:r>
      <w:r w:rsidR="001451F6" w:rsidRPr="004D19FF">
        <w:rPr>
          <w:rFonts w:ascii="Times New Roman" w:hAnsi="Times New Roman"/>
          <w:sz w:val="20"/>
          <w:szCs w:val="20"/>
        </w:rPr>
        <w:t xml:space="preserve">and </w:t>
      </w:r>
      <w:r w:rsidR="00515C7F" w:rsidRPr="004D19FF">
        <w:rPr>
          <w:rFonts w:ascii="Times New Roman" w:hAnsi="Times New Roman"/>
          <w:sz w:val="20"/>
          <w:szCs w:val="20"/>
        </w:rPr>
        <w:t xml:space="preserve">the possibility </w:t>
      </w:r>
      <w:r w:rsidR="00482598" w:rsidRPr="004D19FF">
        <w:rPr>
          <w:rFonts w:ascii="Times New Roman" w:hAnsi="Times New Roman"/>
          <w:sz w:val="20"/>
          <w:szCs w:val="20"/>
        </w:rPr>
        <w:t>to</w:t>
      </w:r>
      <w:r w:rsidR="00515C7F" w:rsidRPr="004D19FF">
        <w:rPr>
          <w:rFonts w:ascii="Times New Roman" w:hAnsi="Times New Roman"/>
          <w:sz w:val="20"/>
          <w:szCs w:val="20"/>
        </w:rPr>
        <w:t xml:space="preserve"> be recycled after their limited lifetime</w:t>
      </w:r>
      <w:r w:rsidR="00EE6B4C" w:rsidRPr="004D19FF">
        <w:rPr>
          <w:rFonts w:ascii="Times New Roman" w:hAnsi="Times New Roman"/>
          <w:sz w:val="20"/>
          <w:szCs w:val="20"/>
        </w:rPr>
        <w:t xml:space="preserve"> (&gt;1,000 cycle</w:t>
      </w:r>
      <w:r w:rsidR="0096551B">
        <w:rPr>
          <w:rFonts w:ascii="Times New Roman" w:hAnsi="Times New Roman"/>
          <w:sz w:val="20"/>
          <w:szCs w:val="20"/>
        </w:rPr>
        <w:t>s</w:t>
      </w:r>
      <w:r w:rsidR="00EE6B4C" w:rsidRPr="004D19FF">
        <w:rPr>
          <w:rFonts w:ascii="Times New Roman" w:hAnsi="Times New Roman"/>
          <w:sz w:val="20"/>
          <w:szCs w:val="20"/>
        </w:rPr>
        <w:t xml:space="preserve"> for current Li-ion battery; </w:t>
      </w:r>
      <w:r w:rsidR="00031E4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KeQsj8td","properties":{"formattedCitation":"[196]","plainCitation":"[196]","noteIndex":0},"citationItems":[{"id":"968HXJ10/NdmPZTxr","uris":["http://www.mendeley.com/documents/?uuid=ce05aca7-73b4-4f31-9501-e46106f36a8d"],"uri":["http://www.mendeley.com/documents/?uuid=ce05aca7-73b4-4f31-9501-e46106f36a8d"],"itemData":{"author":[{"dropping-particle":"","family":"The Faraday Institute","given":"","non-dropping-particle":"","parse-names":false,"suffix":""}],"id":"ITEM-1","issued":{"date-parts":[["2020"]]},"title":"Faraday Report: High-energy battery technologies","type":"report"}}],"schema":"https://github.com/citation-style-language/schema/raw/master/csl-citation.json"} </w:instrText>
      </w:r>
      <w:r w:rsidR="00031E4F" w:rsidRPr="004D19FF">
        <w:rPr>
          <w:rFonts w:ascii="Times New Roman" w:hAnsi="Times New Roman"/>
          <w:sz w:val="20"/>
          <w:szCs w:val="20"/>
        </w:rPr>
        <w:fldChar w:fldCharType="separate"/>
      </w:r>
      <w:r w:rsidR="005D3B73" w:rsidRPr="005D3B73">
        <w:rPr>
          <w:rFonts w:ascii="Times New Roman" w:hAnsi="Times New Roman" w:cs="Times New Roman"/>
          <w:sz w:val="20"/>
        </w:rPr>
        <w:t>[196]</w:t>
      </w:r>
      <w:r w:rsidR="00031E4F" w:rsidRPr="004D19FF">
        <w:rPr>
          <w:rFonts w:ascii="Times New Roman" w:hAnsi="Times New Roman"/>
          <w:sz w:val="20"/>
          <w:szCs w:val="20"/>
        </w:rPr>
        <w:fldChar w:fldCharType="end"/>
      </w:r>
      <w:r w:rsidR="00EE6B4C" w:rsidRPr="004D19FF">
        <w:rPr>
          <w:rFonts w:ascii="Times New Roman" w:hAnsi="Times New Roman"/>
          <w:sz w:val="20"/>
          <w:szCs w:val="20"/>
        </w:rPr>
        <w:t>)</w:t>
      </w:r>
      <w:r w:rsidR="008A0C9B" w:rsidRPr="004D19FF">
        <w:rPr>
          <w:rFonts w:ascii="Times New Roman" w:hAnsi="Times New Roman"/>
          <w:sz w:val="20"/>
          <w:szCs w:val="20"/>
        </w:rPr>
        <w:t xml:space="preserve">. </w:t>
      </w:r>
      <w:r w:rsidR="00B70D99">
        <w:rPr>
          <w:rFonts w:ascii="Times New Roman" w:hAnsi="Times New Roman"/>
          <w:sz w:val="20"/>
          <w:szCs w:val="20"/>
        </w:rPr>
        <w:t>Table 2</w:t>
      </w:r>
      <w:r w:rsidR="00D83B16" w:rsidRPr="004D19FF">
        <w:rPr>
          <w:rFonts w:ascii="Times New Roman" w:hAnsi="Times New Roman"/>
          <w:sz w:val="20"/>
          <w:szCs w:val="20"/>
        </w:rPr>
        <w:t xml:space="preserve"> </w:t>
      </w:r>
      <w:r w:rsidR="005A6DA0">
        <w:rPr>
          <w:rFonts w:ascii="Times New Roman" w:hAnsi="Times New Roman"/>
          <w:sz w:val="20"/>
          <w:szCs w:val="20"/>
        </w:rPr>
        <w:t>details</w:t>
      </w:r>
      <w:r w:rsidR="00D83B16" w:rsidRPr="004D19FF">
        <w:rPr>
          <w:rFonts w:ascii="Times New Roman" w:hAnsi="Times New Roman"/>
          <w:sz w:val="20"/>
          <w:szCs w:val="20"/>
        </w:rPr>
        <w:t xml:space="preserve"> the </w:t>
      </w:r>
      <w:r w:rsidR="00E553CA" w:rsidRPr="004D19FF">
        <w:rPr>
          <w:rFonts w:ascii="Times New Roman" w:hAnsi="Times New Roman"/>
          <w:sz w:val="20"/>
          <w:szCs w:val="20"/>
        </w:rPr>
        <w:t>emerging</w:t>
      </w:r>
      <w:r w:rsidR="00D83B16" w:rsidRPr="004D19FF">
        <w:rPr>
          <w:rFonts w:ascii="Times New Roman" w:hAnsi="Times New Roman"/>
          <w:sz w:val="20"/>
          <w:szCs w:val="20"/>
        </w:rPr>
        <w:t xml:space="preserve"> battery technologies for aviation applications. </w:t>
      </w:r>
      <w:r w:rsidR="002821C7" w:rsidRPr="004D19FF">
        <w:rPr>
          <w:rFonts w:ascii="Times New Roman" w:hAnsi="Times New Roman"/>
          <w:sz w:val="20"/>
          <w:szCs w:val="20"/>
        </w:rPr>
        <w:t xml:space="preserve"> </w:t>
      </w:r>
    </w:p>
    <w:p w14:paraId="65EFA3F4" w14:textId="79C6920F" w:rsidR="00A4453D" w:rsidRDefault="00A61B24" w:rsidP="00BC4779">
      <w:pPr>
        <w:spacing w:before="120" w:after="120" w:line="276" w:lineRule="auto"/>
        <w:jc w:val="thaiDistribute"/>
        <w:rPr>
          <w:rFonts w:ascii="Times New Roman" w:hAnsi="Times New Roman"/>
          <w:sz w:val="20"/>
          <w:szCs w:val="20"/>
        </w:rPr>
        <w:sectPr w:rsidR="00A4453D" w:rsidSect="00DE41A5">
          <w:pgSz w:w="12240" w:h="15840"/>
          <w:pgMar w:top="1440" w:right="1440" w:bottom="1440" w:left="1440" w:header="720" w:footer="720" w:gutter="0"/>
          <w:lnNumType w:countBy="1" w:restart="continuous"/>
          <w:cols w:space="720"/>
          <w:docGrid w:linePitch="360"/>
        </w:sectPr>
      </w:pPr>
      <w:r w:rsidRPr="004D19FF">
        <w:rPr>
          <w:rFonts w:ascii="Times New Roman" w:hAnsi="Times New Roman"/>
          <w:sz w:val="20"/>
          <w:szCs w:val="20"/>
        </w:rPr>
        <w:t xml:space="preserve">Turboelectric propulsion </w:t>
      </w:r>
      <w:r w:rsidR="00A018BB">
        <w:rPr>
          <w:rFonts w:ascii="Times New Roman" w:hAnsi="Times New Roman"/>
          <w:sz w:val="20"/>
          <w:szCs w:val="20"/>
        </w:rPr>
        <w:t>(Fig</w:t>
      </w:r>
      <w:r w:rsidR="009D1887">
        <w:rPr>
          <w:rFonts w:ascii="Times New Roman" w:hAnsi="Times New Roman"/>
          <w:sz w:val="20"/>
          <w:szCs w:val="20"/>
        </w:rPr>
        <w:t>s</w:t>
      </w:r>
      <w:r w:rsidR="00A018BB">
        <w:rPr>
          <w:rFonts w:ascii="Times New Roman" w:hAnsi="Times New Roman"/>
          <w:sz w:val="20"/>
          <w:szCs w:val="20"/>
        </w:rPr>
        <w:t xml:space="preserve">. </w:t>
      </w:r>
      <w:r w:rsidR="009D1887">
        <w:rPr>
          <w:rFonts w:ascii="Times New Roman" w:hAnsi="Times New Roman"/>
          <w:sz w:val="20"/>
          <w:szCs w:val="20"/>
        </w:rPr>
        <w:t xml:space="preserve">13d and </w:t>
      </w:r>
      <w:r w:rsidR="00A018BB">
        <w:rPr>
          <w:rFonts w:ascii="Times New Roman" w:hAnsi="Times New Roman"/>
          <w:sz w:val="20"/>
          <w:szCs w:val="20"/>
        </w:rPr>
        <w:t xml:space="preserve">e) </w:t>
      </w:r>
      <w:r w:rsidRPr="004D19FF">
        <w:rPr>
          <w:rFonts w:ascii="Times New Roman" w:hAnsi="Times New Roman"/>
          <w:sz w:val="20"/>
          <w:szCs w:val="20"/>
        </w:rPr>
        <w:t xml:space="preserve">is another </w:t>
      </w:r>
      <w:r w:rsidR="004C2F66" w:rsidRPr="004D19FF">
        <w:rPr>
          <w:rFonts w:ascii="Times New Roman" w:hAnsi="Times New Roman"/>
          <w:sz w:val="20"/>
          <w:szCs w:val="20"/>
        </w:rPr>
        <w:t xml:space="preserve">configuration </w:t>
      </w:r>
      <w:r w:rsidR="00A018BB">
        <w:rPr>
          <w:rFonts w:ascii="Times New Roman" w:hAnsi="Times New Roman"/>
          <w:sz w:val="20"/>
          <w:szCs w:val="20"/>
        </w:rPr>
        <w:t>for electric aviation</w:t>
      </w:r>
      <w:r w:rsidR="00A42FA8" w:rsidRPr="004D19FF">
        <w:rPr>
          <w:rFonts w:ascii="Times New Roman" w:hAnsi="Times New Roman"/>
          <w:sz w:val="20"/>
          <w:szCs w:val="20"/>
        </w:rPr>
        <w:t xml:space="preserve">. </w:t>
      </w:r>
      <w:r w:rsidR="00A018BB">
        <w:rPr>
          <w:rFonts w:ascii="Times New Roman" w:hAnsi="Times New Roman"/>
          <w:sz w:val="20"/>
          <w:szCs w:val="20"/>
        </w:rPr>
        <w:t xml:space="preserve">Here, no secondary energy source (e.g. battery) to liquid fuels are involved </w:t>
      </w:r>
      <w:r w:rsidR="00A018BB"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qkAK6tv4","properties":{"formattedCitation":"[27,195]","plainCitation":"[27,195]","noteIndex":0},"citationItems":[{"id":"968HXJ10/68mAWp3j","uris":["http://www.mendeley.com/documents/?uuid=1e2cf6d1-0bb7-41da-b364-bf2d44c874b8"],"uri":["http://www.mendeley.com/documents/?uuid=1e2cf6d1-0bb7-41da-b364-bf2d44c874b8"],"itemData":{"abstract":"Ambitious future emission and noise reduction targets, unveiled by the European Commission with the Strategic Research and Innovation Agenda (SRIA) and the National Aeronautics Space Administration (NASA) with their N+3 goals for the aviation industry, encourage new radical aircraft concepts. A potential solution to fulfill these targets has been identified as the introduction of hybrid and universally-electric aircraft with an entry into service (EIS) for 2035+. Those solutions have the potential to increase the overall vehicular efficiency and decrease the required mission energy demand. A key element of such concepts is the design of the electric part of the power train including the underlying electric systems architecture with regard to efficiency and mass. Current research focuses on the design and optimization of hybrid-electric power trains, as universally-electric aircraft are penalized for the excessive weight of existing designs. Several system and aircraft level studies are available for such concepts. In view of hybrid-electric power trains with different energy supply options, the serial and parallel hybrid-electric topologies are the most promising. Other studies focus on the optimization of the gas turbine performance as a main power supplier of a hybrid- electric power train. The characteristics of the entire electric systems architecture have been considered as a black box in the most cases with constant efficiency values over the entire flight envelope. Sizing impacts of the electric architecture with regard to different shaft power and rotational speed demands of the electric motor and different transmission voltages during design and off-design have been neglected. For an overall performance estimation and optimization of a hybrid-electric power train the level of detail of both contributors are important. Another aspect to be considered is the mechanisms by which the hybrid- electric propulsion system should be operated during the mission to generate the lowest CO2 emissions. For that purpose a method is presented here which allows for the sizing of the electric system architecture on a conceptual design level covering sensitivities with regard to design system shaft power, rotational speed, and transmission voltage in dependency of the involved com- ponents. Therefore, electric component models are developed covering those basic sensitivities with regard to mass and efficiency characteristics in design and off-design. The develope…","author":[{"dropping-particle":"","family":"Vratny","given":"Patrick Christoph","non-dropping-particle":"","parse-names":false,"suffix":""}],"id":"ITEM-1","issued":{"date-parts":[["2018"]]},"page":"1-166","title":"Conceptual Design Methods of Electric Power Architectures for Hybrid Energy Aircraft","type":"article-journal"}},{"id":"968HXJ10/mGEa3YV5","uris":["http://www.mendeley.com/documents/?uuid=91fbef27-778a-4f0f-910f-0faf680e81c7"],"uri":["http://www.mendeley.com/documents/?uuid=91fbef27-778a-4f0f-910f-0faf680e81c7"],"itemData":{"author":[{"dropping-particle":"","family":"Misra","given":"Ajay","non-dropping-particle":"","parse-names":false,"suffix":""}],"container-title":"40th International Conference and Expo on Advanced  Ceramics and Composites","id":"ITEM-2","issued":{"date-parts":[["2016"]]},"title":"Energy Conversion and Storage Requirements for Hybrid Electric Aircraft","type":"article-journal"}}],"schema":"https://github.com/citation-style-language/schema/raw/master/csl-citation.json"} </w:instrText>
      </w:r>
      <w:r w:rsidR="00A018BB" w:rsidRPr="004D19FF">
        <w:rPr>
          <w:rFonts w:ascii="Times New Roman" w:hAnsi="Times New Roman"/>
          <w:sz w:val="20"/>
          <w:szCs w:val="20"/>
        </w:rPr>
        <w:fldChar w:fldCharType="separate"/>
      </w:r>
      <w:r w:rsidR="0051129D" w:rsidRPr="0051129D">
        <w:rPr>
          <w:rFonts w:ascii="Times New Roman" w:hAnsi="Times New Roman" w:cs="Times New Roman"/>
          <w:sz w:val="20"/>
        </w:rPr>
        <w:t>[27,195]</w:t>
      </w:r>
      <w:r w:rsidR="00A018BB" w:rsidRPr="004D19FF">
        <w:rPr>
          <w:rFonts w:ascii="Times New Roman" w:hAnsi="Times New Roman"/>
          <w:sz w:val="20"/>
          <w:szCs w:val="20"/>
        </w:rPr>
        <w:fldChar w:fldCharType="end"/>
      </w:r>
      <w:r w:rsidR="00A018BB">
        <w:rPr>
          <w:rFonts w:ascii="Times New Roman" w:hAnsi="Times New Roman"/>
          <w:sz w:val="20"/>
          <w:szCs w:val="20"/>
        </w:rPr>
        <w:t xml:space="preserve">. </w:t>
      </w:r>
      <w:r w:rsidR="0059724A">
        <w:rPr>
          <w:rFonts w:ascii="Times New Roman" w:hAnsi="Times New Roman"/>
          <w:sz w:val="20"/>
          <w:szCs w:val="20"/>
        </w:rPr>
        <w:t>A g</w:t>
      </w:r>
      <w:r w:rsidRPr="004D19FF">
        <w:rPr>
          <w:rFonts w:ascii="Times New Roman" w:hAnsi="Times New Roman"/>
          <w:sz w:val="20"/>
          <w:szCs w:val="20"/>
        </w:rPr>
        <w:t>as turbine</w:t>
      </w:r>
      <w:r w:rsidR="003D1CE5" w:rsidRPr="004D19FF">
        <w:rPr>
          <w:rFonts w:ascii="Times New Roman" w:hAnsi="Times New Roman"/>
          <w:sz w:val="20"/>
          <w:szCs w:val="20"/>
        </w:rPr>
        <w:t xml:space="preserve"> drives the</w:t>
      </w:r>
      <w:r w:rsidRPr="004D19FF">
        <w:rPr>
          <w:rFonts w:ascii="Times New Roman" w:hAnsi="Times New Roman"/>
          <w:sz w:val="20"/>
          <w:szCs w:val="20"/>
        </w:rPr>
        <w:t xml:space="preserve"> generator that powers electric motors for </w:t>
      </w:r>
      <w:r w:rsidR="003D1CE5" w:rsidRPr="004D19FF">
        <w:rPr>
          <w:rFonts w:ascii="Times New Roman" w:hAnsi="Times New Roman"/>
          <w:sz w:val="20"/>
          <w:szCs w:val="20"/>
        </w:rPr>
        <w:t>t</w:t>
      </w:r>
      <w:r w:rsidR="00DE6EF5">
        <w:rPr>
          <w:rFonts w:ascii="Times New Roman" w:hAnsi="Times New Roman"/>
          <w:sz w:val="20"/>
          <w:szCs w:val="20"/>
        </w:rPr>
        <w:t>hrust or shaft power generation</w:t>
      </w:r>
      <w:r w:rsidR="00D52DFD">
        <w:rPr>
          <w:rFonts w:ascii="Times New Roman" w:hAnsi="Times New Roman"/>
          <w:sz w:val="20"/>
          <w:szCs w:val="20"/>
        </w:rPr>
        <w:t>.</w:t>
      </w:r>
      <w:r w:rsidRPr="004D19FF">
        <w:rPr>
          <w:rFonts w:ascii="Times New Roman" w:hAnsi="Times New Roman"/>
          <w:sz w:val="20"/>
          <w:szCs w:val="20"/>
        </w:rPr>
        <w:t xml:space="preserve"> </w:t>
      </w:r>
      <w:r w:rsidR="00D52DFD">
        <w:rPr>
          <w:rFonts w:ascii="Times New Roman" w:hAnsi="Times New Roman"/>
          <w:sz w:val="20"/>
          <w:szCs w:val="20"/>
        </w:rPr>
        <w:t>I</w:t>
      </w:r>
      <w:r w:rsidR="00A42FA8" w:rsidRPr="004D19FF">
        <w:rPr>
          <w:rFonts w:ascii="Times New Roman" w:hAnsi="Times New Roman"/>
          <w:sz w:val="20"/>
          <w:szCs w:val="20"/>
        </w:rPr>
        <w:t>n</w:t>
      </w:r>
      <w:r w:rsidR="000C512B" w:rsidRPr="004D19FF">
        <w:rPr>
          <w:rFonts w:ascii="Times New Roman" w:hAnsi="Times New Roman"/>
          <w:sz w:val="20"/>
          <w:szCs w:val="20"/>
        </w:rPr>
        <w:t xml:space="preserve"> the full turboelectric system</w:t>
      </w:r>
      <w:r w:rsidR="00A42FA8" w:rsidRPr="004D19FF">
        <w:rPr>
          <w:rFonts w:ascii="Times New Roman" w:hAnsi="Times New Roman"/>
          <w:sz w:val="20"/>
          <w:szCs w:val="20"/>
        </w:rPr>
        <w:t xml:space="preserve"> </w:t>
      </w:r>
      <w:r w:rsidR="00C95440" w:rsidRPr="004D19FF">
        <w:rPr>
          <w:rFonts w:ascii="Times New Roman" w:hAnsi="Times New Roman"/>
          <w:sz w:val="20"/>
          <w:szCs w:val="20"/>
        </w:rPr>
        <w:t>(</w:t>
      </w:r>
      <w:r w:rsidR="005D7294" w:rsidRPr="004D19FF">
        <w:rPr>
          <w:rFonts w:ascii="Times New Roman" w:hAnsi="Times New Roman"/>
          <w:sz w:val="20"/>
          <w:szCs w:val="20"/>
        </w:rPr>
        <w:t xml:space="preserve">hence, </w:t>
      </w:r>
      <w:r w:rsidR="00C95440" w:rsidRPr="004D19FF">
        <w:rPr>
          <w:rFonts w:ascii="Times New Roman" w:hAnsi="Times New Roman"/>
          <w:sz w:val="20"/>
          <w:szCs w:val="20"/>
        </w:rPr>
        <w:t>H</w:t>
      </w:r>
      <w:r w:rsidR="00C95440" w:rsidRPr="004D19FF">
        <w:rPr>
          <w:rFonts w:ascii="Times New Roman" w:hAnsi="Times New Roman"/>
          <w:sz w:val="20"/>
          <w:szCs w:val="20"/>
          <w:vertAlign w:val="subscript"/>
        </w:rPr>
        <w:t>E</w:t>
      </w:r>
      <w:r w:rsidR="00C95440" w:rsidRPr="004D19FF">
        <w:rPr>
          <w:rFonts w:ascii="Times New Roman" w:hAnsi="Times New Roman"/>
          <w:sz w:val="20"/>
          <w:szCs w:val="20"/>
        </w:rPr>
        <w:t xml:space="preserve"> = 0, H</w:t>
      </w:r>
      <w:r w:rsidR="00C95440" w:rsidRPr="004D19FF">
        <w:rPr>
          <w:rFonts w:ascii="Times New Roman" w:hAnsi="Times New Roman"/>
          <w:sz w:val="20"/>
          <w:szCs w:val="20"/>
          <w:vertAlign w:val="subscript"/>
        </w:rPr>
        <w:t xml:space="preserve">P </w:t>
      </w:r>
      <w:r w:rsidR="00C95440" w:rsidRPr="004D19FF">
        <w:rPr>
          <w:rFonts w:ascii="Times New Roman" w:hAnsi="Times New Roman"/>
          <w:sz w:val="20"/>
          <w:szCs w:val="20"/>
        </w:rPr>
        <w:t>=1)</w:t>
      </w:r>
      <w:r w:rsidR="00EB0894" w:rsidRPr="004D19FF">
        <w:rPr>
          <w:rFonts w:ascii="Times New Roman" w:hAnsi="Times New Roman"/>
          <w:sz w:val="20"/>
          <w:szCs w:val="20"/>
        </w:rPr>
        <w:t xml:space="preserve"> </w:t>
      </w:r>
      <w:r w:rsidR="00031E4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AHzHobvn","properties":{"formattedCitation":"[193,222]","plainCitation":"[193,222]","noteIndex":0},"citationItems":[{"id":"968HXJ10/WQsYStiw","uris":["http://www.mendeley.com/documents/?uuid=5935880f-36b1-4d3c-8c6b-9359bc0b3f79"],"uri":["http://www.mendeley.com/documents/?uuid=5935880f-36b1-4d3c-8c6b-9359bc0b3f79"],"itemData":{"DOI":"10.3390/aerospace7040044","ISSN":"22264310","abstract":"Electrification of the propulsion system has opened the door to a new paradigm of propulsion system configurations and novel aircraft designs, which was never envisioned before. Despite lofty promises, the concept must overcome the design and sizing challenges to make it realizable. A suitable modeling framework is desired in order to explore the design space at the conceptual level. A greater investment in enabling technologies, and infrastructural developments, is expected to facilitate its successful application in the market. In this review paper, several scholarly articles were surveyed to get an insight into the current landscape of research endeavors and the formulated derivations related to electric aircraft developments. The barriers and the needed future technological development paths are discussed. The paper also includes detailed assessments of the implications and other needs pertaining to future technology, regulation, certification, and infrastructure developments, in order to make the next generation electric aircraft operation commercially worthy.","author":[{"dropping-particle":"","family":"Sahoo","given":"Smruti","non-dropping-particle":"","parse-names":false,"suffix":""},{"dropping-particle":"","family":"Zhao","given":"Xin","non-dropping-particle":"","parse-names":false,"suffix":""},{"dropping-particle":"","family":"Kyprianidis","given":"Konstantinos","non-dropping-particle":"","parse-names":false,"suffix":""}],"container-title":"Aerospace","id":"ITEM-1","issue":"4","issued":{"date-parts":[["2020"]]},"title":"A review of concepts, benefits, and challenges for future electrical propulsion-based aircraft","type":"article-journal","volume":"7"}},{"id":"968HXJ10/gRs1baCc","uris":["http://www.mendeley.com/documents/?uuid=9cdb0013-590f-437f-815b-b249dd3f0807"],"uri":["http://www.mendeley.com/documents/?uuid=9cdb0013-590f-437f-815b-b249dd3f0807"],"itemData":{"abstract":"An increased focus on electric applications to propulsion for both ground vehicles and airplanes has been observed in recent years, thanks to more reliable and more perform- ing batteries and electric motors. Electric propulsion for aircraft applications is still rep- resenting a very small portion of current standard aviation due to large mass penalties of batteries and due to rather unexplored design procedures. The present work focuses on establishing a general procedure to design an all-electric and serial hybrid-electric aircraft from a conceptual point of view and to simulate their flight profile to assess energy consumption to ensure the highest accuracy possible. A Matlab™code named Hyperion was developed and validated using existing aircraft as a reference, consider- ing the limit case of a simulated conventional aircraft. The considered procedure is based on the assumption of a propeller-driven aircraft powered by electric motors fed by batteries, which are, in case of a hybrid airplane, charged by a generator. Prelim- inary aircraft sizing is conducted by means of required power and estimated required energy, and actual performance is simulated step by step with an iterative procedure based on final state of charge and fuel tank, if present, levels. Literature studies and technology survey are carried out to establish a robust working base, that is consid- ered in a wide set of parametric studies to assess sensitivity of key parameters such as battery performance, cruise speed and altitude, aircraft range among others, on param- eters as takeoff, battery and fuel mass, wing surface, motor power and energy degree of hybridization.","author":[{"dropping-particle":"","family":"Rossi","given":"Niccolò","non-dropping-particle":"","parse-names":false,"suffix":""}],"id":"ITEM-2","issued":{"date-parts":[["2017"]]},"publisher":"Politecnico di Milano","title":"Conceptual Design of Hybrid-Electric Aircraft","type":"thesis"}}],"schema":"https://github.com/citation-style-language/schema/raw/master/csl-citation.json"} </w:instrText>
      </w:r>
      <w:r w:rsidR="00031E4F" w:rsidRPr="004D19FF">
        <w:rPr>
          <w:rFonts w:ascii="Times New Roman" w:hAnsi="Times New Roman"/>
          <w:sz w:val="20"/>
          <w:szCs w:val="20"/>
        </w:rPr>
        <w:fldChar w:fldCharType="separate"/>
      </w:r>
      <w:r w:rsidR="00681D64" w:rsidRPr="00681D64">
        <w:rPr>
          <w:rFonts w:ascii="Times New Roman" w:hAnsi="Times New Roman" w:cs="Times New Roman"/>
          <w:sz w:val="20"/>
        </w:rPr>
        <w:t>[193,222]</w:t>
      </w:r>
      <w:r w:rsidR="00031E4F" w:rsidRPr="004D19FF">
        <w:rPr>
          <w:rFonts w:ascii="Times New Roman" w:hAnsi="Times New Roman"/>
          <w:sz w:val="20"/>
          <w:szCs w:val="20"/>
        </w:rPr>
        <w:fldChar w:fldCharType="end"/>
      </w:r>
      <w:r w:rsidR="00D52DFD">
        <w:rPr>
          <w:rFonts w:ascii="Times New Roman" w:hAnsi="Times New Roman"/>
          <w:sz w:val="20"/>
          <w:szCs w:val="20"/>
        </w:rPr>
        <w:t>, the generic gas turbine term denotes a</w:t>
      </w:r>
      <w:r w:rsidR="00D52DFD" w:rsidRPr="004D19FF">
        <w:rPr>
          <w:rFonts w:ascii="Times New Roman" w:hAnsi="Times New Roman"/>
          <w:sz w:val="20"/>
          <w:szCs w:val="20"/>
        </w:rPr>
        <w:t xml:space="preserve"> turboshaft engine</w:t>
      </w:r>
      <w:r w:rsidR="00C95440" w:rsidRPr="004D19FF">
        <w:rPr>
          <w:rFonts w:ascii="Times New Roman" w:hAnsi="Times New Roman"/>
          <w:sz w:val="20"/>
          <w:szCs w:val="20"/>
        </w:rPr>
        <w:t xml:space="preserve">. </w:t>
      </w:r>
      <w:r w:rsidR="0059724A">
        <w:rPr>
          <w:rFonts w:ascii="Times New Roman" w:hAnsi="Times New Roman"/>
          <w:sz w:val="20"/>
          <w:szCs w:val="20"/>
        </w:rPr>
        <w:t>In the</w:t>
      </w:r>
      <w:r w:rsidR="00706760" w:rsidRPr="004D19FF">
        <w:rPr>
          <w:rFonts w:ascii="Times New Roman" w:hAnsi="Times New Roman"/>
          <w:sz w:val="20"/>
          <w:szCs w:val="20"/>
        </w:rPr>
        <w:t xml:space="preserve"> partial turboelectric concept, </w:t>
      </w:r>
      <w:r w:rsidR="0059724A">
        <w:rPr>
          <w:rFonts w:ascii="Times New Roman" w:hAnsi="Times New Roman"/>
          <w:sz w:val="20"/>
          <w:szCs w:val="20"/>
        </w:rPr>
        <w:t>the generated power</w:t>
      </w:r>
      <w:r w:rsidR="00782E30" w:rsidRPr="004D19FF">
        <w:rPr>
          <w:rFonts w:ascii="Times New Roman" w:hAnsi="Times New Roman"/>
          <w:sz w:val="20"/>
          <w:szCs w:val="20"/>
        </w:rPr>
        <w:t xml:space="preserve"> from the gas turbine is partially delivered to the generator </w:t>
      </w:r>
      <w:r w:rsidR="00AD66E0">
        <w:rPr>
          <w:rFonts w:ascii="Times New Roman" w:hAnsi="Times New Roman"/>
          <w:sz w:val="20"/>
          <w:szCs w:val="20"/>
        </w:rPr>
        <w:t>ultimately feeding the electric motor</w:t>
      </w:r>
      <w:r w:rsidR="00FF087C">
        <w:rPr>
          <w:rFonts w:ascii="Times New Roman" w:hAnsi="Times New Roman"/>
          <w:sz w:val="20"/>
          <w:szCs w:val="20"/>
        </w:rPr>
        <w:t>(</w:t>
      </w:r>
      <w:r w:rsidR="00AD66E0">
        <w:rPr>
          <w:rFonts w:ascii="Times New Roman" w:hAnsi="Times New Roman"/>
          <w:sz w:val="20"/>
          <w:szCs w:val="20"/>
        </w:rPr>
        <w:t>s</w:t>
      </w:r>
      <w:r w:rsidR="00FF087C">
        <w:rPr>
          <w:rFonts w:ascii="Times New Roman" w:hAnsi="Times New Roman"/>
          <w:sz w:val="20"/>
          <w:szCs w:val="20"/>
        </w:rPr>
        <w:t>)</w:t>
      </w:r>
      <w:r w:rsidR="00AD66E0">
        <w:rPr>
          <w:rFonts w:ascii="Times New Roman" w:hAnsi="Times New Roman"/>
          <w:sz w:val="20"/>
          <w:szCs w:val="20"/>
        </w:rPr>
        <w:t>, and the remaining is delivered to directly to the other motors</w:t>
      </w:r>
      <w:r w:rsidR="00706760" w:rsidRPr="004D19FF">
        <w:rPr>
          <w:rFonts w:ascii="Times New Roman" w:hAnsi="Times New Roman"/>
          <w:sz w:val="20"/>
          <w:szCs w:val="20"/>
        </w:rPr>
        <w:t xml:space="preserve"> </w:t>
      </w:r>
      <w:r w:rsidR="00031E4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zrgdg2A","properties":{"formattedCitation":"[27,193,223]","plainCitation":"[27,193,223]","noteIndex":0},"citationItems":[{"id":"968HXJ10/PAa5LJqu","uris":["http://www.mendeley.com/documents/?uuid=2ab8f4bb-bb8d-4d7e-a45d-88d0efe6702f"],"uri":["http://www.mendeley.com/documents/?uuid=2ab8f4bb-bb8d-4d7e-a45d-88d0efe6702f"],"itemData":{"DOI":"10.2514/6.2018-5023","ISBN":"9781624105722","abstract":"NASA has been investigating electrified aircraft propulsion as a means of furthering its goals of reducing fuel burn, emissions, and noise. However, the electric drive components required introduce weight and efficiency penalties at odds with these goals. The purpose of this paper is to propose electric drive specific power, electric drive efficiency, and electrical propulsion fraction as the key performance parameters for fully turboelectric, partially turboelectric, and parallel hybrid electric aircraft power systems. The impacts of these parameters on overall aircraft performance are investigated Range equations for each aircraft type are described The benefits and costs that may result from the electrified propulsion systems are enumerated A breakeven analysis is conducted to find the minimum allowable electric drive specific power and efficiency, for a given electrical propulsion frac1ion and battery specific energy, that can preserve the range, payload weight, input energy, and ratio of operating empty weight to initial weight of the conventional aircraft.","author":[{"dropping-particle":"","family":"Duffy","given":"Kirsten P.","non-dropping-particle":"","parse-names":false,"suffix":""},{"dropping-particle":"","family":"Jansen","given":"Ralph H.","non-dropping-particle":"","parse-names":false,"suffix":""}],"container-title":"2018 AIAA/IEEE Electric Aircraft Technologies Symposium, EATS 2018","id":"ITEM-1","issue":"July","issued":{"date-parts":[["2018"]]},"title":"Turboelectricand Hybrid Electric Aircraft Drive Key Performance Parameters","type":"article-journal"}},{"id":"968HXJ10/gRs1baCc","uris":["http://www.mendeley.com/documents/?uuid=9cdb0013-590f-437f-815b-b249dd3f0807"],"uri":["http://www.mendeley.com/documents/?uuid=9cdb0013-590f-437f-815b-b249dd3f0807"],"itemData":{"abstract":"An increased focus on electric applications to propulsion for both ground vehicles and airplanes has been observed in recent years, thanks to more reliable and more perform- ing batteries and electric motors. Electric propulsion for aircraft applications is still rep- resenting a very small portion of current standard aviation due to large mass penalties of batteries and due to rather unexplored design procedures. The present work focuses on establishing a general procedure to design an all-electric and serial hybrid-electric aircraft from a conceptual point of view and to simulate their flight profile to assess energy consumption to ensure the highest accuracy possible. A Matlab™code named Hyperion was developed and validated using existing aircraft as a reference, consider- ing the limit case of a simulated conventional aircraft. The considered procedure is based on the assumption of a propeller-driven aircraft powered by electric motors fed by batteries, which are, in case of a hybrid airplane, charged by a generator. Prelim- inary aircraft sizing is conducted by means of required power and estimated required energy, and actual performance is simulated step by step with an iterative procedure based on final state of charge and fuel tank, if present, levels. Literature studies and technology survey are carried out to establish a robust working base, that is consid- ered in a wide set of parametric studies to assess sensitivity of key parameters such as battery performance, cruise speed and altitude, aircraft range among others, on param- eters as takeoff, battery and fuel mass, wing surface, motor power and energy degree of hybridization.","author":[{"dropping-particle":"","family":"Rossi","given":"Niccolò","non-dropping-particle":"","parse-names":false,"suffix":""}],"id":"ITEM-2","issued":{"date-parts":[["2017"]]},"publisher":"Politecnico di Milano","title":"Conceptual Design of Hybrid-Electric Aircraft","type":"thesis"}},{"id":"968HXJ10/mGEa3YV5","uris":["http://www.mendeley.com/documents/?uuid=91fbef27-778a-4f0f-910f-0faf680e81c7"],"uri":["http://www.mendeley.com/documents/?uuid=91fbef27-778a-4f0f-910f-0faf680e81c7"],"itemData":{"author":[{"dropping-particle":"","family":"Misra","given":"Ajay","non-dropping-particle":"","parse-names":false,"suffix":""}],"container-title":"40th International Conference and Expo on Advanced  Ceramics and Composites","id":"ITEM-3","issued":{"date-parts":[["2016"]]},"title":"Energy Conversion and Storage Requirements for Hybrid Electric Aircraft","type":"article-journal"}}],"schema":"https://github.com/citation-style-language/schema/raw/master/csl-citation.json"} </w:instrText>
      </w:r>
      <w:r w:rsidR="00031E4F" w:rsidRPr="004D19FF">
        <w:rPr>
          <w:rFonts w:ascii="Times New Roman" w:hAnsi="Times New Roman"/>
          <w:sz w:val="20"/>
          <w:szCs w:val="20"/>
        </w:rPr>
        <w:fldChar w:fldCharType="separate"/>
      </w:r>
      <w:r w:rsidR="0051129D" w:rsidRPr="0051129D">
        <w:rPr>
          <w:rFonts w:ascii="Times New Roman" w:hAnsi="Times New Roman" w:cs="Times New Roman"/>
          <w:sz w:val="20"/>
        </w:rPr>
        <w:t>[27,193,223]</w:t>
      </w:r>
      <w:r w:rsidR="00031E4F" w:rsidRPr="004D19FF">
        <w:rPr>
          <w:rFonts w:ascii="Times New Roman" w:hAnsi="Times New Roman"/>
          <w:sz w:val="20"/>
          <w:szCs w:val="20"/>
        </w:rPr>
        <w:fldChar w:fldCharType="end"/>
      </w:r>
      <w:r w:rsidR="00706760" w:rsidRPr="004D19FF">
        <w:rPr>
          <w:rFonts w:ascii="Times New Roman" w:hAnsi="Times New Roman"/>
          <w:sz w:val="20"/>
          <w:szCs w:val="20"/>
        </w:rPr>
        <w:t xml:space="preserve">. </w:t>
      </w:r>
      <w:r w:rsidR="00BE25C5" w:rsidRPr="004D19FF">
        <w:rPr>
          <w:rFonts w:ascii="Times New Roman" w:hAnsi="Times New Roman"/>
          <w:sz w:val="20"/>
          <w:szCs w:val="20"/>
        </w:rPr>
        <w:t xml:space="preserve">Albeit </w:t>
      </w:r>
      <w:r w:rsidR="00AD66E0">
        <w:rPr>
          <w:rFonts w:ascii="Times New Roman" w:hAnsi="Times New Roman"/>
          <w:sz w:val="20"/>
          <w:szCs w:val="20"/>
        </w:rPr>
        <w:t>this turboelectric propulsion concept</w:t>
      </w:r>
      <w:r w:rsidR="00BE25C5" w:rsidRPr="004D19FF">
        <w:rPr>
          <w:rFonts w:ascii="Times New Roman" w:hAnsi="Times New Roman"/>
          <w:sz w:val="20"/>
          <w:szCs w:val="20"/>
        </w:rPr>
        <w:t xml:space="preserve"> can </w:t>
      </w:r>
      <w:r w:rsidR="003D1CE5" w:rsidRPr="004D19FF">
        <w:rPr>
          <w:rFonts w:ascii="Times New Roman" w:hAnsi="Times New Roman"/>
          <w:sz w:val="20"/>
          <w:szCs w:val="20"/>
        </w:rPr>
        <w:t>improve the</w:t>
      </w:r>
      <w:r w:rsidR="006C57D4" w:rsidRPr="004D19FF">
        <w:rPr>
          <w:rFonts w:ascii="Times New Roman" w:hAnsi="Times New Roman"/>
          <w:sz w:val="20"/>
          <w:szCs w:val="20"/>
        </w:rPr>
        <w:t xml:space="preserve"> propulsive efficiency</w:t>
      </w:r>
      <w:r w:rsidR="004D757F" w:rsidRPr="004D19FF">
        <w:rPr>
          <w:rFonts w:ascii="Times New Roman" w:hAnsi="Times New Roman"/>
          <w:sz w:val="20"/>
          <w:szCs w:val="20"/>
        </w:rPr>
        <w:t xml:space="preserve"> </w:t>
      </w:r>
      <w:r w:rsidR="00AD66E0">
        <w:rPr>
          <w:rFonts w:ascii="Times New Roman" w:hAnsi="Times New Roman"/>
          <w:sz w:val="20"/>
          <w:szCs w:val="20"/>
        </w:rPr>
        <w:t>of</w:t>
      </w:r>
      <w:r w:rsidR="00662DCF" w:rsidRPr="004D19FF">
        <w:rPr>
          <w:rFonts w:ascii="Times New Roman" w:hAnsi="Times New Roman"/>
          <w:sz w:val="20"/>
          <w:szCs w:val="20"/>
        </w:rPr>
        <w:t xml:space="preserve"> electri</w:t>
      </w:r>
      <w:r w:rsidR="000A355E" w:rsidRPr="004D19FF">
        <w:rPr>
          <w:rFonts w:ascii="Times New Roman" w:hAnsi="Times New Roman"/>
          <w:sz w:val="20"/>
          <w:szCs w:val="20"/>
        </w:rPr>
        <w:t>cally-driven propellers</w:t>
      </w:r>
      <w:r w:rsidR="00BE25C5" w:rsidRPr="004D19FF">
        <w:rPr>
          <w:rFonts w:ascii="Times New Roman" w:hAnsi="Times New Roman"/>
          <w:sz w:val="20"/>
          <w:szCs w:val="20"/>
        </w:rPr>
        <w:t xml:space="preserve">, the integration of the </w:t>
      </w:r>
      <w:r w:rsidR="005F330B" w:rsidRPr="004D19FF">
        <w:rPr>
          <w:rFonts w:ascii="Times New Roman" w:hAnsi="Times New Roman"/>
          <w:sz w:val="20"/>
          <w:szCs w:val="20"/>
        </w:rPr>
        <w:t>electri</w:t>
      </w:r>
      <w:r w:rsidR="009F04EC" w:rsidRPr="004D19FF">
        <w:rPr>
          <w:rFonts w:ascii="Times New Roman" w:hAnsi="Times New Roman"/>
          <w:sz w:val="20"/>
          <w:szCs w:val="20"/>
        </w:rPr>
        <w:t>c system</w:t>
      </w:r>
      <w:r w:rsidR="00843991" w:rsidRPr="004D19FF">
        <w:rPr>
          <w:rFonts w:ascii="Times New Roman" w:hAnsi="Times New Roman"/>
          <w:sz w:val="20"/>
          <w:szCs w:val="20"/>
        </w:rPr>
        <w:t xml:space="preserve"> </w:t>
      </w:r>
      <w:r w:rsidR="00AD66E0">
        <w:rPr>
          <w:rFonts w:ascii="Times New Roman" w:hAnsi="Times New Roman"/>
          <w:sz w:val="20"/>
          <w:szCs w:val="20"/>
        </w:rPr>
        <w:t xml:space="preserve">introduces weight </w:t>
      </w:r>
      <w:r w:rsidR="003D1CE5" w:rsidRPr="004D19FF">
        <w:rPr>
          <w:rFonts w:ascii="Times New Roman" w:hAnsi="Times New Roman"/>
          <w:sz w:val="20"/>
          <w:szCs w:val="20"/>
        </w:rPr>
        <w:t>(</w:t>
      </w:r>
      <w:r w:rsidR="003418E8">
        <w:rPr>
          <w:rFonts w:ascii="Times New Roman" w:hAnsi="Times New Roman"/>
          <w:sz w:val="20"/>
          <w:szCs w:val="20"/>
        </w:rPr>
        <w:t xml:space="preserve">although </w:t>
      </w:r>
      <w:r w:rsidR="003D1CE5" w:rsidRPr="004D19FF">
        <w:rPr>
          <w:rFonts w:ascii="Times New Roman" w:hAnsi="Times New Roman"/>
          <w:sz w:val="20"/>
          <w:szCs w:val="20"/>
        </w:rPr>
        <w:t xml:space="preserve">lighter </w:t>
      </w:r>
      <w:r w:rsidR="00AD66E0">
        <w:rPr>
          <w:rFonts w:ascii="Times New Roman" w:hAnsi="Times New Roman"/>
          <w:sz w:val="20"/>
          <w:szCs w:val="20"/>
        </w:rPr>
        <w:t>than the all electric configuration as it does not involve batteries</w:t>
      </w:r>
      <w:r w:rsidR="003D1CE5" w:rsidRPr="004D19FF">
        <w:rPr>
          <w:rFonts w:ascii="Times New Roman" w:hAnsi="Times New Roman"/>
          <w:sz w:val="20"/>
          <w:szCs w:val="20"/>
        </w:rPr>
        <w:t xml:space="preserve">) </w:t>
      </w:r>
      <w:r w:rsidR="00031E4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S8GBVduB","properties":{"formattedCitation":"[224,225]","plainCitation":"[224,225]","noteIndex":0},"citationItems":[{"id":"968HXJ10/E2f90QC5","uris":["http://www.mendeley.com/documents/?uuid=dcc0b004-8dc9-4a22-ab68-73075e7189ee"],"uri":["http://www.mendeley.com/documents/?uuid=dcc0b004-8dc9-4a22-ab68-73075e7189ee"],"itemData":{"DOI":"10.2514/6.2016-1027","ISBN":"9781624103933","abstract":"A single-aisle commercial transport concept with a turboelectric propulsion system architecture was developed assuming entry into service in 2035 and compared to a similar technology conventional configuration. The turboelectric architecture consisted of two underwing turbofans with generators extracting power from the fan shaft and sending it to a rear fuselage, axisymmetric, boundary layer ingesting fan. Results indicate that the turbo- electric concept has an economic mission fuel burn reduction of 7%, and a design mission fuel burn reduction of 12% compared to the conventional configuration. An exploration of the design space was performed to better understand how the turboelectric architecture changes the design space, and system sensitivities were run to determine the sensitivity of thrust specific fuel consumption at top of climb and propulsion system weight to the motor power, fan pressure ratio, and electrical transmission efficiency of the aft boundary layer ingesting fan.","author":[{"dropping-particle":"","family":"Welstead","given":"Jason R.","non-dropping-particle":"","parse-names":false,"suffix":""},{"dropping-particle":"","family":"Felder","given":"James L.","non-dropping-particle":"","parse-names":false,"suffix":""}],"container-title":"54th AIAA Aerospace Sciences Meeting","id":"ITEM-1","issue":"January","issued":{"date-parts":[["2016"]]},"page":"1-17","title":"Conceptual design of a single-aisle turboelectric commercial transport with fuselage boundary layer ingestion","type":"article-journal","volume":"0"}},{"id":"968HXJ10/JgOcnkFV","uris":["http://www.mendeley.com/documents/?uuid=aaa8ebe9-a5d2-4de6-a0e3-a15055a1b430"],"uri":["http://www.mendeley.com/documents/?uuid=aaa8ebe9-a5d2-4de6-a0e3-a15055a1b430"],"itemData":{"DOI":"10.2514/6.2015-3890","ISBN":"9781624103216","abstract":"The purpose of this paper is to propose specific power and efficiency as the key performance parameters for a turboelectric aircraft power system and investigate their impact on the overall aircraft. Key functional requirements are identified that impact the power system design. Breguet range equations for a base aircraft and a turboelectric aircraft are found. The benefits and costs that may result from the turboelectric system are enumerated. A break-even analysis is conducted to find the minimum allowable electric drive specific power and efficiency that can preserve the range, initial weight, operating empty weight, and payload weight of the base aircraft.","author":[{"dropping-particle":"","family":"Jansen","given":"Ralph H.","non-dropping-particle":"","parse-names":false,"suffix":""},{"dropping-particle":"V.","family":"Brown","given":"Gerald","non-dropping-particle":"","parse-names":false,"suffix":""},{"dropping-particle":"","family":"Felder","given":"James L.","non-dropping-particle":"","parse-names":false,"suffix":""},{"dropping-particle":"","family":"Duffy","given":"Kirsten P.","non-dropping-particle":"","parse-names":false,"suffix":""}],"container-title":"51st AIAA/SAE/ASEE Joint Propulsion Conference","id":"ITEM-2","issued":{"date-parts":[["2015"]]},"title":"Turboelectric aircraft drive key performance parameters and functional requirements","type":"article-journal"}}],"schema":"https://github.com/citation-style-language/schema/raw/master/csl-citation.json"} </w:instrText>
      </w:r>
      <w:r w:rsidR="00031E4F" w:rsidRPr="004D19FF">
        <w:rPr>
          <w:rFonts w:ascii="Times New Roman" w:hAnsi="Times New Roman"/>
          <w:sz w:val="20"/>
          <w:szCs w:val="20"/>
        </w:rPr>
        <w:fldChar w:fldCharType="separate"/>
      </w:r>
      <w:r w:rsidR="00681D64" w:rsidRPr="00681D64">
        <w:rPr>
          <w:rFonts w:ascii="Times New Roman" w:hAnsi="Times New Roman" w:cs="Times New Roman"/>
          <w:sz w:val="20"/>
        </w:rPr>
        <w:t>[224,225]</w:t>
      </w:r>
      <w:r w:rsidR="00031E4F" w:rsidRPr="004D19FF">
        <w:rPr>
          <w:rFonts w:ascii="Times New Roman" w:hAnsi="Times New Roman"/>
          <w:sz w:val="20"/>
          <w:szCs w:val="20"/>
        </w:rPr>
        <w:fldChar w:fldCharType="end"/>
      </w:r>
      <w:r w:rsidR="00BE25C5" w:rsidRPr="004D19FF">
        <w:rPr>
          <w:rFonts w:ascii="Times New Roman" w:hAnsi="Times New Roman"/>
          <w:sz w:val="20"/>
          <w:szCs w:val="20"/>
        </w:rPr>
        <w:t xml:space="preserve">. </w:t>
      </w:r>
      <w:r w:rsidR="00307DA9">
        <w:rPr>
          <w:rFonts w:ascii="Times New Roman" w:hAnsi="Times New Roman"/>
          <w:sz w:val="20"/>
          <w:szCs w:val="20"/>
        </w:rPr>
        <w:t>To enhance the overall performance in terms of fuel burnt and weight, t</w:t>
      </w:r>
      <w:r w:rsidR="00BA6FA2" w:rsidRPr="004D19FF">
        <w:rPr>
          <w:rFonts w:ascii="Times New Roman" w:hAnsi="Times New Roman"/>
          <w:sz w:val="20"/>
          <w:szCs w:val="20"/>
        </w:rPr>
        <w:t>his co</w:t>
      </w:r>
      <w:r w:rsidR="00307DA9">
        <w:rPr>
          <w:rFonts w:ascii="Times New Roman" w:hAnsi="Times New Roman"/>
          <w:sz w:val="20"/>
          <w:szCs w:val="20"/>
        </w:rPr>
        <w:t>nfiguration concept has been</w:t>
      </w:r>
      <w:r w:rsidR="00BA6FA2" w:rsidRPr="004D19FF">
        <w:rPr>
          <w:rFonts w:ascii="Times New Roman" w:hAnsi="Times New Roman"/>
          <w:sz w:val="20"/>
          <w:szCs w:val="20"/>
        </w:rPr>
        <w:t xml:space="preserve"> integrated with </w:t>
      </w:r>
      <w:r w:rsidR="00307DA9">
        <w:rPr>
          <w:rFonts w:ascii="Times New Roman" w:hAnsi="Times New Roman"/>
          <w:sz w:val="20"/>
          <w:szCs w:val="20"/>
        </w:rPr>
        <w:t>optimized</w:t>
      </w:r>
      <w:r w:rsidR="00BA6FA2" w:rsidRPr="004D19FF">
        <w:rPr>
          <w:rFonts w:ascii="Times New Roman" w:hAnsi="Times New Roman"/>
          <w:sz w:val="20"/>
          <w:szCs w:val="20"/>
        </w:rPr>
        <w:t xml:space="preserve"> aircraft design</w:t>
      </w:r>
      <w:r w:rsidR="00307DA9">
        <w:rPr>
          <w:rFonts w:ascii="Times New Roman" w:hAnsi="Times New Roman"/>
          <w:sz w:val="20"/>
          <w:szCs w:val="20"/>
        </w:rPr>
        <w:t>, for instance in NASA’s STARC-ABL aircraft design (Single-aisle Turboelectric Aircraft with</w:t>
      </w:r>
      <w:r w:rsidR="00372DC7">
        <w:rPr>
          <w:rFonts w:ascii="Times New Roman" w:hAnsi="Times New Roman"/>
          <w:sz w:val="20"/>
          <w:szCs w:val="20"/>
        </w:rPr>
        <w:t xml:space="preserve"> an Aft Boundary-Layer P</w:t>
      </w:r>
      <w:r w:rsidR="00944330">
        <w:rPr>
          <w:rFonts w:ascii="Times New Roman" w:hAnsi="Times New Roman"/>
          <w:sz w:val="20"/>
          <w:szCs w:val="20"/>
        </w:rPr>
        <w:t>ropulsors</w:t>
      </w:r>
      <w:r w:rsidR="00307DA9">
        <w:rPr>
          <w:rFonts w:ascii="Times New Roman" w:hAnsi="Times New Roman"/>
          <w:sz w:val="20"/>
          <w:szCs w:val="20"/>
        </w:rPr>
        <w:t>)</w:t>
      </w:r>
      <w:r w:rsidR="00BA6FA2" w:rsidRPr="004D19FF">
        <w:rPr>
          <w:rFonts w:ascii="Times New Roman" w:hAnsi="Times New Roman"/>
          <w:sz w:val="20"/>
          <w:szCs w:val="20"/>
        </w:rPr>
        <w:t xml:space="preserve"> </w:t>
      </w:r>
      <w:r w:rsidR="00031E4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a1RVYB1u","properties":{"formattedCitation":"[224]","plainCitation":"[224]","noteIndex":0},"citationItems":[{"id":"968HXJ10/E2f90QC5","uris":["http://www.mendeley.com/documents/?uuid=dcc0b004-8dc9-4a22-ab68-73075e7189ee"],"uri":["http://www.mendeley.com/documents/?uuid=dcc0b004-8dc9-4a22-ab68-73075e7189ee"],"itemData":{"DOI":"10.2514/6.2016-1027","ISBN":"9781624103933","abstract":"A single-aisle commercial transport concept with a turboelectric propulsion system architecture was developed assuming entry into service in 2035 and compared to a similar technology conventional configuration. The turboelectric architecture consisted of two underwing turbofans with generators extracting power from the fan shaft and sending it to a rear fuselage, axisymmetric, boundary layer ingesting fan. Results indicate that the turbo- electric concept has an economic mission fuel burn reduction of 7%, and a design mission fuel burn reduction of 12% compared to the conventional configuration. An exploration of the design space was performed to better understand how the turboelectric architecture changes the design space, and system sensitivities were run to determine the sensitivity of thrust specific fuel consumption at top of climb and propulsion system weight to the motor power, fan pressure ratio, and electrical transmission efficiency of the aft boundary layer ingesting fan.","author":[{"dropping-particle":"","family":"Welstead","given":"Jason R.","non-dropping-particle":"","parse-names":false,"suffix":""},{"dropping-particle":"","family":"Felder","given":"James L.","non-dropping-particle":"","parse-names":false,"suffix":""}],"container-title":"54th AIAA Aerospace Sciences Meeting","id":"ITEM-1","issue":"January","issued":{"date-parts":[["2016"]]},"page":"1-17","title":"Conceptual design of a single-aisle turboelectric commercial transport with fuselage boundary layer ingestion","type":"article-journal","volume":"0"}}],"schema":"https://github.com/citation-style-language/schema/raw/master/csl-citation.json"} </w:instrText>
      </w:r>
      <w:r w:rsidR="00031E4F" w:rsidRPr="004D19FF">
        <w:rPr>
          <w:rFonts w:ascii="Times New Roman" w:hAnsi="Times New Roman"/>
          <w:sz w:val="20"/>
          <w:szCs w:val="20"/>
        </w:rPr>
        <w:fldChar w:fldCharType="separate"/>
      </w:r>
      <w:r w:rsidR="00681D64" w:rsidRPr="00681D64">
        <w:rPr>
          <w:rFonts w:ascii="Times New Roman" w:hAnsi="Times New Roman" w:cs="Times New Roman"/>
          <w:sz w:val="20"/>
        </w:rPr>
        <w:t>[224]</w:t>
      </w:r>
      <w:r w:rsidR="00031E4F" w:rsidRPr="004D19FF">
        <w:rPr>
          <w:rFonts w:ascii="Times New Roman" w:hAnsi="Times New Roman"/>
          <w:sz w:val="20"/>
          <w:szCs w:val="20"/>
        </w:rPr>
        <w:fldChar w:fldCharType="end"/>
      </w:r>
      <w:r w:rsidR="00BA6FA2" w:rsidRPr="004D19FF">
        <w:rPr>
          <w:rFonts w:ascii="Times New Roman" w:hAnsi="Times New Roman"/>
          <w:sz w:val="20"/>
          <w:szCs w:val="20"/>
        </w:rPr>
        <w:t xml:space="preserve">. </w:t>
      </w:r>
      <w:r w:rsidR="00307DA9">
        <w:rPr>
          <w:rFonts w:ascii="Times New Roman" w:hAnsi="Times New Roman"/>
          <w:sz w:val="20"/>
          <w:szCs w:val="20"/>
        </w:rPr>
        <w:t xml:space="preserve">This allowed a 12% reduction of fuel burnt compared to the conventional aircraft concept (conventional kerosene configuration (Fig. 13g) and airframe design) </w:t>
      </w:r>
      <w:r w:rsidR="00307DA9"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yFdlWhCE","properties":{"formattedCitation":"[224]","plainCitation":"[224]","noteIndex":0},"citationItems":[{"id":"968HXJ10/E2f90QC5","uris":["http://www.mendeley.com/documents/?uuid=dcc0b004-8dc9-4a22-ab68-73075e7189ee"],"uri":["http://www.mendeley.com/documents/?uuid=dcc0b004-8dc9-4a22-ab68-73075e7189ee"],"itemData":{"DOI":"10.2514/6.2016-1027","ISBN":"9781624103933","abstract":"A single-aisle commercial transport concept with a turboelectric propulsion system architecture was developed assuming entry into service in 2035 and compared to a similar technology conventional configuration. The turboelectric architecture consisted of two underwing turbofans with generators extracting power from the fan shaft and sending it to a rear fuselage, axisymmetric, boundary layer ingesting fan. Results indicate that the turbo- electric concept has an economic mission fuel burn reduction of 7%, and a design mission fuel burn reduction of 12% compared to the conventional configuration. An exploration of the design space was performed to better understand how the turboelectric architecture changes the design space, and system sensitivities were run to determine the sensitivity of thrust specific fuel consumption at top of climb and propulsion system weight to the motor power, fan pressure ratio, and electrical transmission efficiency of the aft boundary layer ingesting fan.","author":[{"dropping-particle":"","family":"Welstead","given":"Jason R.","non-dropping-particle":"","parse-names":false,"suffix":""},{"dropping-particle":"","family":"Felder","given":"James L.","non-dropping-particle":"","parse-names":false,"suffix":""}],"container-title":"54th AIAA Aerospace Sciences Meeting","id":"ITEM-1","issue":"January","issued":{"date-parts":[["2016"]]},"page":"1-17","title":"Conceptual design of a single-aisle turboelectric commercial transport with fuselage boundary layer ingestion","type":"article-journal","volume":"0"}}],"schema":"https://github.com/citation-style-language/schema/raw/master/csl-citation.json"} </w:instrText>
      </w:r>
      <w:r w:rsidR="00307DA9" w:rsidRPr="004D19FF">
        <w:rPr>
          <w:rFonts w:ascii="Times New Roman" w:hAnsi="Times New Roman"/>
          <w:sz w:val="20"/>
          <w:szCs w:val="20"/>
        </w:rPr>
        <w:fldChar w:fldCharType="separate"/>
      </w:r>
      <w:r w:rsidR="00681D64" w:rsidRPr="00681D64">
        <w:rPr>
          <w:rFonts w:ascii="Times New Roman" w:hAnsi="Times New Roman" w:cs="Times New Roman"/>
          <w:sz w:val="20"/>
        </w:rPr>
        <w:t>[224]</w:t>
      </w:r>
      <w:r w:rsidR="00307DA9" w:rsidRPr="004D19FF">
        <w:rPr>
          <w:rFonts w:ascii="Times New Roman" w:hAnsi="Times New Roman"/>
          <w:sz w:val="20"/>
          <w:szCs w:val="20"/>
        </w:rPr>
        <w:fldChar w:fldCharType="end"/>
      </w:r>
      <w:r w:rsidR="00307DA9" w:rsidRPr="004D19FF">
        <w:rPr>
          <w:rFonts w:ascii="Times New Roman" w:hAnsi="Times New Roman"/>
          <w:sz w:val="20"/>
          <w:szCs w:val="20"/>
        </w:rPr>
        <w:t>.</w:t>
      </w:r>
      <w:r w:rsidR="00307DA9">
        <w:rPr>
          <w:rFonts w:ascii="Times New Roman" w:hAnsi="Times New Roman"/>
          <w:sz w:val="20"/>
          <w:szCs w:val="20"/>
        </w:rPr>
        <w:t xml:space="preserve"> </w:t>
      </w:r>
      <w:r w:rsidR="00A535A9">
        <w:rPr>
          <w:rFonts w:ascii="Times New Roman" w:hAnsi="Times New Roman"/>
          <w:sz w:val="20"/>
          <w:szCs w:val="20"/>
        </w:rPr>
        <w:t>NASA’s</w:t>
      </w:r>
      <w:r w:rsidR="00C10CA7" w:rsidRPr="004D19FF">
        <w:rPr>
          <w:rFonts w:ascii="Times New Roman" w:hAnsi="Times New Roman"/>
          <w:sz w:val="20"/>
          <w:szCs w:val="20"/>
        </w:rPr>
        <w:t xml:space="preserve"> N3-X aircraft is another turboelectric concept with blended wing, providing ca. 63% energy and 90% NO</w:t>
      </w:r>
      <w:r w:rsidR="00C10CA7" w:rsidRPr="004D19FF">
        <w:rPr>
          <w:rFonts w:ascii="Times New Roman" w:hAnsi="Times New Roman"/>
          <w:sz w:val="20"/>
          <w:szCs w:val="20"/>
          <w:vertAlign w:val="subscript"/>
        </w:rPr>
        <w:t>x</w:t>
      </w:r>
      <w:r w:rsidR="00C10CA7" w:rsidRPr="004D19FF">
        <w:rPr>
          <w:rFonts w:ascii="Times New Roman" w:hAnsi="Times New Roman"/>
          <w:sz w:val="20"/>
          <w:szCs w:val="20"/>
        </w:rPr>
        <w:t xml:space="preserve"> reductions</w:t>
      </w:r>
      <w:r w:rsidR="000C0A77" w:rsidRPr="004D19FF">
        <w:rPr>
          <w:rFonts w:ascii="Times New Roman" w:hAnsi="Times New Roman"/>
          <w:sz w:val="20"/>
          <w:szCs w:val="20"/>
        </w:rPr>
        <w:t xml:space="preserve"> </w:t>
      </w:r>
      <w:r w:rsidR="00031E4F"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CPxJOivM","properties":{"formattedCitation":"[226]","plainCitation":"[226]","noteIndex":0},"citationItems":[{"id":"968HXJ10/C0uQdHL4","uris":["http://www.mendeley.com/documents/?uuid=f55ff6e1-3480-4ae2-aa64-b685ae028def"],"uri":["http://www.mendeley.com/documents/?uuid=f55ff6e1-3480-4ae2-aa64-b685ae028def"],"itemData":{"author":[{"dropping-particle":"Del","family":"Rosario","given":"Rubén","non-dropping-particle":"","parse-names":false,"suffix":""}],"container-title":"Turbine Engine Technology Symposium","id":"ITEM-1","issued":{"date-parts":[["2014"]]},"page":"1-21","title":"A Future with Hybrid Electric Propulsion Systems: A NASA Perspective","type":"article-journal"}}],"schema":"https://github.com/citation-style-language/schema/raw/master/csl-citation.json"} </w:instrText>
      </w:r>
      <w:r w:rsidR="00031E4F" w:rsidRPr="004D19FF">
        <w:rPr>
          <w:rFonts w:ascii="Times New Roman" w:hAnsi="Times New Roman"/>
          <w:sz w:val="20"/>
          <w:szCs w:val="20"/>
        </w:rPr>
        <w:fldChar w:fldCharType="separate"/>
      </w:r>
      <w:r w:rsidR="00681D64" w:rsidRPr="00681D64">
        <w:rPr>
          <w:rFonts w:ascii="Times New Roman" w:hAnsi="Times New Roman" w:cs="Times New Roman"/>
          <w:sz w:val="20"/>
        </w:rPr>
        <w:t>[226]</w:t>
      </w:r>
      <w:r w:rsidR="00031E4F" w:rsidRPr="004D19FF">
        <w:rPr>
          <w:rFonts w:ascii="Times New Roman" w:hAnsi="Times New Roman"/>
          <w:sz w:val="20"/>
          <w:szCs w:val="20"/>
        </w:rPr>
        <w:fldChar w:fldCharType="end"/>
      </w:r>
      <w:r w:rsidR="00C10CA7" w:rsidRPr="004D19FF">
        <w:rPr>
          <w:rFonts w:ascii="Times New Roman" w:hAnsi="Times New Roman"/>
          <w:sz w:val="20"/>
          <w:szCs w:val="20"/>
        </w:rPr>
        <w:t xml:space="preserve">. </w:t>
      </w:r>
      <w:r w:rsidR="006E7D12" w:rsidRPr="004D19FF">
        <w:rPr>
          <w:rFonts w:ascii="Times New Roman" w:hAnsi="Times New Roman"/>
          <w:sz w:val="20"/>
          <w:szCs w:val="20"/>
        </w:rPr>
        <w:t xml:space="preserve">This architecture has been proposed as the upcoming </w:t>
      </w:r>
      <w:r w:rsidR="008A6D67" w:rsidRPr="004D19FF">
        <w:rPr>
          <w:rFonts w:ascii="Times New Roman" w:hAnsi="Times New Roman"/>
          <w:sz w:val="20"/>
          <w:szCs w:val="20"/>
        </w:rPr>
        <w:t>technology</w:t>
      </w:r>
      <w:r w:rsidR="006E7D12" w:rsidRPr="004D19FF">
        <w:rPr>
          <w:rFonts w:ascii="Times New Roman" w:hAnsi="Times New Roman"/>
          <w:sz w:val="20"/>
          <w:szCs w:val="20"/>
        </w:rPr>
        <w:t xml:space="preserve"> </w:t>
      </w:r>
      <w:r w:rsidR="008A6D67" w:rsidRPr="004D19FF">
        <w:rPr>
          <w:rFonts w:ascii="Times New Roman" w:hAnsi="Times New Roman"/>
          <w:sz w:val="20"/>
          <w:szCs w:val="20"/>
        </w:rPr>
        <w:t>to meet environmental goal</w:t>
      </w:r>
      <w:r w:rsidR="00F2548D">
        <w:rPr>
          <w:rFonts w:ascii="Times New Roman" w:hAnsi="Times New Roman"/>
          <w:sz w:val="20"/>
          <w:szCs w:val="20"/>
        </w:rPr>
        <w:t>s</w:t>
      </w:r>
      <w:r w:rsidR="008A6D67" w:rsidRPr="004D19FF">
        <w:rPr>
          <w:rFonts w:ascii="Times New Roman" w:hAnsi="Times New Roman"/>
          <w:sz w:val="20"/>
          <w:szCs w:val="20"/>
        </w:rPr>
        <w:t xml:space="preserve"> </w:t>
      </w:r>
      <w:r w:rsidR="00B0018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dRFtnufq","properties":{"formattedCitation":"[27,227]","plainCitation":"[27,227]","noteIndex":0},"citationItems":[{"id":"968HXJ10/mGEa3YV5","uris":["http://www.mendeley.com/documents/?uuid=91fbef27-778a-4f0f-910f-0faf680e81c7"],"uri":["http://www.mendeley.com/documents/?uuid=91fbef27-778a-4f0f-910f-0faf680e81c7"],"itemData":{"author":[{"dropping-particle":"","family":"Misra","given":"Ajay","non-dropping-particle":"","parse-names":false,"suffix":""}],"container-title":"40th International Conference and Expo on Advanced  Ceramics and Composites","id":"ITEM-1","issued":{"date-parts":[["2016"]]},"title":"Energy Conversion and Storage Requirements for Hybrid Electric Aircraft","type":"article-journal"}},{"id":"968HXJ10/2Gtm9eP3","uris":["http://www.mendeley.com/documents/?uuid=b75b78e6-f313-45d4-a6e4-3221436554b5"],"uri":["http://www.mendeley.com/documents/?uuid=b75b78e6-f313-45d4-a6e4-3221436554b5"],"itemData":{"DOI":"10.1108/AEAT-03-2014-0035","ISSN":"00022667","abstract":"Purpose : With the predicted rise in air traffic, a growing need exists to make the aviation industry more environmentally sustainable in the long-term future. Research has shown that the turbo-electric distributed propulsion system (TeDP) could be the next disruptive technology that has the potential to meet the ambitious environmental goals set for the N + 3 time frame. This however will require the use of superconductivity, application of high-temperature superconducting materials and cryogenic liquids. This paper provides a brief overview of the technology and further discusses the benefits, advantages and new opportunities that may arise from the application of the technology.\nDesign/methodology/approach : This paper provides a brief overview of the technology and further discusses the benefits, advantages and new opportunities that may arise from the application of the technology.\nFindings : Implementation of superconducting technology is currently one of the greater challenges faced and hence this article also reviews some of the key considerations to enable utilisation of cryogenic fuels in the future.\nOriginality/value : This paper provides a viewpoint and reviews some of the work undertaken in the field. It also provides a perspective on some new possibilities and advantages from using TeDP with cryogenic fuels.","author":[{"dropping-particle":"","family":"Nalianda","given":"Devaiah","non-dropping-particle":"","parse-names":false,"suffix":""},{"dropping-particle":"","family":"Singh","given":"Riti","non-dropping-particle":"","parse-names":false,"suffix":""}],"container-title":"Aircraft Engineering and Aerospace Technology","id":"ITEM-2","issue":"6","issued":{"date-parts":[["2014"]]},"page":"543-549","title":"Turbo-Electric distributed propulsion - Opportunities, benefits and challenges","type":"article-journal","volume":"86"}}],"schema":"https://github.com/citation-style-language/schema/raw/master/csl-citation.json"} </w:instrText>
      </w:r>
      <w:r w:rsidR="00B00185" w:rsidRPr="004D19FF">
        <w:rPr>
          <w:rFonts w:ascii="Times New Roman" w:hAnsi="Times New Roman"/>
          <w:sz w:val="20"/>
          <w:szCs w:val="20"/>
        </w:rPr>
        <w:fldChar w:fldCharType="separate"/>
      </w:r>
      <w:r w:rsidR="0051129D" w:rsidRPr="0051129D">
        <w:rPr>
          <w:rFonts w:ascii="Times New Roman" w:hAnsi="Times New Roman" w:cs="Times New Roman"/>
          <w:sz w:val="20"/>
        </w:rPr>
        <w:t>[27,227]</w:t>
      </w:r>
      <w:r w:rsidR="00B00185" w:rsidRPr="004D19FF">
        <w:rPr>
          <w:rFonts w:ascii="Times New Roman" w:hAnsi="Times New Roman"/>
          <w:sz w:val="20"/>
          <w:szCs w:val="20"/>
        </w:rPr>
        <w:fldChar w:fldCharType="end"/>
      </w:r>
      <w:r w:rsidR="00F2548D">
        <w:rPr>
          <w:rFonts w:ascii="Times New Roman" w:hAnsi="Times New Roman"/>
          <w:sz w:val="20"/>
          <w:szCs w:val="20"/>
        </w:rPr>
        <w:t xml:space="preserve">, where liquid biofuels and electrofuels can be used instead of kerosene. </w:t>
      </w:r>
    </w:p>
    <w:p w14:paraId="0D9835AF" w14:textId="77777777" w:rsidR="00A4453D" w:rsidRPr="00E118A4" w:rsidRDefault="00A4453D" w:rsidP="00A4453D">
      <w:pPr>
        <w:rPr>
          <w:rFonts w:ascii="Times New Roman" w:hAnsi="Times New Roman" w:cs="Times New Roman"/>
          <w:sz w:val="20"/>
        </w:rPr>
      </w:pPr>
      <w:r>
        <w:rPr>
          <w:noProof/>
          <w:lang w:bidi="ar-SA"/>
        </w:rPr>
        <w:lastRenderedPageBreak/>
        <mc:AlternateContent>
          <mc:Choice Requires="wpg">
            <w:drawing>
              <wp:anchor distT="0" distB="0" distL="114300" distR="114300" simplePos="0" relativeHeight="251658240" behindDoc="0" locked="0" layoutInCell="1" allowOverlap="1" wp14:anchorId="58F1B8A4" wp14:editId="7DBFAD5D">
                <wp:simplePos x="0" y="0"/>
                <wp:positionH relativeFrom="margin">
                  <wp:posOffset>66040</wp:posOffset>
                </wp:positionH>
                <wp:positionV relativeFrom="paragraph">
                  <wp:posOffset>203200</wp:posOffset>
                </wp:positionV>
                <wp:extent cx="8725547" cy="5170713"/>
                <wp:effectExtent l="0" t="0" r="0" b="0"/>
                <wp:wrapNone/>
                <wp:docPr id="159" name="Group 158"/>
                <wp:cNvGraphicFramePr/>
                <a:graphic xmlns:a="http://schemas.openxmlformats.org/drawingml/2006/main">
                  <a:graphicData uri="http://schemas.microsoft.com/office/word/2010/wordprocessingGroup">
                    <wpg:wgp>
                      <wpg:cNvGrpSpPr/>
                      <wpg:grpSpPr>
                        <a:xfrm>
                          <a:off x="0" y="0"/>
                          <a:ext cx="8725547" cy="5170713"/>
                          <a:chOff x="-3764" y="-300665"/>
                          <a:chExt cx="10099551" cy="7027949"/>
                        </a:xfrm>
                      </wpg:grpSpPr>
                      <wpg:grpSp>
                        <wpg:cNvPr id="2" name="Group 2"/>
                        <wpg:cNvGrpSpPr/>
                        <wpg:grpSpPr>
                          <a:xfrm>
                            <a:off x="-3764" y="851404"/>
                            <a:ext cx="10008526" cy="5875880"/>
                            <a:chOff x="-3764" y="851404"/>
                            <a:chExt cx="10008526" cy="5875880"/>
                          </a:xfrm>
                        </wpg:grpSpPr>
                        <wps:wsp>
                          <wps:cNvPr id="34" name="TextBox 1"/>
                          <wps:cNvSpPr txBox="1"/>
                          <wps:spPr>
                            <a:xfrm rot="16200000">
                              <a:off x="-1287743" y="2150257"/>
                              <a:ext cx="2854602" cy="286643"/>
                            </a:xfrm>
                            <a:prstGeom prst="rect">
                              <a:avLst/>
                            </a:prstGeom>
                            <a:solidFill>
                              <a:schemeClr val="tx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14:paraId="7CF08C99" w14:textId="77777777" w:rsidR="00D27CCF" w:rsidRPr="00415662" w:rsidRDefault="00D27CCF" w:rsidP="00A4453D">
                                <w:pPr>
                                  <w:pStyle w:val="NormalWeb"/>
                                  <w:spacing w:before="0" w:beforeAutospacing="0" w:after="0" w:afterAutospacing="0"/>
                                  <w:jc w:val="center"/>
                                  <w:rPr>
                                    <w:sz w:val="18"/>
                                    <w:szCs w:val="18"/>
                                  </w:rPr>
                                </w:pPr>
                                <w:r w:rsidRPr="00415662">
                                  <w:rPr>
                                    <w:b/>
                                    <w:bCs/>
                                    <w:color w:val="FFFFFF" w:themeColor="background1"/>
                                    <w:kern w:val="24"/>
                                    <w:sz w:val="18"/>
                                    <w:szCs w:val="18"/>
                                  </w:rPr>
                                  <w:t>Battery cell chemistry</w:t>
                                </w:r>
                              </w:p>
                            </w:txbxContent>
                          </wps:txbx>
                          <wps:bodyPr wrap="square" rtlCol="0">
                            <a:noAutofit/>
                          </wps:bodyPr>
                        </wps:wsp>
                        <wpg:grpSp>
                          <wpg:cNvPr id="35" name="Group 35"/>
                          <wpg:cNvGrpSpPr/>
                          <wpg:grpSpPr>
                            <a:xfrm>
                              <a:off x="322462" y="851404"/>
                              <a:ext cx="9671637" cy="1014247"/>
                              <a:chOff x="322462" y="851404"/>
                              <a:chExt cx="9671637" cy="1014247"/>
                            </a:xfrm>
                          </wpg:grpSpPr>
                          <wps:wsp>
                            <wps:cNvPr id="110" name="Rectangle 110"/>
                            <wps:cNvSpPr/>
                            <wps:spPr>
                              <a:xfrm>
                                <a:off x="322462" y="893305"/>
                                <a:ext cx="9637607" cy="683294"/>
                              </a:xfrm>
                              <a:prstGeom prst="rect">
                                <a:avLst/>
                              </a:prstGeom>
                              <a:solidFill>
                                <a:schemeClr val="bg1">
                                  <a:lumMod val="95000"/>
                                </a:schemeClr>
                              </a:solid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11" name="TextBox 2"/>
                            <wps:cNvSpPr txBox="1"/>
                            <wps:spPr>
                              <a:xfrm>
                                <a:off x="329811" y="893430"/>
                                <a:ext cx="914477" cy="413786"/>
                              </a:xfrm>
                              <a:prstGeom prst="rect">
                                <a:avLst/>
                              </a:prstGeom>
                              <a:noFill/>
                            </wps:spPr>
                            <wps:txbx>
                              <w:txbxContent>
                                <w:p w14:paraId="334EB9FA"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Cathode (+)</w:t>
                                  </w:r>
                                </w:p>
                              </w:txbxContent>
                            </wps:txbx>
                            <wps:bodyPr wrap="square" rtlCol="0">
                              <a:noAutofit/>
                            </wps:bodyPr>
                          </wps:wsp>
                          <wps:wsp>
                            <wps:cNvPr id="112" name="TextBox 3"/>
                            <wps:cNvSpPr txBox="1"/>
                            <wps:spPr>
                              <a:xfrm>
                                <a:off x="1794337" y="865948"/>
                                <a:ext cx="1906785" cy="790287"/>
                              </a:xfrm>
                              <a:prstGeom prst="rect">
                                <a:avLst/>
                              </a:prstGeom>
                              <a:noFill/>
                            </wps:spPr>
                            <wps:txbx>
                              <w:txbxContent>
                                <w:p w14:paraId="6E4170FA" w14:textId="77777777" w:rsidR="00D27CCF" w:rsidRPr="00FB4F0D" w:rsidRDefault="00D27CCF" w:rsidP="00A4453D">
                                  <w:pPr>
                                    <w:pStyle w:val="NormalWeb"/>
                                    <w:spacing w:before="0" w:beforeAutospacing="0" w:after="0" w:afterAutospacing="0"/>
                                    <w:rPr>
                                      <w:sz w:val="18"/>
                                      <w:szCs w:val="16"/>
                                    </w:rPr>
                                  </w:pPr>
                                  <w:r w:rsidRPr="00FB4F0D">
                                    <w:rPr>
                                      <w:color w:val="000000" w:themeColor="text1"/>
                                      <w:kern w:val="24"/>
                                      <w:sz w:val="18"/>
                                      <w:szCs w:val="16"/>
                                    </w:rPr>
                                    <w:t>Lithium metal oxide such as</w:t>
                                  </w:r>
                                </w:p>
                                <w:p w14:paraId="5F9819C2" w14:textId="77777777" w:rsidR="00D27CCF" w:rsidRPr="00FB4F0D" w:rsidRDefault="00D27CCF" w:rsidP="00A4453D">
                                  <w:pPr>
                                    <w:pStyle w:val="NormalWeb"/>
                                    <w:spacing w:before="0" w:beforeAutospacing="0" w:after="0" w:afterAutospacing="0"/>
                                    <w:rPr>
                                      <w:sz w:val="20"/>
                                      <w:szCs w:val="16"/>
                                    </w:rPr>
                                  </w:pPr>
                                  <w:r w:rsidRPr="00FB4F0D">
                                    <w:rPr>
                                      <w:color w:val="000000" w:themeColor="text1"/>
                                      <w:kern w:val="24"/>
                                      <w:sz w:val="18"/>
                                      <w:szCs w:val="16"/>
                                    </w:rPr>
                                    <w:t>LFP, LMO, Li-NCM</w:t>
                                  </w:r>
                                </w:p>
                                <w:p w14:paraId="692119E4" w14:textId="7A6753BA" w:rsidR="00D27CCF" w:rsidRPr="00FB4F0D" w:rsidRDefault="00D27CCF" w:rsidP="00A4453D">
                                  <w:pPr>
                                    <w:pStyle w:val="NormalWeb"/>
                                    <w:spacing w:before="0" w:beforeAutospacing="0" w:after="0" w:afterAutospacing="0"/>
                                    <w:rPr>
                                      <w:color w:val="C00000"/>
                                      <w:sz w:val="18"/>
                                      <w:szCs w:val="16"/>
                                    </w:rPr>
                                  </w:pPr>
                                  <w:r w:rsidRPr="00FB4F0D">
                                    <w:rPr>
                                      <w:color w:val="000000" w:themeColor="text1"/>
                                      <w:kern w:val="24"/>
                                      <w:sz w:val="18"/>
                                      <w:szCs w:val="16"/>
                                    </w:rPr>
                                    <w:t>Li-NCA</w:t>
                                  </w:r>
                                  <w:r w:rsidRPr="00FB4F0D">
                                    <w:rPr>
                                      <w:color w:val="000000" w:themeColor="text1"/>
                                      <w:kern w:val="24"/>
                                      <w:sz w:val="18"/>
                                      <w:szCs w:val="16"/>
                                      <w:vertAlign w:val="superscript"/>
                                    </w:rPr>
                                    <w:t>3</w:t>
                                  </w:r>
                                  <w:r w:rsidRPr="00FB4F0D">
                                    <w:rPr>
                                      <w:color w:val="000000" w:themeColor="text1"/>
                                      <w:kern w:val="24"/>
                                      <w:sz w:val="18"/>
                                      <w:szCs w:val="16"/>
                                    </w:rPr>
                                    <w:t xml:space="preserve"> </w:t>
                                  </w:r>
                                </w:p>
                              </w:txbxContent>
                            </wps:txbx>
                            <wps:bodyPr wrap="square" rtlCol="0">
                              <a:noAutofit/>
                            </wps:bodyPr>
                          </wps:wsp>
                          <wps:wsp>
                            <wps:cNvPr id="113" name="TextBox 4"/>
                            <wps:cNvSpPr txBox="1"/>
                            <wps:spPr>
                              <a:xfrm>
                                <a:off x="3613470" y="884157"/>
                                <a:ext cx="1780720" cy="981494"/>
                              </a:xfrm>
                              <a:prstGeom prst="rect">
                                <a:avLst/>
                              </a:prstGeom>
                              <a:noFill/>
                            </wps:spPr>
                            <wps:txbx>
                              <w:txbxContent>
                                <w:p w14:paraId="35EB27AE"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 xml:space="preserve">Lithium metal oxide </w:t>
                                  </w:r>
                                </w:p>
                                <w:p w14:paraId="195E0E9D"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with Ni-rich fraction</w:t>
                                  </w:r>
                                </w:p>
                                <w:p w14:paraId="48634CB0" w14:textId="2123C227" w:rsidR="00D27CCF" w:rsidRPr="0001318B" w:rsidRDefault="00D27CCF" w:rsidP="00A4453D">
                                  <w:pPr>
                                    <w:pStyle w:val="NormalWeb"/>
                                    <w:spacing w:before="0" w:beforeAutospacing="0" w:after="0" w:afterAutospacing="0"/>
                                    <w:rPr>
                                      <w:color w:val="000000" w:themeColor="text1"/>
                                      <w:kern w:val="24"/>
                                      <w:sz w:val="18"/>
                                      <w:szCs w:val="18"/>
                                      <w:vertAlign w:val="superscript"/>
                                    </w:rPr>
                                  </w:pPr>
                                  <w:r w:rsidRPr="00415662">
                                    <w:rPr>
                                      <w:color w:val="000000" w:themeColor="text1"/>
                                      <w:kern w:val="24"/>
                                      <w:sz w:val="18"/>
                                      <w:szCs w:val="18"/>
                                    </w:rPr>
                                    <w:t>(e.g. Li-NCM811)</w:t>
                                  </w:r>
                                  <w:r>
                                    <w:rPr>
                                      <w:color w:val="000000" w:themeColor="text1"/>
                                      <w:kern w:val="24"/>
                                      <w:sz w:val="18"/>
                                      <w:szCs w:val="18"/>
                                      <w:vertAlign w:val="superscript"/>
                                    </w:rPr>
                                    <w:t>4,5,6</w:t>
                                  </w:r>
                                </w:p>
                                <w:p w14:paraId="2481E9DC" w14:textId="5D4849EF" w:rsidR="00D27CCF" w:rsidRPr="006D17CB" w:rsidRDefault="00D27CCF" w:rsidP="00A4453D">
                                  <w:pPr>
                                    <w:pStyle w:val="NormalWeb"/>
                                    <w:spacing w:before="0" w:beforeAutospacing="0" w:after="0" w:afterAutospacing="0"/>
                                    <w:rPr>
                                      <w:color w:val="C00000"/>
                                      <w:sz w:val="14"/>
                                      <w:szCs w:val="18"/>
                                    </w:rPr>
                                  </w:pPr>
                                </w:p>
                              </w:txbxContent>
                            </wps:txbx>
                            <wps:bodyPr wrap="square" rtlCol="0">
                              <a:noAutofit/>
                            </wps:bodyPr>
                          </wps:wsp>
                          <wps:wsp>
                            <wps:cNvPr id="114" name="TextBox 6"/>
                            <wps:cNvSpPr txBox="1"/>
                            <wps:spPr>
                              <a:xfrm>
                                <a:off x="5256941" y="902660"/>
                                <a:ext cx="1602590" cy="892731"/>
                              </a:xfrm>
                              <a:prstGeom prst="rect">
                                <a:avLst/>
                              </a:prstGeom>
                              <a:noFill/>
                            </wps:spPr>
                            <wps:txbx>
                              <w:txbxContent>
                                <w:p w14:paraId="26F5624F"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 xml:space="preserve">Lithium metal oxide </w:t>
                                  </w:r>
                                </w:p>
                                <w:p w14:paraId="2EC92BD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With Ni-rich fraction</w:t>
                                  </w:r>
                                </w:p>
                                <w:p w14:paraId="76A2D6D3" w14:textId="5ECB9A64"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(e.g. Li-NCM811)</w:t>
                                  </w:r>
                                  <w:r w:rsidRPr="00FB4F0D">
                                    <w:rPr>
                                      <w:color w:val="000000" w:themeColor="text1"/>
                                      <w:kern w:val="24"/>
                                      <w:sz w:val="18"/>
                                      <w:szCs w:val="18"/>
                                      <w:vertAlign w:val="superscript"/>
                                    </w:rPr>
                                    <w:t>4,5,6</w:t>
                                  </w:r>
                                </w:p>
                                <w:p w14:paraId="60185E0D" w14:textId="7563593B" w:rsidR="00D27CCF" w:rsidRPr="006D17CB" w:rsidRDefault="00D27CCF" w:rsidP="00A4453D">
                                  <w:pPr>
                                    <w:pStyle w:val="NormalWeb"/>
                                    <w:spacing w:before="0" w:beforeAutospacing="0" w:after="0" w:afterAutospacing="0"/>
                                    <w:rPr>
                                      <w:color w:val="C00000"/>
                                      <w:sz w:val="14"/>
                                      <w:szCs w:val="18"/>
                                    </w:rPr>
                                  </w:pPr>
                                </w:p>
                              </w:txbxContent>
                            </wps:txbx>
                            <wps:bodyPr wrap="square" rtlCol="0">
                              <a:noAutofit/>
                            </wps:bodyPr>
                          </wps:wsp>
                          <wps:wsp>
                            <wps:cNvPr id="115" name="TextBox 7"/>
                            <wps:cNvSpPr txBox="1"/>
                            <wps:spPr>
                              <a:xfrm>
                                <a:off x="6928332" y="884160"/>
                                <a:ext cx="1475415" cy="925532"/>
                              </a:xfrm>
                              <a:prstGeom prst="rect">
                                <a:avLst/>
                              </a:prstGeom>
                              <a:noFill/>
                            </wps:spPr>
                            <wps:txbx>
                              <w:txbxContent>
                                <w:p w14:paraId="21DD0D3D"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Sulfur</w:t>
                                  </w:r>
                                </w:p>
                                <w:p w14:paraId="3851A1F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Graphene</w:t>
                                  </w:r>
                                </w:p>
                                <w:p w14:paraId="2EBE9104" w14:textId="0BE7FD4C"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Acetylene black</w:t>
                                  </w:r>
                                  <w:r w:rsidRPr="00FB4F0D">
                                    <w:rPr>
                                      <w:color w:val="000000" w:themeColor="text1"/>
                                      <w:kern w:val="24"/>
                                      <w:sz w:val="18"/>
                                      <w:szCs w:val="18"/>
                                      <w:vertAlign w:val="superscript"/>
                                    </w:rPr>
                                    <w:t>6,7,8</w:t>
                                  </w:r>
                                </w:p>
                                <w:p w14:paraId="5FCE0099" w14:textId="55A13159" w:rsidR="00D27CCF" w:rsidRPr="006D17CB" w:rsidRDefault="00D27CCF" w:rsidP="00A4453D">
                                  <w:pPr>
                                    <w:pStyle w:val="NormalWeb"/>
                                    <w:spacing w:before="0" w:beforeAutospacing="0" w:after="0" w:afterAutospacing="0"/>
                                    <w:rPr>
                                      <w:color w:val="C00000"/>
                                      <w:sz w:val="14"/>
                                      <w:szCs w:val="18"/>
                                    </w:rPr>
                                  </w:pPr>
                                </w:p>
                              </w:txbxContent>
                            </wps:txbx>
                            <wps:bodyPr wrap="square" rtlCol="0">
                              <a:noAutofit/>
                            </wps:bodyPr>
                          </wps:wsp>
                          <wps:wsp>
                            <wps:cNvPr id="116" name="TextBox 8"/>
                            <wps:cNvSpPr txBox="1"/>
                            <wps:spPr>
                              <a:xfrm>
                                <a:off x="8480286" y="851404"/>
                                <a:ext cx="1513813" cy="675199"/>
                              </a:xfrm>
                              <a:prstGeom prst="rect">
                                <a:avLst/>
                              </a:prstGeom>
                              <a:noFill/>
                            </wps:spPr>
                            <wps:txbx>
                              <w:txbxContent>
                                <w:p w14:paraId="7CF9C59F" w14:textId="77777777" w:rsidR="00D27CCF" w:rsidRPr="00415662" w:rsidRDefault="00D27CCF" w:rsidP="00A4453D">
                                  <w:pPr>
                                    <w:pStyle w:val="NormalWeb"/>
                                    <w:spacing w:before="0" w:beforeAutospacing="0" w:after="0" w:afterAutospacing="0"/>
                                    <w:rPr>
                                      <w:sz w:val="18"/>
                                      <w:szCs w:val="18"/>
                                      <w:lang w:val="fr-FR"/>
                                    </w:rPr>
                                  </w:pPr>
                                  <w:r w:rsidRPr="00415662">
                                    <w:rPr>
                                      <w:color w:val="000000" w:themeColor="text1"/>
                                      <w:kern w:val="24"/>
                                      <w:sz w:val="18"/>
                                      <w:szCs w:val="18"/>
                                      <w:lang w:val="fr-FR"/>
                                    </w:rPr>
                                    <w:t>Porous carbon</w:t>
                                  </w:r>
                                </w:p>
                                <w:p w14:paraId="151F4F03" w14:textId="6676C275" w:rsidR="00D27CCF" w:rsidRDefault="00D27CCF" w:rsidP="00A4453D">
                                  <w:pPr>
                                    <w:pStyle w:val="NormalWeb"/>
                                    <w:spacing w:before="0" w:beforeAutospacing="0" w:after="0" w:afterAutospacing="0"/>
                                    <w:rPr>
                                      <w:color w:val="000000" w:themeColor="text1"/>
                                      <w:kern w:val="24"/>
                                      <w:sz w:val="18"/>
                                      <w:szCs w:val="18"/>
                                      <w:lang w:val="fr-FR"/>
                                    </w:rPr>
                                  </w:pPr>
                                  <w:r w:rsidRPr="00415662">
                                    <w:rPr>
                                      <w:color w:val="000000" w:themeColor="text1"/>
                                      <w:kern w:val="24"/>
                                      <w:sz w:val="18"/>
                                      <w:szCs w:val="18"/>
                                      <w:lang w:val="fr-FR"/>
                                    </w:rPr>
                                    <w:t>(e.g. carbon nanotube)</w:t>
                                  </w:r>
                                  <w:r w:rsidRPr="00FB4F0D">
                                    <w:rPr>
                                      <w:color w:val="000000" w:themeColor="text1"/>
                                      <w:kern w:val="24"/>
                                      <w:sz w:val="18"/>
                                      <w:szCs w:val="18"/>
                                      <w:vertAlign w:val="superscript"/>
                                      <w:lang w:val="fr-FR"/>
                                    </w:rPr>
                                    <w:t>10</w:t>
                                  </w:r>
                                </w:p>
                                <w:p w14:paraId="6D26EF71" w14:textId="50A1300D" w:rsidR="00D27CCF" w:rsidRPr="006D17CB" w:rsidRDefault="00D27CCF" w:rsidP="00A4453D">
                                  <w:pPr>
                                    <w:pStyle w:val="NormalWeb"/>
                                    <w:spacing w:before="0" w:beforeAutospacing="0" w:after="0" w:afterAutospacing="0"/>
                                    <w:rPr>
                                      <w:color w:val="C00000"/>
                                      <w:sz w:val="14"/>
                                      <w:szCs w:val="18"/>
                                      <w:lang w:val="fr-FR"/>
                                    </w:rPr>
                                  </w:pPr>
                                </w:p>
                              </w:txbxContent>
                            </wps:txbx>
                            <wps:bodyPr wrap="square" rtlCol="0">
                              <a:noAutofit/>
                            </wps:bodyPr>
                          </wps:wsp>
                        </wpg:grpSp>
                        <wpg:grpSp>
                          <wpg:cNvPr id="36" name="Group 36"/>
                          <wpg:cNvGrpSpPr/>
                          <wpg:grpSpPr>
                            <a:xfrm>
                              <a:off x="327275" y="1593130"/>
                              <a:ext cx="9631075" cy="946978"/>
                              <a:chOff x="327275" y="1593130"/>
                              <a:chExt cx="9631075" cy="946978"/>
                            </a:xfrm>
                          </wpg:grpSpPr>
                          <wps:wsp>
                            <wps:cNvPr id="103" name="Rectangle 103"/>
                            <wps:cNvSpPr/>
                            <wps:spPr>
                              <a:xfrm>
                                <a:off x="329811" y="1623932"/>
                                <a:ext cx="9628539" cy="469637"/>
                              </a:xfrm>
                              <a:prstGeom prst="rect">
                                <a:avLst/>
                              </a:prstGeom>
                              <a:no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04" name="TextBox 19"/>
                            <wps:cNvSpPr txBox="1"/>
                            <wps:spPr>
                              <a:xfrm>
                                <a:off x="327275" y="1656239"/>
                                <a:ext cx="1020316" cy="356355"/>
                              </a:xfrm>
                              <a:prstGeom prst="rect">
                                <a:avLst/>
                              </a:prstGeom>
                              <a:noFill/>
                            </wps:spPr>
                            <wps:txbx>
                              <w:txbxContent>
                                <w:p w14:paraId="09BCBB97"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Anode (-)</w:t>
                                  </w:r>
                                </w:p>
                              </w:txbxContent>
                            </wps:txbx>
                            <wps:bodyPr wrap="square" rtlCol="0">
                              <a:noAutofit/>
                            </wps:bodyPr>
                          </wps:wsp>
                          <wps:wsp>
                            <wps:cNvPr id="105" name="TextBox 20"/>
                            <wps:cNvSpPr txBox="1"/>
                            <wps:spPr>
                              <a:xfrm>
                                <a:off x="1794337" y="1623932"/>
                                <a:ext cx="1780265" cy="605466"/>
                              </a:xfrm>
                              <a:prstGeom prst="rect">
                                <a:avLst/>
                              </a:prstGeom>
                              <a:noFill/>
                            </wps:spPr>
                            <wps:txbx>
                              <w:txbxContent>
                                <w:p w14:paraId="287534F2" w14:textId="77777777"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Graphite (with silicon)</w:t>
                                  </w:r>
                                </w:p>
                                <w:p w14:paraId="337CFE62" w14:textId="218EF005" w:rsidR="00D27CCF" w:rsidRPr="00B01A8C" w:rsidRDefault="00D27CCF" w:rsidP="00A4453D">
                                  <w:pPr>
                                    <w:pStyle w:val="NormalWeb"/>
                                    <w:spacing w:before="0" w:beforeAutospacing="0" w:after="0" w:afterAutospacing="0"/>
                                    <w:rPr>
                                      <w:color w:val="C00000"/>
                                      <w:sz w:val="14"/>
                                      <w:szCs w:val="18"/>
                                    </w:rPr>
                                  </w:pPr>
                                </w:p>
                              </w:txbxContent>
                            </wps:txbx>
                            <wps:bodyPr wrap="square" rtlCol="0">
                              <a:noAutofit/>
                            </wps:bodyPr>
                          </wps:wsp>
                          <wps:wsp>
                            <wps:cNvPr id="106" name="TextBox 21"/>
                            <wps:cNvSpPr txBox="1"/>
                            <wps:spPr>
                              <a:xfrm>
                                <a:off x="3641303" y="1606765"/>
                                <a:ext cx="1752865" cy="903750"/>
                              </a:xfrm>
                              <a:prstGeom prst="rect">
                                <a:avLst/>
                              </a:prstGeom>
                              <a:noFill/>
                            </wps:spPr>
                            <wps:txbx>
                              <w:txbxContent>
                                <w:p w14:paraId="5D37C09A"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Lithium metal or</w:t>
                                  </w:r>
                                </w:p>
                                <w:p w14:paraId="3EE4CD54" w14:textId="5FA879E6" w:rsidR="00D27CCF" w:rsidRPr="00FB4F0D" w:rsidRDefault="00D27CCF" w:rsidP="00A4453D">
                                  <w:pPr>
                                    <w:pStyle w:val="NormalWeb"/>
                                    <w:spacing w:before="0" w:beforeAutospacing="0" w:after="0" w:afterAutospacing="0"/>
                                    <w:rPr>
                                      <w:color w:val="C00000"/>
                                      <w:sz w:val="14"/>
                                      <w:szCs w:val="18"/>
                                      <w:vertAlign w:val="superscript"/>
                                    </w:rPr>
                                  </w:pPr>
                                  <w:r w:rsidRPr="00415662">
                                    <w:rPr>
                                      <w:color w:val="000000" w:themeColor="text1"/>
                                      <w:kern w:val="24"/>
                                      <w:sz w:val="18"/>
                                      <w:szCs w:val="18"/>
                                    </w:rPr>
                                    <w:t>Silicon</w:t>
                                  </w:r>
                                  <w:r w:rsidRPr="00FB4F0D">
                                    <w:rPr>
                                      <w:color w:val="000000" w:themeColor="text1"/>
                                      <w:kern w:val="24"/>
                                      <w:sz w:val="18"/>
                                      <w:szCs w:val="18"/>
                                      <w:vertAlign w:val="superscript"/>
                                    </w:rPr>
                                    <w:t>5,11</w:t>
                                  </w:r>
                                </w:p>
                              </w:txbxContent>
                            </wps:txbx>
                            <wps:bodyPr wrap="square" rtlCol="0">
                              <a:noAutofit/>
                            </wps:bodyPr>
                          </wps:wsp>
                          <wps:wsp>
                            <wps:cNvPr id="107" name="TextBox 22"/>
                            <wps:cNvSpPr txBox="1"/>
                            <wps:spPr>
                              <a:xfrm>
                                <a:off x="5278213" y="1610987"/>
                                <a:ext cx="1446356" cy="929121"/>
                              </a:xfrm>
                              <a:prstGeom prst="rect">
                                <a:avLst/>
                              </a:prstGeom>
                              <a:noFill/>
                            </wps:spPr>
                            <wps:txbx>
                              <w:txbxContent>
                                <w:p w14:paraId="6AA5F33E"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Graphite</w:t>
                                  </w:r>
                                </w:p>
                                <w:p w14:paraId="7B7188A8" w14:textId="38877F56" w:rsidR="00D27CCF" w:rsidRPr="00B01A8C"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Silicon</w:t>
                                  </w:r>
                                  <w:r w:rsidRPr="00FB4F0D">
                                    <w:rPr>
                                      <w:color w:val="000000" w:themeColor="text1"/>
                                      <w:kern w:val="24"/>
                                      <w:sz w:val="18"/>
                                      <w:szCs w:val="18"/>
                                      <w:vertAlign w:val="superscript"/>
                                    </w:rPr>
                                    <w:t xml:space="preserve">3 </w:t>
                                  </w:r>
                                </w:p>
                              </w:txbxContent>
                            </wps:txbx>
                            <wps:bodyPr wrap="square" rtlCol="0">
                              <a:noAutofit/>
                            </wps:bodyPr>
                          </wps:wsp>
                          <wps:wsp>
                            <wps:cNvPr id="108" name="TextBox 23"/>
                            <wps:cNvSpPr txBox="1"/>
                            <wps:spPr>
                              <a:xfrm>
                                <a:off x="6928332" y="1593130"/>
                                <a:ext cx="1391794" cy="763510"/>
                              </a:xfrm>
                              <a:prstGeom prst="rect">
                                <a:avLst/>
                              </a:prstGeom>
                              <a:noFill/>
                            </wps:spPr>
                            <wps:txbx>
                              <w:txbxContent>
                                <w:p w14:paraId="4D948DE4"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Lithium metal</w:t>
                                  </w:r>
                                </w:p>
                                <w:p w14:paraId="57143D37" w14:textId="3A30EAC4" w:rsidR="00D27CCF" w:rsidRPr="00B01A8C"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Graphite</w:t>
                                  </w:r>
                                  <w:r w:rsidRPr="00FB4F0D">
                                    <w:rPr>
                                      <w:color w:val="000000" w:themeColor="text1"/>
                                      <w:kern w:val="24"/>
                                      <w:sz w:val="18"/>
                                      <w:szCs w:val="18"/>
                                      <w:vertAlign w:val="superscript"/>
                                    </w:rPr>
                                    <w:t xml:space="preserve">5,12 </w:t>
                                  </w:r>
                                </w:p>
                              </w:txbxContent>
                            </wps:txbx>
                            <wps:bodyPr wrap="square" rtlCol="0">
                              <a:noAutofit/>
                            </wps:bodyPr>
                          </wps:wsp>
                          <wps:wsp>
                            <wps:cNvPr id="109" name="TextBox 24"/>
                            <wps:cNvSpPr txBox="1"/>
                            <wps:spPr>
                              <a:xfrm>
                                <a:off x="8544456" y="1603514"/>
                                <a:ext cx="1269890" cy="587681"/>
                              </a:xfrm>
                              <a:prstGeom prst="rect">
                                <a:avLst/>
                              </a:prstGeom>
                              <a:noFill/>
                            </wps:spPr>
                            <wps:txbx>
                              <w:txbxContent>
                                <w:p w14:paraId="3E7D5B92" w14:textId="7672D153" w:rsidR="00D27CCF" w:rsidRDefault="00D27CCF" w:rsidP="00A4453D">
                                  <w:pPr>
                                    <w:pStyle w:val="NormalWeb"/>
                                    <w:spacing w:before="0" w:beforeAutospacing="0" w:after="0" w:afterAutospacing="0"/>
                                    <w:rPr>
                                      <w:color w:val="C00000"/>
                                      <w:kern w:val="24"/>
                                      <w:sz w:val="14"/>
                                      <w:szCs w:val="18"/>
                                    </w:rPr>
                                  </w:pPr>
                                  <w:r w:rsidRPr="00415662">
                                    <w:rPr>
                                      <w:color w:val="000000" w:themeColor="text1"/>
                                      <w:kern w:val="24"/>
                                      <w:sz w:val="18"/>
                                      <w:szCs w:val="18"/>
                                    </w:rPr>
                                    <w:t>Lithium metal</w:t>
                                  </w:r>
                                  <w:r w:rsidRPr="00FB4F0D">
                                    <w:rPr>
                                      <w:color w:val="000000" w:themeColor="text1"/>
                                      <w:kern w:val="24"/>
                                      <w:sz w:val="18"/>
                                      <w:szCs w:val="18"/>
                                      <w:vertAlign w:val="superscript"/>
                                    </w:rPr>
                                    <w:t>5,12,13</w:t>
                                  </w:r>
                                </w:p>
                                <w:p w14:paraId="6A2EBBCA" w14:textId="51D1A347" w:rsidR="00D27CCF" w:rsidRPr="00B01A8C" w:rsidRDefault="00D27CCF" w:rsidP="00A4453D">
                                  <w:pPr>
                                    <w:pStyle w:val="NormalWeb"/>
                                    <w:spacing w:before="0" w:beforeAutospacing="0" w:after="0" w:afterAutospacing="0"/>
                                    <w:rPr>
                                      <w:color w:val="C00000"/>
                                      <w:sz w:val="14"/>
                                      <w:szCs w:val="18"/>
                                    </w:rPr>
                                  </w:pPr>
                                </w:p>
                              </w:txbxContent>
                            </wps:txbx>
                            <wps:bodyPr wrap="square" rtlCol="0">
                              <a:noAutofit/>
                            </wps:bodyPr>
                          </wps:wsp>
                        </wpg:grpSp>
                        <wpg:grpSp>
                          <wpg:cNvPr id="37" name="Group 37"/>
                          <wpg:cNvGrpSpPr/>
                          <wpg:grpSpPr>
                            <a:xfrm>
                              <a:off x="327269" y="2038491"/>
                              <a:ext cx="9659846" cy="1274841"/>
                              <a:chOff x="327269" y="2038491"/>
                              <a:chExt cx="9659846" cy="1274841"/>
                            </a:xfrm>
                          </wpg:grpSpPr>
                          <wps:wsp>
                            <wps:cNvPr id="96" name="Rectangle 96"/>
                            <wps:cNvSpPr/>
                            <wps:spPr>
                              <a:xfrm>
                                <a:off x="349507" y="2127122"/>
                                <a:ext cx="9637608" cy="777416"/>
                              </a:xfrm>
                              <a:prstGeom prst="rect">
                                <a:avLst/>
                              </a:prstGeom>
                              <a:solidFill>
                                <a:schemeClr val="bg1">
                                  <a:lumMod val="95000"/>
                                </a:schemeClr>
                              </a:solid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97" name="TextBox 27"/>
                            <wps:cNvSpPr txBox="1"/>
                            <wps:spPr>
                              <a:xfrm>
                                <a:off x="327269" y="2149130"/>
                                <a:ext cx="1003772" cy="376370"/>
                              </a:xfrm>
                              <a:prstGeom prst="rect">
                                <a:avLst/>
                              </a:prstGeom>
                              <a:noFill/>
                            </wps:spPr>
                            <wps:txbx>
                              <w:txbxContent>
                                <w:p w14:paraId="1DE726BA"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Electrolyte</w:t>
                                  </w:r>
                                </w:p>
                              </w:txbxContent>
                            </wps:txbx>
                            <wps:bodyPr wrap="square" rtlCol="0">
                              <a:noAutofit/>
                            </wps:bodyPr>
                          </wps:wsp>
                          <wps:wsp>
                            <wps:cNvPr id="98" name="TextBox 28"/>
                            <wps:cNvSpPr txBox="1"/>
                            <wps:spPr>
                              <a:xfrm>
                                <a:off x="1832412" y="2103003"/>
                                <a:ext cx="1665374" cy="839618"/>
                              </a:xfrm>
                              <a:prstGeom prst="rect">
                                <a:avLst/>
                              </a:prstGeom>
                              <a:noFill/>
                            </wps:spPr>
                            <wps:txbx>
                              <w:txbxContent>
                                <w:p w14:paraId="47C56817"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liquid</w:t>
                                  </w:r>
                                </w:p>
                                <w:p w14:paraId="7B370EDF" w14:textId="4F11238A" w:rsidR="00D27CCF" w:rsidRPr="008B2A7D"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(e.g. lithium salt-LiPF</w:t>
                                  </w:r>
                                  <w:r w:rsidRPr="00415662">
                                    <w:rPr>
                                      <w:color w:val="000000" w:themeColor="text1"/>
                                      <w:kern w:val="24"/>
                                      <w:position w:val="-6"/>
                                      <w:sz w:val="18"/>
                                      <w:szCs w:val="18"/>
                                      <w:vertAlign w:val="subscript"/>
                                    </w:rPr>
                                    <w:t>6</w:t>
                                  </w:r>
                                  <w:r w:rsidRPr="00415662">
                                    <w:rPr>
                                      <w:color w:val="000000" w:themeColor="text1"/>
                                      <w:kern w:val="24"/>
                                      <w:sz w:val="18"/>
                                      <w:szCs w:val="18"/>
                                    </w:rPr>
                                    <w:t>)</w:t>
                                  </w:r>
                                  <w:r w:rsidRPr="00455B29">
                                    <w:rPr>
                                      <w:color w:val="000000" w:themeColor="text1"/>
                                      <w:kern w:val="24"/>
                                      <w:sz w:val="18"/>
                                      <w:szCs w:val="18"/>
                                      <w:vertAlign w:val="superscript"/>
                                    </w:rPr>
                                    <w:t>3</w:t>
                                  </w:r>
                                </w:p>
                              </w:txbxContent>
                            </wps:txbx>
                            <wps:bodyPr wrap="square" rtlCol="0">
                              <a:noAutofit/>
                            </wps:bodyPr>
                          </wps:wsp>
                          <wps:wsp>
                            <wps:cNvPr id="99" name="TextBox 29"/>
                            <wps:cNvSpPr txBox="1"/>
                            <wps:spPr>
                              <a:xfrm>
                                <a:off x="3621642" y="2090166"/>
                                <a:ext cx="1877403" cy="926208"/>
                              </a:xfrm>
                              <a:prstGeom prst="rect">
                                <a:avLst/>
                              </a:prstGeom>
                              <a:noFill/>
                            </wps:spPr>
                            <wps:txbx>
                              <w:txbxContent>
                                <w:p w14:paraId="0A427D06"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liquid</w:t>
                                  </w:r>
                                </w:p>
                                <w:p w14:paraId="33C2F3F8" w14:textId="583C6539"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(e.g. lithium salt-LiPF</w:t>
                                  </w:r>
                                  <w:r w:rsidRPr="00415662">
                                    <w:rPr>
                                      <w:color w:val="000000" w:themeColor="text1"/>
                                      <w:kern w:val="24"/>
                                      <w:position w:val="-6"/>
                                      <w:sz w:val="18"/>
                                      <w:szCs w:val="18"/>
                                      <w:vertAlign w:val="subscript"/>
                                    </w:rPr>
                                    <w:t>6</w:t>
                                  </w:r>
                                  <w:r w:rsidRPr="00415662">
                                    <w:rPr>
                                      <w:color w:val="000000" w:themeColor="text1"/>
                                      <w:kern w:val="24"/>
                                      <w:sz w:val="18"/>
                                      <w:szCs w:val="18"/>
                                    </w:rPr>
                                    <w:t>)</w:t>
                                  </w:r>
                                  <w:r w:rsidRPr="00455B29">
                                    <w:rPr>
                                      <w:color w:val="000000" w:themeColor="text1"/>
                                      <w:kern w:val="24"/>
                                      <w:sz w:val="18"/>
                                      <w:szCs w:val="18"/>
                                      <w:vertAlign w:val="superscript"/>
                                    </w:rPr>
                                    <w:t>3</w:t>
                                  </w:r>
                                </w:p>
                                <w:p w14:paraId="5916520D" w14:textId="3A9B55EA" w:rsidR="00D27CCF" w:rsidRPr="008B2A7D" w:rsidRDefault="00D27CCF" w:rsidP="00A4453D">
                                  <w:pPr>
                                    <w:pStyle w:val="NormalWeb"/>
                                    <w:spacing w:before="0" w:beforeAutospacing="0" w:after="0" w:afterAutospacing="0"/>
                                    <w:rPr>
                                      <w:color w:val="C00000"/>
                                      <w:sz w:val="14"/>
                                      <w:szCs w:val="18"/>
                                    </w:rPr>
                                  </w:pPr>
                                </w:p>
                              </w:txbxContent>
                            </wps:txbx>
                            <wps:bodyPr wrap="square" rtlCol="0">
                              <a:noAutofit/>
                            </wps:bodyPr>
                          </wps:wsp>
                          <wps:wsp>
                            <wps:cNvPr id="100" name="TextBox 30"/>
                            <wps:cNvSpPr txBox="1"/>
                            <wps:spPr>
                              <a:xfrm>
                                <a:off x="5256941" y="2063715"/>
                                <a:ext cx="1780397" cy="1249617"/>
                              </a:xfrm>
                              <a:prstGeom prst="rect">
                                <a:avLst/>
                              </a:prstGeom>
                              <a:noFill/>
                            </wps:spPr>
                            <wps:txbx>
                              <w:txbxContent>
                                <w:p w14:paraId="48569836"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Inorganic solid</w:t>
                                  </w:r>
                                </w:p>
                                <w:p w14:paraId="3D1A2124"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(e.g. Li</w:t>
                                  </w:r>
                                  <w:r w:rsidRPr="00415662">
                                    <w:rPr>
                                      <w:color w:val="000000" w:themeColor="text1"/>
                                      <w:kern w:val="24"/>
                                      <w:position w:val="-6"/>
                                      <w:sz w:val="18"/>
                                      <w:szCs w:val="18"/>
                                      <w:vertAlign w:val="subscript"/>
                                    </w:rPr>
                                    <w:t>10</w:t>
                                  </w:r>
                                  <w:r w:rsidRPr="00415662">
                                    <w:rPr>
                                      <w:color w:val="000000" w:themeColor="text1"/>
                                      <w:kern w:val="24"/>
                                      <w:sz w:val="18"/>
                                      <w:szCs w:val="18"/>
                                    </w:rPr>
                                    <w:t>SnP</w:t>
                                  </w:r>
                                  <w:r w:rsidRPr="00415662">
                                    <w:rPr>
                                      <w:color w:val="000000" w:themeColor="text1"/>
                                      <w:kern w:val="24"/>
                                      <w:position w:val="-6"/>
                                      <w:sz w:val="18"/>
                                      <w:szCs w:val="18"/>
                                      <w:vertAlign w:val="subscript"/>
                                    </w:rPr>
                                    <w:t>2</w:t>
                                  </w:r>
                                  <w:r w:rsidRPr="00415662">
                                    <w:rPr>
                                      <w:color w:val="000000" w:themeColor="text1"/>
                                      <w:kern w:val="24"/>
                                      <w:sz w:val="18"/>
                                      <w:szCs w:val="18"/>
                                    </w:rPr>
                                    <w:t>S</w:t>
                                  </w:r>
                                  <w:r w:rsidRPr="00415662">
                                    <w:rPr>
                                      <w:color w:val="000000" w:themeColor="text1"/>
                                      <w:kern w:val="24"/>
                                      <w:position w:val="-6"/>
                                      <w:sz w:val="18"/>
                                      <w:szCs w:val="18"/>
                                      <w:vertAlign w:val="subscript"/>
                                    </w:rPr>
                                    <w:t>12</w:t>
                                  </w:r>
                                  <w:r w:rsidRPr="00415662">
                                    <w:rPr>
                                      <w:color w:val="000000" w:themeColor="text1"/>
                                      <w:kern w:val="24"/>
                                      <w:sz w:val="18"/>
                                      <w:szCs w:val="18"/>
                                    </w:rPr>
                                    <w:t>)</w:t>
                                  </w:r>
                                </w:p>
                                <w:p w14:paraId="2E762D88"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solid</w:t>
                                  </w:r>
                                </w:p>
                                <w:p w14:paraId="06BD90E1" w14:textId="1BE8DB71" w:rsidR="00D27CCF" w:rsidRPr="008B2A7D"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(e.g. polycarbonate)</w:t>
                                  </w:r>
                                  <w:r w:rsidRPr="00455B29">
                                    <w:rPr>
                                      <w:color w:val="000000" w:themeColor="text1"/>
                                      <w:kern w:val="24"/>
                                      <w:sz w:val="18"/>
                                      <w:szCs w:val="18"/>
                                      <w:vertAlign w:val="superscript"/>
                                    </w:rPr>
                                    <w:t xml:space="preserve">5 </w:t>
                                  </w:r>
                                </w:p>
                              </w:txbxContent>
                            </wps:txbx>
                            <wps:bodyPr wrap="square" rtlCol="0">
                              <a:noAutofit/>
                            </wps:bodyPr>
                          </wps:wsp>
                          <wps:wsp>
                            <wps:cNvPr id="101" name="TextBox 31"/>
                            <wps:cNvSpPr txBox="1"/>
                            <wps:spPr>
                              <a:xfrm>
                                <a:off x="6908700" y="2102293"/>
                                <a:ext cx="1495047" cy="857550"/>
                              </a:xfrm>
                              <a:prstGeom prst="rect">
                                <a:avLst/>
                              </a:prstGeom>
                              <a:noFill/>
                            </wps:spPr>
                            <wps:txbx>
                              <w:txbxContent>
                                <w:p w14:paraId="316BAC61"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liquid</w:t>
                                  </w:r>
                                </w:p>
                                <w:p w14:paraId="0AC0D843" w14:textId="707CBF7B"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(e.g. LiN(SO</w:t>
                                  </w:r>
                                  <w:r w:rsidRPr="00415662">
                                    <w:rPr>
                                      <w:color w:val="000000" w:themeColor="text1"/>
                                      <w:kern w:val="24"/>
                                      <w:position w:val="-6"/>
                                      <w:sz w:val="18"/>
                                      <w:szCs w:val="18"/>
                                      <w:vertAlign w:val="subscript"/>
                                    </w:rPr>
                                    <w:t>2</w:t>
                                  </w:r>
                                  <w:r w:rsidRPr="00415662">
                                    <w:rPr>
                                      <w:color w:val="000000" w:themeColor="text1"/>
                                      <w:kern w:val="24"/>
                                      <w:sz w:val="18"/>
                                      <w:szCs w:val="18"/>
                                    </w:rPr>
                                    <w:t>CF</w:t>
                                  </w:r>
                                  <w:r w:rsidRPr="00415662">
                                    <w:rPr>
                                      <w:color w:val="000000" w:themeColor="text1"/>
                                      <w:kern w:val="24"/>
                                      <w:position w:val="-6"/>
                                      <w:sz w:val="18"/>
                                      <w:szCs w:val="18"/>
                                      <w:vertAlign w:val="subscript"/>
                                    </w:rPr>
                                    <w:t>3</w:t>
                                  </w:r>
                                  <w:r w:rsidRPr="00415662">
                                    <w:rPr>
                                      <w:color w:val="000000" w:themeColor="text1"/>
                                      <w:kern w:val="24"/>
                                      <w:sz w:val="18"/>
                                      <w:szCs w:val="18"/>
                                    </w:rPr>
                                    <w:t>)</w:t>
                                  </w:r>
                                  <w:r w:rsidRPr="00415662">
                                    <w:rPr>
                                      <w:color w:val="000000" w:themeColor="text1"/>
                                      <w:kern w:val="24"/>
                                      <w:position w:val="-6"/>
                                      <w:sz w:val="18"/>
                                      <w:szCs w:val="18"/>
                                      <w:vertAlign w:val="subscript"/>
                                    </w:rPr>
                                    <w:t>2</w:t>
                                  </w:r>
                                  <w:r w:rsidRPr="00415662">
                                    <w:rPr>
                                      <w:color w:val="000000" w:themeColor="text1"/>
                                      <w:kern w:val="24"/>
                                      <w:sz w:val="18"/>
                                      <w:szCs w:val="18"/>
                                    </w:rPr>
                                    <w:t>)</w:t>
                                  </w:r>
                                  <w:r w:rsidRPr="00455B29">
                                    <w:rPr>
                                      <w:color w:val="000000" w:themeColor="text1"/>
                                      <w:kern w:val="24"/>
                                      <w:sz w:val="18"/>
                                      <w:szCs w:val="18"/>
                                      <w:vertAlign w:val="superscript"/>
                                    </w:rPr>
                                    <w:t>3,5</w:t>
                                  </w:r>
                                </w:p>
                                <w:p w14:paraId="23353FB5" w14:textId="468D60EE" w:rsidR="00D27CCF" w:rsidRPr="008B2A7D" w:rsidRDefault="00D27CCF" w:rsidP="00A4453D">
                                  <w:pPr>
                                    <w:pStyle w:val="NormalWeb"/>
                                    <w:spacing w:before="0" w:beforeAutospacing="0" w:after="0" w:afterAutospacing="0"/>
                                    <w:rPr>
                                      <w:color w:val="C00000"/>
                                      <w:sz w:val="14"/>
                                      <w:szCs w:val="18"/>
                                    </w:rPr>
                                  </w:pPr>
                                </w:p>
                              </w:txbxContent>
                            </wps:txbx>
                            <wps:bodyPr wrap="square" rtlCol="0">
                              <a:noAutofit/>
                            </wps:bodyPr>
                          </wps:wsp>
                          <wps:wsp>
                            <wps:cNvPr id="102" name="TextBox 32"/>
                            <wps:cNvSpPr txBox="1"/>
                            <wps:spPr>
                              <a:xfrm>
                                <a:off x="8526433" y="2038491"/>
                                <a:ext cx="1424597" cy="1076226"/>
                              </a:xfrm>
                              <a:prstGeom prst="rect">
                                <a:avLst/>
                              </a:prstGeom>
                              <a:noFill/>
                            </wps:spPr>
                            <wps:txbx>
                              <w:txbxContent>
                                <w:p w14:paraId="4CD9D387"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liquid</w:t>
                                  </w:r>
                                </w:p>
                                <w:p w14:paraId="5B94B48A"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(e.g. LiPF</w:t>
                                  </w:r>
                                  <w:r w:rsidRPr="00415662">
                                    <w:rPr>
                                      <w:color w:val="000000" w:themeColor="text1"/>
                                      <w:kern w:val="24"/>
                                      <w:position w:val="-6"/>
                                      <w:sz w:val="18"/>
                                      <w:szCs w:val="18"/>
                                      <w:vertAlign w:val="subscript"/>
                                    </w:rPr>
                                    <w:t>6</w:t>
                                  </w:r>
                                  <w:r w:rsidRPr="00415662">
                                    <w:rPr>
                                      <w:color w:val="000000" w:themeColor="text1"/>
                                      <w:kern w:val="24"/>
                                      <w:sz w:val="18"/>
                                      <w:szCs w:val="18"/>
                                    </w:rPr>
                                    <w:t>, LiCO</w:t>
                                  </w:r>
                                  <w:r w:rsidRPr="00415662">
                                    <w:rPr>
                                      <w:color w:val="000000" w:themeColor="text1"/>
                                      <w:kern w:val="24"/>
                                      <w:position w:val="-6"/>
                                      <w:sz w:val="18"/>
                                      <w:szCs w:val="18"/>
                                      <w:vertAlign w:val="subscript"/>
                                    </w:rPr>
                                    <w:t>4</w:t>
                                  </w:r>
                                  <w:r w:rsidRPr="00415662">
                                    <w:rPr>
                                      <w:color w:val="000000" w:themeColor="text1"/>
                                      <w:kern w:val="24"/>
                                      <w:sz w:val="18"/>
                                      <w:szCs w:val="18"/>
                                    </w:rPr>
                                    <w:t>)</w:t>
                                  </w:r>
                                </w:p>
                                <w:p w14:paraId="72DEEB7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Aqueous solution</w:t>
                                  </w:r>
                                </w:p>
                                <w:p w14:paraId="6CFB6208" w14:textId="78A9CD36" w:rsidR="00D27CCF" w:rsidRPr="008B2A7D"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(e.g. H</w:t>
                                  </w:r>
                                  <w:r w:rsidRPr="00415662">
                                    <w:rPr>
                                      <w:color w:val="000000" w:themeColor="text1"/>
                                      <w:kern w:val="24"/>
                                      <w:position w:val="-6"/>
                                      <w:sz w:val="18"/>
                                      <w:szCs w:val="18"/>
                                      <w:vertAlign w:val="subscript"/>
                                    </w:rPr>
                                    <w:t>2</w:t>
                                  </w:r>
                                  <w:r w:rsidRPr="00415662">
                                    <w:rPr>
                                      <w:color w:val="000000" w:themeColor="text1"/>
                                      <w:kern w:val="24"/>
                                      <w:sz w:val="18"/>
                                      <w:szCs w:val="18"/>
                                    </w:rPr>
                                    <w:t>SO</w:t>
                                  </w:r>
                                  <w:r w:rsidRPr="00415662">
                                    <w:rPr>
                                      <w:color w:val="000000" w:themeColor="text1"/>
                                      <w:kern w:val="24"/>
                                      <w:position w:val="-6"/>
                                      <w:sz w:val="18"/>
                                      <w:szCs w:val="18"/>
                                      <w:vertAlign w:val="subscript"/>
                                    </w:rPr>
                                    <w:t>4</w:t>
                                  </w:r>
                                  <w:r w:rsidRPr="00415662">
                                    <w:rPr>
                                      <w:color w:val="000000" w:themeColor="text1"/>
                                      <w:kern w:val="24"/>
                                      <w:sz w:val="18"/>
                                      <w:szCs w:val="18"/>
                                    </w:rPr>
                                    <w:t>)</w:t>
                                  </w:r>
                                  <w:r w:rsidRPr="00455B29">
                                    <w:rPr>
                                      <w:color w:val="000000" w:themeColor="text1"/>
                                      <w:kern w:val="24"/>
                                      <w:sz w:val="18"/>
                                      <w:szCs w:val="18"/>
                                      <w:vertAlign w:val="superscript"/>
                                    </w:rPr>
                                    <w:t>10</w:t>
                                  </w:r>
                                  <w:r>
                                    <w:rPr>
                                      <w:color w:val="000000" w:themeColor="text1"/>
                                      <w:kern w:val="24"/>
                                      <w:sz w:val="18"/>
                                      <w:szCs w:val="18"/>
                                    </w:rPr>
                                    <w:t xml:space="preserve"> </w:t>
                                  </w:r>
                                </w:p>
                              </w:txbxContent>
                            </wps:txbx>
                            <wps:bodyPr wrap="square" rtlCol="0">
                              <a:noAutofit/>
                            </wps:bodyPr>
                          </wps:wsp>
                        </wpg:grpSp>
                        <wpg:grpSp>
                          <wpg:cNvPr id="38" name="Group 38"/>
                          <wpg:cNvGrpSpPr/>
                          <wpg:grpSpPr>
                            <a:xfrm>
                              <a:off x="335131" y="2921401"/>
                              <a:ext cx="9645493" cy="782110"/>
                              <a:chOff x="335131" y="2918291"/>
                              <a:chExt cx="9645493" cy="750587"/>
                            </a:xfrm>
                          </wpg:grpSpPr>
                          <wps:wsp>
                            <wps:cNvPr id="89" name="Rectangle 89"/>
                            <wps:cNvSpPr/>
                            <wps:spPr>
                              <a:xfrm>
                                <a:off x="352085" y="2959369"/>
                                <a:ext cx="9628539" cy="387200"/>
                              </a:xfrm>
                              <a:prstGeom prst="rect">
                                <a:avLst/>
                              </a:prstGeom>
                              <a:no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90" name="TextBox 35"/>
                            <wps:cNvSpPr txBox="1"/>
                            <wps:spPr>
                              <a:xfrm>
                                <a:off x="335131" y="2939245"/>
                                <a:ext cx="906563" cy="296688"/>
                              </a:xfrm>
                              <a:prstGeom prst="rect">
                                <a:avLst/>
                              </a:prstGeom>
                              <a:noFill/>
                            </wps:spPr>
                            <wps:txbx>
                              <w:txbxContent>
                                <w:p w14:paraId="02ECC339"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Binder</w:t>
                                  </w:r>
                                </w:p>
                              </w:txbxContent>
                            </wps:txbx>
                            <wps:bodyPr wrap="square" rtlCol="0">
                              <a:noAutofit/>
                            </wps:bodyPr>
                          </wps:wsp>
                          <wps:wsp>
                            <wps:cNvPr id="91" name="TextBox 36"/>
                            <wps:cNvSpPr txBox="1"/>
                            <wps:spPr>
                              <a:xfrm>
                                <a:off x="1713053" y="2922109"/>
                                <a:ext cx="1692709" cy="700885"/>
                              </a:xfrm>
                              <a:prstGeom prst="rect">
                                <a:avLst/>
                              </a:prstGeom>
                              <a:noFill/>
                            </wps:spPr>
                            <wps:txbx>
                              <w:txbxContent>
                                <w:p w14:paraId="500A0DFD" w14:textId="77777777" w:rsidR="00D27CCF" w:rsidRPr="00415662" w:rsidRDefault="00D27CCF" w:rsidP="00EA0525">
                                  <w:pPr>
                                    <w:pStyle w:val="NormalWeb"/>
                                    <w:spacing w:before="0" w:beforeAutospacing="0" w:after="0" w:afterAutospacing="0"/>
                                    <w:jc w:val="center"/>
                                    <w:rPr>
                                      <w:sz w:val="18"/>
                                      <w:szCs w:val="18"/>
                                    </w:rPr>
                                  </w:pPr>
                                  <w:r w:rsidRPr="00415662">
                                    <w:rPr>
                                      <w:color w:val="000000" w:themeColor="text1"/>
                                      <w:kern w:val="24"/>
                                      <w:sz w:val="18"/>
                                      <w:szCs w:val="18"/>
                                    </w:rPr>
                                    <w:t>PAA</w:t>
                                  </w:r>
                                </w:p>
                                <w:p w14:paraId="2CC78A2A" w14:textId="192E0F76" w:rsidR="00D27CCF" w:rsidRPr="00455B29" w:rsidRDefault="00D27CCF" w:rsidP="00EA0525">
                                  <w:pPr>
                                    <w:pStyle w:val="NormalWeb"/>
                                    <w:spacing w:before="0" w:beforeAutospacing="0" w:after="0" w:afterAutospacing="0"/>
                                    <w:jc w:val="center"/>
                                    <w:rPr>
                                      <w:color w:val="000000" w:themeColor="text1"/>
                                      <w:kern w:val="24"/>
                                      <w:sz w:val="18"/>
                                      <w:szCs w:val="18"/>
                                      <w:vertAlign w:val="superscript"/>
                                    </w:rPr>
                                  </w:pPr>
                                  <w:r>
                                    <w:rPr>
                                      <w:color w:val="000000" w:themeColor="text1"/>
                                      <w:kern w:val="24"/>
                                      <w:sz w:val="18"/>
                                      <w:szCs w:val="18"/>
                                    </w:rPr>
                                    <w:t xml:space="preserve">    </w:t>
                                  </w:r>
                                  <w:r w:rsidRPr="00415662">
                                    <w:rPr>
                                      <w:color w:val="000000" w:themeColor="text1"/>
                                      <w:kern w:val="24"/>
                                      <w:sz w:val="18"/>
                                      <w:szCs w:val="18"/>
                                    </w:rPr>
                                    <w:t>PVDF</w:t>
                                  </w:r>
                                  <w:r w:rsidRPr="00455B29">
                                    <w:rPr>
                                      <w:color w:val="000000" w:themeColor="text1"/>
                                      <w:kern w:val="24"/>
                                      <w:sz w:val="18"/>
                                      <w:szCs w:val="18"/>
                                      <w:vertAlign w:val="superscript"/>
                                    </w:rPr>
                                    <w:t>6,8</w:t>
                                  </w:r>
                                </w:p>
                                <w:p w14:paraId="7E0C4346" w14:textId="256A346C" w:rsidR="00D27CCF" w:rsidRPr="005145B7" w:rsidRDefault="00D27CCF" w:rsidP="00A4453D">
                                  <w:pPr>
                                    <w:pStyle w:val="NormalWeb"/>
                                    <w:spacing w:before="0" w:beforeAutospacing="0" w:after="0" w:afterAutospacing="0"/>
                                    <w:jc w:val="center"/>
                                    <w:rPr>
                                      <w:color w:val="C00000"/>
                                      <w:sz w:val="14"/>
                                      <w:szCs w:val="18"/>
                                    </w:rPr>
                                  </w:pPr>
                                </w:p>
                              </w:txbxContent>
                            </wps:txbx>
                            <wps:bodyPr wrap="square" rtlCol="0">
                              <a:noAutofit/>
                            </wps:bodyPr>
                          </wps:wsp>
                          <wps:wsp>
                            <wps:cNvPr id="92" name="TextBox 37"/>
                            <wps:cNvSpPr txBox="1"/>
                            <wps:spPr>
                              <a:xfrm>
                                <a:off x="3979943" y="2938658"/>
                                <a:ext cx="1561499" cy="572163"/>
                              </a:xfrm>
                              <a:prstGeom prst="rect">
                                <a:avLst/>
                              </a:prstGeom>
                              <a:noFill/>
                            </wps:spPr>
                            <wps:txbx>
                              <w:txbxContent>
                                <w:p w14:paraId="6E95BC27" w14:textId="6CDD052F" w:rsidR="00D27CCF" w:rsidRPr="00455B29" w:rsidRDefault="00D27CCF" w:rsidP="00A4453D">
                                  <w:pPr>
                                    <w:pStyle w:val="NormalWeb"/>
                                    <w:spacing w:before="0" w:beforeAutospacing="0" w:after="0" w:afterAutospacing="0"/>
                                    <w:rPr>
                                      <w:kern w:val="24"/>
                                      <w:sz w:val="18"/>
                                      <w:szCs w:val="18"/>
                                      <w:vertAlign w:val="superscript"/>
                                    </w:rPr>
                                  </w:pPr>
                                  <w:r w:rsidRPr="00415662">
                                    <w:rPr>
                                      <w:color w:val="000000" w:themeColor="text1"/>
                                      <w:kern w:val="24"/>
                                      <w:sz w:val="18"/>
                                      <w:szCs w:val="18"/>
                                    </w:rPr>
                                    <w:t>PVDF</w:t>
                                  </w:r>
                                  <w:r w:rsidRPr="00455B29">
                                    <w:rPr>
                                      <w:kern w:val="24"/>
                                      <w:sz w:val="18"/>
                                      <w:szCs w:val="18"/>
                                      <w:vertAlign w:val="superscript"/>
                                    </w:rPr>
                                    <w:t>6,8</w:t>
                                  </w:r>
                                </w:p>
                              </w:txbxContent>
                            </wps:txbx>
                            <wps:bodyPr wrap="square" rtlCol="0">
                              <a:noAutofit/>
                            </wps:bodyPr>
                          </wps:wsp>
                          <wps:wsp>
                            <wps:cNvPr id="93" name="TextBox 38"/>
                            <wps:cNvSpPr txBox="1"/>
                            <wps:spPr>
                              <a:xfrm>
                                <a:off x="5528851" y="2939242"/>
                                <a:ext cx="1239817" cy="530562"/>
                              </a:xfrm>
                              <a:prstGeom prst="rect">
                                <a:avLst/>
                              </a:prstGeom>
                              <a:noFill/>
                            </wps:spPr>
                            <wps:txbx>
                              <w:txbxContent>
                                <w:p w14:paraId="01600C9F" w14:textId="36B6E0A6"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PVDF</w:t>
                                  </w:r>
                                  <w:r w:rsidRPr="00455B29">
                                    <w:rPr>
                                      <w:color w:val="000000" w:themeColor="text1"/>
                                      <w:kern w:val="24"/>
                                      <w:sz w:val="18"/>
                                      <w:szCs w:val="18"/>
                                      <w:vertAlign w:val="superscript"/>
                                    </w:rPr>
                                    <w:t>6</w:t>
                                  </w:r>
                                </w:p>
                                <w:p w14:paraId="5CD0EB54" w14:textId="39D74039" w:rsidR="00D27CCF" w:rsidRPr="008C145A" w:rsidRDefault="00D27CCF" w:rsidP="00A4453D">
                                  <w:pPr>
                                    <w:pStyle w:val="NormalWeb"/>
                                    <w:spacing w:before="0" w:beforeAutospacing="0" w:after="0" w:afterAutospacing="0"/>
                                    <w:rPr>
                                      <w:color w:val="C00000"/>
                                      <w:sz w:val="14"/>
                                      <w:szCs w:val="18"/>
                                    </w:rPr>
                                  </w:pPr>
                                </w:p>
                              </w:txbxContent>
                            </wps:txbx>
                            <wps:bodyPr wrap="square" rtlCol="0">
                              <a:noAutofit/>
                            </wps:bodyPr>
                          </wps:wsp>
                          <wps:wsp>
                            <wps:cNvPr id="94" name="TextBox 39"/>
                            <wps:cNvSpPr txBox="1"/>
                            <wps:spPr>
                              <a:xfrm>
                                <a:off x="6780149" y="2918291"/>
                                <a:ext cx="1410955" cy="750587"/>
                              </a:xfrm>
                              <a:prstGeom prst="rect">
                                <a:avLst/>
                              </a:prstGeom>
                              <a:noFill/>
                            </wps:spPr>
                            <wps:txbx>
                              <w:txbxContent>
                                <w:p w14:paraId="55E0DEDD"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PEI</w:t>
                                  </w:r>
                                </w:p>
                                <w:p w14:paraId="2ED2B86D" w14:textId="3713E1A1" w:rsidR="00D27CCF" w:rsidRDefault="00D27CCF" w:rsidP="00A4453D">
                                  <w:pPr>
                                    <w:pStyle w:val="NormalWeb"/>
                                    <w:spacing w:before="0" w:beforeAutospacing="0" w:after="0" w:afterAutospacing="0"/>
                                    <w:jc w:val="center"/>
                                    <w:rPr>
                                      <w:color w:val="C00000"/>
                                      <w:kern w:val="24"/>
                                      <w:sz w:val="14"/>
                                      <w:szCs w:val="18"/>
                                    </w:rPr>
                                  </w:pPr>
                                  <w:r>
                                    <w:rPr>
                                      <w:color w:val="000000" w:themeColor="text1"/>
                                      <w:kern w:val="24"/>
                                      <w:sz w:val="18"/>
                                      <w:szCs w:val="18"/>
                                    </w:rPr>
                                    <w:t xml:space="preserve">  </w:t>
                                  </w:r>
                                  <w:r w:rsidRPr="00415662">
                                    <w:rPr>
                                      <w:color w:val="000000" w:themeColor="text1"/>
                                      <w:kern w:val="24"/>
                                      <w:sz w:val="18"/>
                                      <w:szCs w:val="18"/>
                                    </w:rPr>
                                    <w:t>PVP</w:t>
                                  </w:r>
                                  <w:r w:rsidRPr="00455B29">
                                    <w:rPr>
                                      <w:color w:val="000000" w:themeColor="text1"/>
                                      <w:kern w:val="24"/>
                                      <w:sz w:val="18"/>
                                      <w:szCs w:val="18"/>
                                      <w:vertAlign w:val="superscript"/>
                                    </w:rPr>
                                    <w:t>8</w:t>
                                  </w:r>
                                </w:p>
                                <w:p w14:paraId="64F9F5E7" w14:textId="5351451B" w:rsidR="00D27CCF" w:rsidRPr="008C145A" w:rsidRDefault="00D27CCF" w:rsidP="00A4453D">
                                  <w:pPr>
                                    <w:pStyle w:val="NormalWeb"/>
                                    <w:spacing w:before="0" w:beforeAutospacing="0" w:after="0" w:afterAutospacing="0"/>
                                    <w:jc w:val="center"/>
                                    <w:rPr>
                                      <w:color w:val="C00000"/>
                                      <w:sz w:val="14"/>
                                      <w:szCs w:val="18"/>
                                    </w:rPr>
                                  </w:pPr>
                                </w:p>
                              </w:txbxContent>
                            </wps:txbx>
                            <wps:bodyPr wrap="square" rtlCol="0">
                              <a:noAutofit/>
                            </wps:bodyPr>
                          </wps:wsp>
                          <wps:wsp>
                            <wps:cNvPr id="95" name="TextBox 40"/>
                            <wps:cNvSpPr txBox="1"/>
                            <wps:spPr>
                              <a:xfrm>
                                <a:off x="8331056" y="2936791"/>
                                <a:ext cx="1523570" cy="512464"/>
                              </a:xfrm>
                              <a:prstGeom prst="rect">
                                <a:avLst/>
                              </a:prstGeom>
                              <a:noFill/>
                            </wps:spPr>
                            <wps:txbx>
                              <w:txbxContent>
                                <w:p w14:paraId="645B839F" w14:textId="120BF542"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PAA</w:t>
                                  </w:r>
                                  <w:r w:rsidRPr="00455B29">
                                    <w:rPr>
                                      <w:color w:val="000000" w:themeColor="text1"/>
                                      <w:kern w:val="24"/>
                                      <w:sz w:val="18"/>
                                      <w:szCs w:val="18"/>
                                      <w:vertAlign w:val="superscript"/>
                                    </w:rPr>
                                    <w:t>8</w:t>
                                  </w:r>
                                </w:p>
                                <w:p w14:paraId="25D54966" w14:textId="5D0FD2B6" w:rsidR="00D27CCF" w:rsidRPr="008C145A" w:rsidRDefault="00D27CCF" w:rsidP="00A4453D">
                                  <w:pPr>
                                    <w:pStyle w:val="NormalWeb"/>
                                    <w:spacing w:before="0" w:beforeAutospacing="0" w:after="0" w:afterAutospacing="0"/>
                                    <w:jc w:val="center"/>
                                    <w:rPr>
                                      <w:color w:val="C00000"/>
                                      <w:sz w:val="14"/>
                                      <w:szCs w:val="18"/>
                                    </w:rPr>
                                  </w:pPr>
                                </w:p>
                              </w:txbxContent>
                            </wps:txbx>
                            <wps:bodyPr wrap="square" rtlCol="0">
                              <a:noAutofit/>
                            </wps:bodyPr>
                          </wps:wsp>
                        </wpg:grpSp>
                        <wpg:grpSp>
                          <wpg:cNvPr id="39" name="Group 39"/>
                          <wpg:cNvGrpSpPr/>
                          <wpg:grpSpPr>
                            <a:xfrm>
                              <a:off x="335131" y="3402071"/>
                              <a:ext cx="9669631" cy="664427"/>
                              <a:chOff x="335131" y="3396301"/>
                              <a:chExt cx="9669631" cy="614635"/>
                            </a:xfrm>
                          </wpg:grpSpPr>
                          <wps:wsp>
                            <wps:cNvPr id="82" name="Rectangle 82"/>
                            <wps:cNvSpPr/>
                            <wps:spPr>
                              <a:xfrm>
                                <a:off x="367154" y="3413528"/>
                                <a:ext cx="9637608" cy="262413"/>
                              </a:xfrm>
                              <a:prstGeom prst="rect">
                                <a:avLst/>
                              </a:prstGeom>
                              <a:solidFill>
                                <a:schemeClr val="bg1">
                                  <a:lumMod val="95000"/>
                                </a:schemeClr>
                              </a:solid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83" name="TextBox 43"/>
                            <wps:cNvSpPr txBox="1"/>
                            <wps:spPr>
                              <a:xfrm>
                                <a:off x="335131" y="3413386"/>
                                <a:ext cx="2160373" cy="597550"/>
                              </a:xfrm>
                              <a:prstGeom prst="rect">
                                <a:avLst/>
                              </a:prstGeom>
                              <a:noFill/>
                            </wps:spPr>
                            <wps:txbx>
                              <w:txbxContent>
                                <w:p w14:paraId="026D9158"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Conductive</w:t>
                                  </w:r>
                                  <w:r>
                                    <w:rPr>
                                      <w:color w:val="000000" w:themeColor="text1"/>
                                      <w:kern w:val="24"/>
                                      <w:sz w:val="18"/>
                                      <w:szCs w:val="18"/>
                                    </w:rPr>
                                    <w:t xml:space="preserve"> additive</w:t>
                                  </w:r>
                                </w:p>
                              </w:txbxContent>
                            </wps:txbx>
                            <wps:bodyPr wrap="square" rtlCol="0">
                              <a:noAutofit/>
                            </wps:bodyPr>
                          </wps:wsp>
                          <wps:wsp>
                            <wps:cNvPr id="84" name="TextBox 44"/>
                            <wps:cNvSpPr txBox="1"/>
                            <wps:spPr>
                              <a:xfrm>
                                <a:off x="2085385" y="3400802"/>
                                <a:ext cx="1419916" cy="566819"/>
                              </a:xfrm>
                              <a:prstGeom prst="rect">
                                <a:avLst/>
                              </a:prstGeom>
                              <a:noFill/>
                            </wps:spPr>
                            <wps:txbx>
                              <w:txbxContent>
                                <w:p w14:paraId="406D94CA" w14:textId="1E85773B" w:rsidR="00D27CCF" w:rsidRPr="001676A9"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Carbon black</w:t>
                                  </w:r>
                                  <w:r w:rsidRPr="00455B29">
                                    <w:rPr>
                                      <w:kern w:val="24"/>
                                      <w:sz w:val="18"/>
                                      <w:szCs w:val="18"/>
                                      <w:vertAlign w:val="superscript"/>
                                    </w:rPr>
                                    <w:t>3,6</w:t>
                                  </w:r>
                                </w:p>
                              </w:txbxContent>
                            </wps:txbx>
                            <wps:bodyPr wrap="square" rtlCol="0">
                              <a:noAutofit/>
                            </wps:bodyPr>
                          </wps:wsp>
                          <wps:wsp>
                            <wps:cNvPr id="87" name="TextBox 47"/>
                            <wps:cNvSpPr txBox="1"/>
                            <wps:spPr>
                              <a:xfrm>
                                <a:off x="7013500" y="3400800"/>
                                <a:ext cx="1199971" cy="274353"/>
                              </a:xfrm>
                              <a:prstGeom prst="rect">
                                <a:avLst/>
                              </a:prstGeom>
                              <a:noFill/>
                            </wps:spPr>
                            <wps:txbx>
                              <w:txbxContent>
                                <w:p w14:paraId="46F1EF96"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wps:txbx>
                            <wps:bodyPr wrap="square" rtlCol="0">
                              <a:noAutofit/>
                            </wps:bodyPr>
                          </wps:wsp>
                          <wps:wsp>
                            <wps:cNvPr id="88" name="TextBox 48"/>
                            <wps:cNvSpPr txBox="1"/>
                            <wps:spPr>
                              <a:xfrm>
                                <a:off x="8576655" y="3396301"/>
                                <a:ext cx="1086193" cy="289057"/>
                              </a:xfrm>
                              <a:prstGeom prst="rect">
                                <a:avLst/>
                              </a:prstGeom>
                              <a:noFill/>
                            </wps:spPr>
                            <wps:txbx>
                              <w:txbxContent>
                                <w:p w14:paraId="4A81350B"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wps:txbx>
                            <wps:bodyPr wrap="square" rtlCol="0">
                              <a:noAutofit/>
                            </wps:bodyPr>
                          </wps:wsp>
                        </wpg:grpSp>
                        <wpg:grpSp>
                          <wpg:cNvPr id="40" name="Group 40"/>
                          <wpg:cNvGrpSpPr/>
                          <wpg:grpSpPr>
                            <a:xfrm>
                              <a:off x="335129" y="3780830"/>
                              <a:ext cx="9660766" cy="534038"/>
                              <a:chOff x="335129" y="3780830"/>
                              <a:chExt cx="9660766" cy="534038"/>
                            </a:xfrm>
                          </wpg:grpSpPr>
                          <wps:wsp>
                            <wps:cNvPr id="75" name="Rectangle 75"/>
                            <wps:cNvSpPr/>
                            <wps:spPr>
                              <a:xfrm>
                                <a:off x="349539" y="3780834"/>
                                <a:ext cx="9646356" cy="431077"/>
                              </a:xfrm>
                              <a:prstGeom prst="rect">
                                <a:avLst/>
                              </a:prstGeom>
                              <a:no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76" name="TextBox 51"/>
                            <wps:cNvSpPr txBox="1"/>
                            <wps:spPr>
                              <a:xfrm>
                                <a:off x="335129" y="3780830"/>
                                <a:ext cx="1666127" cy="457200"/>
                              </a:xfrm>
                              <a:prstGeom prst="rect">
                                <a:avLst/>
                              </a:prstGeom>
                              <a:noFill/>
                            </wps:spPr>
                            <wps:txbx>
                              <w:txbxContent>
                                <w:p w14:paraId="59DCC1E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Gravimetric</w:t>
                                  </w:r>
                                  <w:r>
                                    <w:rPr>
                                      <w:sz w:val="18"/>
                                      <w:szCs w:val="18"/>
                                    </w:rPr>
                                    <w:t xml:space="preserve"> </w:t>
                                  </w:r>
                                  <w:r>
                                    <w:rPr>
                                      <w:color w:val="000000" w:themeColor="text1"/>
                                      <w:kern w:val="24"/>
                                      <w:sz w:val="18"/>
                                      <w:szCs w:val="18"/>
                                    </w:rPr>
                                    <w:t xml:space="preserve">(Wh </w:t>
                                  </w:r>
                                  <w:r w:rsidRPr="00415662">
                                    <w:rPr>
                                      <w:color w:val="000000" w:themeColor="text1"/>
                                      <w:kern w:val="24"/>
                                      <w:sz w:val="18"/>
                                      <w:szCs w:val="18"/>
                                    </w:rPr>
                                    <w:t>kg</w:t>
                                  </w:r>
                                  <w:r w:rsidRPr="004224D1">
                                    <w:rPr>
                                      <w:color w:val="000000" w:themeColor="text1"/>
                                      <w:kern w:val="24"/>
                                      <w:sz w:val="18"/>
                                      <w:szCs w:val="18"/>
                                      <w:vertAlign w:val="superscript"/>
                                    </w:rPr>
                                    <w:t>-1</w:t>
                                  </w:r>
                                  <w:r w:rsidRPr="00415662">
                                    <w:rPr>
                                      <w:color w:val="000000" w:themeColor="text1"/>
                                      <w:kern w:val="24"/>
                                      <w:sz w:val="18"/>
                                      <w:szCs w:val="18"/>
                                    </w:rPr>
                                    <w:t>)</w:t>
                                  </w:r>
                                  <w:r w:rsidRPr="00415662">
                                    <w:rPr>
                                      <w:color w:val="000000" w:themeColor="text1"/>
                                      <w:kern w:val="24"/>
                                      <w:position w:val="7"/>
                                      <w:sz w:val="18"/>
                                      <w:szCs w:val="18"/>
                                      <w:vertAlign w:val="superscript"/>
                                    </w:rPr>
                                    <w:t>1</w:t>
                                  </w:r>
                                </w:p>
                              </w:txbxContent>
                            </wps:txbx>
                            <wps:bodyPr wrap="square" rtlCol="0">
                              <a:noAutofit/>
                            </wps:bodyPr>
                          </wps:wsp>
                          <wps:wsp>
                            <wps:cNvPr id="77" name="TextBox 52"/>
                            <wps:cNvSpPr txBox="1"/>
                            <wps:spPr>
                              <a:xfrm>
                                <a:off x="2251255" y="3828098"/>
                                <a:ext cx="1197346" cy="383423"/>
                              </a:xfrm>
                              <a:prstGeom prst="rect">
                                <a:avLst/>
                              </a:prstGeom>
                              <a:noFill/>
                            </wps:spPr>
                            <wps:txbx>
                              <w:txbxContent>
                                <w:p w14:paraId="0506E19B" w14:textId="571ECB25" w:rsidR="00D27CCF" w:rsidRPr="00A7340F"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300</w:t>
                                  </w:r>
                                  <w:r>
                                    <w:rPr>
                                      <w:color w:val="000000" w:themeColor="text1"/>
                                      <w:kern w:val="24"/>
                                      <w:sz w:val="18"/>
                                      <w:szCs w:val="18"/>
                                      <w:vertAlign w:val="superscript"/>
                                    </w:rPr>
                                    <w:t>14</w:t>
                                  </w:r>
                                </w:p>
                              </w:txbxContent>
                            </wps:txbx>
                            <wps:bodyPr wrap="square" rtlCol="0">
                              <a:noAutofit/>
                            </wps:bodyPr>
                          </wps:wsp>
                          <wps:wsp>
                            <wps:cNvPr id="78" name="TextBox 53"/>
                            <wps:cNvSpPr txBox="1"/>
                            <wps:spPr>
                              <a:xfrm>
                                <a:off x="4043569" y="3833289"/>
                                <a:ext cx="1198672" cy="404742"/>
                              </a:xfrm>
                              <a:prstGeom prst="rect">
                                <a:avLst/>
                              </a:prstGeom>
                              <a:noFill/>
                            </wps:spPr>
                            <wps:txbx>
                              <w:txbxContent>
                                <w:p w14:paraId="7409BD5D" w14:textId="7A227382" w:rsidR="00D27CCF" w:rsidRPr="00A7340F"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450</w:t>
                                  </w:r>
                                  <w:r>
                                    <w:rPr>
                                      <w:color w:val="000000" w:themeColor="text1"/>
                                      <w:kern w:val="24"/>
                                      <w:sz w:val="18"/>
                                      <w:szCs w:val="18"/>
                                      <w:vertAlign w:val="superscript"/>
                                    </w:rPr>
                                    <w:t>14</w:t>
                                  </w:r>
                                  <w:r>
                                    <w:rPr>
                                      <w:color w:val="000000" w:themeColor="text1"/>
                                      <w:kern w:val="24"/>
                                      <w:sz w:val="18"/>
                                      <w:szCs w:val="18"/>
                                    </w:rPr>
                                    <w:t xml:space="preserve"> </w:t>
                                  </w:r>
                                </w:p>
                              </w:txbxContent>
                            </wps:txbx>
                            <wps:bodyPr wrap="square" rtlCol="0">
                              <a:noAutofit/>
                            </wps:bodyPr>
                          </wps:wsp>
                          <wps:wsp>
                            <wps:cNvPr id="79" name="TextBox 54"/>
                            <wps:cNvSpPr txBox="1"/>
                            <wps:spPr>
                              <a:xfrm>
                                <a:off x="5535151" y="3805709"/>
                                <a:ext cx="1189418" cy="480289"/>
                              </a:xfrm>
                              <a:prstGeom prst="rect">
                                <a:avLst/>
                              </a:prstGeom>
                              <a:noFill/>
                            </wps:spPr>
                            <wps:txbx>
                              <w:txbxContent>
                                <w:p w14:paraId="34B2929F" w14:textId="76853812" w:rsidR="00D27CCF" w:rsidRPr="00A7340F"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400-500</w:t>
                                  </w:r>
                                  <w:r>
                                    <w:rPr>
                                      <w:color w:val="000000" w:themeColor="text1"/>
                                      <w:kern w:val="24"/>
                                      <w:sz w:val="18"/>
                                      <w:szCs w:val="18"/>
                                      <w:vertAlign w:val="superscript"/>
                                    </w:rPr>
                                    <w:t>15</w:t>
                                  </w:r>
                                  <w:r>
                                    <w:rPr>
                                      <w:color w:val="000000" w:themeColor="text1"/>
                                      <w:kern w:val="24"/>
                                      <w:sz w:val="18"/>
                                      <w:szCs w:val="18"/>
                                    </w:rPr>
                                    <w:t xml:space="preserve"> </w:t>
                                  </w:r>
                                </w:p>
                              </w:txbxContent>
                            </wps:txbx>
                            <wps:bodyPr wrap="square" rtlCol="0">
                              <a:noAutofit/>
                            </wps:bodyPr>
                          </wps:wsp>
                          <wps:wsp>
                            <wps:cNvPr id="80" name="TextBox 55"/>
                            <wps:cNvSpPr txBox="1"/>
                            <wps:spPr>
                              <a:xfrm>
                                <a:off x="7170953" y="3794560"/>
                                <a:ext cx="1021502" cy="520308"/>
                              </a:xfrm>
                              <a:prstGeom prst="rect">
                                <a:avLst/>
                              </a:prstGeom>
                              <a:noFill/>
                            </wps:spPr>
                            <wps:txbx>
                              <w:txbxContent>
                                <w:p w14:paraId="41AF9EBA" w14:textId="6E458B41" w:rsidR="00D27CCF" w:rsidRPr="00A7340F"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300-400</w:t>
                                  </w:r>
                                  <w:r>
                                    <w:rPr>
                                      <w:color w:val="000000" w:themeColor="text1"/>
                                      <w:kern w:val="24"/>
                                      <w:sz w:val="18"/>
                                      <w:szCs w:val="18"/>
                                      <w:vertAlign w:val="superscript"/>
                                    </w:rPr>
                                    <w:t>14</w:t>
                                  </w:r>
                                  <w:r>
                                    <w:rPr>
                                      <w:color w:val="000000" w:themeColor="text1"/>
                                      <w:kern w:val="24"/>
                                      <w:sz w:val="18"/>
                                      <w:szCs w:val="18"/>
                                    </w:rPr>
                                    <w:t xml:space="preserve"> </w:t>
                                  </w:r>
                                </w:p>
                              </w:txbxContent>
                            </wps:txbx>
                            <wps:bodyPr wrap="square" rtlCol="0">
                              <a:noAutofit/>
                            </wps:bodyPr>
                          </wps:wsp>
                        </wpg:grpSp>
                        <wpg:grpSp>
                          <wpg:cNvPr id="41" name="Group 41"/>
                          <wpg:cNvGrpSpPr/>
                          <wpg:grpSpPr>
                            <a:xfrm>
                              <a:off x="346614" y="3819539"/>
                              <a:ext cx="9628539" cy="1046070"/>
                              <a:chOff x="346614" y="3819539"/>
                              <a:chExt cx="9628539" cy="1046070"/>
                            </a:xfrm>
                          </wpg:grpSpPr>
                          <wps:wsp>
                            <wps:cNvPr id="68" name="Rectangle 68"/>
                            <wps:cNvSpPr/>
                            <wps:spPr>
                              <a:xfrm>
                                <a:off x="346614" y="4262564"/>
                                <a:ext cx="9628539" cy="431077"/>
                              </a:xfrm>
                              <a:prstGeom prst="rect">
                                <a:avLst/>
                              </a:prstGeom>
                              <a:solidFill>
                                <a:schemeClr val="bg1">
                                  <a:lumMod val="95000"/>
                                </a:schemeClr>
                              </a:solid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69" name="TextBox 59"/>
                            <wps:cNvSpPr txBox="1"/>
                            <wps:spPr>
                              <a:xfrm>
                                <a:off x="352085" y="4233473"/>
                                <a:ext cx="1442251" cy="457200"/>
                              </a:xfrm>
                              <a:prstGeom prst="rect">
                                <a:avLst/>
                              </a:prstGeom>
                              <a:noFill/>
                            </wps:spPr>
                            <wps:txbx>
                              <w:txbxContent>
                                <w:p w14:paraId="09690B8F" w14:textId="77777777" w:rsidR="00D27CCF" w:rsidRPr="00415662" w:rsidRDefault="00D27CCF" w:rsidP="00A4453D">
                                  <w:pPr>
                                    <w:pStyle w:val="NormalWeb"/>
                                    <w:spacing w:before="0" w:beforeAutospacing="0" w:after="0" w:afterAutospacing="0"/>
                                    <w:rPr>
                                      <w:sz w:val="18"/>
                                      <w:szCs w:val="18"/>
                                    </w:rPr>
                                  </w:pPr>
                                  <w:r>
                                    <w:rPr>
                                      <w:color w:val="000000" w:themeColor="text1"/>
                                      <w:kern w:val="24"/>
                                      <w:sz w:val="18"/>
                                      <w:szCs w:val="18"/>
                                    </w:rPr>
                                    <w:t xml:space="preserve">Volumetric (Wh </w:t>
                                  </w:r>
                                  <w:r w:rsidRPr="00415662">
                                    <w:rPr>
                                      <w:color w:val="000000" w:themeColor="text1"/>
                                      <w:kern w:val="24"/>
                                      <w:sz w:val="18"/>
                                      <w:szCs w:val="18"/>
                                    </w:rPr>
                                    <w:t>L</w:t>
                                  </w:r>
                                  <w:r w:rsidRPr="004224D1">
                                    <w:rPr>
                                      <w:color w:val="000000" w:themeColor="text1"/>
                                      <w:kern w:val="24"/>
                                      <w:sz w:val="18"/>
                                      <w:szCs w:val="18"/>
                                      <w:vertAlign w:val="superscript"/>
                                    </w:rPr>
                                    <w:t>-1</w:t>
                                  </w:r>
                                  <w:r w:rsidRPr="00415662">
                                    <w:rPr>
                                      <w:color w:val="000000" w:themeColor="text1"/>
                                      <w:kern w:val="24"/>
                                      <w:sz w:val="18"/>
                                      <w:szCs w:val="18"/>
                                    </w:rPr>
                                    <w:t>)</w:t>
                                  </w:r>
                                  <w:r w:rsidRPr="00415662">
                                    <w:rPr>
                                      <w:color w:val="000000" w:themeColor="text1"/>
                                      <w:kern w:val="24"/>
                                      <w:position w:val="7"/>
                                      <w:sz w:val="18"/>
                                      <w:szCs w:val="18"/>
                                      <w:vertAlign w:val="superscript"/>
                                    </w:rPr>
                                    <w:t>1</w:t>
                                  </w:r>
                                </w:p>
                              </w:txbxContent>
                            </wps:txbx>
                            <wps:bodyPr wrap="square" rtlCol="0">
                              <a:noAutofit/>
                            </wps:bodyPr>
                          </wps:wsp>
                          <wps:wsp>
                            <wps:cNvPr id="70" name="TextBox 60"/>
                            <wps:cNvSpPr txBox="1"/>
                            <wps:spPr>
                              <a:xfrm>
                                <a:off x="2261537" y="4308106"/>
                                <a:ext cx="845233" cy="557503"/>
                              </a:xfrm>
                              <a:prstGeom prst="rect">
                                <a:avLst/>
                              </a:prstGeom>
                              <a:noFill/>
                            </wps:spPr>
                            <wps:txbx>
                              <w:txbxContent>
                                <w:p w14:paraId="1DED1317" w14:textId="2011B682" w:rsidR="00D27CCF" w:rsidRPr="00D752BE" w:rsidRDefault="00D27CCF" w:rsidP="00A4453D">
                                  <w:pPr>
                                    <w:pStyle w:val="NormalWeb"/>
                                    <w:spacing w:before="0" w:beforeAutospacing="0" w:after="0" w:afterAutospacing="0"/>
                                    <w:rPr>
                                      <w:sz w:val="18"/>
                                      <w:szCs w:val="18"/>
                                      <w:vertAlign w:val="superscript"/>
                                    </w:rPr>
                                  </w:pPr>
                                  <w:r w:rsidRPr="00415662">
                                    <w:rPr>
                                      <w:color w:val="000000" w:themeColor="text1"/>
                                      <w:kern w:val="24"/>
                                      <w:sz w:val="18"/>
                                      <w:szCs w:val="18"/>
                                    </w:rPr>
                                    <w:t>700</w:t>
                                  </w:r>
                                  <w:r>
                                    <w:rPr>
                                      <w:color w:val="000000" w:themeColor="text1"/>
                                      <w:kern w:val="24"/>
                                      <w:sz w:val="18"/>
                                      <w:szCs w:val="18"/>
                                      <w:vertAlign w:val="superscript"/>
                                    </w:rPr>
                                    <w:t>14</w:t>
                                  </w:r>
                                </w:p>
                              </w:txbxContent>
                            </wps:txbx>
                            <wps:bodyPr wrap="square" rtlCol="0">
                              <a:noAutofit/>
                            </wps:bodyPr>
                          </wps:wsp>
                          <wps:wsp>
                            <wps:cNvPr id="71" name="TextBox 61"/>
                            <wps:cNvSpPr txBox="1"/>
                            <wps:spPr>
                              <a:xfrm>
                                <a:off x="3995014" y="4326917"/>
                                <a:ext cx="998690" cy="471466"/>
                              </a:xfrm>
                              <a:prstGeom prst="rect">
                                <a:avLst/>
                              </a:prstGeom>
                              <a:noFill/>
                            </wps:spPr>
                            <wps:txbx>
                              <w:txbxContent>
                                <w:p w14:paraId="2B021E4B" w14:textId="71386FC3" w:rsidR="00D27CCF" w:rsidRPr="00D752BE" w:rsidRDefault="00D27CCF" w:rsidP="00A4453D">
                                  <w:pPr>
                                    <w:pStyle w:val="NormalWeb"/>
                                    <w:spacing w:before="0" w:beforeAutospacing="0" w:after="0" w:afterAutospacing="0"/>
                                    <w:rPr>
                                      <w:sz w:val="18"/>
                                      <w:szCs w:val="18"/>
                                      <w:vertAlign w:val="superscript"/>
                                    </w:rPr>
                                  </w:pPr>
                                  <w:r w:rsidRPr="00415662">
                                    <w:rPr>
                                      <w:color w:val="000000" w:themeColor="text1"/>
                                      <w:kern w:val="24"/>
                                      <w:sz w:val="18"/>
                                      <w:szCs w:val="18"/>
                                    </w:rPr>
                                    <w:t>1,200</w:t>
                                  </w:r>
                                  <w:r>
                                    <w:rPr>
                                      <w:color w:val="000000" w:themeColor="text1"/>
                                      <w:kern w:val="24"/>
                                      <w:sz w:val="18"/>
                                      <w:szCs w:val="18"/>
                                      <w:vertAlign w:val="superscript"/>
                                    </w:rPr>
                                    <w:t>14</w:t>
                                  </w:r>
                                </w:p>
                              </w:txbxContent>
                            </wps:txbx>
                            <wps:bodyPr wrap="square" rtlCol="0">
                              <a:noAutofit/>
                            </wps:bodyPr>
                          </wps:wsp>
                          <wps:wsp>
                            <wps:cNvPr id="72" name="TextBox 62"/>
                            <wps:cNvSpPr txBox="1"/>
                            <wps:spPr>
                              <a:xfrm>
                                <a:off x="5394191" y="4309210"/>
                                <a:ext cx="1312552" cy="444192"/>
                              </a:xfrm>
                              <a:prstGeom prst="rect">
                                <a:avLst/>
                              </a:prstGeom>
                              <a:noFill/>
                            </wps:spPr>
                            <wps:txbx>
                              <w:txbxContent>
                                <w:p w14:paraId="0B50DAEC"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wps:txbx>
                            <wps:bodyPr wrap="square" rtlCol="0">
                              <a:noAutofit/>
                            </wps:bodyPr>
                          </wps:wsp>
                          <wps:wsp>
                            <wps:cNvPr id="73" name="TextBox 63"/>
                            <wps:cNvSpPr txBox="1"/>
                            <wps:spPr>
                              <a:xfrm>
                                <a:off x="7246799" y="4314868"/>
                                <a:ext cx="1033856" cy="415001"/>
                              </a:xfrm>
                              <a:prstGeom prst="rect">
                                <a:avLst/>
                              </a:prstGeom>
                              <a:noFill/>
                            </wps:spPr>
                            <wps:txbx>
                              <w:txbxContent>
                                <w:p w14:paraId="37EB41A3" w14:textId="5224D51F"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400</w:t>
                                  </w:r>
                                  <w:r>
                                    <w:rPr>
                                      <w:color w:val="000000" w:themeColor="text1"/>
                                      <w:kern w:val="24"/>
                                      <w:sz w:val="18"/>
                                      <w:szCs w:val="18"/>
                                      <w:vertAlign w:val="superscript"/>
                                    </w:rPr>
                                    <w:t>14</w:t>
                                  </w:r>
                                </w:p>
                              </w:txbxContent>
                            </wps:txbx>
                            <wps:bodyPr wrap="square" rtlCol="0">
                              <a:noAutofit/>
                            </wps:bodyPr>
                          </wps:wsp>
                          <wps:wsp>
                            <wps:cNvPr id="74" name="TextBox 64"/>
                            <wps:cNvSpPr txBox="1"/>
                            <wps:spPr>
                              <a:xfrm>
                                <a:off x="8738828" y="3819539"/>
                                <a:ext cx="1033898" cy="458151"/>
                              </a:xfrm>
                              <a:prstGeom prst="rect">
                                <a:avLst/>
                              </a:prstGeom>
                              <a:noFill/>
                            </wps:spPr>
                            <wps:txbx>
                              <w:txbxContent>
                                <w:p w14:paraId="5741E301" w14:textId="7D67DCB9" w:rsidR="00D27CCF" w:rsidRPr="00E06317"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1,350</w:t>
                                  </w:r>
                                  <w:r>
                                    <w:rPr>
                                      <w:color w:val="000000" w:themeColor="text1"/>
                                      <w:kern w:val="24"/>
                                      <w:sz w:val="18"/>
                                      <w:szCs w:val="18"/>
                                      <w:vertAlign w:val="superscript"/>
                                    </w:rPr>
                                    <w:t>9</w:t>
                                  </w:r>
                                  <w:r>
                                    <w:rPr>
                                      <w:color w:val="000000" w:themeColor="text1"/>
                                      <w:kern w:val="24"/>
                                      <w:sz w:val="18"/>
                                      <w:szCs w:val="18"/>
                                    </w:rPr>
                                    <w:t xml:space="preserve"> </w:t>
                                  </w:r>
                                </w:p>
                              </w:txbxContent>
                            </wps:txbx>
                            <wps:bodyPr wrap="square" rtlCol="0">
                              <a:noAutofit/>
                            </wps:bodyPr>
                          </wps:wsp>
                        </wpg:grpSp>
                        <wpg:grpSp>
                          <wpg:cNvPr id="42" name="Group 42"/>
                          <wpg:cNvGrpSpPr/>
                          <wpg:grpSpPr>
                            <a:xfrm>
                              <a:off x="329308" y="4740157"/>
                              <a:ext cx="9642214" cy="555032"/>
                              <a:chOff x="329308" y="4740157"/>
                              <a:chExt cx="9642214" cy="555032"/>
                            </a:xfrm>
                          </wpg:grpSpPr>
                          <wps:wsp>
                            <wps:cNvPr id="61" name="Rectangle 61"/>
                            <wps:cNvSpPr/>
                            <wps:spPr>
                              <a:xfrm>
                                <a:off x="342983" y="4753406"/>
                                <a:ext cx="9628539" cy="431077"/>
                              </a:xfrm>
                              <a:prstGeom prst="rect">
                                <a:avLst/>
                              </a:prstGeom>
                              <a:no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62" name="TextBox 67"/>
                            <wps:cNvSpPr txBox="1"/>
                            <wps:spPr>
                              <a:xfrm>
                                <a:off x="329308" y="4740157"/>
                                <a:ext cx="1649466" cy="457200"/>
                              </a:xfrm>
                              <a:prstGeom prst="rect">
                                <a:avLst/>
                              </a:prstGeom>
                              <a:noFill/>
                            </wps:spPr>
                            <wps:txbx>
                              <w:txbxContent>
                                <w:p w14:paraId="15AE809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Life-time cycle</w:t>
                                  </w:r>
                                  <w:r>
                                    <w:rPr>
                                      <w:sz w:val="18"/>
                                      <w:szCs w:val="18"/>
                                    </w:rPr>
                                    <w:t xml:space="preserve"> </w:t>
                                  </w:r>
                                  <w:r w:rsidRPr="00415662">
                                    <w:rPr>
                                      <w:color w:val="000000" w:themeColor="text1"/>
                                      <w:kern w:val="24"/>
                                      <w:sz w:val="18"/>
                                      <w:szCs w:val="18"/>
                                    </w:rPr>
                                    <w:t>(cycle)</w:t>
                                  </w:r>
                                  <w:r w:rsidRPr="00415662">
                                    <w:rPr>
                                      <w:color w:val="000000" w:themeColor="text1"/>
                                      <w:kern w:val="24"/>
                                      <w:position w:val="7"/>
                                      <w:sz w:val="18"/>
                                      <w:szCs w:val="18"/>
                                      <w:vertAlign w:val="superscript"/>
                                    </w:rPr>
                                    <w:t>2</w:t>
                                  </w:r>
                                </w:p>
                              </w:txbxContent>
                            </wps:txbx>
                            <wps:bodyPr wrap="square" rtlCol="0">
                              <a:noAutofit/>
                            </wps:bodyPr>
                          </wps:wsp>
                          <wps:wsp>
                            <wps:cNvPr id="63" name="TextBox 68"/>
                            <wps:cNvSpPr txBox="1"/>
                            <wps:spPr>
                              <a:xfrm>
                                <a:off x="2214473" y="4802545"/>
                                <a:ext cx="1178489" cy="381938"/>
                              </a:xfrm>
                              <a:prstGeom prst="rect">
                                <a:avLst/>
                              </a:prstGeom>
                              <a:noFill/>
                            </wps:spPr>
                            <wps:txbx>
                              <w:txbxContent>
                                <w:p w14:paraId="62872765" w14:textId="791CEF1A" w:rsidR="00D27CCF" w:rsidRPr="00D752BE" w:rsidRDefault="00D27CCF" w:rsidP="00A4453D">
                                  <w:pPr>
                                    <w:pStyle w:val="NormalWeb"/>
                                    <w:spacing w:before="0" w:beforeAutospacing="0" w:after="0" w:afterAutospacing="0"/>
                                    <w:rPr>
                                      <w:sz w:val="18"/>
                                      <w:szCs w:val="18"/>
                                    </w:rPr>
                                  </w:pPr>
                                  <w:r w:rsidRPr="00415662">
                                    <w:rPr>
                                      <w:color w:val="000000" w:themeColor="text1"/>
                                      <w:kern w:val="24"/>
                                      <w:sz w:val="18"/>
                                      <w:szCs w:val="18"/>
                                    </w:rPr>
                                    <w:t>1,000</w:t>
                                  </w:r>
                                  <w:r>
                                    <w:rPr>
                                      <w:color w:val="000000" w:themeColor="text1"/>
                                      <w:kern w:val="24"/>
                                      <w:sz w:val="18"/>
                                      <w:szCs w:val="18"/>
                                      <w:vertAlign w:val="superscript"/>
                                    </w:rPr>
                                    <w:t>14</w:t>
                                  </w:r>
                                </w:p>
                              </w:txbxContent>
                            </wps:txbx>
                            <wps:bodyPr wrap="square" rtlCol="0">
                              <a:noAutofit/>
                            </wps:bodyPr>
                          </wps:wsp>
                          <wps:wsp>
                            <wps:cNvPr id="64" name="TextBox 69"/>
                            <wps:cNvSpPr txBox="1"/>
                            <wps:spPr>
                              <a:xfrm>
                                <a:off x="4031968" y="4794637"/>
                                <a:ext cx="1105017" cy="500552"/>
                              </a:xfrm>
                              <a:prstGeom prst="rect">
                                <a:avLst/>
                              </a:prstGeom>
                              <a:noFill/>
                            </wps:spPr>
                            <wps:txbx>
                              <w:txbxContent>
                                <w:p w14:paraId="75FF3D08" w14:textId="27567801" w:rsidR="00D27CCF" w:rsidRPr="00D752BE" w:rsidRDefault="00D27CCF" w:rsidP="00A4453D">
                                  <w:pPr>
                                    <w:pStyle w:val="NormalWeb"/>
                                    <w:spacing w:before="0" w:beforeAutospacing="0" w:after="0" w:afterAutospacing="0"/>
                                    <w:rPr>
                                      <w:sz w:val="18"/>
                                      <w:szCs w:val="18"/>
                                    </w:rPr>
                                  </w:pPr>
                                  <w:r w:rsidRPr="00415662">
                                    <w:rPr>
                                      <w:color w:val="000000" w:themeColor="text1"/>
                                      <w:kern w:val="24"/>
                                      <w:sz w:val="18"/>
                                      <w:szCs w:val="18"/>
                                    </w:rPr>
                                    <w:t>120</w:t>
                                  </w:r>
                                  <w:r w:rsidRPr="00F05FC9">
                                    <w:rPr>
                                      <w:kern w:val="24"/>
                                      <w:sz w:val="18"/>
                                      <w:szCs w:val="18"/>
                                      <w:vertAlign w:val="superscript"/>
                                    </w:rPr>
                                    <w:t>14</w:t>
                                  </w:r>
                                </w:p>
                              </w:txbxContent>
                            </wps:txbx>
                            <wps:bodyPr wrap="square" rtlCol="0">
                              <a:noAutofit/>
                            </wps:bodyPr>
                          </wps:wsp>
                          <wps:wsp>
                            <wps:cNvPr id="65" name="TextBox 70"/>
                            <wps:cNvSpPr txBox="1"/>
                            <wps:spPr>
                              <a:xfrm>
                                <a:off x="5657217" y="4799292"/>
                                <a:ext cx="1235771" cy="391230"/>
                              </a:xfrm>
                              <a:prstGeom prst="rect">
                                <a:avLst/>
                              </a:prstGeom>
                              <a:noFill/>
                            </wps:spPr>
                            <wps:txbx>
                              <w:txbxContent>
                                <w:p w14:paraId="5BD558F6" w14:textId="06BDE994" w:rsidR="00D27CCF" w:rsidRPr="00D752BE" w:rsidRDefault="00D27CCF" w:rsidP="00A4453D">
                                  <w:pPr>
                                    <w:pStyle w:val="NormalWeb"/>
                                    <w:spacing w:before="0" w:beforeAutospacing="0" w:after="0" w:afterAutospacing="0"/>
                                    <w:rPr>
                                      <w:sz w:val="18"/>
                                      <w:szCs w:val="18"/>
                                      <w:vertAlign w:val="superscript"/>
                                    </w:rPr>
                                  </w:pPr>
                                  <w:r w:rsidRPr="00415662">
                                    <w:rPr>
                                      <w:color w:val="000000" w:themeColor="text1"/>
                                      <w:kern w:val="24"/>
                                      <w:sz w:val="18"/>
                                      <w:szCs w:val="18"/>
                                    </w:rPr>
                                    <w:t>500</w:t>
                                  </w:r>
                                  <w:r>
                                    <w:rPr>
                                      <w:color w:val="000000" w:themeColor="text1"/>
                                      <w:kern w:val="24"/>
                                      <w:sz w:val="18"/>
                                      <w:szCs w:val="18"/>
                                      <w:vertAlign w:val="superscript"/>
                                    </w:rPr>
                                    <w:t>15</w:t>
                                  </w:r>
                                </w:p>
                              </w:txbxContent>
                            </wps:txbx>
                            <wps:bodyPr wrap="square" rtlCol="0">
                              <a:noAutofit/>
                            </wps:bodyPr>
                          </wps:wsp>
                          <wps:wsp>
                            <wps:cNvPr id="66" name="TextBox 71"/>
                            <wps:cNvSpPr txBox="1"/>
                            <wps:spPr>
                              <a:xfrm>
                                <a:off x="7246799" y="4804465"/>
                                <a:ext cx="1184763" cy="469844"/>
                              </a:xfrm>
                              <a:prstGeom prst="rect">
                                <a:avLst/>
                              </a:prstGeom>
                              <a:noFill/>
                            </wps:spPr>
                            <wps:txbx>
                              <w:txbxContent>
                                <w:p w14:paraId="22C2B55A" w14:textId="7BEF0A52"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100</w:t>
                                  </w:r>
                                  <w:r w:rsidRPr="00D752BE">
                                    <w:rPr>
                                      <w:color w:val="000000" w:themeColor="text1"/>
                                      <w:kern w:val="24"/>
                                      <w:sz w:val="18"/>
                                      <w:szCs w:val="18"/>
                                      <w:vertAlign w:val="superscript"/>
                                    </w:rPr>
                                    <w:t>1</w:t>
                                  </w:r>
                                  <w:r>
                                    <w:rPr>
                                      <w:color w:val="000000" w:themeColor="text1"/>
                                      <w:kern w:val="24"/>
                                      <w:sz w:val="18"/>
                                      <w:szCs w:val="18"/>
                                      <w:vertAlign w:val="superscript"/>
                                    </w:rPr>
                                    <w:t>4</w:t>
                                  </w:r>
                                </w:p>
                              </w:txbxContent>
                            </wps:txbx>
                            <wps:bodyPr wrap="square" rtlCol="0">
                              <a:noAutofit/>
                            </wps:bodyPr>
                          </wps:wsp>
                          <wps:wsp>
                            <wps:cNvPr id="67" name="TextBox 72"/>
                            <wps:cNvSpPr txBox="1"/>
                            <wps:spPr>
                              <a:xfrm>
                                <a:off x="8581700" y="4802546"/>
                                <a:ext cx="1085577" cy="362035"/>
                              </a:xfrm>
                              <a:prstGeom prst="rect">
                                <a:avLst/>
                              </a:prstGeom>
                              <a:noFill/>
                            </wps:spPr>
                            <wps:txbx>
                              <w:txbxContent>
                                <w:p w14:paraId="22B40B53"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wps:txbx>
                            <wps:bodyPr wrap="square" rtlCol="0">
                              <a:noAutofit/>
                            </wps:bodyPr>
                          </wps:wsp>
                        </wpg:grpSp>
                        <wpg:grpSp>
                          <wpg:cNvPr id="43" name="Group 43"/>
                          <wpg:cNvGrpSpPr/>
                          <wpg:grpSpPr>
                            <a:xfrm>
                              <a:off x="330399" y="5184488"/>
                              <a:ext cx="9633271" cy="640261"/>
                              <a:chOff x="330399" y="5184488"/>
                              <a:chExt cx="9633271" cy="640261"/>
                            </a:xfrm>
                          </wpg:grpSpPr>
                          <wps:wsp>
                            <wps:cNvPr id="54" name="Rectangle 54"/>
                            <wps:cNvSpPr/>
                            <wps:spPr>
                              <a:xfrm>
                                <a:off x="335131" y="5211991"/>
                                <a:ext cx="9628539" cy="431077"/>
                              </a:xfrm>
                              <a:prstGeom prst="rect">
                                <a:avLst/>
                              </a:prstGeom>
                              <a:solidFill>
                                <a:schemeClr val="bg1">
                                  <a:lumMod val="95000"/>
                                </a:schemeClr>
                              </a:solid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55" name="TextBox 75"/>
                            <wps:cNvSpPr txBox="1"/>
                            <wps:spPr>
                              <a:xfrm>
                                <a:off x="330399" y="5274311"/>
                                <a:ext cx="1745753" cy="378409"/>
                              </a:xfrm>
                              <a:prstGeom prst="rect">
                                <a:avLst/>
                              </a:prstGeom>
                              <a:noFill/>
                            </wps:spPr>
                            <wps:txbx>
                              <w:txbxContent>
                                <w:p w14:paraId="70232985"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Nominal cell voltage (V)</w:t>
                                  </w:r>
                                </w:p>
                              </w:txbxContent>
                            </wps:txbx>
                            <wps:bodyPr wrap="square" rtlCol="0">
                              <a:noAutofit/>
                            </wps:bodyPr>
                          </wps:wsp>
                          <wps:wsp>
                            <wps:cNvPr id="56" name="TextBox 76"/>
                            <wps:cNvSpPr txBox="1"/>
                            <wps:spPr>
                              <a:xfrm>
                                <a:off x="2279168" y="5211988"/>
                                <a:ext cx="1143827" cy="426627"/>
                              </a:xfrm>
                              <a:prstGeom prst="rect">
                                <a:avLst/>
                              </a:prstGeom>
                              <a:noFill/>
                            </wps:spPr>
                            <wps:txbx>
                              <w:txbxContent>
                                <w:p w14:paraId="0FFCC044" w14:textId="328307A0"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3.7</w:t>
                                  </w:r>
                                  <w:r w:rsidRPr="00A02829">
                                    <w:rPr>
                                      <w:color w:val="000000" w:themeColor="text1"/>
                                      <w:kern w:val="24"/>
                                      <w:sz w:val="18"/>
                                      <w:szCs w:val="18"/>
                                      <w:vertAlign w:val="superscript"/>
                                    </w:rPr>
                                    <w:t>1</w:t>
                                  </w:r>
                                  <w:r>
                                    <w:rPr>
                                      <w:color w:val="000000" w:themeColor="text1"/>
                                      <w:kern w:val="24"/>
                                      <w:sz w:val="18"/>
                                      <w:szCs w:val="18"/>
                                      <w:vertAlign w:val="superscript"/>
                                    </w:rPr>
                                    <w:t>4</w:t>
                                  </w:r>
                                </w:p>
                              </w:txbxContent>
                            </wps:txbx>
                            <wps:bodyPr wrap="square" rtlCol="0">
                              <a:noAutofit/>
                            </wps:bodyPr>
                          </wps:wsp>
                          <wps:wsp>
                            <wps:cNvPr id="57" name="TextBox 77"/>
                            <wps:cNvSpPr txBox="1"/>
                            <wps:spPr>
                              <a:xfrm>
                                <a:off x="3497786" y="5184489"/>
                                <a:ext cx="1527945" cy="640260"/>
                              </a:xfrm>
                              <a:prstGeom prst="rect">
                                <a:avLst/>
                              </a:prstGeom>
                              <a:noFill/>
                            </wps:spPr>
                            <wps:txbx>
                              <w:txbxContent>
                                <w:p w14:paraId="6E68A85F"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3.8</w:t>
                                  </w:r>
                                </w:p>
                                <w:p w14:paraId="40104324" w14:textId="137A80AC"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(Li-metal anode)</w:t>
                                  </w:r>
                                  <w:r>
                                    <w:rPr>
                                      <w:kern w:val="24"/>
                                      <w:sz w:val="18"/>
                                      <w:szCs w:val="18"/>
                                      <w:vertAlign w:val="superscript"/>
                                    </w:rPr>
                                    <w:t>14</w:t>
                                  </w:r>
                                </w:p>
                              </w:txbxContent>
                            </wps:txbx>
                            <wps:bodyPr wrap="square" rtlCol="0">
                              <a:noAutofit/>
                            </wps:bodyPr>
                          </wps:wsp>
                          <wps:wsp>
                            <wps:cNvPr id="58" name="TextBox 78"/>
                            <wps:cNvSpPr txBox="1"/>
                            <wps:spPr>
                              <a:xfrm>
                                <a:off x="5666030" y="5211984"/>
                                <a:ext cx="970340" cy="413022"/>
                              </a:xfrm>
                              <a:prstGeom prst="rect">
                                <a:avLst/>
                              </a:prstGeom>
                              <a:noFill/>
                            </wps:spPr>
                            <wps:txbx>
                              <w:txbxContent>
                                <w:p w14:paraId="4AEC9505" w14:textId="23C6A760"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3.8</w:t>
                                  </w:r>
                                  <w:r>
                                    <w:rPr>
                                      <w:color w:val="000000" w:themeColor="text1"/>
                                      <w:kern w:val="24"/>
                                      <w:sz w:val="18"/>
                                      <w:szCs w:val="18"/>
                                      <w:vertAlign w:val="superscript"/>
                                    </w:rPr>
                                    <w:t>15</w:t>
                                  </w:r>
                                </w:p>
                              </w:txbxContent>
                            </wps:txbx>
                            <wps:bodyPr wrap="square" rtlCol="0">
                              <a:noAutofit/>
                            </wps:bodyPr>
                          </wps:wsp>
                          <wps:wsp>
                            <wps:cNvPr id="59" name="TextBox 79"/>
                            <wps:cNvSpPr txBox="1"/>
                            <wps:spPr>
                              <a:xfrm>
                                <a:off x="7268336" y="5184488"/>
                                <a:ext cx="779221" cy="513241"/>
                              </a:xfrm>
                              <a:prstGeom prst="rect">
                                <a:avLst/>
                              </a:prstGeom>
                              <a:noFill/>
                            </wps:spPr>
                            <wps:txbx>
                              <w:txbxContent>
                                <w:p w14:paraId="711DAB98" w14:textId="5E8468C8"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2.1</w:t>
                                  </w:r>
                                  <w:r>
                                    <w:rPr>
                                      <w:color w:val="000000" w:themeColor="text1"/>
                                      <w:kern w:val="24"/>
                                      <w:sz w:val="18"/>
                                      <w:szCs w:val="18"/>
                                      <w:vertAlign w:val="superscript"/>
                                    </w:rPr>
                                    <w:t>14</w:t>
                                  </w:r>
                                </w:p>
                              </w:txbxContent>
                            </wps:txbx>
                            <wps:bodyPr wrap="square" rtlCol="0">
                              <a:noAutofit/>
                            </wps:bodyPr>
                          </wps:wsp>
                          <wps:wsp>
                            <wps:cNvPr id="60" name="TextBox 80"/>
                            <wps:cNvSpPr txBox="1"/>
                            <wps:spPr>
                              <a:xfrm>
                                <a:off x="8853537" y="5212347"/>
                                <a:ext cx="932803" cy="512723"/>
                              </a:xfrm>
                              <a:prstGeom prst="rect">
                                <a:avLst/>
                              </a:prstGeom>
                              <a:noFill/>
                            </wps:spPr>
                            <wps:txbx>
                              <w:txbxContent>
                                <w:p w14:paraId="1A4CCAB3" w14:textId="70E40316"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2.9</w:t>
                                  </w:r>
                                  <w:r>
                                    <w:rPr>
                                      <w:color w:val="000000" w:themeColor="text1"/>
                                      <w:kern w:val="24"/>
                                      <w:sz w:val="18"/>
                                      <w:szCs w:val="18"/>
                                      <w:vertAlign w:val="superscript"/>
                                    </w:rPr>
                                    <w:t>14</w:t>
                                  </w:r>
                                </w:p>
                              </w:txbxContent>
                            </wps:txbx>
                            <wps:bodyPr wrap="square" rtlCol="0">
                              <a:noAutofit/>
                            </wps:bodyPr>
                          </wps:wsp>
                        </wpg:grpSp>
                        <wpg:grpSp>
                          <wpg:cNvPr id="44" name="Group 44"/>
                          <wpg:cNvGrpSpPr/>
                          <wpg:grpSpPr>
                            <a:xfrm>
                              <a:off x="342983" y="5697730"/>
                              <a:ext cx="9628600" cy="1029554"/>
                              <a:chOff x="342983" y="5697730"/>
                              <a:chExt cx="9628600" cy="1029554"/>
                            </a:xfrm>
                          </wpg:grpSpPr>
                          <wps:wsp>
                            <wps:cNvPr id="47" name="Rectangle 47"/>
                            <wps:cNvSpPr/>
                            <wps:spPr>
                              <a:xfrm>
                                <a:off x="346616" y="5697730"/>
                                <a:ext cx="9624967" cy="745552"/>
                              </a:xfrm>
                              <a:prstGeom prst="rect">
                                <a:avLst/>
                              </a:prstGeom>
                              <a:noFill/>
                              <a:ln>
                                <a:solidFill>
                                  <a:schemeClr val="bg1">
                                    <a:lumMod val="95000"/>
                                  </a:schemeClr>
                                </a:solid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48" name="TextBox 83"/>
                            <wps:cNvSpPr txBox="1"/>
                            <wps:spPr>
                              <a:xfrm>
                                <a:off x="342983" y="5805245"/>
                                <a:ext cx="1733169" cy="458911"/>
                              </a:xfrm>
                              <a:prstGeom prst="rect">
                                <a:avLst/>
                              </a:prstGeom>
                              <a:noFill/>
                            </wps:spPr>
                            <wps:txbx>
                              <w:txbxContent>
                                <w:p w14:paraId="0F08FED6"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Development status</w:t>
                                  </w:r>
                                </w:p>
                              </w:txbxContent>
                            </wps:txbx>
                            <wps:bodyPr wrap="square" rtlCol="0">
                              <a:noAutofit/>
                            </wps:bodyPr>
                          </wps:wsp>
                          <wps:wsp>
                            <wps:cNvPr id="49" name="TextBox 84"/>
                            <wps:cNvSpPr txBox="1"/>
                            <wps:spPr>
                              <a:xfrm>
                                <a:off x="1927217" y="5762662"/>
                                <a:ext cx="1590685" cy="772279"/>
                              </a:xfrm>
                              <a:prstGeom prst="rect">
                                <a:avLst/>
                              </a:prstGeom>
                              <a:noFill/>
                            </wps:spPr>
                            <wps:txbx>
                              <w:txbxContent>
                                <w:p w14:paraId="672507FE"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Commercial scale</w:t>
                                  </w:r>
                                </w:p>
                                <w:p w14:paraId="12B09A94" w14:textId="58952738"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9)</w:t>
                                  </w:r>
                                  <w:r>
                                    <w:rPr>
                                      <w:color w:val="000000" w:themeColor="text1"/>
                                      <w:kern w:val="24"/>
                                      <w:sz w:val="18"/>
                                      <w:szCs w:val="18"/>
                                      <w:vertAlign w:val="superscript"/>
                                    </w:rPr>
                                    <w:t>14,16</w:t>
                                  </w:r>
                                </w:p>
                                <w:p w14:paraId="1C26EA8C" w14:textId="5FE3A1AE" w:rsidR="00D27CCF" w:rsidRPr="00415662" w:rsidRDefault="00D27CCF" w:rsidP="00A4453D">
                                  <w:pPr>
                                    <w:pStyle w:val="NormalWeb"/>
                                    <w:spacing w:before="0" w:beforeAutospacing="0" w:after="0" w:afterAutospacing="0"/>
                                    <w:jc w:val="center"/>
                                    <w:rPr>
                                      <w:sz w:val="18"/>
                                      <w:szCs w:val="18"/>
                                    </w:rPr>
                                  </w:pPr>
                                </w:p>
                              </w:txbxContent>
                            </wps:txbx>
                            <wps:bodyPr wrap="square" rtlCol="0">
                              <a:noAutofit/>
                            </wps:bodyPr>
                          </wps:wsp>
                          <wps:wsp>
                            <wps:cNvPr id="50" name="TextBox 85"/>
                            <wps:cNvSpPr txBox="1"/>
                            <wps:spPr>
                              <a:xfrm>
                                <a:off x="3526917" y="5747071"/>
                                <a:ext cx="1637370" cy="832178"/>
                              </a:xfrm>
                              <a:prstGeom prst="rect">
                                <a:avLst/>
                              </a:prstGeom>
                              <a:noFill/>
                            </wps:spPr>
                            <wps:txbx>
                              <w:txbxContent>
                                <w:p w14:paraId="1C00BAFA"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Demonstration scale</w:t>
                                  </w:r>
                                </w:p>
                                <w:p w14:paraId="6311D28C" w14:textId="30BA8AA1"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7)</w:t>
                                  </w:r>
                                  <w:r w:rsidRPr="00A02829">
                                    <w:rPr>
                                      <w:color w:val="000000" w:themeColor="text1"/>
                                      <w:kern w:val="24"/>
                                      <w:sz w:val="18"/>
                                      <w:szCs w:val="18"/>
                                      <w:vertAlign w:val="superscript"/>
                                    </w:rPr>
                                    <w:t xml:space="preserve"> </w:t>
                                  </w:r>
                                  <w:r>
                                    <w:rPr>
                                      <w:color w:val="000000" w:themeColor="text1"/>
                                      <w:kern w:val="24"/>
                                      <w:sz w:val="18"/>
                                      <w:szCs w:val="18"/>
                                      <w:vertAlign w:val="superscript"/>
                                    </w:rPr>
                                    <w:t>14,16</w:t>
                                  </w:r>
                                </w:p>
                                <w:p w14:paraId="3DC73ADF" w14:textId="5D71CCEE" w:rsidR="00D27CCF" w:rsidRPr="00A51572" w:rsidRDefault="00D27CCF" w:rsidP="00A4453D">
                                  <w:pPr>
                                    <w:pStyle w:val="NormalWeb"/>
                                    <w:spacing w:before="0" w:beforeAutospacing="0" w:after="0" w:afterAutospacing="0"/>
                                    <w:jc w:val="center"/>
                                    <w:rPr>
                                      <w:color w:val="C00000"/>
                                      <w:sz w:val="14"/>
                                      <w:szCs w:val="18"/>
                                    </w:rPr>
                                  </w:pPr>
                                </w:p>
                              </w:txbxContent>
                            </wps:txbx>
                            <wps:bodyPr wrap="square" rtlCol="0">
                              <a:noAutofit/>
                            </wps:bodyPr>
                          </wps:wsp>
                          <wps:wsp>
                            <wps:cNvPr id="51" name="TextBox 86"/>
                            <wps:cNvSpPr txBox="1"/>
                            <wps:spPr>
                              <a:xfrm>
                                <a:off x="5066427" y="5733222"/>
                                <a:ext cx="1881828" cy="994062"/>
                              </a:xfrm>
                              <a:prstGeom prst="rect">
                                <a:avLst/>
                              </a:prstGeom>
                              <a:noFill/>
                            </wps:spPr>
                            <wps:txbx>
                              <w:txbxContent>
                                <w:p w14:paraId="1F2A5A13"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Technology validation</w:t>
                                  </w:r>
                                </w:p>
                                <w:p w14:paraId="36CE554F" w14:textId="77777777" w:rsidR="00D27CCF" w:rsidRPr="00415662" w:rsidRDefault="00D27CCF" w:rsidP="00A4453D">
                                  <w:pPr>
                                    <w:pStyle w:val="NormalWeb"/>
                                    <w:spacing w:before="0" w:beforeAutospacing="0" w:after="0" w:afterAutospacing="0"/>
                                    <w:jc w:val="center"/>
                                    <w:rPr>
                                      <w:sz w:val="18"/>
                                      <w:szCs w:val="18"/>
                                    </w:rPr>
                                  </w:pPr>
                                  <w:r>
                                    <w:rPr>
                                      <w:color w:val="000000" w:themeColor="text1"/>
                                      <w:kern w:val="24"/>
                                      <w:sz w:val="18"/>
                                      <w:szCs w:val="18"/>
                                    </w:rPr>
                                    <w:t>Small-</w:t>
                                  </w:r>
                                  <w:r w:rsidRPr="00415662">
                                    <w:rPr>
                                      <w:color w:val="000000" w:themeColor="text1"/>
                                      <w:kern w:val="24"/>
                                      <w:sz w:val="18"/>
                                      <w:szCs w:val="18"/>
                                    </w:rPr>
                                    <w:t>scale prototype</w:t>
                                  </w:r>
                                </w:p>
                                <w:p w14:paraId="615AB693" w14:textId="6C267DD5" w:rsidR="00D27CCF" w:rsidRPr="00A02829" w:rsidRDefault="00D27CCF" w:rsidP="00A02829">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3-4)</w:t>
                                  </w:r>
                                  <w:r w:rsidRPr="00A02829">
                                    <w:rPr>
                                      <w:color w:val="000000" w:themeColor="text1"/>
                                      <w:kern w:val="24"/>
                                      <w:sz w:val="18"/>
                                      <w:szCs w:val="18"/>
                                      <w:vertAlign w:val="superscript"/>
                                    </w:rPr>
                                    <w:t xml:space="preserve"> </w:t>
                                  </w:r>
                                  <w:r>
                                    <w:rPr>
                                      <w:color w:val="000000" w:themeColor="text1"/>
                                      <w:kern w:val="24"/>
                                      <w:sz w:val="18"/>
                                      <w:szCs w:val="18"/>
                                      <w:vertAlign w:val="superscript"/>
                                    </w:rPr>
                                    <w:t>14,16</w:t>
                                  </w:r>
                                </w:p>
                                <w:p w14:paraId="701B198A" w14:textId="77777777" w:rsidR="00D27CCF" w:rsidRPr="00415662" w:rsidRDefault="00D27CCF" w:rsidP="00A4453D">
                                  <w:pPr>
                                    <w:pStyle w:val="NormalWeb"/>
                                    <w:spacing w:before="0" w:beforeAutospacing="0" w:after="0" w:afterAutospacing="0"/>
                                    <w:jc w:val="center"/>
                                    <w:rPr>
                                      <w:sz w:val="18"/>
                                      <w:szCs w:val="18"/>
                                    </w:rPr>
                                  </w:pPr>
                                </w:p>
                              </w:txbxContent>
                            </wps:txbx>
                            <wps:bodyPr wrap="square" rtlCol="0">
                              <a:noAutofit/>
                            </wps:bodyPr>
                          </wps:wsp>
                          <wps:wsp>
                            <wps:cNvPr id="52" name="TextBox 87"/>
                            <wps:cNvSpPr txBox="1"/>
                            <wps:spPr>
                              <a:xfrm>
                                <a:off x="6780150" y="5740363"/>
                                <a:ext cx="1664857" cy="787670"/>
                              </a:xfrm>
                              <a:prstGeom prst="rect">
                                <a:avLst/>
                              </a:prstGeom>
                              <a:noFill/>
                            </wps:spPr>
                            <wps:txbx>
                              <w:txbxContent>
                                <w:p w14:paraId="5AAFB1CD" w14:textId="77777777" w:rsidR="00D27CCF" w:rsidRPr="00415662" w:rsidRDefault="00D27CCF" w:rsidP="00A4453D">
                                  <w:pPr>
                                    <w:pStyle w:val="NormalWeb"/>
                                    <w:spacing w:before="0" w:beforeAutospacing="0" w:after="0" w:afterAutospacing="0"/>
                                    <w:jc w:val="center"/>
                                    <w:rPr>
                                      <w:sz w:val="18"/>
                                      <w:szCs w:val="18"/>
                                    </w:rPr>
                                  </w:pPr>
                                  <w:r>
                                    <w:rPr>
                                      <w:color w:val="000000" w:themeColor="text1"/>
                                      <w:kern w:val="24"/>
                                      <w:sz w:val="18"/>
                                      <w:szCs w:val="18"/>
                                    </w:rPr>
                                    <w:t>Small-</w:t>
                                  </w:r>
                                  <w:r w:rsidRPr="00415662">
                                    <w:rPr>
                                      <w:color w:val="000000" w:themeColor="text1"/>
                                      <w:kern w:val="24"/>
                                      <w:sz w:val="18"/>
                                      <w:szCs w:val="18"/>
                                    </w:rPr>
                                    <w:t>scale prototype</w:t>
                                  </w:r>
                                </w:p>
                                <w:p w14:paraId="2144EA41" w14:textId="757876DB"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4)</w:t>
                                  </w:r>
                                  <w:r w:rsidRPr="00A02829">
                                    <w:rPr>
                                      <w:color w:val="000000" w:themeColor="text1"/>
                                      <w:kern w:val="24"/>
                                      <w:sz w:val="18"/>
                                      <w:szCs w:val="18"/>
                                      <w:vertAlign w:val="superscript"/>
                                    </w:rPr>
                                    <w:t xml:space="preserve"> </w:t>
                                  </w:r>
                                  <w:r>
                                    <w:rPr>
                                      <w:color w:val="000000" w:themeColor="text1"/>
                                      <w:kern w:val="24"/>
                                      <w:sz w:val="18"/>
                                      <w:szCs w:val="18"/>
                                      <w:vertAlign w:val="superscript"/>
                                    </w:rPr>
                                    <w:t>14,16</w:t>
                                  </w:r>
                                </w:p>
                                <w:p w14:paraId="5E9E56B9" w14:textId="77777777" w:rsidR="00D27CCF" w:rsidRPr="00415662" w:rsidRDefault="00D27CCF" w:rsidP="00A4453D">
                                  <w:pPr>
                                    <w:pStyle w:val="NormalWeb"/>
                                    <w:spacing w:before="0" w:beforeAutospacing="0" w:after="0" w:afterAutospacing="0"/>
                                    <w:jc w:val="center"/>
                                    <w:rPr>
                                      <w:sz w:val="18"/>
                                      <w:szCs w:val="18"/>
                                    </w:rPr>
                                  </w:pPr>
                                </w:p>
                              </w:txbxContent>
                            </wps:txbx>
                            <wps:bodyPr wrap="square" rtlCol="0">
                              <a:noAutofit/>
                            </wps:bodyPr>
                          </wps:wsp>
                          <wps:wsp>
                            <wps:cNvPr id="53" name="TextBox 88"/>
                            <wps:cNvSpPr txBox="1"/>
                            <wps:spPr>
                              <a:xfrm>
                                <a:off x="8419805" y="5762060"/>
                                <a:ext cx="1476051" cy="772882"/>
                              </a:xfrm>
                              <a:prstGeom prst="rect">
                                <a:avLst/>
                              </a:prstGeom>
                              <a:noFill/>
                            </wps:spPr>
                            <wps:txbx>
                              <w:txbxContent>
                                <w:p w14:paraId="7B71D5D7"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Technology concept</w:t>
                                  </w:r>
                                </w:p>
                                <w:p w14:paraId="592582C1" w14:textId="7FC5D5B8"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1-2)</w:t>
                                  </w:r>
                                  <w:r w:rsidRPr="00A02829">
                                    <w:rPr>
                                      <w:color w:val="000000" w:themeColor="text1"/>
                                      <w:kern w:val="24"/>
                                      <w:sz w:val="18"/>
                                      <w:szCs w:val="18"/>
                                      <w:vertAlign w:val="superscript"/>
                                    </w:rPr>
                                    <w:t xml:space="preserve"> </w:t>
                                  </w:r>
                                  <w:r>
                                    <w:rPr>
                                      <w:color w:val="000000" w:themeColor="text1"/>
                                      <w:kern w:val="24"/>
                                      <w:sz w:val="18"/>
                                      <w:szCs w:val="18"/>
                                      <w:vertAlign w:val="superscript"/>
                                    </w:rPr>
                                    <w:t>14,16</w:t>
                                  </w:r>
                                </w:p>
                                <w:p w14:paraId="5AB57D8D" w14:textId="77777777" w:rsidR="00D27CCF" w:rsidRPr="00415662" w:rsidRDefault="00D27CCF" w:rsidP="00A4453D">
                                  <w:pPr>
                                    <w:pStyle w:val="NormalWeb"/>
                                    <w:spacing w:before="0" w:beforeAutospacing="0" w:after="0" w:afterAutospacing="0"/>
                                    <w:jc w:val="center"/>
                                    <w:rPr>
                                      <w:sz w:val="18"/>
                                      <w:szCs w:val="18"/>
                                    </w:rPr>
                                  </w:pPr>
                                </w:p>
                              </w:txbxContent>
                            </wps:txbx>
                            <wps:bodyPr wrap="square" rtlCol="0">
                              <a:noAutofit/>
                            </wps:bodyPr>
                          </wps:wsp>
                        </wpg:grpSp>
                        <wps:wsp>
                          <wps:cNvPr id="45" name="TextBox 89"/>
                          <wps:cNvSpPr txBox="1"/>
                          <wps:spPr>
                            <a:xfrm rot="16200000">
                              <a:off x="-787806" y="4564762"/>
                              <a:ext cx="1862164" cy="293987"/>
                            </a:xfrm>
                            <a:prstGeom prst="rect">
                              <a:avLst/>
                            </a:prstGeom>
                            <a:solidFill>
                              <a:schemeClr val="bg1">
                                <a:lumMod val="85000"/>
                              </a:schemeClr>
                            </a:solidFill>
                            <a:ln>
                              <a:solidFill>
                                <a:schemeClr val="bg1">
                                  <a:lumMod val="85000"/>
                                </a:schemeClr>
                              </a:solidFill>
                            </a:ln>
                          </wps:spPr>
                          <wps:style>
                            <a:lnRef idx="2">
                              <a:schemeClr val="dk1"/>
                            </a:lnRef>
                            <a:fillRef idx="1">
                              <a:schemeClr val="lt1"/>
                            </a:fillRef>
                            <a:effectRef idx="0">
                              <a:schemeClr val="dk1"/>
                            </a:effectRef>
                            <a:fontRef idx="minor">
                              <a:schemeClr val="dk1"/>
                            </a:fontRef>
                          </wps:style>
                          <wps:txbx>
                            <w:txbxContent>
                              <w:p w14:paraId="7F9E78E3" w14:textId="77777777" w:rsidR="00D27CCF" w:rsidRPr="00415662" w:rsidRDefault="00D27CCF" w:rsidP="00A4453D">
                                <w:pPr>
                                  <w:pStyle w:val="NormalWeb"/>
                                  <w:spacing w:before="0" w:beforeAutospacing="0" w:after="0" w:afterAutospacing="0"/>
                                  <w:jc w:val="center"/>
                                  <w:rPr>
                                    <w:sz w:val="18"/>
                                    <w:szCs w:val="18"/>
                                  </w:rPr>
                                </w:pPr>
                                <w:r w:rsidRPr="00415662">
                                  <w:rPr>
                                    <w:b/>
                                    <w:bCs/>
                                    <w:color w:val="000000" w:themeColor="text1"/>
                                    <w:kern w:val="24"/>
                                    <w:sz w:val="18"/>
                                    <w:szCs w:val="18"/>
                                  </w:rPr>
                                  <w:t>Cell properties</w:t>
                                </w:r>
                              </w:p>
                            </w:txbxContent>
                          </wps:txbx>
                          <wps:bodyPr wrap="square" rtlCol="0">
                            <a:noAutofit/>
                          </wps:bodyPr>
                        </wps:wsp>
                        <wps:wsp>
                          <wps:cNvPr id="46" name="TextBox 90"/>
                          <wps:cNvSpPr txBox="1"/>
                          <wps:spPr>
                            <a:xfrm rot="16200000">
                              <a:off x="-209728" y="5938084"/>
                              <a:ext cx="723372" cy="276658"/>
                            </a:xfrm>
                            <a:prstGeom prst="rect">
                              <a:avLst/>
                            </a:prstGeom>
                            <a:solidFill>
                              <a:schemeClr val="tx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14:paraId="7D90A787" w14:textId="77777777" w:rsidR="00D27CCF" w:rsidRPr="00367220" w:rsidRDefault="00D27CCF" w:rsidP="00A4453D">
                                <w:pPr>
                                  <w:pStyle w:val="NormalWeb"/>
                                  <w:spacing w:before="0" w:beforeAutospacing="0" w:after="0" w:afterAutospacing="0"/>
                                  <w:jc w:val="center"/>
                                  <w:rPr>
                                    <w:sz w:val="18"/>
                                    <w:szCs w:val="18"/>
                                  </w:rPr>
                                </w:pPr>
                                <w:r w:rsidRPr="00367220">
                                  <w:rPr>
                                    <w:b/>
                                    <w:bCs/>
                                    <w:color w:val="FFFFFF" w:themeColor="background1"/>
                                    <w:kern w:val="24"/>
                                    <w:sz w:val="18"/>
                                    <w:szCs w:val="18"/>
                                  </w:rPr>
                                  <w:t>Status</w:t>
                                </w:r>
                              </w:p>
                            </w:txbxContent>
                          </wps:txbx>
                          <wps:bodyPr wrap="square" rtlCol="0">
                            <a:noAutofit/>
                          </wps:bodyPr>
                        </wps:wsp>
                      </wpg:grpSp>
                      <wpg:grpSp>
                        <wpg:cNvPr id="4" name="Group 4"/>
                        <wpg:cNvGrpSpPr/>
                        <wpg:grpSpPr>
                          <a:xfrm>
                            <a:off x="1812184" y="-300665"/>
                            <a:ext cx="8283603" cy="1257620"/>
                            <a:chOff x="1812184" y="-300665"/>
                            <a:chExt cx="8283603" cy="1257620"/>
                          </a:xfrm>
                        </wpg:grpSpPr>
                        <wpg:grpSp>
                          <wpg:cNvPr id="5" name="Group 5"/>
                          <wpg:cNvGrpSpPr/>
                          <wpg:grpSpPr>
                            <a:xfrm>
                              <a:off x="1987639" y="-300665"/>
                              <a:ext cx="8058890" cy="421652"/>
                              <a:chOff x="1987639" y="-300665"/>
                              <a:chExt cx="8058890" cy="421652"/>
                            </a:xfrm>
                          </wpg:grpSpPr>
                          <wps:wsp>
                            <wps:cNvPr id="29" name="TextBox 11"/>
                            <wps:cNvSpPr txBox="1"/>
                            <wps:spPr>
                              <a:xfrm>
                                <a:off x="1987639" y="-272965"/>
                                <a:ext cx="1689483" cy="345224"/>
                              </a:xfrm>
                              <a:prstGeom prst="rect">
                                <a:avLst/>
                              </a:prstGeom>
                              <a:noFill/>
                            </wps:spPr>
                            <wps:txbx>
                              <w:txbxContent>
                                <w:p w14:paraId="74AD69B2"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Lithium-ion (Li-ion)</w:t>
                                  </w:r>
                                </w:p>
                              </w:txbxContent>
                            </wps:txbx>
                            <wps:bodyPr wrap="square" rtlCol="0">
                              <a:noAutofit/>
                            </wps:bodyPr>
                          </wps:wsp>
                          <wps:wsp>
                            <wps:cNvPr id="30" name="TextBox 12"/>
                            <wps:cNvSpPr txBox="1"/>
                            <wps:spPr>
                              <a:xfrm>
                                <a:off x="3660560" y="-272960"/>
                                <a:ext cx="1296394" cy="393947"/>
                              </a:xfrm>
                              <a:prstGeom prst="rect">
                                <a:avLst/>
                              </a:prstGeom>
                              <a:noFill/>
                            </wps:spPr>
                            <wps:txbx>
                              <w:txbxContent>
                                <w:p w14:paraId="3BBCC8F3"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Advanced Li-ion</w:t>
                                  </w:r>
                                </w:p>
                              </w:txbxContent>
                            </wps:txbx>
                            <wps:bodyPr wrap="square" rtlCol="0">
                              <a:noAutofit/>
                            </wps:bodyPr>
                          </wps:wsp>
                          <wps:wsp>
                            <wps:cNvPr id="31" name="TextBox 13"/>
                            <wps:cNvSpPr txBox="1"/>
                            <wps:spPr>
                              <a:xfrm>
                                <a:off x="5311456" y="-300665"/>
                                <a:ext cx="1548165" cy="307482"/>
                              </a:xfrm>
                              <a:prstGeom prst="rect">
                                <a:avLst/>
                              </a:prstGeom>
                              <a:noFill/>
                            </wps:spPr>
                            <wps:txbx>
                              <w:txbxContent>
                                <w:p w14:paraId="5475F2B6"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Solid-state battery (SSB)</w:t>
                                  </w:r>
                                </w:p>
                              </w:txbxContent>
                            </wps:txbx>
                            <wps:bodyPr wrap="square" rtlCol="0">
                              <a:noAutofit/>
                            </wps:bodyPr>
                          </wps:wsp>
                          <wps:wsp>
                            <wps:cNvPr id="32" name="TextBox 14"/>
                            <wps:cNvSpPr txBox="1"/>
                            <wps:spPr>
                              <a:xfrm>
                                <a:off x="6884141" y="-283383"/>
                                <a:ext cx="1482206" cy="381690"/>
                              </a:xfrm>
                              <a:prstGeom prst="rect">
                                <a:avLst/>
                              </a:prstGeom>
                              <a:noFill/>
                            </wps:spPr>
                            <wps:txbx>
                              <w:txbxContent>
                                <w:p w14:paraId="4BED0130"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Lithium-sulfur (Li-S)</w:t>
                                  </w:r>
                                </w:p>
                              </w:txbxContent>
                            </wps:txbx>
                            <wps:bodyPr wrap="square" rtlCol="0">
                              <a:noAutofit/>
                            </wps:bodyPr>
                          </wps:wsp>
                          <wps:wsp>
                            <wps:cNvPr id="33" name="TextBox 15"/>
                            <wps:cNvSpPr txBox="1"/>
                            <wps:spPr>
                              <a:xfrm>
                                <a:off x="8544457" y="-300657"/>
                                <a:ext cx="1502072" cy="309815"/>
                              </a:xfrm>
                              <a:prstGeom prst="rect">
                                <a:avLst/>
                              </a:prstGeom>
                              <a:noFill/>
                            </wps:spPr>
                            <wps:txbx>
                              <w:txbxContent>
                                <w:p w14:paraId="5E537CCE"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Lithium-air (Li-air)</w:t>
                                  </w:r>
                                </w:p>
                              </w:txbxContent>
                            </wps:txbx>
                            <wps:bodyPr wrap="square" rtlCol="0">
                              <a:noAutofit/>
                            </wps:bodyPr>
                          </wps:wsp>
                        </wpg:grpSp>
                        <pic:pic xmlns:pic="http://schemas.openxmlformats.org/drawingml/2006/picture">
                          <pic:nvPicPr>
                            <pic:cNvPr id="6" name="Picture 6"/>
                            <pic:cNvPicPr>
                              <a:picLocks noChangeAspect="1"/>
                            </pic:cNvPicPr>
                          </pic:nvPicPr>
                          <pic:blipFill>
                            <a:blip r:embed="rId12"/>
                            <a:stretch>
                              <a:fillRect/>
                            </a:stretch>
                          </pic:blipFill>
                          <pic:spPr>
                            <a:xfrm>
                              <a:off x="1812184" y="151554"/>
                              <a:ext cx="471151" cy="513596"/>
                            </a:xfrm>
                            <a:prstGeom prst="rect">
                              <a:avLst/>
                            </a:prstGeom>
                          </pic:spPr>
                        </pic:pic>
                        <pic:pic xmlns:pic="http://schemas.openxmlformats.org/drawingml/2006/picture">
                          <pic:nvPicPr>
                            <pic:cNvPr id="7" name="Picture 7"/>
                            <pic:cNvPicPr>
                              <a:picLocks noChangeAspect="1"/>
                            </pic:cNvPicPr>
                          </pic:nvPicPr>
                          <pic:blipFill>
                            <a:blip r:embed="rId12"/>
                            <a:stretch>
                              <a:fillRect/>
                            </a:stretch>
                          </pic:blipFill>
                          <pic:spPr>
                            <a:xfrm>
                              <a:off x="3597923" y="167990"/>
                              <a:ext cx="471149" cy="513596"/>
                            </a:xfrm>
                            <a:prstGeom prst="rect">
                              <a:avLst/>
                            </a:prstGeom>
                          </pic:spPr>
                        </pic:pic>
                        <pic:pic xmlns:pic="http://schemas.openxmlformats.org/drawingml/2006/picture">
                          <pic:nvPicPr>
                            <pic:cNvPr id="8" name="Picture 8"/>
                            <pic:cNvPicPr>
                              <a:picLocks noChangeAspect="1"/>
                            </pic:cNvPicPr>
                          </pic:nvPicPr>
                          <pic:blipFill>
                            <a:blip r:embed="rId13"/>
                            <a:stretch>
                              <a:fillRect/>
                            </a:stretch>
                          </pic:blipFill>
                          <pic:spPr>
                            <a:xfrm>
                              <a:off x="4069106" y="262389"/>
                              <a:ext cx="954528" cy="419200"/>
                            </a:xfrm>
                            <a:prstGeom prst="rect">
                              <a:avLst/>
                            </a:prstGeom>
                          </pic:spPr>
                        </pic:pic>
                        <pic:pic xmlns:pic="http://schemas.openxmlformats.org/drawingml/2006/picture">
                          <pic:nvPicPr>
                            <pic:cNvPr id="9" name="Picture 9"/>
                            <pic:cNvPicPr>
                              <a:picLocks noChangeAspect="1"/>
                            </pic:cNvPicPr>
                          </pic:nvPicPr>
                          <pic:blipFill>
                            <a:blip r:embed="rId14"/>
                            <a:stretch>
                              <a:fillRect/>
                            </a:stretch>
                          </pic:blipFill>
                          <pic:spPr>
                            <a:xfrm>
                              <a:off x="2353651" y="167984"/>
                              <a:ext cx="1069344" cy="470562"/>
                            </a:xfrm>
                            <a:prstGeom prst="rect">
                              <a:avLst/>
                            </a:prstGeom>
                          </pic:spPr>
                        </pic:pic>
                        <pic:pic xmlns:pic="http://schemas.openxmlformats.org/drawingml/2006/picture">
                          <pic:nvPicPr>
                            <pic:cNvPr id="10" name="Picture 10"/>
                            <pic:cNvPicPr>
                              <a:picLocks noChangeAspect="1"/>
                            </pic:cNvPicPr>
                          </pic:nvPicPr>
                          <pic:blipFill>
                            <a:blip r:embed="rId15"/>
                            <a:stretch>
                              <a:fillRect/>
                            </a:stretch>
                          </pic:blipFill>
                          <pic:spPr>
                            <a:xfrm>
                              <a:off x="5914070" y="167992"/>
                              <a:ext cx="588876" cy="578664"/>
                            </a:xfrm>
                            <a:prstGeom prst="rect">
                              <a:avLst/>
                            </a:prstGeom>
                          </pic:spPr>
                        </pic:pic>
                        <pic:pic xmlns:pic="http://schemas.openxmlformats.org/drawingml/2006/picture">
                          <pic:nvPicPr>
                            <pic:cNvPr id="11" name="Picture 11"/>
                            <pic:cNvPicPr>
                              <a:picLocks noChangeAspect="1"/>
                            </pic:cNvPicPr>
                          </pic:nvPicPr>
                          <pic:blipFill>
                            <a:blip r:embed="rId16"/>
                            <a:stretch>
                              <a:fillRect/>
                            </a:stretch>
                          </pic:blipFill>
                          <pic:spPr>
                            <a:xfrm>
                              <a:off x="5394170" y="233560"/>
                              <a:ext cx="479848" cy="542531"/>
                            </a:xfrm>
                            <a:prstGeom prst="rect">
                              <a:avLst/>
                            </a:prstGeom>
                          </pic:spPr>
                        </pic:pic>
                        <pic:pic xmlns:pic="http://schemas.openxmlformats.org/drawingml/2006/picture">
                          <pic:nvPicPr>
                            <pic:cNvPr id="12" name="Picture 12"/>
                            <pic:cNvPicPr>
                              <a:picLocks noChangeAspect="1"/>
                            </pic:cNvPicPr>
                          </pic:nvPicPr>
                          <pic:blipFill>
                            <a:blip r:embed="rId17"/>
                            <a:stretch>
                              <a:fillRect/>
                            </a:stretch>
                          </pic:blipFill>
                          <pic:spPr>
                            <a:xfrm>
                              <a:off x="6969040" y="98312"/>
                              <a:ext cx="494045" cy="558741"/>
                            </a:xfrm>
                            <a:prstGeom prst="rect">
                              <a:avLst/>
                            </a:prstGeom>
                          </pic:spPr>
                        </pic:pic>
                        <pic:pic xmlns:pic="http://schemas.openxmlformats.org/drawingml/2006/picture">
                          <pic:nvPicPr>
                            <pic:cNvPr id="13" name="Picture 13"/>
                            <pic:cNvPicPr>
                              <a:picLocks noChangeAspect="1"/>
                            </pic:cNvPicPr>
                          </pic:nvPicPr>
                          <pic:blipFill>
                            <a:blip r:embed="rId18"/>
                            <a:stretch>
                              <a:fillRect/>
                            </a:stretch>
                          </pic:blipFill>
                          <pic:spPr>
                            <a:xfrm>
                              <a:off x="7544820" y="98803"/>
                              <a:ext cx="629712" cy="591442"/>
                            </a:xfrm>
                            <a:prstGeom prst="rect">
                              <a:avLst/>
                            </a:prstGeom>
                          </pic:spPr>
                        </pic:pic>
                        <wps:wsp>
                          <wps:cNvPr id="14" name="Straight Connector 14"/>
                          <wps:cNvCnPr/>
                          <wps:spPr>
                            <a:xfrm>
                              <a:off x="4177986" y="190384"/>
                              <a:ext cx="0" cy="127610"/>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4178593" y="167986"/>
                              <a:ext cx="186557" cy="0"/>
                            </a:xfrm>
                            <a:prstGeom prst="straightConnector1">
                              <a:avLst/>
                            </a:prstGeom>
                            <a:ln w="3175">
                              <a:prstDash val="dash"/>
                              <a:tailEnd type="triangle" w="sm" len="sm"/>
                            </a:ln>
                          </wps:spPr>
                          <wps:style>
                            <a:lnRef idx="1">
                              <a:schemeClr val="dk1"/>
                            </a:lnRef>
                            <a:fillRef idx="0">
                              <a:schemeClr val="dk1"/>
                            </a:fillRef>
                            <a:effectRef idx="0">
                              <a:schemeClr val="dk1"/>
                            </a:effectRef>
                            <a:fontRef idx="minor">
                              <a:schemeClr val="tx1"/>
                            </a:fontRef>
                          </wps:style>
                          <wps:bodyPr/>
                        </wps:wsp>
                        <wps:wsp>
                          <wps:cNvPr id="16" name="TextBox 137"/>
                          <wps:cNvSpPr txBox="1"/>
                          <wps:spPr>
                            <a:xfrm>
                              <a:off x="4283645" y="6817"/>
                              <a:ext cx="672951" cy="328868"/>
                            </a:xfrm>
                            <a:prstGeom prst="rect">
                              <a:avLst/>
                            </a:prstGeom>
                            <a:noFill/>
                          </wps:spPr>
                          <wps:txbx>
                            <w:txbxContent>
                              <w:p w14:paraId="43E7DA08" w14:textId="77777777" w:rsidR="00D27CCF" w:rsidRPr="00780F51" w:rsidRDefault="00D27CCF" w:rsidP="00A4453D">
                                <w:pPr>
                                  <w:pStyle w:val="NormalWeb"/>
                                  <w:spacing w:before="0" w:beforeAutospacing="0" w:after="0" w:afterAutospacing="0"/>
                                  <w:rPr>
                                    <w:sz w:val="12"/>
                                    <w:szCs w:val="18"/>
                                  </w:rPr>
                                </w:pPr>
                                <w:r w:rsidRPr="00780F51">
                                  <w:rPr>
                                    <w:color w:val="000000" w:themeColor="text1"/>
                                    <w:kern w:val="24"/>
                                    <w:sz w:val="12"/>
                                    <w:szCs w:val="18"/>
                                  </w:rPr>
                                  <w:t>silicon</w:t>
                                </w:r>
                              </w:p>
                            </w:txbxContent>
                          </wps:txbx>
                          <wps:bodyPr wrap="square" rtlCol="0">
                            <a:noAutofit/>
                          </wps:bodyPr>
                        </wps:wsp>
                        <wps:wsp>
                          <wps:cNvPr id="17" name="Straight Connector 17"/>
                          <wps:cNvCnPr/>
                          <wps:spPr>
                            <a:xfrm flipV="1">
                              <a:off x="5651327" y="72280"/>
                              <a:ext cx="0" cy="133767"/>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5647134" y="72270"/>
                              <a:ext cx="186557" cy="0"/>
                            </a:xfrm>
                            <a:prstGeom prst="straightConnector1">
                              <a:avLst/>
                            </a:prstGeom>
                            <a:ln w="3175">
                              <a:prstDash val="dash"/>
                              <a:tailEnd type="triangle" w="sm" len="sm"/>
                            </a:ln>
                          </wps:spPr>
                          <wps:style>
                            <a:lnRef idx="1">
                              <a:schemeClr val="dk1"/>
                            </a:lnRef>
                            <a:fillRef idx="0">
                              <a:schemeClr val="dk1"/>
                            </a:fillRef>
                            <a:effectRef idx="0">
                              <a:schemeClr val="dk1"/>
                            </a:effectRef>
                            <a:fontRef idx="minor">
                              <a:schemeClr val="tx1"/>
                            </a:fontRef>
                          </wps:style>
                          <wps:bodyPr/>
                        </wps:wsp>
                        <wps:wsp>
                          <wps:cNvPr id="19" name="TextBox 140"/>
                          <wps:cNvSpPr txBox="1"/>
                          <wps:spPr>
                            <a:xfrm>
                              <a:off x="5731031" y="-64215"/>
                              <a:ext cx="933083" cy="240913"/>
                            </a:xfrm>
                            <a:prstGeom prst="rect">
                              <a:avLst/>
                            </a:prstGeom>
                            <a:noFill/>
                          </wps:spPr>
                          <wps:txbx>
                            <w:txbxContent>
                              <w:p w14:paraId="30A42DAA" w14:textId="77777777" w:rsidR="00D27CCF" w:rsidRPr="00780F51" w:rsidRDefault="00D27CCF" w:rsidP="00A4453D">
                                <w:pPr>
                                  <w:pStyle w:val="NormalWeb"/>
                                  <w:spacing w:before="0" w:beforeAutospacing="0" w:after="0" w:afterAutospacing="0"/>
                                  <w:rPr>
                                    <w:sz w:val="12"/>
                                    <w:szCs w:val="18"/>
                                  </w:rPr>
                                </w:pPr>
                                <w:r w:rsidRPr="00780F51">
                                  <w:rPr>
                                    <w:color w:val="000000" w:themeColor="text1"/>
                                    <w:kern w:val="24"/>
                                    <w:sz w:val="12"/>
                                    <w:szCs w:val="18"/>
                                  </w:rPr>
                                  <w:t>Solid electrolyte</w:t>
                                </w:r>
                              </w:p>
                            </w:txbxContent>
                          </wps:txbx>
                          <wps:bodyPr wrap="square" rtlCol="0">
                            <a:noAutofit/>
                          </wps:bodyPr>
                        </wps:wsp>
                        <wpg:grpSp>
                          <wpg:cNvPr id="20" name="Group 20"/>
                          <wpg:cNvGrpSpPr/>
                          <wpg:grpSpPr>
                            <a:xfrm>
                              <a:off x="8480287" y="-69292"/>
                              <a:ext cx="1615500" cy="1026247"/>
                              <a:chOff x="8480287" y="-69292"/>
                              <a:chExt cx="1615500" cy="1026247"/>
                            </a:xfrm>
                          </wpg:grpSpPr>
                          <pic:pic xmlns:pic="http://schemas.openxmlformats.org/drawingml/2006/picture">
                            <pic:nvPicPr>
                              <pic:cNvPr id="21" name="Picture 21"/>
                              <pic:cNvPicPr>
                                <a:picLocks noChangeAspect="1"/>
                              </pic:cNvPicPr>
                            </pic:nvPicPr>
                            <pic:blipFill>
                              <a:blip r:embed="rId19"/>
                              <a:stretch>
                                <a:fillRect/>
                              </a:stretch>
                            </pic:blipFill>
                            <pic:spPr>
                              <a:xfrm>
                                <a:off x="9203736" y="120997"/>
                                <a:ext cx="591362" cy="579170"/>
                              </a:xfrm>
                              <a:prstGeom prst="rect">
                                <a:avLst/>
                              </a:prstGeom>
                            </pic:spPr>
                          </pic:pic>
                          <pic:pic xmlns:pic="http://schemas.openxmlformats.org/drawingml/2006/picture">
                            <pic:nvPicPr>
                              <pic:cNvPr id="22" name="Picture 22"/>
                              <pic:cNvPicPr>
                                <a:picLocks noChangeAspect="1"/>
                              </pic:cNvPicPr>
                            </pic:nvPicPr>
                            <pic:blipFill>
                              <a:blip r:embed="rId20"/>
                              <a:stretch>
                                <a:fillRect/>
                              </a:stretch>
                            </pic:blipFill>
                            <pic:spPr>
                              <a:xfrm>
                                <a:off x="8480287" y="151557"/>
                                <a:ext cx="590178" cy="424444"/>
                              </a:xfrm>
                              <a:prstGeom prst="rect">
                                <a:avLst/>
                              </a:prstGeom>
                            </pic:spPr>
                          </pic:pic>
                          <wps:wsp>
                            <wps:cNvPr id="23" name="Straight Connector 23"/>
                            <wps:cNvCnPr/>
                            <wps:spPr>
                              <a:xfrm flipV="1">
                                <a:off x="8891071" y="56629"/>
                                <a:ext cx="0" cy="133767"/>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a:off x="8905771" y="55010"/>
                                <a:ext cx="186557" cy="0"/>
                              </a:xfrm>
                              <a:prstGeom prst="straightConnector1">
                                <a:avLst/>
                              </a:prstGeom>
                              <a:ln w="3175">
                                <a:prstDash val="dash"/>
                                <a:tailEnd type="triangle" w="sm" len="sm"/>
                              </a:ln>
                            </wps:spPr>
                            <wps:style>
                              <a:lnRef idx="1">
                                <a:schemeClr val="dk1"/>
                              </a:lnRef>
                              <a:fillRef idx="0">
                                <a:schemeClr val="dk1"/>
                              </a:fillRef>
                              <a:effectRef idx="0">
                                <a:schemeClr val="dk1"/>
                              </a:effectRef>
                              <a:fontRef idx="minor">
                                <a:schemeClr val="tx1"/>
                              </a:fontRef>
                            </wps:style>
                            <wps:bodyPr/>
                          </wps:wsp>
                          <wps:wsp>
                            <wps:cNvPr id="25" name="TextBox 143"/>
                            <wps:cNvSpPr txBox="1"/>
                            <wps:spPr>
                              <a:xfrm>
                                <a:off x="9008967" y="-69292"/>
                                <a:ext cx="1086820" cy="387302"/>
                              </a:xfrm>
                              <a:prstGeom prst="rect">
                                <a:avLst/>
                              </a:prstGeom>
                              <a:noFill/>
                            </wps:spPr>
                            <wps:txbx>
                              <w:txbxContent>
                                <w:p w14:paraId="2578948C" w14:textId="77777777" w:rsidR="00D27CCF" w:rsidRPr="00780F51" w:rsidRDefault="00D27CCF" w:rsidP="00A4453D">
                                  <w:pPr>
                                    <w:pStyle w:val="NormalWeb"/>
                                    <w:spacing w:before="0" w:beforeAutospacing="0" w:after="0" w:afterAutospacing="0"/>
                                    <w:rPr>
                                      <w:sz w:val="12"/>
                                      <w:szCs w:val="18"/>
                                    </w:rPr>
                                  </w:pPr>
                                  <w:r w:rsidRPr="00780F51">
                                    <w:rPr>
                                      <w:color w:val="000000" w:themeColor="text1"/>
                                      <w:kern w:val="24"/>
                                      <w:sz w:val="12"/>
                                      <w:szCs w:val="18"/>
                                    </w:rPr>
                                    <w:t>Oxygen (O</w:t>
                                  </w:r>
                                  <w:r w:rsidRPr="00780F51">
                                    <w:rPr>
                                      <w:color w:val="000000" w:themeColor="text1"/>
                                      <w:kern w:val="24"/>
                                      <w:position w:val="-3"/>
                                      <w:sz w:val="12"/>
                                      <w:szCs w:val="18"/>
                                      <w:vertAlign w:val="subscript"/>
                                    </w:rPr>
                                    <w:t>2</w:t>
                                  </w:r>
                                  <w:r w:rsidRPr="00780F51">
                                    <w:rPr>
                                      <w:color w:val="000000" w:themeColor="text1"/>
                                      <w:kern w:val="24"/>
                                      <w:sz w:val="12"/>
                                      <w:szCs w:val="18"/>
                                    </w:rPr>
                                    <w:t>)</w:t>
                                  </w:r>
                                </w:p>
                              </w:txbxContent>
                            </wps:txbx>
                            <wps:bodyPr wrap="square" rtlCol="0">
                              <a:noAutofit/>
                            </wps:bodyPr>
                          </wps:wsp>
                          <wps:wsp>
                            <wps:cNvPr id="26" name="Straight Connector 26"/>
                            <wps:cNvCnPr/>
                            <wps:spPr>
                              <a:xfrm flipV="1">
                                <a:off x="8710695" y="511974"/>
                                <a:ext cx="1" cy="151745"/>
                              </a:xfrm>
                              <a:prstGeom prst="line">
                                <a:avLst/>
                              </a:prstGeom>
                              <a:ln w="31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8707882" y="665150"/>
                                <a:ext cx="183189" cy="3924"/>
                              </a:xfrm>
                              <a:prstGeom prst="straightConnector1">
                                <a:avLst/>
                              </a:prstGeom>
                              <a:ln w="3175">
                                <a:prstDash val="dash"/>
                                <a:tailEnd type="triangle" w="sm" len="sm"/>
                              </a:ln>
                            </wps:spPr>
                            <wps:style>
                              <a:lnRef idx="1">
                                <a:schemeClr val="dk1"/>
                              </a:lnRef>
                              <a:fillRef idx="0">
                                <a:schemeClr val="dk1"/>
                              </a:fillRef>
                              <a:effectRef idx="0">
                                <a:schemeClr val="dk1"/>
                              </a:effectRef>
                              <a:fontRef idx="minor">
                                <a:schemeClr val="tx1"/>
                              </a:fontRef>
                            </wps:style>
                            <wps:bodyPr/>
                          </wps:wsp>
                          <wps:wsp>
                            <wps:cNvPr id="28" name="TextBox 153"/>
                            <wps:cNvSpPr txBox="1"/>
                            <wps:spPr>
                              <a:xfrm>
                                <a:off x="8797627" y="548392"/>
                                <a:ext cx="923316" cy="408563"/>
                              </a:xfrm>
                              <a:prstGeom prst="rect">
                                <a:avLst/>
                              </a:prstGeom>
                              <a:noFill/>
                            </wps:spPr>
                            <wps:txbx>
                              <w:txbxContent>
                                <w:p w14:paraId="1DE784C5" w14:textId="77777777" w:rsidR="00D27CCF" w:rsidRPr="00780F51" w:rsidRDefault="00D27CCF" w:rsidP="00A4453D">
                                  <w:pPr>
                                    <w:pStyle w:val="NormalWeb"/>
                                    <w:spacing w:before="0" w:beforeAutospacing="0" w:after="0" w:afterAutospacing="0"/>
                                    <w:rPr>
                                      <w:sz w:val="12"/>
                                      <w:szCs w:val="18"/>
                                    </w:rPr>
                                  </w:pPr>
                                  <w:r w:rsidRPr="00780F51">
                                    <w:rPr>
                                      <w:color w:val="000000" w:themeColor="text1"/>
                                      <w:kern w:val="24"/>
                                      <w:sz w:val="12"/>
                                      <w:szCs w:val="18"/>
                                    </w:rPr>
                                    <w:t>Li</w:t>
                                  </w:r>
                                  <w:r w:rsidRPr="00780F51">
                                    <w:rPr>
                                      <w:color w:val="000000" w:themeColor="text1"/>
                                      <w:kern w:val="24"/>
                                      <w:position w:val="-3"/>
                                      <w:sz w:val="12"/>
                                      <w:szCs w:val="18"/>
                                      <w:vertAlign w:val="subscript"/>
                                    </w:rPr>
                                    <w:t>2</w:t>
                                  </w:r>
                                  <w:r w:rsidRPr="00780F51">
                                    <w:rPr>
                                      <w:color w:val="000000" w:themeColor="text1"/>
                                      <w:kern w:val="24"/>
                                      <w:sz w:val="12"/>
                                      <w:szCs w:val="18"/>
                                    </w:rPr>
                                    <w:t>O</w:t>
                                  </w:r>
                                </w:p>
                              </w:txbxContent>
                            </wps:txbx>
                            <wps:bodyPr wrap="square" rtlCol="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58F1B8A4" id="Group 158" o:spid="_x0000_s1026" style="position:absolute;margin-left:5.2pt;margin-top:16pt;width:687.05pt;height:407.15pt;z-index:251658240;mso-position-horizontal-relative:margin;mso-width-relative:margin;mso-height-relative:margin" coordorigin="-37,-3006" coordsize="100995,70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">
                <v:group id="Group 2" o:spid="_x0000_s1027" style="position:absolute;left:-37;top:8514;width:100084;height:58758" coordorigin="-37,8514" coordsize="100085,5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Box 1" o:spid="_x0000_s1028" type="#_x0000_t202" style="position:absolute;left:-12877;top:21502;width:28546;height:28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" fillcolor="black [3213]" strokecolor="black [3213]" strokeweight="1pt">
                    <v:textbox>
                      <w:txbxContent>
                        <w:p w14:paraId="7CF08C99" w14:textId="77777777" w:rsidR="00D27CCF" w:rsidRPr="00415662" w:rsidRDefault="00D27CCF" w:rsidP="00A4453D">
                          <w:pPr>
                            <w:pStyle w:val="NormalWeb"/>
                            <w:spacing w:before="0" w:beforeAutospacing="0" w:after="0" w:afterAutospacing="0"/>
                            <w:jc w:val="center"/>
                            <w:rPr>
                              <w:sz w:val="18"/>
                              <w:szCs w:val="18"/>
                            </w:rPr>
                          </w:pPr>
                          <w:r w:rsidRPr="00415662">
                            <w:rPr>
                              <w:b/>
                              <w:bCs/>
                              <w:color w:val="FFFFFF" w:themeColor="background1"/>
                              <w:kern w:val="24"/>
                              <w:sz w:val="18"/>
                              <w:szCs w:val="18"/>
                            </w:rPr>
                            <w:t>Battery cell chemistry</w:t>
                          </w:r>
                        </w:p>
                      </w:txbxContent>
                    </v:textbox>
                  </v:shape>
                  <v:group id="Group 35" o:spid="_x0000_s1029" style="position:absolute;left:3224;top:8514;width:96716;height:10142" coordorigin="3224,8514" coordsize="96716,1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110" o:spid="_x0000_s1030" style="position:absolute;left:3224;top:8933;width:96376;height:6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" fillcolor="#f2f2f2 [3052]" strokecolor="#f2f2f2 [3052]" strokeweight="1pt"/>
                    <v:shape id="TextBox 2" o:spid="_x0000_s1031" type="#_x0000_t202" style="position:absolute;left:3298;top:8934;width:9144;height:4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334EB9FA"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Cathode (+)</w:t>
                            </w:r>
                          </w:p>
                        </w:txbxContent>
                      </v:textbox>
                    </v:shape>
                    <v:shape id="TextBox 3" o:spid="_x0000_s1032" type="#_x0000_t202" style="position:absolute;left:17943;top:8659;width:19068;height:7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14:paraId="6E4170FA" w14:textId="77777777" w:rsidR="00D27CCF" w:rsidRPr="00FB4F0D" w:rsidRDefault="00D27CCF" w:rsidP="00A4453D">
                            <w:pPr>
                              <w:pStyle w:val="NormalWeb"/>
                              <w:spacing w:before="0" w:beforeAutospacing="0" w:after="0" w:afterAutospacing="0"/>
                              <w:rPr>
                                <w:sz w:val="18"/>
                                <w:szCs w:val="16"/>
                              </w:rPr>
                            </w:pPr>
                            <w:r w:rsidRPr="00FB4F0D">
                              <w:rPr>
                                <w:color w:val="000000" w:themeColor="text1"/>
                                <w:kern w:val="24"/>
                                <w:sz w:val="18"/>
                                <w:szCs w:val="16"/>
                              </w:rPr>
                              <w:t>Lithium metal oxide such as</w:t>
                            </w:r>
                          </w:p>
                          <w:p w14:paraId="5F9819C2" w14:textId="77777777" w:rsidR="00D27CCF" w:rsidRPr="00FB4F0D" w:rsidRDefault="00D27CCF" w:rsidP="00A4453D">
                            <w:pPr>
                              <w:pStyle w:val="NormalWeb"/>
                              <w:spacing w:before="0" w:beforeAutospacing="0" w:after="0" w:afterAutospacing="0"/>
                              <w:rPr>
                                <w:sz w:val="20"/>
                                <w:szCs w:val="16"/>
                              </w:rPr>
                            </w:pPr>
                            <w:r w:rsidRPr="00FB4F0D">
                              <w:rPr>
                                <w:color w:val="000000" w:themeColor="text1"/>
                                <w:kern w:val="24"/>
                                <w:sz w:val="18"/>
                                <w:szCs w:val="16"/>
                              </w:rPr>
                              <w:t>LFP, LMO, Li-NCM</w:t>
                            </w:r>
                          </w:p>
                          <w:p w14:paraId="692119E4" w14:textId="7A6753BA" w:rsidR="00D27CCF" w:rsidRPr="00FB4F0D" w:rsidRDefault="00D27CCF" w:rsidP="00A4453D">
                            <w:pPr>
                              <w:pStyle w:val="NormalWeb"/>
                              <w:spacing w:before="0" w:beforeAutospacing="0" w:after="0" w:afterAutospacing="0"/>
                              <w:rPr>
                                <w:color w:val="C00000"/>
                                <w:sz w:val="18"/>
                                <w:szCs w:val="16"/>
                              </w:rPr>
                            </w:pPr>
                            <w:r w:rsidRPr="00FB4F0D">
                              <w:rPr>
                                <w:color w:val="000000" w:themeColor="text1"/>
                                <w:kern w:val="24"/>
                                <w:sz w:val="18"/>
                                <w:szCs w:val="16"/>
                              </w:rPr>
                              <w:t>Li-NCA</w:t>
                            </w:r>
                            <w:r w:rsidRPr="00FB4F0D">
                              <w:rPr>
                                <w:color w:val="000000" w:themeColor="text1"/>
                                <w:kern w:val="24"/>
                                <w:sz w:val="18"/>
                                <w:szCs w:val="16"/>
                                <w:vertAlign w:val="superscript"/>
                              </w:rPr>
                              <w:t>3</w:t>
                            </w:r>
                            <w:r w:rsidRPr="00FB4F0D">
                              <w:rPr>
                                <w:color w:val="000000" w:themeColor="text1"/>
                                <w:kern w:val="24"/>
                                <w:sz w:val="18"/>
                                <w:szCs w:val="16"/>
                              </w:rPr>
                              <w:t xml:space="preserve"> </w:t>
                            </w:r>
                          </w:p>
                        </w:txbxContent>
                      </v:textbox>
                    </v:shape>
                    <v:shape id="TextBox 4" o:spid="_x0000_s1033" type="#_x0000_t202" style="position:absolute;left:36134;top:8841;width:17807;height:9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35EB27AE"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 xml:space="preserve">Lithium metal oxide </w:t>
                            </w:r>
                          </w:p>
                          <w:p w14:paraId="195E0E9D"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with Ni-rich fraction</w:t>
                            </w:r>
                          </w:p>
                          <w:p w14:paraId="48634CB0" w14:textId="2123C227" w:rsidR="00D27CCF" w:rsidRPr="0001318B" w:rsidRDefault="00D27CCF" w:rsidP="00A4453D">
                            <w:pPr>
                              <w:pStyle w:val="NormalWeb"/>
                              <w:spacing w:before="0" w:beforeAutospacing="0" w:after="0" w:afterAutospacing="0"/>
                              <w:rPr>
                                <w:color w:val="000000" w:themeColor="text1"/>
                                <w:kern w:val="24"/>
                                <w:sz w:val="18"/>
                                <w:szCs w:val="18"/>
                                <w:vertAlign w:val="superscript"/>
                              </w:rPr>
                            </w:pPr>
                            <w:r w:rsidRPr="00415662">
                              <w:rPr>
                                <w:color w:val="000000" w:themeColor="text1"/>
                                <w:kern w:val="24"/>
                                <w:sz w:val="18"/>
                                <w:szCs w:val="18"/>
                              </w:rPr>
                              <w:t>(e.g. Li-NCM811)</w:t>
                            </w:r>
                            <w:r>
                              <w:rPr>
                                <w:color w:val="000000" w:themeColor="text1"/>
                                <w:kern w:val="24"/>
                                <w:sz w:val="18"/>
                                <w:szCs w:val="18"/>
                                <w:vertAlign w:val="superscript"/>
                              </w:rPr>
                              <w:t>4,5,6</w:t>
                            </w:r>
                          </w:p>
                          <w:p w14:paraId="2481E9DC" w14:textId="5D4849EF" w:rsidR="00D27CCF" w:rsidRPr="006D17CB" w:rsidRDefault="00D27CCF" w:rsidP="00A4453D">
                            <w:pPr>
                              <w:pStyle w:val="NormalWeb"/>
                              <w:spacing w:before="0" w:beforeAutospacing="0" w:after="0" w:afterAutospacing="0"/>
                              <w:rPr>
                                <w:color w:val="C00000"/>
                                <w:sz w:val="14"/>
                                <w:szCs w:val="18"/>
                              </w:rPr>
                            </w:pPr>
                          </w:p>
                        </w:txbxContent>
                      </v:textbox>
                    </v:shape>
                    <v:shape id="TextBox 6" o:spid="_x0000_s1034" type="#_x0000_t202" style="position:absolute;left:52569;top:9026;width:16026;height:8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26F5624F"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 xml:space="preserve">Lithium metal oxide </w:t>
                            </w:r>
                          </w:p>
                          <w:p w14:paraId="2EC92BD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With Ni-rich fraction</w:t>
                            </w:r>
                          </w:p>
                          <w:p w14:paraId="76A2D6D3" w14:textId="5ECB9A64"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(e.g. Li-NCM811)</w:t>
                            </w:r>
                            <w:r w:rsidRPr="00FB4F0D">
                              <w:rPr>
                                <w:color w:val="000000" w:themeColor="text1"/>
                                <w:kern w:val="24"/>
                                <w:sz w:val="18"/>
                                <w:szCs w:val="18"/>
                                <w:vertAlign w:val="superscript"/>
                              </w:rPr>
                              <w:t>4,5,6</w:t>
                            </w:r>
                          </w:p>
                          <w:p w14:paraId="60185E0D" w14:textId="7563593B" w:rsidR="00D27CCF" w:rsidRPr="006D17CB" w:rsidRDefault="00D27CCF" w:rsidP="00A4453D">
                            <w:pPr>
                              <w:pStyle w:val="NormalWeb"/>
                              <w:spacing w:before="0" w:beforeAutospacing="0" w:after="0" w:afterAutospacing="0"/>
                              <w:rPr>
                                <w:color w:val="C00000"/>
                                <w:sz w:val="14"/>
                                <w:szCs w:val="18"/>
                              </w:rPr>
                            </w:pPr>
                          </w:p>
                        </w:txbxContent>
                      </v:textbox>
                    </v:shape>
                    <v:shape id="TextBox 7" o:spid="_x0000_s1035" type="#_x0000_t202" style="position:absolute;left:69283;top:8841;width:14754;height: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" filled="f" stroked="f">
                      <v:textbox>
                        <w:txbxContent>
                          <w:p w14:paraId="21DD0D3D"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Sulfur</w:t>
                            </w:r>
                          </w:p>
                          <w:p w14:paraId="3851A1F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Graphene</w:t>
                            </w:r>
                          </w:p>
                          <w:p w14:paraId="2EBE9104" w14:textId="0BE7FD4C"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Acetylene black</w:t>
                            </w:r>
                            <w:r w:rsidRPr="00FB4F0D">
                              <w:rPr>
                                <w:color w:val="000000" w:themeColor="text1"/>
                                <w:kern w:val="24"/>
                                <w:sz w:val="18"/>
                                <w:szCs w:val="18"/>
                                <w:vertAlign w:val="superscript"/>
                              </w:rPr>
                              <w:t>6,7,8</w:t>
                            </w:r>
                          </w:p>
                          <w:p w14:paraId="5FCE0099" w14:textId="55A13159" w:rsidR="00D27CCF" w:rsidRPr="006D17CB" w:rsidRDefault="00D27CCF" w:rsidP="00A4453D">
                            <w:pPr>
                              <w:pStyle w:val="NormalWeb"/>
                              <w:spacing w:before="0" w:beforeAutospacing="0" w:after="0" w:afterAutospacing="0"/>
                              <w:rPr>
                                <w:color w:val="C00000"/>
                                <w:sz w:val="14"/>
                                <w:szCs w:val="18"/>
                              </w:rPr>
                            </w:pPr>
                          </w:p>
                        </w:txbxContent>
                      </v:textbox>
                    </v:shape>
                    <v:shape id="TextBox 8" o:spid="_x0000_s1036" type="#_x0000_t202" style="position:absolute;left:84802;top:8514;width:15138;height:6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7CF9C59F" w14:textId="77777777" w:rsidR="00D27CCF" w:rsidRPr="00415662" w:rsidRDefault="00D27CCF" w:rsidP="00A4453D">
                            <w:pPr>
                              <w:pStyle w:val="NormalWeb"/>
                              <w:spacing w:before="0" w:beforeAutospacing="0" w:after="0" w:afterAutospacing="0"/>
                              <w:rPr>
                                <w:sz w:val="18"/>
                                <w:szCs w:val="18"/>
                                <w:lang w:val="fr-FR"/>
                              </w:rPr>
                            </w:pPr>
                            <w:r w:rsidRPr="00415662">
                              <w:rPr>
                                <w:color w:val="000000" w:themeColor="text1"/>
                                <w:kern w:val="24"/>
                                <w:sz w:val="18"/>
                                <w:szCs w:val="18"/>
                                <w:lang w:val="fr-FR"/>
                              </w:rPr>
                              <w:t>Porous carbon</w:t>
                            </w:r>
                          </w:p>
                          <w:p w14:paraId="151F4F03" w14:textId="6676C275" w:rsidR="00D27CCF" w:rsidRDefault="00D27CCF" w:rsidP="00A4453D">
                            <w:pPr>
                              <w:pStyle w:val="NormalWeb"/>
                              <w:spacing w:before="0" w:beforeAutospacing="0" w:after="0" w:afterAutospacing="0"/>
                              <w:rPr>
                                <w:color w:val="000000" w:themeColor="text1"/>
                                <w:kern w:val="24"/>
                                <w:sz w:val="18"/>
                                <w:szCs w:val="18"/>
                                <w:lang w:val="fr-FR"/>
                              </w:rPr>
                            </w:pPr>
                            <w:r w:rsidRPr="00415662">
                              <w:rPr>
                                <w:color w:val="000000" w:themeColor="text1"/>
                                <w:kern w:val="24"/>
                                <w:sz w:val="18"/>
                                <w:szCs w:val="18"/>
                                <w:lang w:val="fr-FR"/>
                              </w:rPr>
                              <w:t>(e.g. carbon nanotube)</w:t>
                            </w:r>
                            <w:r w:rsidRPr="00FB4F0D">
                              <w:rPr>
                                <w:color w:val="000000" w:themeColor="text1"/>
                                <w:kern w:val="24"/>
                                <w:sz w:val="18"/>
                                <w:szCs w:val="18"/>
                                <w:vertAlign w:val="superscript"/>
                                <w:lang w:val="fr-FR"/>
                              </w:rPr>
                              <w:t>10</w:t>
                            </w:r>
                          </w:p>
                          <w:p w14:paraId="6D26EF71" w14:textId="50A1300D" w:rsidR="00D27CCF" w:rsidRPr="006D17CB" w:rsidRDefault="00D27CCF" w:rsidP="00A4453D">
                            <w:pPr>
                              <w:pStyle w:val="NormalWeb"/>
                              <w:spacing w:before="0" w:beforeAutospacing="0" w:after="0" w:afterAutospacing="0"/>
                              <w:rPr>
                                <w:color w:val="C00000"/>
                                <w:sz w:val="14"/>
                                <w:szCs w:val="18"/>
                                <w:lang w:val="fr-FR"/>
                              </w:rPr>
                            </w:pPr>
                          </w:p>
                        </w:txbxContent>
                      </v:textbox>
                    </v:shape>
                  </v:group>
                  <v:group id="Group 36" o:spid="_x0000_s1037" style="position:absolute;left:3272;top:15931;width:96311;height:9470" coordorigin="3272,15931" coordsize="96310,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103" o:spid="_x0000_s1038" style="position:absolute;left:3298;top:16239;width:96285;height:4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" filled="f" strokecolor="#f2f2f2 [3052]" strokeweight="1pt"/>
                    <v:shape id="TextBox 19" o:spid="_x0000_s1039" type="#_x0000_t202" style="position:absolute;left:3272;top:16562;width:10203;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14:paraId="09BCBB97"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Anode (-)</w:t>
                            </w:r>
                          </w:p>
                        </w:txbxContent>
                      </v:textbox>
                    </v:shape>
                    <v:shape id="TextBox 20" o:spid="_x0000_s1040" type="#_x0000_t202" style="position:absolute;left:17943;top:16239;width:17803;height:6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287534F2" w14:textId="77777777"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Graphite (with silicon)</w:t>
                            </w:r>
                          </w:p>
                          <w:p w14:paraId="337CFE62" w14:textId="218EF005" w:rsidR="00D27CCF" w:rsidRPr="00B01A8C" w:rsidRDefault="00D27CCF" w:rsidP="00A4453D">
                            <w:pPr>
                              <w:pStyle w:val="NormalWeb"/>
                              <w:spacing w:before="0" w:beforeAutospacing="0" w:after="0" w:afterAutospacing="0"/>
                              <w:rPr>
                                <w:color w:val="C00000"/>
                                <w:sz w:val="14"/>
                                <w:szCs w:val="18"/>
                              </w:rPr>
                            </w:pPr>
                          </w:p>
                        </w:txbxContent>
                      </v:textbox>
                    </v:shape>
                    <v:shape id="TextBox 21" o:spid="_x0000_s1041" type="#_x0000_t202" style="position:absolute;left:36413;top:16067;width:17528;height:9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5D37C09A"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Lithium metal or</w:t>
                            </w:r>
                          </w:p>
                          <w:p w14:paraId="3EE4CD54" w14:textId="5FA879E6" w:rsidR="00D27CCF" w:rsidRPr="00FB4F0D" w:rsidRDefault="00D27CCF" w:rsidP="00A4453D">
                            <w:pPr>
                              <w:pStyle w:val="NormalWeb"/>
                              <w:spacing w:before="0" w:beforeAutospacing="0" w:after="0" w:afterAutospacing="0"/>
                              <w:rPr>
                                <w:color w:val="C00000"/>
                                <w:sz w:val="14"/>
                                <w:szCs w:val="18"/>
                                <w:vertAlign w:val="superscript"/>
                              </w:rPr>
                            </w:pPr>
                            <w:r w:rsidRPr="00415662">
                              <w:rPr>
                                <w:color w:val="000000" w:themeColor="text1"/>
                                <w:kern w:val="24"/>
                                <w:sz w:val="18"/>
                                <w:szCs w:val="18"/>
                              </w:rPr>
                              <w:t>Silicon</w:t>
                            </w:r>
                            <w:r w:rsidRPr="00FB4F0D">
                              <w:rPr>
                                <w:color w:val="000000" w:themeColor="text1"/>
                                <w:kern w:val="24"/>
                                <w:sz w:val="18"/>
                                <w:szCs w:val="18"/>
                                <w:vertAlign w:val="superscript"/>
                              </w:rPr>
                              <w:t>5,11</w:t>
                            </w:r>
                          </w:p>
                        </w:txbxContent>
                      </v:textbox>
                    </v:shape>
                    <v:shape id="TextBox 22" o:spid="_x0000_s1042" type="#_x0000_t202" style="position:absolute;left:52782;top:16109;width:14463;height:9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6AA5F33E"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Graphite</w:t>
                            </w:r>
                          </w:p>
                          <w:p w14:paraId="7B7188A8" w14:textId="38877F56" w:rsidR="00D27CCF" w:rsidRPr="00B01A8C"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Silicon</w:t>
                            </w:r>
                            <w:r w:rsidRPr="00FB4F0D">
                              <w:rPr>
                                <w:color w:val="000000" w:themeColor="text1"/>
                                <w:kern w:val="24"/>
                                <w:sz w:val="18"/>
                                <w:szCs w:val="18"/>
                                <w:vertAlign w:val="superscript"/>
                              </w:rPr>
                              <w:t xml:space="preserve">3 </w:t>
                            </w:r>
                          </w:p>
                        </w:txbxContent>
                      </v:textbox>
                    </v:shape>
                    <v:shape id="TextBox 23" o:spid="_x0000_s1043" type="#_x0000_t202" style="position:absolute;left:69283;top:15931;width:13918;height:7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4D948DE4"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Lithium metal</w:t>
                            </w:r>
                          </w:p>
                          <w:p w14:paraId="57143D37" w14:textId="3A30EAC4" w:rsidR="00D27CCF" w:rsidRPr="00B01A8C"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Graphite</w:t>
                            </w:r>
                            <w:r w:rsidRPr="00FB4F0D">
                              <w:rPr>
                                <w:color w:val="000000" w:themeColor="text1"/>
                                <w:kern w:val="24"/>
                                <w:sz w:val="18"/>
                                <w:szCs w:val="18"/>
                                <w:vertAlign w:val="superscript"/>
                              </w:rPr>
                              <w:t xml:space="preserve">5,12 </w:t>
                            </w:r>
                          </w:p>
                        </w:txbxContent>
                      </v:textbox>
                    </v:shape>
                    <v:shape id="TextBox 24" o:spid="_x0000_s1044" type="#_x0000_t202" style="position:absolute;left:85444;top:16035;width:12699;height:5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3E7D5B92" w14:textId="7672D153" w:rsidR="00D27CCF" w:rsidRDefault="00D27CCF" w:rsidP="00A4453D">
                            <w:pPr>
                              <w:pStyle w:val="NormalWeb"/>
                              <w:spacing w:before="0" w:beforeAutospacing="0" w:after="0" w:afterAutospacing="0"/>
                              <w:rPr>
                                <w:color w:val="C00000"/>
                                <w:kern w:val="24"/>
                                <w:sz w:val="14"/>
                                <w:szCs w:val="18"/>
                              </w:rPr>
                            </w:pPr>
                            <w:r w:rsidRPr="00415662">
                              <w:rPr>
                                <w:color w:val="000000" w:themeColor="text1"/>
                                <w:kern w:val="24"/>
                                <w:sz w:val="18"/>
                                <w:szCs w:val="18"/>
                              </w:rPr>
                              <w:t>Lithium metal</w:t>
                            </w:r>
                            <w:r w:rsidRPr="00FB4F0D">
                              <w:rPr>
                                <w:color w:val="000000" w:themeColor="text1"/>
                                <w:kern w:val="24"/>
                                <w:sz w:val="18"/>
                                <w:szCs w:val="18"/>
                                <w:vertAlign w:val="superscript"/>
                              </w:rPr>
                              <w:t>5,12,13</w:t>
                            </w:r>
                          </w:p>
                          <w:p w14:paraId="6A2EBBCA" w14:textId="51D1A347" w:rsidR="00D27CCF" w:rsidRPr="00B01A8C" w:rsidRDefault="00D27CCF" w:rsidP="00A4453D">
                            <w:pPr>
                              <w:pStyle w:val="NormalWeb"/>
                              <w:spacing w:before="0" w:beforeAutospacing="0" w:after="0" w:afterAutospacing="0"/>
                              <w:rPr>
                                <w:color w:val="C00000"/>
                                <w:sz w:val="14"/>
                                <w:szCs w:val="18"/>
                              </w:rPr>
                            </w:pPr>
                          </w:p>
                        </w:txbxContent>
                      </v:textbox>
                    </v:shape>
                  </v:group>
                  <v:group id="Group 37" o:spid="_x0000_s1045" style="position:absolute;left:3272;top:20384;width:96599;height:12749" coordorigin="3272,20384" coordsize="96598,12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96" o:spid="_x0000_s1046" style="position:absolute;left:3495;top:21271;width:96376;height:7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" fillcolor="#f2f2f2 [3052]" strokecolor="#f2f2f2 [3052]" strokeweight="1pt"/>
                    <v:shape id="TextBox 27" o:spid="_x0000_s1047" type="#_x0000_t202" style="position:absolute;left:3272;top:21491;width:10038;height:3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1DE726BA"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Electrolyte</w:t>
                            </w:r>
                          </w:p>
                        </w:txbxContent>
                      </v:textbox>
                    </v:shape>
                    <v:shape id="TextBox 28" o:spid="_x0000_s1048" type="#_x0000_t202" style="position:absolute;left:18324;top:21030;width:16653;height:8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47C56817"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liquid</w:t>
                            </w:r>
                          </w:p>
                          <w:p w14:paraId="7B370EDF" w14:textId="4F11238A" w:rsidR="00D27CCF" w:rsidRPr="008B2A7D"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(e.g. lithium salt-LiPF</w:t>
                            </w:r>
                            <w:r w:rsidRPr="00415662">
                              <w:rPr>
                                <w:color w:val="000000" w:themeColor="text1"/>
                                <w:kern w:val="24"/>
                                <w:position w:val="-6"/>
                                <w:sz w:val="18"/>
                                <w:szCs w:val="18"/>
                                <w:vertAlign w:val="subscript"/>
                              </w:rPr>
                              <w:t>6</w:t>
                            </w:r>
                            <w:r w:rsidRPr="00415662">
                              <w:rPr>
                                <w:color w:val="000000" w:themeColor="text1"/>
                                <w:kern w:val="24"/>
                                <w:sz w:val="18"/>
                                <w:szCs w:val="18"/>
                              </w:rPr>
                              <w:t>)</w:t>
                            </w:r>
                            <w:r w:rsidRPr="00455B29">
                              <w:rPr>
                                <w:color w:val="000000" w:themeColor="text1"/>
                                <w:kern w:val="24"/>
                                <w:sz w:val="18"/>
                                <w:szCs w:val="18"/>
                                <w:vertAlign w:val="superscript"/>
                              </w:rPr>
                              <w:t>3</w:t>
                            </w:r>
                          </w:p>
                        </w:txbxContent>
                      </v:textbox>
                    </v:shape>
                    <v:shape id="TextBox 29" o:spid="_x0000_s1049" type="#_x0000_t202" style="position:absolute;left:36216;top:20901;width:18774;height:9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0A427D06"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liquid</w:t>
                            </w:r>
                          </w:p>
                          <w:p w14:paraId="33C2F3F8" w14:textId="583C6539"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(e.g. lithium salt-LiPF</w:t>
                            </w:r>
                            <w:r w:rsidRPr="00415662">
                              <w:rPr>
                                <w:color w:val="000000" w:themeColor="text1"/>
                                <w:kern w:val="24"/>
                                <w:position w:val="-6"/>
                                <w:sz w:val="18"/>
                                <w:szCs w:val="18"/>
                                <w:vertAlign w:val="subscript"/>
                              </w:rPr>
                              <w:t>6</w:t>
                            </w:r>
                            <w:r w:rsidRPr="00415662">
                              <w:rPr>
                                <w:color w:val="000000" w:themeColor="text1"/>
                                <w:kern w:val="24"/>
                                <w:sz w:val="18"/>
                                <w:szCs w:val="18"/>
                              </w:rPr>
                              <w:t>)</w:t>
                            </w:r>
                            <w:r w:rsidRPr="00455B29">
                              <w:rPr>
                                <w:color w:val="000000" w:themeColor="text1"/>
                                <w:kern w:val="24"/>
                                <w:sz w:val="18"/>
                                <w:szCs w:val="18"/>
                                <w:vertAlign w:val="superscript"/>
                              </w:rPr>
                              <w:t>3</w:t>
                            </w:r>
                          </w:p>
                          <w:p w14:paraId="5916520D" w14:textId="3A9B55EA" w:rsidR="00D27CCF" w:rsidRPr="008B2A7D" w:rsidRDefault="00D27CCF" w:rsidP="00A4453D">
                            <w:pPr>
                              <w:pStyle w:val="NormalWeb"/>
                              <w:spacing w:before="0" w:beforeAutospacing="0" w:after="0" w:afterAutospacing="0"/>
                              <w:rPr>
                                <w:color w:val="C00000"/>
                                <w:sz w:val="14"/>
                                <w:szCs w:val="18"/>
                              </w:rPr>
                            </w:pPr>
                          </w:p>
                        </w:txbxContent>
                      </v:textbox>
                    </v:shape>
                    <v:shape id="TextBox 30" o:spid="_x0000_s1050" type="#_x0000_t202" style="position:absolute;left:52569;top:20637;width:17804;height:1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48569836"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Inorganic solid</w:t>
                            </w:r>
                          </w:p>
                          <w:p w14:paraId="3D1A2124"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(e.g. Li</w:t>
                            </w:r>
                            <w:r w:rsidRPr="00415662">
                              <w:rPr>
                                <w:color w:val="000000" w:themeColor="text1"/>
                                <w:kern w:val="24"/>
                                <w:position w:val="-6"/>
                                <w:sz w:val="18"/>
                                <w:szCs w:val="18"/>
                                <w:vertAlign w:val="subscript"/>
                              </w:rPr>
                              <w:t>10</w:t>
                            </w:r>
                            <w:r w:rsidRPr="00415662">
                              <w:rPr>
                                <w:color w:val="000000" w:themeColor="text1"/>
                                <w:kern w:val="24"/>
                                <w:sz w:val="18"/>
                                <w:szCs w:val="18"/>
                              </w:rPr>
                              <w:t>SnP</w:t>
                            </w:r>
                            <w:r w:rsidRPr="00415662">
                              <w:rPr>
                                <w:color w:val="000000" w:themeColor="text1"/>
                                <w:kern w:val="24"/>
                                <w:position w:val="-6"/>
                                <w:sz w:val="18"/>
                                <w:szCs w:val="18"/>
                                <w:vertAlign w:val="subscript"/>
                              </w:rPr>
                              <w:t>2</w:t>
                            </w:r>
                            <w:r w:rsidRPr="00415662">
                              <w:rPr>
                                <w:color w:val="000000" w:themeColor="text1"/>
                                <w:kern w:val="24"/>
                                <w:sz w:val="18"/>
                                <w:szCs w:val="18"/>
                              </w:rPr>
                              <w:t>S</w:t>
                            </w:r>
                            <w:r w:rsidRPr="00415662">
                              <w:rPr>
                                <w:color w:val="000000" w:themeColor="text1"/>
                                <w:kern w:val="24"/>
                                <w:position w:val="-6"/>
                                <w:sz w:val="18"/>
                                <w:szCs w:val="18"/>
                                <w:vertAlign w:val="subscript"/>
                              </w:rPr>
                              <w:t>12</w:t>
                            </w:r>
                            <w:r w:rsidRPr="00415662">
                              <w:rPr>
                                <w:color w:val="000000" w:themeColor="text1"/>
                                <w:kern w:val="24"/>
                                <w:sz w:val="18"/>
                                <w:szCs w:val="18"/>
                              </w:rPr>
                              <w:t>)</w:t>
                            </w:r>
                          </w:p>
                          <w:p w14:paraId="2E762D88"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solid</w:t>
                            </w:r>
                          </w:p>
                          <w:p w14:paraId="06BD90E1" w14:textId="1BE8DB71" w:rsidR="00D27CCF" w:rsidRPr="008B2A7D"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(e.g. polycarbonate)</w:t>
                            </w:r>
                            <w:r w:rsidRPr="00455B29">
                              <w:rPr>
                                <w:color w:val="000000" w:themeColor="text1"/>
                                <w:kern w:val="24"/>
                                <w:sz w:val="18"/>
                                <w:szCs w:val="18"/>
                                <w:vertAlign w:val="superscript"/>
                              </w:rPr>
                              <w:t xml:space="preserve">5 </w:t>
                            </w:r>
                          </w:p>
                        </w:txbxContent>
                      </v:textbox>
                    </v:shape>
                    <v:shape id="TextBox 31" o:spid="_x0000_s1051" type="#_x0000_t202" style="position:absolute;left:69087;top:21022;width:14950;height:8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316BAC61"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liquid</w:t>
                            </w:r>
                          </w:p>
                          <w:p w14:paraId="0AC0D843" w14:textId="707CBF7B"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(e.g. LiN(SO</w:t>
                            </w:r>
                            <w:r w:rsidRPr="00415662">
                              <w:rPr>
                                <w:color w:val="000000" w:themeColor="text1"/>
                                <w:kern w:val="24"/>
                                <w:position w:val="-6"/>
                                <w:sz w:val="18"/>
                                <w:szCs w:val="18"/>
                                <w:vertAlign w:val="subscript"/>
                              </w:rPr>
                              <w:t>2</w:t>
                            </w:r>
                            <w:r w:rsidRPr="00415662">
                              <w:rPr>
                                <w:color w:val="000000" w:themeColor="text1"/>
                                <w:kern w:val="24"/>
                                <w:sz w:val="18"/>
                                <w:szCs w:val="18"/>
                              </w:rPr>
                              <w:t>CF</w:t>
                            </w:r>
                            <w:r w:rsidRPr="00415662">
                              <w:rPr>
                                <w:color w:val="000000" w:themeColor="text1"/>
                                <w:kern w:val="24"/>
                                <w:position w:val="-6"/>
                                <w:sz w:val="18"/>
                                <w:szCs w:val="18"/>
                                <w:vertAlign w:val="subscript"/>
                              </w:rPr>
                              <w:t>3</w:t>
                            </w:r>
                            <w:r w:rsidRPr="00415662">
                              <w:rPr>
                                <w:color w:val="000000" w:themeColor="text1"/>
                                <w:kern w:val="24"/>
                                <w:sz w:val="18"/>
                                <w:szCs w:val="18"/>
                              </w:rPr>
                              <w:t>)</w:t>
                            </w:r>
                            <w:r w:rsidRPr="00415662">
                              <w:rPr>
                                <w:color w:val="000000" w:themeColor="text1"/>
                                <w:kern w:val="24"/>
                                <w:position w:val="-6"/>
                                <w:sz w:val="18"/>
                                <w:szCs w:val="18"/>
                                <w:vertAlign w:val="subscript"/>
                              </w:rPr>
                              <w:t>2</w:t>
                            </w:r>
                            <w:r w:rsidRPr="00415662">
                              <w:rPr>
                                <w:color w:val="000000" w:themeColor="text1"/>
                                <w:kern w:val="24"/>
                                <w:sz w:val="18"/>
                                <w:szCs w:val="18"/>
                              </w:rPr>
                              <w:t>)</w:t>
                            </w:r>
                            <w:r w:rsidRPr="00455B29">
                              <w:rPr>
                                <w:color w:val="000000" w:themeColor="text1"/>
                                <w:kern w:val="24"/>
                                <w:sz w:val="18"/>
                                <w:szCs w:val="18"/>
                                <w:vertAlign w:val="superscript"/>
                              </w:rPr>
                              <w:t>3,5</w:t>
                            </w:r>
                          </w:p>
                          <w:p w14:paraId="23353FB5" w14:textId="468D60EE" w:rsidR="00D27CCF" w:rsidRPr="008B2A7D" w:rsidRDefault="00D27CCF" w:rsidP="00A4453D">
                            <w:pPr>
                              <w:pStyle w:val="NormalWeb"/>
                              <w:spacing w:before="0" w:beforeAutospacing="0" w:after="0" w:afterAutospacing="0"/>
                              <w:rPr>
                                <w:color w:val="C00000"/>
                                <w:sz w:val="14"/>
                                <w:szCs w:val="18"/>
                              </w:rPr>
                            </w:pPr>
                          </w:p>
                        </w:txbxContent>
                      </v:textbox>
                    </v:shape>
                    <v:shape id="TextBox 32" o:spid="_x0000_s1052" type="#_x0000_t202" style="position:absolute;left:85264;top:20384;width:14246;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4CD9D387"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Organic liquid</w:t>
                            </w:r>
                          </w:p>
                          <w:p w14:paraId="5B94B48A"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(e.g. LiPF</w:t>
                            </w:r>
                            <w:r w:rsidRPr="00415662">
                              <w:rPr>
                                <w:color w:val="000000" w:themeColor="text1"/>
                                <w:kern w:val="24"/>
                                <w:position w:val="-6"/>
                                <w:sz w:val="18"/>
                                <w:szCs w:val="18"/>
                                <w:vertAlign w:val="subscript"/>
                              </w:rPr>
                              <w:t>6</w:t>
                            </w:r>
                            <w:r w:rsidRPr="00415662">
                              <w:rPr>
                                <w:color w:val="000000" w:themeColor="text1"/>
                                <w:kern w:val="24"/>
                                <w:sz w:val="18"/>
                                <w:szCs w:val="18"/>
                              </w:rPr>
                              <w:t>, LiCO</w:t>
                            </w:r>
                            <w:r w:rsidRPr="00415662">
                              <w:rPr>
                                <w:color w:val="000000" w:themeColor="text1"/>
                                <w:kern w:val="24"/>
                                <w:position w:val="-6"/>
                                <w:sz w:val="18"/>
                                <w:szCs w:val="18"/>
                                <w:vertAlign w:val="subscript"/>
                              </w:rPr>
                              <w:t>4</w:t>
                            </w:r>
                            <w:r w:rsidRPr="00415662">
                              <w:rPr>
                                <w:color w:val="000000" w:themeColor="text1"/>
                                <w:kern w:val="24"/>
                                <w:sz w:val="18"/>
                                <w:szCs w:val="18"/>
                              </w:rPr>
                              <w:t>)</w:t>
                            </w:r>
                          </w:p>
                          <w:p w14:paraId="72DEEB7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Aqueous solution</w:t>
                            </w:r>
                          </w:p>
                          <w:p w14:paraId="6CFB6208" w14:textId="78A9CD36" w:rsidR="00D27CCF" w:rsidRPr="008B2A7D"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(e.g. H</w:t>
                            </w:r>
                            <w:r w:rsidRPr="00415662">
                              <w:rPr>
                                <w:color w:val="000000" w:themeColor="text1"/>
                                <w:kern w:val="24"/>
                                <w:position w:val="-6"/>
                                <w:sz w:val="18"/>
                                <w:szCs w:val="18"/>
                                <w:vertAlign w:val="subscript"/>
                              </w:rPr>
                              <w:t>2</w:t>
                            </w:r>
                            <w:r w:rsidRPr="00415662">
                              <w:rPr>
                                <w:color w:val="000000" w:themeColor="text1"/>
                                <w:kern w:val="24"/>
                                <w:sz w:val="18"/>
                                <w:szCs w:val="18"/>
                              </w:rPr>
                              <w:t>SO</w:t>
                            </w:r>
                            <w:r w:rsidRPr="00415662">
                              <w:rPr>
                                <w:color w:val="000000" w:themeColor="text1"/>
                                <w:kern w:val="24"/>
                                <w:position w:val="-6"/>
                                <w:sz w:val="18"/>
                                <w:szCs w:val="18"/>
                                <w:vertAlign w:val="subscript"/>
                              </w:rPr>
                              <w:t>4</w:t>
                            </w:r>
                            <w:r w:rsidRPr="00415662">
                              <w:rPr>
                                <w:color w:val="000000" w:themeColor="text1"/>
                                <w:kern w:val="24"/>
                                <w:sz w:val="18"/>
                                <w:szCs w:val="18"/>
                              </w:rPr>
                              <w:t>)</w:t>
                            </w:r>
                            <w:r w:rsidRPr="00455B29">
                              <w:rPr>
                                <w:color w:val="000000" w:themeColor="text1"/>
                                <w:kern w:val="24"/>
                                <w:sz w:val="18"/>
                                <w:szCs w:val="18"/>
                                <w:vertAlign w:val="superscript"/>
                              </w:rPr>
                              <w:t>10</w:t>
                            </w:r>
                            <w:r>
                              <w:rPr>
                                <w:color w:val="000000" w:themeColor="text1"/>
                                <w:kern w:val="24"/>
                                <w:sz w:val="18"/>
                                <w:szCs w:val="18"/>
                              </w:rPr>
                              <w:t xml:space="preserve"> </w:t>
                            </w:r>
                          </w:p>
                        </w:txbxContent>
                      </v:textbox>
                    </v:shape>
                  </v:group>
                  <v:group id="Group 38" o:spid="_x0000_s1053" style="position:absolute;left:3351;top:29214;width:96455;height:7821" coordorigin="3351,29182" coordsize="96454,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89" o:spid="_x0000_s1054" style="position:absolute;left:3520;top:29593;width:96286;height:38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" filled="f" strokecolor="#f2f2f2 [3052]" strokeweight="1pt"/>
                    <v:shape id="TextBox 35" o:spid="_x0000_s1055" type="#_x0000_t202" style="position:absolute;left:3351;top:29392;width:9065;height: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02ECC339"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Binder</w:t>
                            </w:r>
                          </w:p>
                        </w:txbxContent>
                      </v:textbox>
                    </v:shape>
                    <v:shape id="TextBox 36" o:spid="_x0000_s1056" type="#_x0000_t202" style="position:absolute;left:17130;top:29221;width:16927;height:7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500A0DFD" w14:textId="77777777" w:rsidR="00D27CCF" w:rsidRPr="00415662" w:rsidRDefault="00D27CCF" w:rsidP="00EA0525">
                            <w:pPr>
                              <w:pStyle w:val="NormalWeb"/>
                              <w:spacing w:before="0" w:beforeAutospacing="0" w:after="0" w:afterAutospacing="0"/>
                              <w:jc w:val="center"/>
                              <w:rPr>
                                <w:sz w:val="18"/>
                                <w:szCs w:val="18"/>
                              </w:rPr>
                            </w:pPr>
                            <w:r w:rsidRPr="00415662">
                              <w:rPr>
                                <w:color w:val="000000" w:themeColor="text1"/>
                                <w:kern w:val="24"/>
                                <w:sz w:val="18"/>
                                <w:szCs w:val="18"/>
                              </w:rPr>
                              <w:t>PAA</w:t>
                            </w:r>
                          </w:p>
                          <w:p w14:paraId="2CC78A2A" w14:textId="192E0F76" w:rsidR="00D27CCF" w:rsidRPr="00455B29" w:rsidRDefault="00D27CCF" w:rsidP="00EA0525">
                            <w:pPr>
                              <w:pStyle w:val="NormalWeb"/>
                              <w:spacing w:before="0" w:beforeAutospacing="0" w:after="0" w:afterAutospacing="0"/>
                              <w:jc w:val="center"/>
                              <w:rPr>
                                <w:color w:val="000000" w:themeColor="text1"/>
                                <w:kern w:val="24"/>
                                <w:sz w:val="18"/>
                                <w:szCs w:val="18"/>
                                <w:vertAlign w:val="superscript"/>
                              </w:rPr>
                            </w:pPr>
                            <w:r>
                              <w:rPr>
                                <w:color w:val="000000" w:themeColor="text1"/>
                                <w:kern w:val="24"/>
                                <w:sz w:val="18"/>
                                <w:szCs w:val="18"/>
                              </w:rPr>
                              <w:t xml:space="preserve">    </w:t>
                            </w:r>
                            <w:r w:rsidRPr="00415662">
                              <w:rPr>
                                <w:color w:val="000000" w:themeColor="text1"/>
                                <w:kern w:val="24"/>
                                <w:sz w:val="18"/>
                                <w:szCs w:val="18"/>
                              </w:rPr>
                              <w:t>PVDF</w:t>
                            </w:r>
                            <w:r w:rsidRPr="00455B29">
                              <w:rPr>
                                <w:color w:val="000000" w:themeColor="text1"/>
                                <w:kern w:val="24"/>
                                <w:sz w:val="18"/>
                                <w:szCs w:val="18"/>
                                <w:vertAlign w:val="superscript"/>
                              </w:rPr>
                              <w:t>6,8</w:t>
                            </w:r>
                          </w:p>
                          <w:p w14:paraId="7E0C4346" w14:textId="256A346C" w:rsidR="00D27CCF" w:rsidRPr="005145B7" w:rsidRDefault="00D27CCF" w:rsidP="00A4453D">
                            <w:pPr>
                              <w:pStyle w:val="NormalWeb"/>
                              <w:spacing w:before="0" w:beforeAutospacing="0" w:after="0" w:afterAutospacing="0"/>
                              <w:jc w:val="center"/>
                              <w:rPr>
                                <w:color w:val="C00000"/>
                                <w:sz w:val="14"/>
                                <w:szCs w:val="18"/>
                              </w:rPr>
                            </w:pPr>
                          </w:p>
                        </w:txbxContent>
                      </v:textbox>
                    </v:shape>
                    <v:shape id="TextBox 37" o:spid="_x0000_s1057" type="#_x0000_t202" style="position:absolute;left:39799;top:29386;width:15615;height:5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6E95BC27" w14:textId="6CDD052F" w:rsidR="00D27CCF" w:rsidRPr="00455B29" w:rsidRDefault="00D27CCF" w:rsidP="00A4453D">
                            <w:pPr>
                              <w:pStyle w:val="NormalWeb"/>
                              <w:spacing w:before="0" w:beforeAutospacing="0" w:after="0" w:afterAutospacing="0"/>
                              <w:rPr>
                                <w:kern w:val="24"/>
                                <w:sz w:val="18"/>
                                <w:szCs w:val="18"/>
                                <w:vertAlign w:val="superscript"/>
                              </w:rPr>
                            </w:pPr>
                            <w:r w:rsidRPr="00415662">
                              <w:rPr>
                                <w:color w:val="000000" w:themeColor="text1"/>
                                <w:kern w:val="24"/>
                                <w:sz w:val="18"/>
                                <w:szCs w:val="18"/>
                              </w:rPr>
                              <w:t>PVDF</w:t>
                            </w:r>
                            <w:r w:rsidRPr="00455B29">
                              <w:rPr>
                                <w:kern w:val="24"/>
                                <w:sz w:val="18"/>
                                <w:szCs w:val="18"/>
                                <w:vertAlign w:val="superscript"/>
                              </w:rPr>
                              <w:t>6,8</w:t>
                            </w:r>
                          </w:p>
                        </w:txbxContent>
                      </v:textbox>
                    </v:shape>
                    <v:shape id="TextBox 38" o:spid="_x0000_s1058" type="#_x0000_t202" style="position:absolute;left:55288;top:29392;width:12398;height:5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01600C9F" w14:textId="36B6E0A6" w:rsidR="00D27CCF" w:rsidRDefault="00D27CCF" w:rsidP="00A4453D">
                            <w:pPr>
                              <w:pStyle w:val="NormalWeb"/>
                              <w:spacing w:before="0" w:beforeAutospacing="0" w:after="0" w:afterAutospacing="0"/>
                              <w:rPr>
                                <w:color w:val="000000" w:themeColor="text1"/>
                                <w:kern w:val="24"/>
                                <w:sz w:val="18"/>
                                <w:szCs w:val="18"/>
                              </w:rPr>
                            </w:pPr>
                            <w:r w:rsidRPr="00415662">
                              <w:rPr>
                                <w:color w:val="000000" w:themeColor="text1"/>
                                <w:kern w:val="24"/>
                                <w:sz w:val="18"/>
                                <w:szCs w:val="18"/>
                              </w:rPr>
                              <w:t>PVDF</w:t>
                            </w:r>
                            <w:r w:rsidRPr="00455B29">
                              <w:rPr>
                                <w:color w:val="000000" w:themeColor="text1"/>
                                <w:kern w:val="24"/>
                                <w:sz w:val="18"/>
                                <w:szCs w:val="18"/>
                                <w:vertAlign w:val="superscript"/>
                              </w:rPr>
                              <w:t>6</w:t>
                            </w:r>
                          </w:p>
                          <w:p w14:paraId="5CD0EB54" w14:textId="39D74039" w:rsidR="00D27CCF" w:rsidRPr="008C145A" w:rsidRDefault="00D27CCF" w:rsidP="00A4453D">
                            <w:pPr>
                              <w:pStyle w:val="NormalWeb"/>
                              <w:spacing w:before="0" w:beforeAutospacing="0" w:after="0" w:afterAutospacing="0"/>
                              <w:rPr>
                                <w:color w:val="C00000"/>
                                <w:sz w:val="14"/>
                                <w:szCs w:val="18"/>
                              </w:rPr>
                            </w:pPr>
                          </w:p>
                        </w:txbxContent>
                      </v:textbox>
                    </v:shape>
                    <v:shape id="TextBox 39" o:spid="_x0000_s1059" type="#_x0000_t202" style="position:absolute;left:67801;top:29182;width:14110;height:7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55E0DEDD"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PEI</w:t>
                            </w:r>
                          </w:p>
                          <w:p w14:paraId="2ED2B86D" w14:textId="3713E1A1" w:rsidR="00D27CCF" w:rsidRDefault="00D27CCF" w:rsidP="00A4453D">
                            <w:pPr>
                              <w:pStyle w:val="NormalWeb"/>
                              <w:spacing w:before="0" w:beforeAutospacing="0" w:after="0" w:afterAutospacing="0"/>
                              <w:jc w:val="center"/>
                              <w:rPr>
                                <w:color w:val="C00000"/>
                                <w:kern w:val="24"/>
                                <w:sz w:val="14"/>
                                <w:szCs w:val="18"/>
                              </w:rPr>
                            </w:pPr>
                            <w:r>
                              <w:rPr>
                                <w:color w:val="000000" w:themeColor="text1"/>
                                <w:kern w:val="24"/>
                                <w:sz w:val="18"/>
                                <w:szCs w:val="18"/>
                              </w:rPr>
                              <w:t xml:space="preserve">  </w:t>
                            </w:r>
                            <w:r w:rsidRPr="00415662">
                              <w:rPr>
                                <w:color w:val="000000" w:themeColor="text1"/>
                                <w:kern w:val="24"/>
                                <w:sz w:val="18"/>
                                <w:szCs w:val="18"/>
                              </w:rPr>
                              <w:t>PVP</w:t>
                            </w:r>
                            <w:r w:rsidRPr="00455B29">
                              <w:rPr>
                                <w:color w:val="000000" w:themeColor="text1"/>
                                <w:kern w:val="24"/>
                                <w:sz w:val="18"/>
                                <w:szCs w:val="18"/>
                                <w:vertAlign w:val="superscript"/>
                              </w:rPr>
                              <w:t>8</w:t>
                            </w:r>
                          </w:p>
                          <w:p w14:paraId="64F9F5E7" w14:textId="5351451B" w:rsidR="00D27CCF" w:rsidRPr="008C145A" w:rsidRDefault="00D27CCF" w:rsidP="00A4453D">
                            <w:pPr>
                              <w:pStyle w:val="NormalWeb"/>
                              <w:spacing w:before="0" w:beforeAutospacing="0" w:after="0" w:afterAutospacing="0"/>
                              <w:jc w:val="center"/>
                              <w:rPr>
                                <w:color w:val="C00000"/>
                                <w:sz w:val="14"/>
                                <w:szCs w:val="18"/>
                              </w:rPr>
                            </w:pPr>
                          </w:p>
                        </w:txbxContent>
                      </v:textbox>
                    </v:shape>
                    <v:shape id="TextBox 40" o:spid="_x0000_s1060" type="#_x0000_t202" style="position:absolute;left:83310;top:29367;width:15236;height:5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645B839F" w14:textId="120BF542"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PAA</w:t>
                            </w:r>
                            <w:r w:rsidRPr="00455B29">
                              <w:rPr>
                                <w:color w:val="000000" w:themeColor="text1"/>
                                <w:kern w:val="24"/>
                                <w:sz w:val="18"/>
                                <w:szCs w:val="18"/>
                                <w:vertAlign w:val="superscript"/>
                              </w:rPr>
                              <w:t>8</w:t>
                            </w:r>
                          </w:p>
                          <w:p w14:paraId="25D54966" w14:textId="5D0FD2B6" w:rsidR="00D27CCF" w:rsidRPr="008C145A" w:rsidRDefault="00D27CCF" w:rsidP="00A4453D">
                            <w:pPr>
                              <w:pStyle w:val="NormalWeb"/>
                              <w:spacing w:before="0" w:beforeAutospacing="0" w:after="0" w:afterAutospacing="0"/>
                              <w:jc w:val="center"/>
                              <w:rPr>
                                <w:color w:val="C00000"/>
                                <w:sz w:val="14"/>
                                <w:szCs w:val="18"/>
                              </w:rPr>
                            </w:pPr>
                          </w:p>
                        </w:txbxContent>
                      </v:textbox>
                    </v:shape>
                  </v:group>
                  <v:group id="Group 39" o:spid="_x0000_s1061" style="position:absolute;left:3351;top:34020;width:96696;height:6644" coordorigin="3351,33963" coordsize="96696,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82" o:spid="_x0000_s1062" style="position:absolute;left:3671;top:34135;width:96376;height:2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" fillcolor="#f2f2f2 [3052]" strokecolor="#f2f2f2 [3052]" strokeweight="1pt"/>
                    <v:shape id="TextBox 43" o:spid="_x0000_s1063" type="#_x0000_t202" style="position:absolute;left:3351;top:34133;width:21604;height:5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026D9158"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Conductive</w:t>
                            </w:r>
                            <w:r>
                              <w:rPr>
                                <w:color w:val="000000" w:themeColor="text1"/>
                                <w:kern w:val="24"/>
                                <w:sz w:val="18"/>
                                <w:szCs w:val="18"/>
                              </w:rPr>
                              <w:t xml:space="preserve"> additive</w:t>
                            </w:r>
                          </w:p>
                        </w:txbxContent>
                      </v:textbox>
                    </v:shape>
                    <v:shape id="_x0000_s1064" type="#_x0000_t202" style="position:absolute;left:20853;top:34008;width:14200;height:5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406D94CA" w14:textId="1E85773B" w:rsidR="00D27CCF" w:rsidRPr="001676A9"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Carbon black</w:t>
                            </w:r>
                            <w:r w:rsidRPr="00455B29">
                              <w:rPr>
                                <w:kern w:val="24"/>
                                <w:sz w:val="18"/>
                                <w:szCs w:val="18"/>
                                <w:vertAlign w:val="superscript"/>
                              </w:rPr>
                              <w:t>3,6</w:t>
                            </w:r>
                          </w:p>
                        </w:txbxContent>
                      </v:textbox>
                    </v:shape>
                    <v:shape id="TextBox 47" o:spid="_x0000_s1065" type="#_x0000_t202" style="position:absolute;left:70135;top:34008;width:11999;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46F1EF96"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v:textbox>
                    </v:shape>
                    <v:shape id="TextBox 48" o:spid="_x0000_s1066" type="#_x0000_t202" style="position:absolute;left:85766;top:33963;width:10862;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4A81350B"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v:textbox>
                    </v:shape>
                  </v:group>
                  <v:group id="Group 40" o:spid="_x0000_s1067" style="position:absolute;left:3351;top:37808;width:96607;height:5340" coordorigin="3351,37808" coordsize="96607,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75" o:spid="_x0000_s1068" style="position:absolute;left:3495;top:37808;width:96463;height:4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" filled="f" strokecolor="#f2f2f2 [3052]" strokeweight="1pt"/>
                    <v:shape id="TextBox 51" o:spid="_x0000_s1069" type="#_x0000_t202" style="position:absolute;left:3351;top:37808;width:166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59DCC1E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Gravimetric</w:t>
                            </w:r>
                            <w:r>
                              <w:rPr>
                                <w:sz w:val="18"/>
                                <w:szCs w:val="18"/>
                              </w:rPr>
                              <w:t xml:space="preserve"> </w:t>
                            </w:r>
                            <w:r>
                              <w:rPr>
                                <w:color w:val="000000" w:themeColor="text1"/>
                                <w:kern w:val="24"/>
                                <w:sz w:val="18"/>
                                <w:szCs w:val="18"/>
                              </w:rPr>
                              <w:t xml:space="preserve">(Wh </w:t>
                            </w:r>
                            <w:r w:rsidRPr="00415662">
                              <w:rPr>
                                <w:color w:val="000000" w:themeColor="text1"/>
                                <w:kern w:val="24"/>
                                <w:sz w:val="18"/>
                                <w:szCs w:val="18"/>
                              </w:rPr>
                              <w:t>kg</w:t>
                            </w:r>
                            <w:r w:rsidRPr="004224D1">
                              <w:rPr>
                                <w:color w:val="000000" w:themeColor="text1"/>
                                <w:kern w:val="24"/>
                                <w:sz w:val="18"/>
                                <w:szCs w:val="18"/>
                                <w:vertAlign w:val="superscript"/>
                              </w:rPr>
                              <w:t>-1</w:t>
                            </w:r>
                            <w:r w:rsidRPr="00415662">
                              <w:rPr>
                                <w:color w:val="000000" w:themeColor="text1"/>
                                <w:kern w:val="24"/>
                                <w:sz w:val="18"/>
                                <w:szCs w:val="18"/>
                              </w:rPr>
                              <w:t>)</w:t>
                            </w:r>
                            <w:r w:rsidRPr="00415662">
                              <w:rPr>
                                <w:color w:val="000000" w:themeColor="text1"/>
                                <w:kern w:val="24"/>
                                <w:position w:val="7"/>
                                <w:sz w:val="18"/>
                                <w:szCs w:val="18"/>
                                <w:vertAlign w:val="superscript"/>
                              </w:rPr>
                              <w:t>1</w:t>
                            </w:r>
                          </w:p>
                        </w:txbxContent>
                      </v:textbox>
                    </v:shape>
                    <v:shape id="TextBox 52" o:spid="_x0000_s1070" type="#_x0000_t202" style="position:absolute;left:22512;top:38280;width:11974;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0506E19B" w14:textId="571ECB25" w:rsidR="00D27CCF" w:rsidRPr="00A7340F"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300</w:t>
                            </w:r>
                            <w:r>
                              <w:rPr>
                                <w:color w:val="000000" w:themeColor="text1"/>
                                <w:kern w:val="24"/>
                                <w:sz w:val="18"/>
                                <w:szCs w:val="18"/>
                                <w:vertAlign w:val="superscript"/>
                              </w:rPr>
                              <w:t>14</w:t>
                            </w:r>
                          </w:p>
                        </w:txbxContent>
                      </v:textbox>
                    </v:shape>
                    <v:shape id="TextBox 53" o:spid="_x0000_s1071" type="#_x0000_t202" style="position:absolute;left:40435;top:38332;width:11987;height:4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7409BD5D" w14:textId="7A227382" w:rsidR="00D27CCF" w:rsidRPr="00A7340F"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450</w:t>
                            </w:r>
                            <w:r>
                              <w:rPr>
                                <w:color w:val="000000" w:themeColor="text1"/>
                                <w:kern w:val="24"/>
                                <w:sz w:val="18"/>
                                <w:szCs w:val="18"/>
                                <w:vertAlign w:val="superscript"/>
                              </w:rPr>
                              <w:t>14</w:t>
                            </w:r>
                            <w:r>
                              <w:rPr>
                                <w:color w:val="000000" w:themeColor="text1"/>
                                <w:kern w:val="24"/>
                                <w:sz w:val="18"/>
                                <w:szCs w:val="18"/>
                              </w:rPr>
                              <w:t xml:space="preserve"> </w:t>
                            </w:r>
                          </w:p>
                        </w:txbxContent>
                      </v:textbox>
                    </v:shape>
                    <v:shape id="TextBox 54" o:spid="_x0000_s1072" type="#_x0000_t202" style="position:absolute;left:55351;top:38057;width:11894;height:4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34B2929F" w14:textId="76853812" w:rsidR="00D27CCF" w:rsidRPr="00A7340F"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400-500</w:t>
                            </w:r>
                            <w:r>
                              <w:rPr>
                                <w:color w:val="000000" w:themeColor="text1"/>
                                <w:kern w:val="24"/>
                                <w:sz w:val="18"/>
                                <w:szCs w:val="18"/>
                                <w:vertAlign w:val="superscript"/>
                              </w:rPr>
                              <w:t>15</w:t>
                            </w:r>
                            <w:r>
                              <w:rPr>
                                <w:color w:val="000000" w:themeColor="text1"/>
                                <w:kern w:val="24"/>
                                <w:sz w:val="18"/>
                                <w:szCs w:val="18"/>
                              </w:rPr>
                              <w:t xml:space="preserve"> </w:t>
                            </w:r>
                          </w:p>
                        </w:txbxContent>
                      </v:textbox>
                    </v:shape>
                    <v:shape id="TextBox 55" o:spid="_x0000_s1073" type="#_x0000_t202" style="position:absolute;left:71709;top:37945;width:10215;height:5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41AF9EBA" w14:textId="6E458B41" w:rsidR="00D27CCF" w:rsidRPr="00A7340F"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300-400</w:t>
                            </w:r>
                            <w:r>
                              <w:rPr>
                                <w:color w:val="000000" w:themeColor="text1"/>
                                <w:kern w:val="24"/>
                                <w:sz w:val="18"/>
                                <w:szCs w:val="18"/>
                                <w:vertAlign w:val="superscript"/>
                              </w:rPr>
                              <w:t>14</w:t>
                            </w:r>
                            <w:r>
                              <w:rPr>
                                <w:color w:val="000000" w:themeColor="text1"/>
                                <w:kern w:val="24"/>
                                <w:sz w:val="18"/>
                                <w:szCs w:val="18"/>
                              </w:rPr>
                              <w:t xml:space="preserve"> </w:t>
                            </w:r>
                          </w:p>
                        </w:txbxContent>
                      </v:textbox>
                    </v:shape>
                  </v:group>
                  <v:group id="Group 41" o:spid="_x0000_s1074" style="position:absolute;left:3466;top:38195;width:96285;height:10461" coordorigin="3466,38195" coordsize="96285,1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68" o:spid="_x0000_s1075" style="position:absolute;left:3466;top:42625;width:96285;height:4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" fillcolor="#f2f2f2 [3052]" strokecolor="#f2f2f2 [3052]" strokeweight="1pt"/>
                    <v:shape id="TextBox 59" o:spid="_x0000_s1076" type="#_x0000_t202" style="position:absolute;left:3520;top:42334;width:1442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09690B8F" w14:textId="77777777" w:rsidR="00D27CCF" w:rsidRPr="00415662" w:rsidRDefault="00D27CCF" w:rsidP="00A4453D">
                            <w:pPr>
                              <w:pStyle w:val="NormalWeb"/>
                              <w:spacing w:before="0" w:beforeAutospacing="0" w:after="0" w:afterAutospacing="0"/>
                              <w:rPr>
                                <w:sz w:val="18"/>
                                <w:szCs w:val="18"/>
                              </w:rPr>
                            </w:pPr>
                            <w:r>
                              <w:rPr>
                                <w:color w:val="000000" w:themeColor="text1"/>
                                <w:kern w:val="24"/>
                                <w:sz w:val="18"/>
                                <w:szCs w:val="18"/>
                              </w:rPr>
                              <w:t xml:space="preserve">Volumetric (Wh </w:t>
                            </w:r>
                            <w:r w:rsidRPr="00415662">
                              <w:rPr>
                                <w:color w:val="000000" w:themeColor="text1"/>
                                <w:kern w:val="24"/>
                                <w:sz w:val="18"/>
                                <w:szCs w:val="18"/>
                              </w:rPr>
                              <w:t>L</w:t>
                            </w:r>
                            <w:r w:rsidRPr="004224D1">
                              <w:rPr>
                                <w:color w:val="000000" w:themeColor="text1"/>
                                <w:kern w:val="24"/>
                                <w:sz w:val="18"/>
                                <w:szCs w:val="18"/>
                                <w:vertAlign w:val="superscript"/>
                              </w:rPr>
                              <w:t>-1</w:t>
                            </w:r>
                            <w:r w:rsidRPr="00415662">
                              <w:rPr>
                                <w:color w:val="000000" w:themeColor="text1"/>
                                <w:kern w:val="24"/>
                                <w:sz w:val="18"/>
                                <w:szCs w:val="18"/>
                              </w:rPr>
                              <w:t>)</w:t>
                            </w:r>
                            <w:r w:rsidRPr="00415662">
                              <w:rPr>
                                <w:color w:val="000000" w:themeColor="text1"/>
                                <w:kern w:val="24"/>
                                <w:position w:val="7"/>
                                <w:sz w:val="18"/>
                                <w:szCs w:val="18"/>
                                <w:vertAlign w:val="superscript"/>
                              </w:rPr>
                              <w:t>1</w:t>
                            </w:r>
                          </w:p>
                        </w:txbxContent>
                      </v:textbox>
                    </v:shape>
                    <v:shape id="TextBox 60" o:spid="_x0000_s1077" type="#_x0000_t202" style="position:absolute;left:22615;top:43081;width:8452;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1DED1317" w14:textId="2011B682" w:rsidR="00D27CCF" w:rsidRPr="00D752BE" w:rsidRDefault="00D27CCF" w:rsidP="00A4453D">
                            <w:pPr>
                              <w:pStyle w:val="NormalWeb"/>
                              <w:spacing w:before="0" w:beforeAutospacing="0" w:after="0" w:afterAutospacing="0"/>
                              <w:rPr>
                                <w:sz w:val="18"/>
                                <w:szCs w:val="18"/>
                                <w:vertAlign w:val="superscript"/>
                              </w:rPr>
                            </w:pPr>
                            <w:r w:rsidRPr="00415662">
                              <w:rPr>
                                <w:color w:val="000000" w:themeColor="text1"/>
                                <w:kern w:val="24"/>
                                <w:sz w:val="18"/>
                                <w:szCs w:val="18"/>
                              </w:rPr>
                              <w:t>700</w:t>
                            </w:r>
                            <w:r>
                              <w:rPr>
                                <w:color w:val="000000" w:themeColor="text1"/>
                                <w:kern w:val="24"/>
                                <w:sz w:val="18"/>
                                <w:szCs w:val="18"/>
                                <w:vertAlign w:val="superscript"/>
                              </w:rPr>
                              <w:t>14</w:t>
                            </w:r>
                          </w:p>
                        </w:txbxContent>
                      </v:textbox>
                    </v:shape>
                    <v:shape id="TextBox 61" o:spid="_x0000_s1078" type="#_x0000_t202" style="position:absolute;left:39950;top:43269;width:9987;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2B021E4B" w14:textId="71386FC3" w:rsidR="00D27CCF" w:rsidRPr="00D752BE" w:rsidRDefault="00D27CCF" w:rsidP="00A4453D">
                            <w:pPr>
                              <w:pStyle w:val="NormalWeb"/>
                              <w:spacing w:before="0" w:beforeAutospacing="0" w:after="0" w:afterAutospacing="0"/>
                              <w:rPr>
                                <w:sz w:val="18"/>
                                <w:szCs w:val="18"/>
                                <w:vertAlign w:val="superscript"/>
                              </w:rPr>
                            </w:pPr>
                            <w:r w:rsidRPr="00415662">
                              <w:rPr>
                                <w:color w:val="000000" w:themeColor="text1"/>
                                <w:kern w:val="24"/>
                                <w:sz w:val="18"/>
                                <w:szCs w:val="18"/>
                              </w:rPr>
                              <w:t>1,200</w:t>
                            </w:r>
                            <w:r>
                              <w:rPr>
                                <w:color w:val="000000" w:themeColor="text1"/>
                                <w:kern w:val="24"/>
                                <w:sz w:val="18"/>
                                <w:szCs w:val="18"/>
                                <w:vertAlign w:val="superscript"/>
                              </w:rPr>
                              <w:t>14</w:t>
                            </w:r>
                          </w:p>
                        </w:txbxContent>
                      </v:textbox>
                    </v:shape>
                    <v:shape id="_x0000_s1079" type="#_x0000_t202" style="position:absolute;left:53941;top:43092;width:13126;height:4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0B50DAEC"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v:textbox>
                    </v:shape>
                    <v:shape id="TextBox 63" o:spid="_x0000_s1080" type="#_x0000_t202" style="position:absolute;left:72467;top:43148;width:10339;height:4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37EB41A3" w14:textId="5224D51F"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400</w:t>
                            </w:r>
                            <w:r>
                              <w:rPr>
                                <w:color w:val="000000" w:themeColor="text1"/>
                                <w:kern w:val="24"/>
                                <w:sz w:val="18"/>
                                <w:szCs w:val="18"/>
                                <w:vertAlign w:val="superscript"/>
                              </w:rPr>
                              <w:t>14</w:t>
                            </w:r>
                          </w:p>
                        </w:txbxContent>
                      </v:textbox>
                    </v:shape>
                    <v:shape id="TextBox 64" o:spid="_x0000_s1081" type="#_x0000_t202" style="position:absolute;left:87388;top:38195;width:10339;height:4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5741E301" w14:textId="7D67DCB9" w:rsidR="00D27CCF" w:rsidRPr="00E06317"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1,350</w:t>
                            </w:r>
                            <w:r>
                              <w:rPr>
                                <w:color w:val="000000" w:themeColor="text1"/>
                                <w:kern w:val="24"/>
                                <w:sz w:val="18"/>
                                <w:szCs w:val="18"/>
                                <w:vertAlign w:val="superscript"/>
                              </w:rPr>
                              <w:t>9</w:t>
                            </w:r>
                            <w:r>
                              <w:rPr>
                                <w:color w:val="000000" w:themeColor="text1"/>
                                <w:kern w:val="24"/>
                                <w:sz w:val="18"/>
                                <w:szCs w:val="18"/>
                              </w:rPr>
                              <w:t xml:space="preserve"> </w:t>
                            </w:r>
                          </w:p>
                        </w:txbxContent>
                      </v:textbox>
                    </v:shape>
                  </v:group>
                  <v:group id="Group 42" o:spid="_x0000_s1082" style="position:absolute;left:3293;top:47401;width:96422;height:5550" coordorigin="3293,47401" coordsize="96422,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61" o:spid="_x0000_s1083" style="position:absolute;left:3429;top:47534;width:96286;height:4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" filled="f" strokecolor="#f2f2f2 [3052]" strokeweight="1pt"/>
                    <v:shape id="TextBox 67" o:spid="_x0000_s1084" type="#_x0000_t202" style="position:absolute;left:3293;top:47401;width:1649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15AE8092"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Life-time cycle</w:t>
                            </w:r>
                            <w:r>
                              <w:rPr>
                                <w:sz w:val="18"/>
                                <w:szCs w:val="18"/>
                              </w:rPr>
                              <w:t xml:space="preserve"> </w:t>
                            </w:r>
                            <w:r w:rsidRPr="00415662">
                              <w:rPr>
                                <w:color w:val="000000" w:themeColor="text1"/>
                                <w:kern w:val="24"/>
                                <w:sz w:val="18"/>
                                <w:szCs w:val="18"/>
                              </w:rPr>
                              <w:t>(cycle)</w:t>
                            </w:r>
                            <w:r w:rsidRPr="00415662">
                              <w:rPr>
                                <w:color w:val="000000" w:themeColor="text1"/>
                                <w:kern w:val="24"/>
                                <w:position w:val="7"/>
                                <w:sz w:val="18"/>
                                <w:szCs w:val="18"/>
                                <w:vertAlign w:val="superscript"/>
                              </w:rPr>
                              <w:t>2</w:t>
                            </w:r>
                          </w:p>
                        </w:txbxContent>
                      </v:textbox>
                    </v:shape>
                    <v:shape id="TextBox 68" o:spid="_x0000_s1085" type="#_x0000_t202" style="position:absolute;left:22144;top:48025;width:11785;height:3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62872765" w14:textId="791CEF1A" w:rsidR="00D27CCF" w:rsidRPr="00D752BE" w:rsidRDefault="00D27CCF" w:rsidP="00A4453D">
                            <w:pPr>
                              <w:pStyle w:val="NormalWeb"/>
                              <w:spacing w:before="0" w:beforeAutospacing="0" w:after="0" w:afterAutospacing="0"/>
                              <w:rPr>
                                <w:sz w:val="18"/>
                                <w:szCs w:val="18"/>
                              </w:rPr>
                            </w:pPr>
                            <w:r w:rsidRPr="00415662">
                              <w:rPr>
                                <w:color w:val="000000" w:themeColor="text1"/>
                                <w:kern w:val="24"/>
                                <w:sz w:val="18"/>
                                <w:szCs w:val="18"/>
                              </w:rPr>
                              <w:t>1,000</w:t>
                            </w:r>
                            <w:r>
                              <w:rPr>
                                <w:color w:val="000000" w:themeColor="text1"/>
                                <w:kern w:val="24"/>
                                <w:sz w:val="18"/>
                                <w:szCs w:val="18"/>
                                <w:vertAlign w:val="superscript"/>
                              </w:rPr>
                              <w:t>14</w:t>
                            </w:r>
                          </w:p>
                        </w:txbxContent>
                      </v:textbox>
                    </v:shape>
                    <v:shape id="TextBox 69" o:spid="_x0000_s1086" type="#_x0000_t202" style="position:absolute;left:40319;top:47946;width:11050;height:5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75FF3D08" w14:textId="27567801" w:rsidR="00D27CCF" w:rsidRPr="00D752BE" w:rsidRDefault="00D27CCF" w:rsidP="00A4453D">
                            <w:pPr>
                              <w:pStyle w:val="NormalWeb"/>
                              <w:spacing w:before="0" w:beforeAutospacing="0" w:after="0" w:afterAutospacing="0"/>
                              <w:rPr>
                                <w:sz w:val="18"/>
                                <w:szCs w:val="18"/>
                              </w:rPr>
                            </w:pPr>
                            <w:r w:rsidRPr="00415662">
                              <w:rPr>
                                <w:color w:val="000000" w:themeColor="text1"/>
                                <w:kern w:val="24"/>
                                <w:sz w:val="18"/>
                                <w:szCs w:val="18"/>
                              </w:rPr>
                              <w:t>120</w:t>
                            </w:r>
                            <w:r w:rsidRPr="00F05FC9">
                              <w:rPr>
                                <w:kern w:val="24"/>
                                <w:sz w:val="18"/>
                                <w:szCs w:val="18"/>
                                <w:vertAlign w:val="superscript"/>
                              </w:rPr>
                              <w:t>14</w:t>
                            </w:r>
                          </w:p>
                        </w:txbxContent>
                      </v:textbox>
                    </v:shape>
                    <v:shape id="TextBox 70" o:spid="_x0000_s1087" type="#_x0000_t202" style="position:absolute;left:56572;top:47992;width:12357;height:3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5BD558F6" w14:textId="06BDE994" w:rsidR="00D27CCF" w:rsidRPr="00D752BE" w:rsidRDefault="00D27CCF" w:rsidP="00A4453D">
                            <w:pPr>
                              <w:pStyle w:val="NormalWeb"/>
                              <w:spacing w:before="0" w:beforeAutospacing="0" w:after="0" w:afterAutospacing="0"/>
                              <w:rPr>
                                <w:sz w:val="18"/>
                                <w:szCs w:val="18"/>
                                <w:vertAlign w:val="superscript"/>
                              </w:rPr>
                            </w:pPr>
                            <w:r w:rsidRPr="00415662">
                              <w:rPr>
                                <w:color w:val="000000" w:themeColor="text1"/>
                                <w:kern w:val="24"/>
                                <w:sz w:val="18"/>
                                <w:szCs w:val="18"/>
                              </w:rPr>
                              <w:t>500</w:t>
                            </w:r>
                            <w:r>
                              <w:rPr>
                                <w:color w:val="000000" w:themeColor="text1"/>
                                <w:kern w:val="24"/>
                                <w:sz w:val="18"/>
                                <w:szCs w:val="18"/>
                                <w:vertAlign w:val="superscript"/>
                              </w:rPr>
                              <w:t>15</w:t>
                            </w:r>
                          </w:p>
                        </w:txbxContent>
                      </v:textbox>
                    </v:shape>
                    <v:shape id="TextBox 71" o:spid="_x0000_s1088" type="#_x0000_t202" style="position:absolute;left:72467;top:48044;width:1184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22C2B55A" w14:textId="7BEF0A52"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100</w:t>
                            </w:r>
                            <w:r w:rsidRPr="00D752BE">
                              <w:rPr>
                                <w:color w:val="000000" w:themeColor="text1"/>
                                <w:kern w:val="24"/>
                                <w:sz w:val="18"/>
                                <w:szCs w:val="18"/>
                                <w:vertAlign w:val="superscript"/>
                              </w:rPr>
                              <w:t>1</w:t>
                            </w:r>
                            <w:r>
                              <w:rPr>
                                <w:color w:val="000000" w:themeColor="text1"/>
                                <w:kern w:val="24"/>
                                <w:sz w:val="18"/>
                                <w:szCs w:val="18"/>
                                <w:vertAlign w:val="superscript"/>
                              </w:rPr>
                              <w:t>4</w:t>
                            </w:r>
                          </w:p>
                        </w:txbxContent>
                      </v:textbox>
                    </v:shape>
                    <v:shape id="TextBox 72" o:spid="_x0000_s1089" type="#_x0000_t202" style="position:absolute;left:85817;top:48025;width:10855;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22B40B53"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v:textbox>
                    </v:shape>
                  </v:group>
                  <v:group id="Group 43" o:spid="_x0000_s1090" style="position:absolute;left:3303;top:51844;width:96333;height:6403" coordorigin="3303,51844" coordsize="96332,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54" o:spid="_x0000_s1091" style="position:absolute;left:3351;top:52119;width:96285;height:4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" fillcolor="#f2f2f2 [3052]" strokecolor="#f2f2f2 [3052]" strokeweight="1pt"/>
                    <v:shape id="TextBox 75" o:spid="_x0000_s1092" type="#_x0000_t202" style="position:absolute;left:3303;top:52743;width:17458;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70232985"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Nominal cell voltage (V)</w:t>
                            </w:r>
                          </w:p>
                        </w:txbxContent>
                      </v:textbox>
                    </v:shape>
                    <v:shape id="TextBox 76" o:spid="_x0000_s1093" type="#_x0000_t202" style="position:absolute;left:22791;top:52119;width:1143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0FFCC044" w14:textId="328307A0"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3.7</w:t>
                            </w:r>
                            <w:r w:rsidRPr="00A02829">
                              <w:rPr>
                                <w:color w:val="000000" w:themeColor="text1"/>
                                <w:kern w:val="24"/>
                                <w:sz w:val="18"/>
                                <w:szCs w:val="18"/>
                                <w:vertAlign w:val="superscript"/>
                              </w:rPr>
                              <w:t>1</w:t>
                            </w:r>
                            <w:r>
                              <w:rPr>
                                <w:color w:val="000000" w:themeColor="text1"/>
                                <w:kern w:val="24"/>
                                <w:sz w:val="18"/>
                                <w:szCs w:val="18"/>
                                <w:vertAlign w:val="superscript"/>
                              </w:rPr>
                              <w:t>4</w:t>
                            </w:r>
                          </w:p>
                        </w:txbxContent>
                      </v:textbox>
                    </v:shape>
                    <v:shape id="TextBox 77" o:spid="_x0000_s1094" type="#_x0000_t202" style="position:absolute;left:34977;top:51844;width:15280;height:6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6E68A85F"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3.8</w:t>
                            </w:r>
                          </w:p>
                          <w:p w14:paraId="40104324" w14:textId="137A80AC"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(Li-metal anode)</w:t>
                            </w:r>
                            <w:r>
                              <w:rPr>
                                <w:kern w:val="24"/>
                                <w:sz w:val="18"/>
                                <w:szCs w:val="18"/>
                                <w:vertAlign w:val="superscript"/>
                              </w:rPr>
                              <w:t>14</w:t>
                            </w:r>
                          </w:p>
                        </w:txbxContent>
                      </v:textbox>
                    </v:shape>
                    <v:shape id="TextBox 78" o:spid="_x0000_s1095" type="#_x0000_t202" style="position:absolute;left:56660;top:52119;width:9703;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4AEC9505" w14:textId="23C6A760"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3.8</w:t>
                            </w:r>
                            <w:r>
                              <w:rPr>
                                <w:color w:val="000000" w:themeColor="text1"/>
                                <w:kern w:val="24"/>
                                <w:sz w:val="18"/>
                                <w:szCs w:val="18"/>
                                <w:vertAlign w:val="superscript"/>
                              </w:rPr>
                              <w:t>15</w:t>
                            </w:r>
                          </w:p>
                        </w:txbxContent>
                      </v:textbox>
                    </v:shape>
                    <v:shape id="TextBox 79" o:spid="_x0000_s1096" type="#_x0000_t202" style="position:absolute;left:72683;top:51844;width:7792;height:5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711DAB98" w14:textId="5E8468C8"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2.1</w:t>
                            </w:r>
                            <w:r>
                              <w:rPr>
                                <w:color w:val="000000" w:themeColor="text1"/>
                                <w:kern w:val="24"/>
                                <w:sz w:val="18"/>
                                <w:szCs w:val="18"/>
                                <w:vertAlign w:val="superscript"/>
                              </w:rPr>
                              <w:t>14</w:t>
                            </w:r>
                          </w:p>
                        </w:txbxContent>
                      </v:textbox>
                    </v:shape>
                    <v:shape id="TextBox 80" o:spid="_x0000_s1097" type="#_x0000_t202" style="position:absolute;left:88535;top:52123;width:9328;height:5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1A4CCAB3" w14:textId="70E40316"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2.9</w:t>
                            </w:r>
                            <w:r>
                              <w:rPr>
                                <w:color w:val="000000" w:themeColor="text1"/>
                                <w:kern w:val="24"/>
                                <w:sz w:val="18"/>
                                <w:szCs w:val="18"/>
                                <w:vertAlign w:val="superscript"/>
                              </w:rPr>
                              <w:t>14</w:t>
                            </w:r>
                          </w:p>
                        </w:txbxContent>
                      </v:textbox>
                    </v:shape>
                  </v:group>
                  <v:group id="Group 44" o:spid="_x0000_s1098" style="position:absolute;left:3429;top:56977;width:96286;height:10295" coordorigin="3429,56977" coordsize="96286,1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7" o:spid="_x0000_s1099" style="position:absolute;left:3466;top:56977;width:96249;height:7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" filled="f" strokecolor="#f2f2f2 [3052]" strokeweight="1pt"/>
                    <v:shape id="TextBox 83" o:spid="_x0000_s1100" type="#_x0000_t202" style="position:absolute;left:3429;top:58052;width:17332;height:4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0F08FED6"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Development status</w:t>
                            </w:r>
                          </w:p>
                        </w:txbxContent>
                      </v:textbox>
                    </v:shape>
                    <v:shape id="TextBox 84" o:spid="_x0000_s1101" type="#_x0000_t202" style="position:absolute;left:19272;top:57626;width:15907;height:7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72507FE"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Commercial scale</w:t>
                            </w:r>
                          </w:p>
                          <w:p w14:paraId="12B09A94" w14:textId="58952738"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9)</w:t>
                            </w:r>
                            <w:r>
                              <w:rPr>
                                <w:color w:val="000000" w:themeColor="text1"/>
                                <w:kern w:val="24"/>
                                <w:sz w:val="18"/>
                                <w:szCs w:val="18"/>
                                <w:vertAlign w:val="superscript"/>
                              </w:rPr>
                              <w:t>14,16</w:t>
                            </w:r>
                          </w:p>
                          <w:p w14:paraId="1C26EA8C" w14:textId="5FE3A1AE" w:rsidR="00D27CCF" w:rsidRPr="00415662" w:rsidRDefault="00D27CCF" w:rsidP="00A4453D">
                            <w:pPr>
                              <w:pStyle w:val="NormalWeb"/>
                              <w:spacing w:before="0" w:beforeAutospacing="0" w:after="0" w:afterAutospacing="0"/>
                              <w:jc w:val="center"/>
                              <w:rPr>
                                <w:sz w:val="18"/>
                                <w:szCs w:val="18"/>
                              </w:rPr>
                            </w:pPr>
                          </w:p>
                        </w:txbxContent>
                      </v:textbox>
                    </v:shape>
                    <v:shape id="TextBox 85" o:spid="_x0000_s1102" type="#_x0000_t202" style="position:absolute;left:35269;top:57470;width:16373;height:8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1C00BAFA"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Demonstration scale</w:t>
                            </w:r>
                          </w:p>
                          <w:p w14:paraId="6311D28C" w14:textId="30BA8AA1"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7)</w:t>
                            </w:r>
                            <w:r w:rsidRPr="00A02829">
                              <w:rPr>
                                <w:color w:val="000000" w:themeColor="text1"/>
                                <w:kern w:val="24"/>
                                <w:sz w:val="18"/>
                                <w:szCs w:val="18"/>
                                <w:vertAlign w:val="superscript"/>
                              </w:rPr>
                              <w:t xml:space="preserve"> </w:t>
                            </w:r>
                            <w:r>
                              <w:rPr>
                                <w:color w:val="000000" w:themeColor="text1"/>
                                <w:kern w:val="24"/>
                                <w:sz w:val="18"/>
                                <w:szCs w:val="18"/>
                                <w:vertAlign w:val="superscript"/>
                              </w:rPr>
                              <w:t>14,16</w:t>
                            </w:r>
                          </w:p>
                          <w:p w14:paraId="3DC73ADF" w14:textId="5D71CCEE" w:rsidR="00D27CCF" w:rsidRPr="00A51572" w:rsidRDefault="00D27CCF" w:rsidP="00A4453D">
                            <w:pPr>
                              <w:pStyle w:val="NormalWeb"/>
                              <w:spacing w:before="0" w:beforeAutospacing="0" w:after="0" w:afterAutospacing="0"/>
                              <w:jc w:val="center"/>
                              <w:rPr>
                                <w:color w:val="C00000"/>
                                <w:sz w:val="14"/>
                                <w:szCs w:val="18"/>
                              </w:rPr>
                            </w:pPr>
                          </w:p>
                        </w:txbxContent>
                      </v:textbox>
                    </v:shape>
                    <v:shape id="TextBox 86" o:spid="_x0000_s1103" type="#_x0000_t202" style="position:absolute;left:50664;top:57332;width:18818;height:9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1F2A5A13"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Technology validation</w:t>
                            </w:r>
                          </w:p>
                          <w:p w14:paraId="36CE554F" w14:textId="77777777" w:rsidR="00D27CCF" w:rsidRPr="00415662" w:rsidRDefault="00D27CCF" w:rsidP="00A4453D">
                            <w:pPr>
                              <w:pStyle w:val="NormalWeb"/>
                              <w:spacing w:before="0" w:beforeAutospacing="0" w:after="0" w:afterAutospacing="0"/>
                              <w:jc w:val="center"/>
                              <w:rPr>
                                <w:sz w:val="18"/>
                                <w:szCs w:val="18"/>
                              </w:rPr>
                            </w:pPr>
                            <w:r>
                              <w:rPr>
                                <w:color w:val="000000" w:themeColor="text1"/>
                                <w:kern w:val="24"/>
                                <w:sz w:val="18"/>
                                <w:szCs w:val="18"/>
                              </w:rPr>
                              <w:t>Small-</w:t>
                            </w:r>
                            <w:r w:rsidRPr="00415662">
                              <w:rPr>
                                <w:color w:val="000000" w:themeColor="text1"/>
                                <w:kern w:val="24"/>
                                <w:sz w:val="18"/>
                                <w:szCs w:val="18"/>
                              </w:rPr>
                              <w:t>scale prototype</w:t>
                            </w:r>
                          </w:p>
                          <w:p w14:paraId="615AB693" w14:textId="6C267DD5" w:rsidR="00D27CCF" w:rsidRPr="00A02829" w:rsidRDefault="00D27CCF" w:rsidP="00A02829">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3-4)</w:t>
                            </w:r>
                            <w:r w:rsidRPr="00A02829">
                              <w:rPr>
                                <w:color w:val="000000" w:themeColor="text1"/>
                                <w:kern w:val="24"/>
                                <w:sz w:val="18"/>
                                <w:szCs w:val="18"/>
                                <w:vertAlign w:val="superscript"/>
                              </w:rPr>
                              <w:t xml:space="preserve"> </w:t>
                            </w:r>
                            <w:r>
                              <w:rPr>
                                <w:color w:val="000000" w:themeColor="text1"/>
                                <w:kern w:val="24"/>
                                <w:sz w:val="18"/>
                                <w:szCs w:val="18"/>
                                <w:vertAlign w:val="superscript"/>
                              </w:rPr>
                              <w:t>14,16</w:t>
                            </w:r>
                          </w:p>
                          <w:p w14:paraId="701B198A" w14:textId="77777777" w:rsidR="00D27CCF" w:rsidRPr="00415662" w:rsidRDefault="00D27CCF" w:rsidP="00A4453D">
                            <w:pPr>
                              <w:pStyle w:val="NormalWeb"/>
                              <w:spacing w:before="0" w:beforeAutospacing="0" w:after="0" w:afterAutospacing="0"/>
                              <w:jc w:val="center"/>
                              <w:rPr>
                                <w:sz w:val="18"/>
                                <w:szCs w:val="18"/>
                              </w:rPr>
                            </w:pPr>
                          </w:p>
                        </w:txbxContent>
                      </v:textbox>
                    </v:shape>
                    <v:shape id="TextBox 87" o:spid="_x0000_s1104" type="#_x0000_t202" style="position:absolute;left:67801;top:57403;width:16649;height:7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5AAFB1CD" w14:textId="77777777" w:rsidR="00D27CCF" w:rsidRPr="00415662" w:rsidRDefault="00D27CCF" w:rsidP="00A4453D">
                            <w:pPr>
                              <w:pStyle w:val="NormalWeb"/>
                              <w:spacing w:before="0" w:beforeAutospacing="0" w:after="0" w:afterAutospacing="0"/>
                              <w:jc w:val="center"/>
                              <w:rPr>
                                <w:sz w:val="18"/>
                                <w:szCs w:val="18"/>
                              </w:rPr>
                            </w:pPr>
                            <w:r>
                              <w:rPr>
                                <w:color w:val="000000" w:themeColor="text1"/>
                                <w:kern w:val="24"/>
                                <w:sz w:val="18"/>
                                <w:szCs w:val="18"/>
                              </w:rPr>
                              <w:t>Small-</w:t>
                            </w:r>
                            <w:r w:rsidRPr="00415662">
                              <w:rPr>
                                <w:color w:val="000000" w:themeColor="text1"/>
                                <w:kern w:val="24"/>
                                <w:sz w:val="18"/>
                                <w:szCs w:val="18"/>
                              </w:rPr>
                              <w:t>scale prototype</w:t>
                            </w:r>
                          </w:p>
                          <w:p w14:paraId="2144EA41" w14:textId="757876DB"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4)</w:t>
                            </w:r>
                            <w:r w:rsidRPr="00A02829">
                              <w:rPr>
                                <w:color w:val="000000" w:themeColor="text1"/>
                                <w:kern w:val="24"/>
                                <w:sz w:val="18"/>
                                <w:szCs w:val="18"/>
                                <w:vertAlign w:val="superscript"/>
                              </w:rPr>
                              <w:t xml:space="preserve"> </w:t>
                            </w:r>
                            <w:r>
                              <w:rPr>
                                <w:color w:val="000000" w:themeColor="text1"/>
                                <w:kern w:val="24"/>
                                <w:sz w:val="18"/>
                                <w:szCs w:val="18"/>
                                <w:vertAlign w:val="superscript"/>
                              </w:rPr>
                              <w:t>14,16</w:t>
                            </w:r>
                          </w:p>
                          <w:p w14:paraId="5E9E56B9" w14:textId="77777777" w:rsidR="00D27CCF" w:rsidRPr="00415662" w:rsidRDefault="00D27CCF" w:rsidP="00A4453D">
                            <w:pPr>
                              <w:pStyle w:val="NormalWeb"/>
                              <w:spacing w:before="0" w:beforeAutospacing="0" w:after="0" w:afterAutospacing="0"/>
                              <w:jc w:val="center"/>
                              <w:rPr>
                                <w:sz w:val="18"/>
                                <w:szCs w:val="18"/>
                              </w:rPr>
                            </w:pPr>
                          </w:p>
                        </w:txbxContent>
                      </v:textbox>
                    </v:shape>
                    <v:shape id="TextBox 88" o:spid="_x0000_s1105" type="#_x0000_t202" style="position:absolute;left:84198;top:57620;width:14760;height:7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7B71D5D7" w14:textId="77777777" w:rsidR="00D27CCF" w:rsidRPr="00415662" w:rsidRDefault="00D27CCF" w:rsidP="00A4453D">
                            <w:pPr>
                              <w:pStyle w:val="NormalWeb"/>
                              <w:spacing w:before="0" w:beforeAutospacing="0" w:after="0" w:afterAutospacing="0"/>
                              <w:jc w:val="center"/>
                              <w:rPr>
                                <w:sz w:val="18"/>
                                <w:szCs w:val="18"/>
                              </w:rPr>
                            </w:pPr>
                            <w:r w:rsidRPr="00415662">
                              <w:rPr>
                                <w:color w:val="000000" w:themeColor="text1"/>
                                <w:kern w:val="24"/>
                                <w:sz w:val="18"/>
                                <w:szCs w:val="18"/>
                              </w:rPr>
                              <w:t>Technology concept</w:t>
                            </w:r>
                          </w:p>
                          <w:p w14:paraId="592582C1" w14:textId="7FC5D5B8" w:rsidR="00D27CCF" w:rsidRDefault="00D27CCF" w:rsidP="00A4453D">
                            <w:pPr>
                              <w:pStyle w:val="NormalWeb"/>
                              <w:spacing w:before="0" w:beforeAutospacing="0" w:after="0" w:afterAutospacing="0"/>
                              <w:jc w:val="center"/>
                              <w:rPr>
                                <w:color w:val="000000" w:themeColor="text1"/>
                                <w:kern w:val="24"/>
                                <w:sz w:val="18"/>
                                <w:szCs w:val="18"/>
                              </w:rPr>
                            </w:pPr>
                            <w:r w:rsidRPr="00415662">
                              <w:rPr>
                                <w:color w:val="000000" w:themeColor="text1"/>
                                <w:kern w:val="24"/>
                                <w:sz w:val="18"/>
                                <w:szCs w:val="18"/>
                              </w:rPr>
                              <w:t>(TRL 1-2)</w:t>
                            </w:r>
                            <w:r w:rsidRPr="00A02829">
                              <w:rPr>
                                <w:color w:val="000000" w:themeColor="text1"/>
                                <w:kern w:val="24"/>
                                <w:sz w:val="18"/>
                                <w:szCs w:val="18"/>
                                <w:vertAlign w:val="superscript"/>
                              </w:rPr>
                              <w:t xml:space="preserve"> </w:t>
                            </w:r>
                            <w:r>
                              <w:rPr>
                                <w:color w:val="000000" w:themeColor="text1"/>
                                <w:kern w:val="24"/>
                                <w:sz w:val="18"/>
                                <w:szCs w:val="18"/>
                                <w:vertAlign w:val="superscript"/>
                              </w:rPr>
                              <w:t>14,16</w:t>
                            </w:r>
                          </w:p>
                          <w:p w14:paraId="5AB57D8D" w14:textId="77777777" w:rsidR="00D27CCF" w:rsidRPr="00415662" w:rsidRDefault="00D27CCF" w:rsidP="00A4453D">
                            <w:pPr>
                              <w:pStyle w:val="NormalWeb"/>
                              <w:spacing w:before="0" w:beforeAutospacing="0" w:after="0" w:afterAutospacing="0"/>
                              <w:jc w:val="center"/>
                              <w:rPr>
                                <w:sz w:val="18"/>
                                <w:szCs w:val="18"/>
                              </w:rPr>
                            </w:pPr>
                          </w:p>
                        </w:txbxContent>
                      </v:textbox>
                    </v:shape>
                  </v:group>
                  <v:shape id="TextBox 89" o:spid="_x0000_s1106" type="#_x0000_t202" style="position:absolute;left:-7878;top:45647;width:18622;height:29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" fillcolor="#d8d8d8 [2732]" strokecolor="#d8d8d8 [2732]" strokeweight="1pt">
                    <v:textbox>
                      <w:txbxContent>
                        <w:p w14:paraId="7F9E78E3" w14:textId="77777777" w:rsidR="00D27CCF" w:rsidRPr="00415662" w:rsidRDefault="00D27CCF" w:rsidP="00A4453D">
                          <w:pPr>
                            <w:pStyle w:val="NormalWeb"/>
                            <w:spacing w:before="0" w:beforeAutospacing="0" w:after="0" w:afterAutospacing="0"/>
                            <w:jc w:val="center"/>
                            <w:rPr>
                              <w:sz w:val="18"/>
                              <w:szCs w:val="18"/>
                            </w:rPr>
                          </w:pPr>
                          <w:r w:rsidRPr="00415662">
                            <w:rPr>
                              <w:b/>
                              <w:bCs/>
                              <w:color w:val="000000" w:themeColor="text1"/>
                              <w:kern w:val="24"/>
                              <w:sz w:val="18"/>
                              <w:szCs w:val="18"/>
                            </w:rPr>
                            <w:t>Cell properties</w:t>
                          </w:r>
                        </w:p>
                      </w:txbxContent>
                    </v:textbox>
                  </v:shape>
                  <v:shape id="TextBox 90" o:spid="_x0000_s1107" type="#_x0000_t202" style="position:absolute;left:-2098;top:59381;width:7233;height:27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" fillcolor="black [3213]" strokecolor="black [3213]" strokeweight="1pt">
                    <v:textbox>
                      <w:txbxContent>
                        <w:p w14:paraId="7D90A787" w14:textId="77777777" w:rsidR="00D27CCF" w:rsidRPr="00367220" w:rsidRDefault="00D27CCF" w:rsidP="00A4453D">
                          <w:pPr>
                            <w:pStyle w:val="NormalWeb"/>
                            <w:spacing w:before="0" w:beforeAutospacing="0" w:after="0" w:afterAutospacing="0"/>
                            <w:jc w:val="center"/>
                            <w:rPr>
                              <w:sz w:val="18"/>
                              <w:szCs w:val="18"/>
                            </w:rPr>
                          </w:pPr>
                          <w:r w:rsidRPr="00367220">
                            <w:rPr>
                              <w:b/>
                              <w:bCs/>
                              <w:color w:val="FFFFFF" w:themeColor="background1"/>
                              <w:kern w:val="24"/>
                              <w:sz w:val="18"/>
                              <w:szCs w:val="18"/>
                            </w:rPr>
                            <w:t>Status</w:t>
                          </w:r>
                        </w:p>
                      </w:txbxContent>
                    </v:textbox>
                  </v:shape>
                </v:group>
                <v:group id="Group 4" o:spid="_x0000_s1108" style="position:absolute;left:18121;top:-3006;width:82836;height:12575" coordorigin="18121,-3006" coordsize="82836,1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109" style="position:absolute;left:19876;top:-3006;width:80589;height:4215" coordorigin="19876,-3006" coordsize="80588,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Box 11" o:spid="_x0000_s1110" type="#_x0000_t202" style="position:absolute;left:19876;top:-2729;width:16895;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74AD69B2"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Lithium-ion (Li-ion)</w:t>
                            </w:r>
                          </w:p>
                        </w:txbxContent>
                      </v:textbox>
                    </v:shape>
                    <v:shape id="TextBox 12" o:spid="_x0000_s1111" type="#_x0000_t202" style="position:absolute;left:36605;top:-2729;width:12964;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3BBCC8F3"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Advanced Li-ion</w:t>
                            </w:r>
                          </w:p>
                        </w:txbxContent>
                      </v:textbox>
                    </v:shape>
                    <v:shape id="TextBox 13" o:spid="_x0000_s1112" type="#_x0000_t202" style="position:absolute;left:53114;top:-3006;width:15482;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5475F2B6"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Solid-state battery (SSB)</w:t>
                            </w:r>
                          </w:p>
                        </w:txbxContent>
                      </v:textbox>
                    </v:shape>
                    <v:shape id="TextBox 14" o:spid="_x0000_s1113" type="#_x0000_t202" style="position:absolute;left:68841;top:-2833;width:14822;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4BED0130"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Lithium-sulfur (Li-S)</w:t>
                            </w:r>
                          </w:p>
                        </w:txbxContent>
                      </v:textbox>
                    </v:shape>
                    <v:shape id="TextBox 15" o:spid="_x0000_s1114" type="#_x0000_t202" style="position:absolute;left:85444;top:-3006;width:15021;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5E537CCE" w14:textId="77777777" w:rsidR="00D27CCF" w:rsidRPr="00415662" w:rsidRDefault="00D27CCF" w:rsidP="00A4453D">
                            <w:pPr>
                              <w:pStyle w:val="NormalWeb"/>
                              <w:spacing w:before="0" w:beforeAutospacing="0" w:after="0" w:afterAutospacing="0"/>
                              <w:rPr>
                                <w:sz w:val="18"/>
                                <w:szCs w:val="18"/>
                              </w:rPr>
                            </w:pPr>
                            <w:r w:rsidRPr="00415662">
                              <w:rPr>
                                <w:b/>
                                <w:bCs/>
                                <w:color w:val="000000" w:themeColor="text1"/>
                                <w:kern w:val="24"/>
                                <w:sz w:val="18"/>
                                <w:szCs w:val="18"/>
                              </w:rPr>
                              <w:t>Lithium-air (Li-air)</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15" type="#_x0000_t75" style="position:absolute;left:18121;top:1515;width:4712;height:5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">
                    <v:imagedata r:id="rId21" o:title=""/>
                    <v:path arrowok="t"/>
                  </v:shape>
                  <v:shape id="Picture 7" o:spid="_x0000_s1116" type="#_x0000_t75" style="position:absolute;left:35979;top:1679;width:4711;height:5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">
                    <v:imagedata r:id="rId21" o:title=""/>
                    <v:path arrowok="t"/>
                  </v:shape>
                  <v:shape id="Picture 8" o:spid="_x0000_s1117" type="#_x0000_t75" style="position:absolute;left:40691;top:2623;width:9545;height:4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">
                    <v:imagedata r:id="rId22" o:title=""/>
                    <v:path arrowok="t"/>
                  </v:shape>
                  <v:shape id="Picture 9" o:spid="_x0000_s1118" type="#_x0000_t75" style="position:absolute;left:23536;top:1679;width:10693;height:4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">
                    <v:imagedata r:id="rId23" o:title=""/>
                    <v:path arrowok="t"/>
                  </v:shape>
                  <v:shape id="Picture 10" o:spid="_x0000_s1119" type="#_x0000_t75" style="position:absolute;left:59140;top:1679;width:5889;height:5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">
                    <v:imagedata r:id="rId24" o:title=""/>
                    <v:path arrowok="t"/>
                  </v:shape>
                  <v:shape id="Picture 11" o:spid="_x0000_s1120" type="#_x0000_t75" style="position:absolute;left:53941;top:2335;width:4799;height:5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">
                    <v:imagedata r:id="rId25" o:title=""/>
                    <v:path arrowok="t"/>
                  </v:shape>
                  <v:shape id="Picture 12" o:spid="_x0000_s1121" type="#_x0000_t75" style="position:absolute;left:69690;top:983;width:4940;height:5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">
                    <v:imagedata r:id="rId26" o:title=""/>
                    <v:path arrowok="t"/>
                  </v:shape>
                  <v:shape id="Picture 13" o:spid="_x0000_s1122" type="#_x0000_t75" style="position:absolute;left:75448;top:988;width:6297;height:5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">
                    <v:imagedata r:id="rId27" o:title=""/>
                    <v:path arrowok="t"/>
                  </v:shape>
                  <v:line id="Straight Connector 14" o:spid="_x0000_s1123" style="position:absolute;visibility:visible;mso-wrap-style:square" from="41779,1903" to="41779,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" strokecolor="black [3213]" strokeweight=".25pt">
                    <v:stroke dashstyle="dash" joinstyle="miter"/>
                  </v:line>
                  <v:shapetype id="_x0000_t32" coordsize="21600,21600" o:spt="32" o:oned="t" path="m,l21600,21600e" filled="f">
                    <v:path arrowok="t" fillok="f" o:connecttype="none"/>
                    <o:lock v:ext="edit" shapetype="t"/>
                  </v:shapetype>
                  <v:shape id="Straight Arrow Connector 15" o:spid="_x0000_s1124" type="#_x0000_t32" style="position:absolute;left:41785;top:1679;width:18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" strokecolor="black [3200]" strokeweight=".25pt">
                    <v:stroke dashstyle="dash" endarrow="block" endarrowwidth="narrow" endarrowlength="short" joinstyle="miter"/>
                  </v:shape>
                  <v:shape id="TextBox 137" o:spid="_x0000_s1125" type="#_x0000_t202" style="position:absolute;left:42836;top:68;width:6729;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3E7DA08" w14:textId="77777777" w:rsidR="00D27CCF" w:rsidRPr="00780F51" w:rsidRDefault="00D27CCF" w:rsidP="00A4453D">
                          <w:pPr>
                            <w:pStyle w:val="NormalWeb"/>
                            <w:spacing w:before="0" w:beforeAutospacing="0" w:after="0" w:afterAutospacing="0"/>
                            <w:rPr>
                              <w:sz w:val="12"/>
                              <w:szCs w:val="18"/>
                            </w:rPr>
                          </w:pPr>
                          <w:r w:rsidRPr="00780F51">
                            <w:rPr>
                              <w:color w:val="000000" w:themeColor="text1"/>
                              <w:kern w:val="24"/>
                              <w:sz w:val="12"/>
                              <w:szCs w:val="18"/>
                            </w:rPr>
                            <w:t>silicon</w:t>
                          </w:r>
                        </w:p>
                      </w:txbxContent>
                    </v:textbox>
                  </v:shape>
                  <v:line id="Straight Connector 17" o:spid="_x0000_s1126" style="position:absolute;flip:y;visibility:visible;mso-wrap-style:square" from="56513,722" to="56513,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" strokecolor="black [3213]" strokeweight=".25pt">
                    <v:stroke dashstyle="dash" joinstyle="miter"/>
                  </v:line>
                  <v:shape id="Straight Arrow Connector 18" o:spid="_x0000_s1127" type="#_x0000_t32" style="position:absolute;left:56471;top:722;width:18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" strokecolor="black [3200]" strokeweight=".25pt">
                    <v:stroke dashstyle="dash" endarrow="block" endarrowwidth="narrow" endarrowlength="short" joinstyle="miter"/>
                  </v:shape>
                  <v:shape id="TextBox 140" o:spid="_x0000_s1128" type="#_x0000_t202" style="position:absolute;left:57310;top:-642;width:9331;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30A42DAA" w14:textId="77777777" w:rsidR="00D27CCF" w:rsidRPr="00780F51" w:rsidRDefault="00D27CCF" w:rsidP="00A4453D">
                          <w:pPr>
                            <w:pStyle w:val="NormalWeb"/>
                            <w:spacing w:before="0" w:beforeAutospacing="0" w:after="0" w:afterAutospacing="0"/>
                            <w:rPr>
                              <w:sz w:val="12"/>
                              <w:szCs w:val="18"/>
                            </w:rPr>
                          </w:pPr>
                          <w:r w:rsidRPr="00780F51">
                            <w:rPr>
                              <w:color w:val="000000" w:themeColor="text1"/>
                              <w:kern w:val="24"/>
                              <w:sz w:val="12"/>
                              <w:szCs w:val="18"/>
                            </w:rPr>
                            <w:t>Solid electrolyte</w:t>
                          </w:r>
                        </w:p>
                      </w:txbxContent>
                    </v:textbox>
                  </v:shape>
                  <v:group id="Group 20" o:spid="_x0000_s1129" style="position:absolute;left:84802;top:-692;width:16155;height:10261" coordorigin="84802,-692" coordsize="16155,1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21" o:spid="_x0000_s1130" type="#_x0000_t75" style="position:absolute;left:92037;top:1209;width:5913;height:5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">
                      <v:imagedata r:id="rId28" o:title=""/>
                      <v:path arrowok="t"/>
                    </v:shape>
                    <v:shape id="Picture 22" o:spid="_x0000_s1131" type="#_x0000_t75" style="position:absolute;left:84802;top:1515;width:5902;height:4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">
                      <v:imagedata r:id="rId29" o:title=""/>
                      <v:path arrowok="t"/>
                    </v:shape>
                    <v:line id="Straight Connector 23" o:spid="_x0000_s1132" style="position:absolute;flip:y;visibility:visible;mso-wrap-style:square" from="88910,566" to="88910,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" strokecolor="black [3213]" strokeweight=".25pt">
                      <v:stroke dashstyle="dash" joinstyle="miter"/>
                    </v:line>
                    <v:shape id="Straight Arrow Connector 24" o:spid="_x0000_s1133" type="#_x0000_t32" style="position:absolute;left:89057;top:550;width:18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" strokecolor="black [3200]" strokeweight=".25pt">
                      <v:stroke dashstyle="dash" endarrow="block" endarrowwidth="narrow" endarrowlength="short" joinstyle="miter"/>
                    </v:shape>
                    <v:shape id="TextBox 143" o:spid="_x0000_s1134" type="#_x0000_t202" style="position:absolute;left:90089;top:-692;width:10868;height:3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2578948C" w14:textId="77777777" w:rsidR="00D27CCF" w:rsidRPr="00780F51" w:rsidRDefault="00D27CCF" w:rsidP="00A4453D">
                            <w:pPr>
                              <w:pStyle w:val="NormalWeb"/>
                              <w:spacing w:before="0" w:beforeAutospacing="0" w:after="0" w:afterAutospacing="0"/>
                              <w:rPr>
                                <w:sz w:val="12"/>
                                <w:szCs w:val="18"/>
                              </w:rPr>
                            </w:pPr>
                            <w:r w:rsidRPr="00780F51">
                              <w:rPr>
                                <w:color w:val="000000" w:themeColor="text1"/>
                                <w:kern w:val="24"/>
                                <w:sz w:val="12"/>
                                <w:szCs w:val="18"/>
                              </w:rPr>
                              <w:t>Oxygen (O</w:t>
                            </w:r>
                            <w:r w:rsidRPr="00780F51">
                              <w:rPr>
                                <w:color w:val="000000" w:themeColor="text1"/>
                                <w:kern w:val="24"/>
                                <w:position w:val="-3"/>
                                <w:sz w:val="12"/>
                                <w:szCs w:val="18"/>
                                <w:vertAlign w:val="subscript"/>
                              </w:rPr>
                              <w:t>2</w:t>
                            </w:r>
                            <w:r w:rsidRPr="00780F51">
                              <w:rPr>
                                <w:color w:val="000000" w:themeColor="text1"/>
                                <w:kern w:val="24"/>
                                <w:sz w:val="12"/>
                                <w:szCs w:val="18"/>
                              </w:rPr>
                              <w:t>)</w:t>
                            </w:r>
                          </w:p>
                        </w:txbxContent>
                      </v:textbox>
                    </v:shape>
                    <v:line id="Straight Connector 26" o:spid="_x0000_s1135" style="position:absolute;flip:y;visibility:visible;mso-wrap-style:square" from="87106,5119" to="87106,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" strokecolor="black [3213]" strokeweight=".25pt">
                      <v:stroke dashstyle="dash" joinstyle="miter"/>
                    </v:line>
                    <v:shape id="Straight Arrow Connector 27" o:spid="_x0000_s1136" type="#_x0000_t32" style="position:absolute;left:87078;top:6651;width:1832;height: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" strokecolor="black [3200]" strokeweight=".25pt">
                      <v:stroke dashstyle="dash" endarrow="block" endarrowwidth="narrow" endarrowlength="short" joinstyle="miter"/>
                    </v:shape>
                    <v:shape id="TextBox 153" o:spid="_x0000_s1137" type="#_x0000_t202" style="position:absolute;left:87976;top:5483;width:9233;height:4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DE784C5" w14:textId="77777777" w:rsidR="00D27CCF" w:rsidRPr="00780F51" w:rsidRDefault="00D27CCF" w:rsidP="00A4453D">
                            <w:pPr>
                              <w:pStyle w:val="NormalWeb"/>
                              <w:spacing w:before="0" w:beforeAutospacing="0" w:after="0" w:afterAutospacing="0"/>
                              <w:rPr>
                                <w:sz w:val="12"/>
                                <w:szCs w:val="18"/>
                              </w:rPr>
                            </w:pPr>
                            <w:r w:rsidRPr="00780F51">
                              <w:rPr>
                                <w:color w:val="000000" w:themeColor="text1"/>
                                <w:kern w:val="24"/>
                                <w:sz w:val="12"/>
                                <w:szCs w:val="18"/>
                              </w:rPr>
                              <w:t>Li</w:t>
                            </w:r>
                            <w:r w:rsidRPr="00780F51">
                              <w:rPr>
                                <w:color w:val="000000" w:themeColor="text1"/>
                                <w:kern w:val="24"/>
                                <w:position w:val="-3"/>
                                <w:sz w:val="12"/>
                                <w:szCs w:val="18"/>
                                <w:vertAlign w:val="subscript"/>
                              </w:rPr>
                              <w:t>2</w:t>
                            </w:r>
                            <w:r w:rsidRPr="00780F51">
                              <w:rPr>
                                <w:color w:val="000000" w:themeColor="text1"/>
                                <w:kern w:val="24"/>
                                <w:sz w:val="12"/>
                                <w:szCs w:val="18"/>
                              </w:rPr>
                              <w:t>O</w:t>
                            </w:r>
                          </w:p>
                        </w:txbxContent>
                      </v:textbox>
                    </v:shape>
                  </v:group>
                </v:group>
                <w10:wrap anchorx="margin"/>
              </v:group>
            </w:pict>
          </mc:Fallback>
        </mc:AlternateContent>
      </w:r>
      <w:r w:rsidRPr="00E118A4">
        <w:rPr>
          <w:rFonts w:ascii="Times New Roman" w:hAnsi="Times New Roman" w:cs="Times New Roman"/>
          <w:b/>
          <w:sz w:val="20"/>
        </w:rPr>
        <w:t>Table 2</w:t>
      </w:r>
      <w:r w:rsidRPr="00E118A4">
        <w:rPr>
          <w:rFonts w:ascii="Times New Roman" w:hAnsi="Times New Roman" w:cs="Times New Roman"/>
          <w:sz w:val="20"/>
        </w:rPr>
        <w:t xml:space="preserve"> Battery technology outlook for aviation</w:t>
      </w:r>
    </w:p>
    <w:p w14:paraId="682E5891" w14:textId="64F2C18D" w:rsidR="00A4453D" w:rsidRDefault="00A4453D" w:rsidP="00DB3E65">
      <w:pPr>
        <w:rPr>
          <w:rFonts w:ascii="Times New Roman" w:hAnsi="Times New Roman"/>
          <w:sz w:val="20"/>
          <w:szCs w:val="20"/>
        </w:rPr>
      </w:pPr>
      <w:r>
        <w:rPr>
          <w:noProof/>
          <w:lang w:bidi="ar-SA"/>
        </w:rPr>
        <mc:AlternateContent>
          <mc:Choice Requires="wps">
            <w:drawing>
              <wp:anchor distT="0" distB="0" distL="114300" distR="114300" simplePos="0" relativeHeight="251658243" behindDoc="0" locked="0" layoutInCell="1" allowOverlap="1" wp14:anchorId="183D0EC7" wp14:editId="796CB59E">
                <wp:simplePos x="0" y="0"/>
                <wp:positionH relativeFrom="column">
                  <wp:posOffset>7492455</wp:posOffset>
                </wp:positionH>
                <wp:positionV relativeFrom="paragraph">
                  <wp:posOffset>3349443</wp:posOffset>
                </wp:positionV>
                <wp:extent cx="1133985" cy="326808"/>
                <wp:effectExtent l="0" t="0" r="0" b="0"/>
                <wp:wrapNone/>
                <wp:docPr id="118" name="TextBox 62"/>
                <wp:cNvGraphicFramePr/>
                <a:graphic xmlns:a="http://schemas.openxmlformats.org/drawingml/2006/main">
                  <a:graphicData uri="http://schemas.microsoft.com/office/word/2010/wordprocessingShape">
                    <wps:wsp>
                      <wps:cNvSpPr txBox="1"/>
                      <wps:spPr>
                        <a:xfrm>
                          <a:off x="0" y="0"/>
                          <a:ext cx="1133985" cy="326808"/>
                        </a:xfrm>
                        <a:prstGeom prst="rect">
                          <a:avLst/>
                        </a:prstGeom>
                        <a:noFill/>
                      </wps:spPr>
                      <wps:txbx>
                        <w:txbxContent>
                          <w:p w14:paraId="55DD3F19"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wps:txbx>
                      <wps:bodyPr wrap="square" rtlCol="0">
                        <a:noAutofit/>
                      </wps:bodyPr>
                    </wps:wsp>
                  </a:graphicData>
                </a:graphic>
              </wp:anchor>
            </w:drawing>
          </mc:Choice>
          <mc:Fallback>
            <w:pict>
              <v:shape w14:anchorId="183D0EC7" id="TextBox 62" o:spid="_x0000_s1138" type="#_x0000_t202" style="position:absolute;margin-left:589.95pt;margin-top:263.75pt;width:89.3pt;height:25.7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" filled="f" stroked="f">
                <v:textbox>
                  <w:txbxContent>
                    <w:p w14:paraId="55DD3F19" w14:textId="77777777" w:rsidR="00D27CCF" w:rsidRPr="00415662" w:rsidRDefault="00D27CCF" w:rsidP="00A4453D">
                      <w:pPr>
                        <w:pStyle w:val="NormalWeb"/>
                        <w:spacing w:before="0" w:beforeAutospacing="0" w:after="0" w:afterAutospacing="0"/>
                        <w:rPr>
                          <w:sz w:val="18"/>
                          <w:szCs w:val="18"/>
                        </w:rPr>
                      </w:pPr>
                      <w:r w:rsidRPr="00415662">
                        <w:rPr>
                          <w:color w:val="000000" w:themeColor="text1"/>
                          <w:kern w:val="24"/>
                          <w:sz w:val="18"/>
                          <w:szCs w:val="18"/>
                        </w:rPr>
                        <w:t>Not specified</w:t>
                      </w:r>
                    </w:p>
                  </w:txbxContent>
                </v:textbox>
              </v:shape>
            </w:pict>
          </mc:Fallback>
        </mc:AlternateContent>
      </w:r>
      <w:r>
        <w:rPr>
          <w:noProof/>
          <w:lang w:bidi="ar-SA"/>
        </w:rPr>
        <mc:AlternateContent>
          <mc:Choice Requires="wps">
            <w:drawing>
              <wp:anchor distT="0" distB="0" distL="114300" distR="114300" simplePos="0" relativeHeight="251658242" behindDoc="0" locked="0" layoutInCell="1" allowOverlap="1" wp14:anchorId="5A80599F" wp14:editId="08FAFFE8">
                <wp:simplePos x="0" y="0"/>
                <wp:positionH relativeFrom="column">
                  <wp:posOffset>4655515</wp:posOffset>
                </wp:positionH>
                <wp:positionV relativeFrom="paragraph">
                  <wp:posOffset>2644584</wp:posOffset>
                </wp:positionV>
                <wp:extent cx="1226742" cy="450813"/>
                <wp:effectExtent l="0" t="0" r="0" b="0"/>
                <wp:wrapNone/>
                <wp:docPr id="117" name="TextBox 44"/>
                <wp:cNvGraphicFramePr/>
                <a:graphic xmlns:a="http://schemas.openxmlformats.org/drawingml/2006/main">
                  <a:graphicData uri="http://schemas.microsoft.com/office/word/2010/wordprocessingShape">
                    <wps:wsp>
                      <wps:cNvSpPr txBox="1"/>
                      <wps:spPr>
                        <a:xfrm>
                          <a:off x="0" y="0"/>
                          <a:ext cx="1226742" cy="450813"/>
                        </a:xfrm>
                        <a:prstGeom prst="rect">
                          <a:avLst/>
                        </a:prstGeom>
                        <a:noFill/>
                      </wps:spPr>
                      <wps:txbx>
                        <w:txbxContent>
                          <w:p w14:paraId="23CA9181" w14:textId="48AA1946" w:rsidR="00D27CCF" w:rsidRPr="001676A9"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Carbon black</w:t>
                            </w:r>
                            <w:r w:rsidRPr="00455B29">
                              <w:rPr>
                                <w:color w:val="000000" w:themeColor="text1"/>
                                <w:kern w:val="24"/>
                                <w:sz w:val="18"/>
                                <w:szCs w:val="18"/>
                                <w:vertAlign w:val="superscript"/>
                              </w:rPr>
                              <w:t>3,6</w:t>
                            </w:r>
                          </w:p>
                        </w:txbxContent>
                      </wps:txbx>
                      <wps:bodyPr wrap="square" rtlCol="0">
                        <a:noAutofit/>
                      </wps:bodyPr>
                    </wps:wsp>
                  </a:graphicData>
                </a:graphic>
              </wp:anchor>
            </w:drawing>
          </mc:Choice>
          <mc:Fallback>
            <w:pict>
              <v:shape w14:anchorId="5A80599F" id="TextBox 44" o:spid="_x0000_s1139" type="#_x0000_t202" style="position:absolute;margin-left:366.6pt;margin-top:208.25pt;width:96.6pt;height:35.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" filled="f" stroked="f">
                <v:textbox>
                  <w:txbxContent>
                    <w:p w14:paraId="23CA9181" w14:textId="48AA1946" w:rsidR="00D27CCF" w:rsidRPr="001676A9"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Carbon black</w:t>
                      </w:r>
                      <w:r w:rsidRPr="00455B29">
                        <w:rPr>
                          <w:color w:val="000000" w:themeColor="text1"/>
                          <w:kern w:val="24"/>
                          <w:sz w:val="18"/>
                          <w:szCs w:val="18"/>
                          <w:vertAlign w:val="superscript"/>
                        </w:rPr>
                        <w:t>3,6</w:t>
                      </w:r>
                    </w:p>
                  </w:txbxContent>
                </v:textbox>
              </v:shape>
            </w:pict>
          </mc:Fallback>
        </mc:AlternateContent>
      </w:r>
      <w:r>
        <w:rPr>
          <w:noProof/>
          <w:lang w:bidi="ar-SA"/>
        </w:rPr>
        <mc:AlternateContent>
          <mc:Choice Requires="wps">
            <w:drawing>
              <wp:anchor distT="0" distB="0" distL="114300" distR="114300" simplePos="0" relativeHeight="251658241" behindDoc="0" locked="0" layoutInCell="1" allowOverlap="1" wp14:anchorId="20382446" wp14:editId="24D465BA">
                <wp:simplePos x="0" y="0"/>
                <wp:positionH relativeFrom="column">
                  <wp:posOffset>3312886</wp:posOffset>
                </wp:positionH>
                <wp:positionV relativeFrom="paragraph">
                  <wp:posOffset>2656568</wp:posOffset>
                </wp:positionV>
                <wp:extent cx="1226742" cy="450813"/>
                <wp:effectExtent l="0" t="0" r="0" b="0"/>
                <wp:wrapNone/>
                <wp:docPr id="1" name="TextBox 44"/>
                <wp:cNvGraphicFramePr/>
                <a:graphic xmlns:a="http://schemas.openxmlformats.org/drawingml/2006/main">
                  <a:graphicData uri="http://schemas.microsoft.com/office/word/2010/wordprocessingShape">
                    <wps:wsp>
                      <wps:cNvSpPr txBox="1"/>
                      <wps:spPr>
                        <a:xfrm>
                          <a:off x="0" y="0"/>
                          <a:ext cx="1226742" cy="450813"/>
                        </a:xfrm>
                        <a:prstGeom prst="rect">
                          <a:avLst/>
                        </a:prstGeom>
                        <a:noFill/>
                      </wps:spPr>
                      <wps:txbx>
                        <w:txbxContent>
                          <w:p w14:paraId="2D3CB929" w14:textId="197C41EA" w:rsidR="00D27CCF" w:rsidRPr="001676A9"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Carbon black</w:t>
                            </w:r>
                            <w:r w:rsidRPr="00455B29">
                              <w:rPr>
                                <w:kern w:val="24"/>
                                <w:sz w:val="18"/>
                                <w:szCs w:val="18"/>
                                <w:vertAlign w:val="superscript"/>
                              </w:rPr>
                              <w:t>3,6</w:t>
                            </w:r>
                          </w:p>
                        </w:txbxContent>
                      </wps:txbx>
                      <wps:bodyPr wrap="square" rtlCol="0">
                        <a:noAutofit/>
                      </wps:bodyPr>
                    </wps:wsp>
                  </a:graphicData>
                </a:graphic>
              </wp:anchor>
            </w:drawing>
          </mc:Choice>
          <mc:Fallback>
            <w:pict>
              <v:shape w14:anchorId="20382446" id="_x0000_s1140" type="#_x0000_t202" style="position:absolute;margin-left:260.85pt;margin-top:209.2pt;width:96.6pt;height:35.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" filled="f" stroked="f">
                <v:textbox>
                  <w:txbxContent>
                    <w:p w14:paraId="2D3CB929" w14:textId="197C41EA" w:rsidR="00D27CCF" w:rsidRPr="001676A9" w:rsidRDefault="00D27CCF" w:rsidP="00A4453D">
                      <w:pPr>
                        <w:pStyle w:val="NormalWeb"/>
                        <w:spacing w:before="0" w:beforeAutospacing="0" w:after="0" w:afterAutospacing="0"/>
                        <w:rPr>
                          <w:color w:val="C00000"/>
                          <w:sz w:val="14"/>
                          <w:szCs w:val="18"/>
                        </w:rPr>
                      </w:pPr>
                      <w:r w:rsidRPr="00415662">
                        <w:rPr>
                          <w:color w:val="000000" w:themeColor="text1"/>
                          <w:kern w:val="24"/>
                          <w:sz w:val="18"/>
                          <w:szCs w:val="18"/>
                        </w:rPr>
                        <w:t>Carbon black</w:t>
                      </w:r>
                      <w:r w:rsidRPr="00455B29">
                        <w:rPr>
                          <w:kern w:val="24"/>
                          <w:sz w:val="18"/>
                          <w:szCs w:val="18"/>
                          <w:vertAlign w:val="superscript"/>
                        </w:rPr>
                        <w:t>3,6</w:t>
                      </w:r>
                    </w:p>
                  </w:txbxContent>
                </v:textbox>
              </v:shape>
            </w:pict>
          </mc:Fallback>
        </mc:AlternateContent>
      </w:r>
    </w:p>
    <w:p w14:paraId="65D2885E" w14:textId="77777777" w:rsidR="00DB3E65" w:rsidRDefault="00DB3E65" w:rsidP="00DB3E65">
      <w:pPr>
        <w:rPr>
          <w:rFonts w:ascii="Times New Roman" w:hAnsi="Times New Roman"/>
          <w:sz w:val="20"/>
          <w:szCs w:val="20"/>
        </w:rPr>
      </w:pPr>
    </w:p>
    <w:p w14:paraId="64526730" w14:textId="77777777" w:rsidR="00DB3E65" w:rsidRDefault="00DB3E65" w:rsidP="00DB3E65">
      <w:pPr>
        <w:rPr>
          <w:rFonts w:ascii="Times New Roman" w:hAnsi="Times New Roman"/>
          <w:sz w:val="20"/>
          <w:szCs w:val="20"/>
        </w:rPr>
      </w:pPr>
    </w:p>
    <w:p w14:paraId="4184DD17" w14:textId="77777777" w:rsidR="00DB3E65" w:rsidRDefault="00DB3E65" w:rsidP="00DB3E65">
      <w:pPr>
        <w:rPr>
          <w:rFonts w:ascii="Times New Roman" w:hAnsi="Times New Roman"/>
          <w:sz w:val="20"/>
          <w:szCs w:val="20"/>
        </w:rPr>
      </w:pPr>
    </w:p>
    <w:p w14:paraId="2312B458" w14:textId="77777777" w:rsidR="00DB3E65" w:rsidRDefault="00DB3E65" w:rsidP="00DB3E65">
      <w:pPr>
        <w:rPr>
          <w:rFonts w:ascii="Times New Roman" w:hAnsi="Times New Roman"/>
          <w:sz w:val="20"/>
          <w:szCs w:val="20"/>
        </w:rPr>
      </w:pPr>
    </w:p>
    <w:p w14:paraId="11560477" w14:textId="77777777" w:rsidR="00DB3E65" w:rsidRDefault="00DB3E65" w:rsidP="00DB3E65">
      <w:pPr>
        <w:rPr>
          <w:rFonts w:ascii="Times New Roman" w:hAnsi="Times New Roman"/>
          <w:sz w:val="20"/>
          <w:szCs w:val="20"/>
        </w:rPr>
      </w:pPr>
    </w:p>
    <w:p w14:paraId="12FA1470" w14:textId="77777777" w:rsidR="00DB3E65" w:rsidRDefault="00DB3E65" w:rsidP="00DB3E65">
      <w:pPr>
        <w:rPr>
          <w:rFonts w:ascii="Times New Roman" w:hAnsi="Times New Roman"/>
          <w:sz w:val="20"/>
          <w:szCs w:val="20"/>
        </w:rPr>
      </w:pPr>
    </w:p>
    <w:p w14:paraId="3C350A10" w14:textId="77777777" w:rsidR="00DB3E65" w:rsidRDefault="00DB3E65" w:rsidP="00DB3E65">
      <w:pPr>
        <w:rPr>
          <w:rFonts w:ascii="Times New Roman" w:hAnsi="Times New Roman"/>
          <w:sz w:val="20"/>
          <w:szCs w:val="20"/>
        </w:rPr>
      </w:pPr>
    </w:p>
    <w:p w14:paraId="02703F7B" w14:textId="77777777" w:rsidR="00DB3E65" w:rsidRDefault="00DB3E65" w:rsidP="00DB3E65">
      <w:pPr>
        <w:rPr>
          <w:rFonts w:ascii="Times New Roman" w:hAnsi="Times New Roman"/>
          <w:sz w:val="20"/>
          <w:szCs w:val="20"/>
        </w:rPr>
      </w:pPr>
    </w:p>
    <w:p w14:paraId="6800202A" w14:textId="77777777" w:rsidR="00DB3E65" w:rsidRDefault="00DB3E65" w:rsidP="00DB3E65">
      <w:pPr>
        <w:rPr>
          <w:rFonts w:ascii="Times New Roman" w:hAnsi="Times New Roman"/>
          <w:sz w:val="20"/>
          <w:szCs w:val="20"/>
        </w:rPr>
      </w:pPr>
    </w:p>
    <w:p w14:paraId="63C02958" w14:textId="77777777" w:rsidR="00DB3E65" w:rsidRDefault="00DB3E65" w:rsidP="00DB3E65">
      <w:pPr>
        <w:rPr>
          <w:rFonts w:ascii="Times New Roman" w:hAnsi="Times New Roman"/>
          <w:sz w:val="20"/>
          <w:szCs w:val="20"/>
        </w:rPr>
      </w:pPr>
    </w:p>
    <w:p w14:paraId="14656779" w14:textId="77777777" w:rsidR="00DB3E65" w:rsidRDefault="00DB3E65" w:rsidP="00DB3E65">
      <w:pPr>
        <w:rPr>
          <w:rFonts w:ascii="Times New Roman" w:hAnsi="Times New Roman"/>
          <w:sz w:val="20"/>
          <w:szCs w:val="20"/>
        </w:rPr>
      </w:pPr>
    </w:p>
    <w:p w14:paraId="2E2BE253" w14:textId="77777777" w:rsidR="00DB3E65" w:rsidRDefault="00DB3E65" w:rsidP="00DB3E65">
      <w:pPr>
        <w:rPr>
          <w:rFonts w:ascii="Times New Roman" w:hAnsi="Times New Roman"/>
          <w:sz w:val="20"/>
          <w:szCs w:val="20"/>
        </w:rPr>
      </w:pPr>
    </w:p>
    <w:p w14:paraId="4EC48C18" w14:textId="77777777" w:rsidR="00DB3E65" w:rsidRDefault="00DB3E65" w:rsidP="00DB3E65">
      <w:pPr>
        <w:rPr>
          <w:rFonts w:ascii="Times New Roman" w:hAnsi="Times New Roman"/>
          <w:sz w:val="20"/>
          <w:szCs w:val="20"/>
        </w:rPr>
      </w:pPr>
    </w:p>
    <w:p w14:paraId="6CD49E7E" w14:textId="77777777" w:rsidR="00DB3E65" w:rsidRDefault="00DB3E65" w:rsidP="00DB3E65">
      <w:pPr>
        <w:rPr>
          <w:rFonts w:ascii="Times New Roman" w:hAnsi="Times New Roman"/>
          <w:sz w:val="20"/>
          <w:szCs w:val="20"/>
        </w:rPr>
      </w:pPr>
    </w:p>
    <w:p w14:paraId="641C5EF5" w14:textId="77777777" w:rsidR="00DB3E65" w:rsidRDefault="00DB3E65" w:rsidP="00DB3E65">
      <w:pPr>
        <w:rPr>
          <w:rFonts w:ascii="Times New Roman" w:hAnsi="Times New Roman"/>
          <w:sz w:val="20"/>
          <w:szCs w:val="20"/>
        </w:rPr>
      </w:pPr>
    </w:p>
    <w:p w14:paraId="3982F8CE" w14:textId="77777777" w:rsidR="00DB3E65" w:rsidRDefault="00DB3E65" w:rsidP="00DB3E65">
      <w:pPr>
        <w:rPr>
          <w:rFonts w:ascii="Times New Roman" w:hAnsi="Times New Roman"/>
          <w:sz w:val="20"/>
          <w:szCs w:val="20"/>
        </w:rPr>
      </w:pPr>
    </w:p>
    <w:p w14:paraId="20DBC891" w14:textId="77777777" w:rsidR="00DB3E65" w:rsidRDefault="00DB3E65" w:rsidP="00DB3E65">
      <w:pPr>
        <w:rPr>
          <w:rFonts w:ascii="Times New Roman" w:hAnsi="Times New Roman"/>
          <w:sz w:val="20"/>
          <w:szCs w:val="20"/>
        </w:rPr>
      </w:pPr>
    </w:p>
    <w:p w14:paraId="60D1A5A4" w14:textId="77777777" w:rsidR="00DB3E65" w:rsidRDefault="00DB3E65" w:rsidP="00DB3E65">
      <w:pPr>
        <w:rPr>
          <w:rFonts w:ascii="Times New Roman" w:hAnsi="Times New Roman"/>
          <w:sz w:val="20"/>
          <w:szCs w:val="20"/>
        </w:rPr>
      </w:pPr>
    </w:p>
    <w:p w14:paraId="14EBC915" w14:textId="77777777" w:rsidR="00DC76F9" w:rsidRPr="00DC76F9" w:rsidRDefault="00DC76F9" w:rsidP="00DC76F9">
      <w:pPr>
        <w:pStyle w:val="NormalWeb"/>
        <w:spacing w:before="0" w:beforeAutospacing="0" w:after="0" w:afterAutospacing="0" w:line="276" w:lineRule="auto"/>
        <w:jc w:val="thaiDistribute"/>
        <w:rPr>
          <w:color w:val="000000" w:themeColor="text1"/>
          <w:sz w:val="16"/>
          <w:szCs w:val="16"/>
        </w:rPr>
      </w:pPr>
      <w:r w:rsidRPr="00DC76F9">
        <w:rPr>
          <w:rFonts w:eastAsia="Calibri"/>
          <w:color w:val="000000" w:themeColor="text1"/>
          <w:kern w:val="24"/>
          <w:position w:val="5"/>
          <w:sz w:val="16"/>
          <w:szCs w:val="16"/>
          <w:vertAlign w:val="superscript"/>
        </w:rPr>
        <w:t>1</w:t>
      </w:r>
      <w:r w:rsidRPr="00DC76F9">
        <w:rPr>
          <w:rFonts w:eastAsia="Calibri"/>
          <w:color w:val="000000" w:themeColor="text1"/>
          <w:kern w:val="24"/>
          <w:sz w:val="16"/>
          <w:szCs w:val="16"/>
        </w:rPr>
        <w:t xml:space="preserve"> Energy density is reported at the cell level derived from published papers and reports which were available at the time of writing.</w:t>
      </w:r>
      <w:r w:rsidRPr="00DC76F9">
        <w:rPr>
          <w:rFonts w:eastAsia="Calibri"/>
          <w:color w:val="000000" w:themeColor="text1"/>
          <w:kern w:val="24"/>
          <w:position w:val="5"/>
          <w:sz w:val="16"/>
          <w:szCs w:val="16"/>
          <w:vertAlign w:val="superscript"/>
        </w:rPr>
        <w:t>2</w:t>
      </w:r>
      <w:r w:rsidRPr="00DC76F9">
        <w:rPr>
          <w:rFonts w:eastAsia="Calibri"/>
          <w:color w:val="000000" w:themeColor="text1"/>
          <w:kern w:val="24"/>
          <w:sz w:val="16"/>
          <w:szCs w:val="16"/>
        </w:rPr>
        <w:t xml:space="preserve"> Life-cycle of battery is represented for 100% Depth of Discharge (DoD).</w:t>
      </w:r>
    </w:p>
    <w:p w14:paraId="4A058B48" w14:textId="137037D3" w:rsidR="00DB3E65" w:rsidRPr="00DA45DF" w:rsidRDefault="00DC76F9" w:rsidP="00DC76F9">
      <w:pPr>
        <w:pStyle w:val="NormalWeb"/>
        <w:spacing w:before="0" w:beforeAutospacing="0" w:after="0" w:afterAutospacing="0" w:line="276" w:lineRule="auto"/>
        <w:jc w:val="thaiDistribute"/>
        <w:rPr>
          <w:color w:val="000000" w:themeColor="text1"/>
          <w:sz w:val="16"/>
          <w:szCs w:val="16"/>
          <w:lang w:val="fr-FR"/>
        </w:rPr>
        <w:sectPr w:rsidR="00DB3E65" w:rsidRPr="00DA45DF" w:rsidSect="00A4453D">
          <w:pgSz w:w="15840" w:h="12240" w:orient="landscape"/>
          <w:pgMar w:top="1440" w:right="1440" w:bottom="1440" w:left="1440" w:header="720" w:footer="720" w:gutter="0"/>
          <w:lnNumType w:countBy="1" w:restart="continuous"/>
          <w:cols w:space="720"/>
          <w:docGrid w:linePitch="360"/>
        </w:sectPr>
      </w:pPr>
      <w:r w:rsidRPr="00DC76F9">
        <w:rPr>
          <w:rFonts w:eastAsia="Calibri"/>
          <w:color w:val="000000" w:themeColor="text1"/>
          <w:kern w:val="24"/>
          <w:sz w:val="16"/>
          <w:szCs w:val="16"/>
        </w:rPr>
        <w:t xml:space="preserve">LFP: Lithium Ferro Phosphate; LMO: Lithium Manganese Oxide; NCA: Nickel-Cobalt-Aluminum; NCM: Nickel-Cobalt-Manganese; PAA: Polyacrylic acid; PEI: Polyethyleneimine; PVDF: Polyvinylidene fluoride; PVP: Polyvinyl pyrrolidone; TRL: Technology Readiness Level. </w:t>
      </w:r>
      <w:r w:rsidR="00DB3E65" w:rsidRPr="00DC76F9">
        <w:rPr>
          <w:color w:val="000000" w:themeColor="text1"/>
          <w:sz w:val="16"/>
          <w:szCs w:val="16"/>
        </w:rPr>
        <w:t xml:space="preserve">Sources: </w:t>
      </w:r>
      <w:r w:rsidR="00DB3E65" w:rsidRPr="00DC76F9">
        <w:rPr>
          <w:color w:val="000000" w:themeColor="text1"/>
          <w:sz w:val="16"/>
          <w:szCs w:val="16"/>
          <w:vertAlign w:val="superscript"/>
        </w:rPr>
        <w:t>3</w:t>
      </w:r>
      <w:r w:rsidR="0001318B">
        <w:rPr>
          <w:color w:val="000000" w:themeColor="text1"/>
          <w:sz w:val="16"/>
          <w:szCs w:val="16"/>
          <w:vertAlign w:val="superscript"/>
        </w:rPr>
        <w:fldChar w:fldCharType="begin"/>
      </w:r>
      <w:r w:rsidR="0051129D">
        <w:rPr>
          <w:color w:val="000000" w:themeColor="text1"/>
          <w:sz w:val="16"/>
          <w:szCs w:val="16"/>
          <w:vertAlign w:val="superscript"/>
        </w:rPr>
        <w:instrText xml:space="preserve"> ADDIN ZOTERO_ITEM CSL_CITATION {"citationID":"WbSOcCCU","properties":{"formattedCitation":"[228]","plainCitation":"[228]","noteIndex":0},"citationItems":[{"id":4594,"uris":["http://zotero.org/groups/2763812/items/62SEIFHH"],"uri":["http://zotero.org/groups/2763812/items/62SEIFHH"],"itemData":{"id":4594,"type":"report","note":"issue: 13\ncontainer-title: UN Conference on Trade and Development","number":"9789210048293","title":"Special issue on strategic battery raw materials","author":[{"literal":"United Nation"}],"issued":{"date-parts":[["2020"]]}}}],"schema":"https://github.com/citation-style-language/schema/raw/master/csl-citation.json"} </w:instrText>
      </w:r>
      <w:r w:rsidR="0001318B">
        <w:rPr>
          <w:color w:val="000000" w:themeColor="text1"/>
          <w:sz w:val="16"/>
          <w:szCs w:val="16"/>
          <w:vertAlign w:val="superscript"/>
        </w:rPr>
        <w:fldChar w:fldCharType="separate"/>
      </w:r>
      <w:r w:rsidR="0001318B" w:rsidRPr="0001318B">
        <w:rPr>
          <w:sz w:val="16"/>
        </w:rPr>
        <w:t>[228]</w:t>
      </w:r>
      <w:r w:rsidR="0001318B">
        <w:rPr>
          <w:color w:val="000000" w:themeColor="text1"/>
          <w:sz w:val="16"/>
          <w:szCs w:val="16"/>
          <w:vertAlign w:val="superscript"/>
        </w:rPr>
        <w:fldChar w:fldCharType="end"/>
      </w:r>
      <w:r w:rsidR="00DB3E65" w:rsidRPr="00DC76F9">
        <w:rPr>
          <w:color w:val="000000" w:themeColor="text1"/>
          <w:kern w:val="24"/>
          <w:sz w:val="16"/>
          <w:szCs w:val="16"/>
        </w:rPr>
        <w:t xml:space="preserve">; </w:t>
      </w:r>
      <w:r w:rsidR="00DB3E65" w:rsidRPr="00DC76F9">
        <w:rPr>
          <w:color w:val="000000" w:themeColor="text1"/>
          <w:kern w:val="24"/>
          <w:sz w:val="16"/>
          <w:szCs w:val="16"/>
          <w:vertAlign w:val="superscript"/>
        </w:rPr>
        <w:t>4</w:t>
      </w:r>
      <w:r w:rsidR="0001318B">
        <w:rPr>
          <w:color w:val="000000" w:themeColor="text1"/>
          <w:kern w:val="24"/>
          <w:sz w:val="16"/>
          <w:szCs w:val="16"/>
        </w:rPr>
        <w:fldChar w:fldCharType="begin"/>
      </w:r>
      <w:r w:rsidR="0051129D">
        <w:rPr>
          <w:color w:val="000000" w:themeColor="text1"/>
          <w:kern w:val="24"/>
          <w:sz w:val="16"/>
          <w:szCs w:val="16"/>
        </w:rPr>
        <w:instrText xml:space="preserve"> ADDIN ZOTERO_ITEM CSL_CITATION {"citationID":"D3MwXLWG","properties":{"formattedCitation":"[229]","plainCitation":"[229]","noteIndex":0},"citationItems":[{"id":67,"uris":["http://zotero.org/groups/2763812/items/6ZH7AWZT"],"uri":["http://zotero.org/groups/2763812/items/6ZH7AWZT"],"itemData":{"id":67,"type":"report","abstract":"This report is a first attempt to integrate raw materials into the CEMAC benchmark framework. Benchmarking raw materials provides a broader view supply chain from mines to the manufacturer of clean energy technologies. This report provides insight into resource location and ownership, global production, demand, and trade, highlighting potential supply chain risks and opportunities. The report focuses on the lithium and cobalt supply chains. It serves as a foundation for incorporating the raw materials link for other clean energy technologies into future benchmark reports.","number":"August","publisher":"Clean Energy Manufacturing Analysis Center, National Renewable Energy Laboratory","title":"Supply chain of raw materials used in the manufacturing of light-duty vehicle lithium-ion batteries","author":[{"family":"Igogo","given":"Tsisilile"},{"family":"Sandor","given":"Debra"},{"family":"Mayyas","given":"Ahmad"},{"family":"Engel-cox","given":"Jill"}],"issued":{"date-parts":[["2019"]]}}}],"schema":"https://github.com/citation-style-language/schema/raw/master/csl-citation.json"} </w:instrText>
      </w:r>
      <w:r w:rsidR="0001318B">
        <w:rPr>
          <w:color w:val="000000" w:themeColor="text1"/>
          <w:kern w:val="24"/>
          <w:sz w:val="16"/>
          <w:szCs w:val="16"/>
        </w:rPr>
        <w:fldChar w:fldCharType="separate"/>
      </w:r>
      <w:r w:rsidR="0001318B" w:rsidRPr="0001318B">
        <w:rPr>
          <w:sz w:val="16"/>
        </w:rPr>
        <w:t>[229]</w:t>
      </w:r>
      <w:r w:rsidR="0001318B">
        <w:rPr>
          <w:color w:val="000000" w:themeColor="text1"/>
          <w:kern w:val="24"/>
          <w:sz w:val="16"/>
          <w:szCs w:val="16"/>
        </w:rPr>
        <w:fldChar w:fldCharType="end"/>
      </w:r>
      <w:r w:rsidR="0001318B">
        <w:rPr>
          <w:color w:val="000000" w:themeColor="text1"/>
          <w:kern w:val="24"/>
          <w:sz w:val="16"/>
          <w:szCs w:val="16"/>
        </w:rPr>
        <w:t xml:space="preserve">; </w:t>
      </w:r>
      <w:r w:rsidR="0001318B">
        <w:rPr>
          <w:color w:val="000000" w:themeColor="text1"/>
          <w:kern w:val="24"/>
          <w:sz w:val="16"/>
          <w:szCs w:val="16"/>
          <w:vertAlign w:val="superscript"/>
        </w:rPr>
        <w:t>5</w:t>
      </w:r>
      <w:r w:rsidR="0001318B">
        <w:rPr>
          <w:color w:val="000000" w:themeColor="text1"/>
          <w:kern w:val="24"/>
          <w:sz w:val="16"/>
          <w:szCs w:val="16"/>
          <w:vertAlign w:val="superscript"/>
        </w:rPr>
        <w:fldChar w:fldCharType="begin"/>
      </w:r>
      <w:r w:rsidR="00752A1E">
        <w:rPr>
          <w:color w:val="000000" w:themeColor="text1"/>
          <w:kern w:val="24"/>
          <w:sz w:val="16"/>
          <w:szCs w:val="16"/>
          <w:vertAlign w:val="superscript"/>
        </w:rPr>
        <w:instrText xml:space="preserve"> ADDIN ZOTERO_ITEM CSL_CITATION {"citationID":"75Ehh1r4","properties":{"formattedCitation":"[230]","plainCitation":"[230]","noteIndex":0},"citationItems":[{"id":"968HXJ10/ULntkgtW","uris":["http://www.mendeley.com/documents/?uuid=90a14080-2444-4479-8dd4-bb23bf7f390c"],"uri":["http://www.mendeley.com/documents/?uuid=90a14080-2444-4479-8dd4-bb23bf7f390c"],"itemData":{"DOI":"10.1038/s41560-018-0107-2","ISSN":"20587546","abstract":"It is widely accepted that for electric vehicles to be accepted by consumers and to achieve wide market penetration, ranges of at least 500 km at an affordable cost are required. Therefore, significant improvements to lithium-ion batteries (LIBs) in terms of energy density and cost along the battery value chain are required, while other key performance indicators, such as lifetime, safety, fast-charging ability and low-temperature performance, need to be enhanced or at least sustained. Here, we review advances and challenges in LIB materials for automotive applications, in particular with respect to cost and performance parameters. The production processes of anode and cathode materials are discussed, focusing on material abundance and cost. Advantages and challenges of different types of electrolyte for automotive batteries are examined. Finally, energy densities and costs of promising battery chemistries are critically evaluated along with an assessment of the potential to fulfil the ambitious targets of electric vehicle propulsion.","author":[{"dropping-particle":"","family":"Schmuch","given":"Richard","non-dropping-particle":"","parse-names":false,"suffix":""},{"dropping-particle":"","family":"Wagner","given":"Ralf","non-dropping-particle":"","parse-names":false,"suffix":""},{"dropping-particle":"","family":"Hörpel","given":"Gerhard","non-dropping-particle":"","parse-names":false,"suffix":""},{"dropping-particle":"","family":"Placke","given":"Tobias","non-dropping-particle":"","parse-names":false,"suffix":""},{"dropping-particle":"","family":"Winter","given":"Martin","non-dropping-particle":"","parse-names":false,"suffix":""}],"container-title":"Nature Energy","id":"b1cZl8eI/4milGWl8","issue":"4","issued":{"date-parts":[["2018"]]},"page":"267-278","publisher":"Springer US","title":"Performance and cost of materials for lithium-based rechargeable automotive batteries","type":"article-journal","volume":"3"}}],"schema":"https://github.com/citation-style-language/schema/raw/master/csl-citation.json"} </w:instrText>
      </w:r>
      <w:r w:rsidR="0001318B">
        <w:rPr>
          <w:color w:val="000000" w:themeColor="text1"/>
          <w:kern w:val="24"/>
          <w:sz w:val="16"/>
          <w:szCs w:val="16"/>
          <w:vertAlign w:val="superscript"/>
        </w:rPr>
        <w:fldChar w:fldCharType="separate"/>
      </w:r>
      <w:r w:rsidR="0001318B" w:rsidRPr="00A9537A">
        <w:rPr>
          <w:sz w:val="16"/>
        </w:rPr>
        <w:t>[230]</w:t>
      </w:r>
      <w:r w:rsidR="0001318B">
        <w:rPr>
          <w:color w:val="000000" w:themeColor="text1"/>
          <w:kern w:val="24"/>
          <w:sz w:val="16"/>
          <w:szCs w:val="16"/>
          <w:vertAlign w:val="superscript"/>
        </w:rPr>
        <w:fldChar w:fldCharType="end"/>
      </w:r>
      <w:r w:rsidR="009C5095" w:rsidRPr="00A9537A">
        <w:rPr>
          <w:color w:val="000000" w:themeColor="text1"/>
          <w:kern w:val="24"/>
          <w:sz w:val="16"/>
          <w:szCs w:val="16"/>
        </w:rPr>
        <w:t xml:space="preserve">; </w:t>
      </w:r>
      <w:r w:rsidR="0023751C" w:rsidRPr="00880232">
        <w:rPr>
          <w:color w:val="000000" w:themeColor="text1"/>
          <w:kern w:val="24"/>
          <w:sz w:val="16"/>
          <w:szCs w:val="16"/>
          <w:vertAlign w:val="superscript"/>
        </w:rPr>
        <w:t>6</w:t>
      </w:r>
      <w:r w:rsidR="00A9537A" w:rsidRPr="00A9537A">
        <w:rPr>
          <w:color w:val="000000" w:themeColor="text1"/>
          <w:kern w:val="24"/>
          <w:sz w:val="16"/>
          <w:szCs w:val="16"/>
        </w:rPr>
        <w:t>[231]</w:t>
      </w:r>
      <w:r w:rsidR="009C5095" w:rsidRPr="00A9537A">
        <w:rPr>
          <w:color w:val="000000" w:themeColor="text1"/>
          <w:kern w:val="24"/>
          <w:sz w:val="16"/>
          <w:szCs w:val="16"/>
        </w:rPr>
        <w:t xml:space="preserve">; </w:t>
      </w:r>
      <w:r w:rsidR="0099123F" w:rsidRPr="00A9537A">
        <w:rPr>
          <w:color w:val="000000" w:themeColor="text1"/>
          <w:kern w:val="24"/>
          <w:sz w:val="16"/>
          <w:szCs w:val="16"/>
          <w:vertAlign w:val="superscript"/>
        </w:rPr>
        <w:t>7</w:t>
      </w:r>
      <w:r w:rsidR="0099123F">
        <w:rPr>
          <w:color w:val="000000" w:themeColor="text1"/>
          <w:kern w:val="24"/>
          <w:sz w:val="16"/>
          <w:szCs w:val="16"/>
        </w:rPr>
        <w:fldChar w:fldCharType="begin"/>
      </w:r>
      <w:r w:rsidR="0051129D">
        <w:rPr>
          <w:color w:val="000000" w:themeColor="text1"/>
          <w:kern w:val="24"/>
          <w:sz w:val="16"/>
          <w:szCs w:val="16"/>
        </w:rPr>
        <w:instrText xml:space="preserve"> ADDIN ZOTERO_ITEM CSL_CITATION {"citationID":"y8gFbN3D","properties":{"formattedCitation":"[231]","plainCitation":"[231]","noteIndex":0},"citationItems":[{"id":2296,"uris":["http://zotero.org/groups/2763812/items/NAE6SJH6"],"uri":["http://zotero.org/groups/2763812/items/NAE6SJH6"],"itemData":{"id":2296,"type":"article-journal","abstract":"With the rapid increase in production of lithium-ion batteries (LIBs) and environmental issues arising around the world, cathode materials, as the key component of all LIBs, especially need to be environmentally sustainable. However, a variety of life cycle assessment (LCA) methods increase the difficulty of environmental sustainability assessment. Three authoritative LCAs, IMPACT 2002+, Eco-indicator 99(EI-99), and ReCiPe, are used to assess three traditional marketization cathode materials, compared with a new cathode model, FeF 3 (H 2 O) 3 /C. They all show that four cathode models are ranked by a descending sequence of environmental sustainable potential: FeF 3 (H 2 O) 3 /C, LiFe 0.98 Mn 0.02 PO 4 /C, LiFePO 4 /C, and LiCoO 2 /C in total values. Human health is a common issue regarding these four cathode materials. Lithium is the main contributor to the environmental impact of the latter three cathode materials. At the midpoint level in different LCAs, the toxicity and land issues for LiCoO 2 /C, the non-renewable resource consumption for LiFePO 4 /C, the metal resource consumption for LiFe 0.98 Mn 0.02 PO 4 /C, and the mineral refinement for FeF 3 (H 2 O) 3 /C show relatively low environmental sustainability. Three LCAs have little influence on total endpoint and element contribution values. However, at the midpoint level, the indicator with the lowest environmental sustainability for the same cathode materials is different in different methodologies.","container-title":"Processes","DOI":"10.3390/pr7020083","issue":"2","title":"Environmental sustainability assessment of typical cathode materials of lithium-ion battery based on three LCA approaches","volume":"7","author":[{"family":"Wang","given":"Lei"},{"family":"Wu","given":"Haohui"},{"family":"Hu","given":"Yuchen"},{"family":"Yu","given":"Yajuan"},{"family":"Huang","given":"Kai"}],"issued":{"date-parts":[["2019"]]}}}],"schema":"https://github.com/citation-style-language/schema/raw/master/csl-citation.json"} </w:instrText>
      </w:r>
      <w:r w:rsidR="0099123F">
        <w:rPr>
          <w:color w:val="000000" w:themeColor="text1"/>
          <w:kern w:val="24"/>
          <w:sz w:val="16"/>
          <w:szCs w:val="16"/>
        </w:rPr>
        <w:fldChar w:fldCharType="separate"/>
      </w:r>
      <w:r w:rsidR="00880232" w:rsidRPr="00880232">
        <w:rPr>
          <w:sz w:val="16"/>
        </w:rPr>
        <w:t>[231]</w:t>
      </w:r>
      <w:r w:rsidR="0099123F">
        <w:rPr>
          <w:color w:val="000000" w:themeColor="text1"/>
          <w:kern w:val="24"/>
          <w:sz w:val="16"/>
          <w:szCs w:val="16"/>
        </w:rPr>
        <w:fldChar w:fldCharType="end"/>
      </w:r>
      <w:r w:rsidR="009C5095" w:rsidRPr="00A9537A">
        <w:rPr>
          <w:color w:val="000000" w:themeColor="text1"/>
          <w:kern w:val="24"/>
          <w:sz w:val="16"/>
          <w:szCs w:val="16"/>
        </w:rPr>
        <w:t xml:space="preserve">; </w:t>
      </w:r>
      <w:r w:rsidR="00572A07" w:rsidRPr="00880232">
        <w:rPr>
          <w:color w:val="000000" w:themeColor="text1"/>
          <w:kern w:val="24"/>
          <w:sz w:val="16"/>
          <w:szCs w:val="16"/>
          <w:vertAlign w:val="superscript"/>
        </w:rPr>
        <w:t>8</w:t>
      </w:r>
      <w:r w:rsidR="0099123F">
        <w:rPr>
          <w:color w:val="000000" w:themeColor="text1"/>
          <w:kern w:val="24"/>
          <w:sz w:val="16"/>
          <w:szCs w:val="16"/>
        </w:rPr>
        <w:fldChar w:fldCharType="begin"/>
      </w:r>
      <w:r w:rsidR="0051129D">
        <w:rPr>
          <w:color w:val="000000" w:themeColor="text1"/>
          <w:kern w:val="24"/>
          <w:sz w:val="16"/>
          <w:szCs w:val="16"/>
        </w:rPr>
        <w:instrText xml:space="preserve"> ADDIN ZOTERO_ITEM CSL_CITATION {"citationID":"UlbSbklw","properties":{"formattedCitation":"[232]","plainCitation":"[232]","noteIndex":0},"citationItems":[{"id":2028,"uris":["http://zotero.org/groups/2763812/items/ZG3SJDIH"],"uri":["http://zotero.org/groups/2763812/items/ZG3SJDIH"],"itemData":{"id":2028,"type":"book","ISBN":"978-1-78242-090-3","note":"DOI: 10.1016/B978-1-78242-090-3.00005-5","publisher":"Elsevier Ltd.","title":"5 - Materials and technologies for rechargeable lithium-sulfur batteries","author":[{"family":"Azimi","given":"N"},{"family":"Xue","given":"Z"},{"family":"Zhang","given":"S S"},{"family":"Zhang","given":"Z"}],"issued":{"date-parts":[["2015"]]}}}],"schema":"https://github.com/citation-style-language/schema/raw/master/csl-citation.json"} </w:instrText>
      </w:r>
      <w:r w:rsidR="0099123F">
        <w:rPr>
          <w:color w:val="000000" w:themeColor="text1"/>
          <w:kern w:val="24"/>
          <w:sz w:val="16"/>
          <w:szCs w:val="16"/>
        </w:rPr>
        <w:fldChar w:fldCharType="separate"/>
      </w:r>
      <w:r w:rsidR="00880232" w:rsidRPr="00880232">
        <w:rPr>
          <w:sz w:val="16"/>
        </w:rPr>
        <w:t>[232]</w:t>
      </w:r>
      <w:r w:rsidR="0099123F">
        <w:rPr>
          <w:color w:val="000000" w:themeColor="text1"/>
          <w:kern w:val="24"/>
          <w:sz w:val="16"/>
          <w:szCs w:val="16"/>
        </w:rPr>
        <w:fldChar w:fldCharType="end"/>
      </w:r>
      <w:r w:rsidR="009C5095" w:rsidRPr="00A9537A">
        <w:rPr>
          <w:color w:val="000000" w:themeColor="text1"/>
          <w:kern w:val="24"/>
          <w:sz w:val="16"/>
          <w:szCs w:val="16"/>
        </w:rPr>
        <w:t>;</w:t>
      </w:r>
      <w:r w:rsidR="00F05FC9">
        <w:rPr>
          <w:color w:val="000000" w:themeColor="text1"/>
          <w:kern w:val="24"/>
          <w:sz w:val="16"/>
          <w:szCs w:val="16"/>
        </w:rPr>
        <w:t xml:space="preserve"> </w:t>
      </w:r>
      <w:r w:rsidR="00F05FC9" w:rsidRPr="00F05FC9">
        <w:rPr>
          <w:color w:val="000000" w:themeColor="text1"/>
          <w:kern w:val="24"/>
          <w:sz w:val="16"/>
          <w:szCs w:val="16"/>
          <w:vertAlign w:val="superscript"/>
        </w:rPr>
        <w:t>9</w:t>
      </w:r>
      <w:r w:rsidR="00F05FC9">
        <w:rPr>
          <w:color w:val="000000" w:themeColor="text1"/>
          <w:kern w:val="24"/>
          <w:sz w:val="16"/>
          <w:szCs w:val="16"/>
        </w:rPr>
        <w:fldChar w:fldCharType="begin"/>
      </w:r>
      <w:r w:rsidR="0051129D">
        <w:rPr>
          <w:color w:val="000000" w:themeColor="text1"/>
          <w:kern w:val="24"/>
          <w:sz w:val="16"/>
          <w:szCs w:val="16"/>
        </w:rPr>
        <w:instrText xml:space="preserve"> ADDIN ZOTERO_ITEM CSL_CITATION {"citationID":"yGBO11bn","properties":{"formattedCitation":"[206]","plainCitation":"[206]","noteIndex":0},"citationItems":[{"id":3190,"uris":["http://zotero.org/groups/2763812/items/AHNATDER"],"uri":["http://zotero.org/groups/2763812/items/AHNATDER"],"itemData":{"id":3190,"type":"article-journal","abstract":"Lithium-air batteries are investigated for propulsion aggregates in vehicles as they theoretically offer at least 10 times better energy density than the best battery technology (lithium-ion) of today. A possible input to guide development is expected from Life Cycle Assessment (LCA) of the manufacture, use and recycling of the lithium-air battery. For this purpose, lithium-air cells are analyzed from cradle to grave, i.e., from raw material production, cathode manufacturing, electrolyte preparation, cell assembly, use in a typical vehicle to end-of-life treatment and recycling. The aim of this investigation is highlighting environmental hotspots of lithium-air batteries to facilitate their improvement, in addition to scrutinizing anticipated environmental benefits compared to other battery technologies. Life cycle impacts are quantified in terms of climate impact, abiotic resource depletion and toxicity. Data is partly based on assumptions and estimates guided from similar materials and processes common to lithium-ion technologies. Laboratory scale results for lithium-air systems are considered, which include expectations in their future development for efficiency gains. At the present level of lithium-air cell performance, production-related impacts dominate all environmental impact categories. However, as the performance of the lithium-air cell develops (and less cells are needed), battery-related losses during operation become the major source of environmental impacts. The battery internal electricity losses become heat that may need considerable amounts of additional energy for its transportation out of the battery. It is recommended that future battery cell development projects already at the design stage consider suitable methods and processes for efficient and environmentally benign cell-level recycling. LCA could provide additional arguments and a quantitative basis for lithium battery recycling. This emphasizes the need to develop LCA toxicity impact methods in order to properly assess lithium.","container-title":"Journal of Cleaner Production","DOI":"10.1016/j.jclepro.2016.06.104","ISSN":"0959-6526","journalAbbreviation":"Journal of Cleaner Production","language":"en","page":"299-311","source":"ScienceDirect","title":"Life cycle assessment of lithium-air battery cells","volume":"135","author":[{"family":"Zackrisson","given":"Mats"},{"family":"Fransson","given":"Kristin"},{"family":"Hildenbrand","given":"Jutta"},{"family":"Lampic","given":"Gorazd"},{"family":"O'Dwyer","given":"Colm"}],"issued":{"date-parts":[["2016",11,1]]}}}],"schema":"https://github.com/citation-style-language/schema/raw/master/csl-citation.json"} </w:instrText>
      </w:r>
      <w:r w:rsidR="00F05FC9">
        <w:rPr>
          <w:color w:val="000000" w:themeColor="text1"/>
          <w:kern w:val="24"/>
          <w:sz w:val="16"/>
          <w:szCs w:val="16"/>
        </w:rPr>
        <w:fldChar w:fldCharType="separate"/>
      </w:r>
      <w:r w:rsidR="00F05FC9" w:rsidRPr="00D65FE4">
        <w:rPr>
          <w:sz w:val="16"/>
          <w:lang w:val="fr-FR"/>
        </w:rPr>
        <w:t>[206]</w:t>
      </w:r>
      <w:r w:rsidR="00F05FC9">
        <w:rPr>
          <w:color w:val="000000" w:themeColor="text1"/>
          <w:kern w:val="24"/>
          <w:sz w:val="16"/>
          <w:szCs w:val="16"/>
        </w:rPr>
        <w:fldChar w:fldCharType="end"/>
      </w:r>
      <w:r w:rsidR="00F05FC9" w:rsidRPr="00D65FE4">
        <w:rPr>
          <w:color w:val="000000" w:themeColor="text1"/>
          <w:kern w:val="24"/>
          <w:sz w:val="16"/>
          <w:szCs w:val="16"/>
          <w:lang w:val="fr-FR"/>
        </w:rPr>
        <w:t>;</w:t>
      </w:r>
      <w:r w:rsidR="009C5095" w:rsidRPr="00D65FE4">
        <w:rPr>
          <w:color w:val="000000" w:themeColor="text1"/>
          <w:kern w:val="24"/>
          <w:sz w:val="16"/>
          <w:szCs w:val="16"/>
          <w:vertAlign w:val="superscript"/>
          <w:lang w:val="fr-FR"/>
        </w:rPr>
        <w:t xml:space="preserve"> </w:t>
      </w:r>
      <w:r w:rsidR="00F05FC9" w:rsidRPr="00D65FE4">
        <w:rPr>
          <w:color w:val="000000" w:themeColor="text1"/>
          <w:kern w:val="24"/>
          <w:sz w:val="16"/>
          <w:szCs w:val="16"/>
          <w:vertAlign w:val="superscript"/>
          <w:lang w:val="fr-FR"/>
        </w:rPr>
        <w:t>10</w:t>
      </w:r>
      <w:r w:rsidR="00880232">
        <w:rPr>
          <w:color w:val="000000" w:themeColor="text1"/>
          <w:kern w:val="24"/>
          <w:sz w:val="16"/>
          <w:szCs w:val="16"/>
        </w:rPr>
        <w:fldChar w:fldCharType="begin"/>
      </w:r>
      <w:r w:rsidR="0051129D">
        <w:rPr>
          <w:color w:val="000000" w:themeColor="text1"/>
          <w:kern w:val="24"/>
          <w:sz w:val="16"/>
          <w:szCs w:val="16"/>
          <w:lang w:val="fr-FR"/>
        </w:rPr>
        <w:instrText xml:space="preserve"> ADDIN ZOTERO_ITEM CSL_CITATION {"citationID":"JeTJ2d9y","properties":{"formattedCitation":"[233]","plainCitation":"[233]","noteIndex":0},"citationItems":[{"id":1825,"uris":["http://zotero.org/groups/2763812/items/RUJ6UQ3E"],"uri":["http://zotero.org/groups/2763812/items/RUJ6UQ3E"],"itemData":{"id":1825,"type":"article-journal","container-title":"Journal of Cleaner Production","DOI":"10.1016/j.jclepro.2020.121339","note":"publisher: Elsevier Ltd","page":"121339-121339","title":"Life cycle assessment of lithium oxygen battery for electric vehicles","volume":"264","author":[{"family":"Wang","given":"Fenfen"},{"family":"Deng","given":"Yelin"},{"family":"Yuan","given":"Chris"}],"issued":{"date-parts":[["2020"]]}}}],"schema":"https://github.com/citation-style-language/schema/raw/master/csl-citation.json"} </w:instrText>
      </w:r>
      <w:r w:rsidR="00880232">
        <w:rPr>
          <w:color w:val="000000" w:themeColor="text1"/>
          <w:kern w:val="24"/>
          <w:sz w:val="16"/>
          <w:szCs w:val="16"/>
        </w:rPr>
        <w:fldChar w:fldCharType="separate"/>
      </w:r>
      <w:r w:rsidR="00880232" w:rsidRPr="00D65FE4">
        <w:rPr>
          <w:sz w:val="16"/>
          <w:lang w:val="fr-FR"/>
        </w:rPr>
        <w:t>[233]</w:t>
      </w:r>
      <w:r w:rsidR="00880232">
        <w:rPr>
          <w:color w:val="000000" w:themeColor="text1"/>
          <w:kern w:val="24"/>
          <w:sz w:val="16"/>
          <w:szCs w:val="16"/>
        </w:rPr>
        <w:fldChar w:fldCharType="end"/>
      </w:r>
      <w:r w:rsidR="009C5095" w:rsidRPr="00D65FE4">
        <w:rPr>
          <w:color w:val="000000" w:themeColor="text1"/>
          <w:kern w:val="24"/>
          <w:sz w:val="16"/>
          <w:szCs w:val="16"/>
          <w:lang w:val="fr-FR"/>
        </w:rPr>
        <w:t xml:space="preserve">; </w:t>
      </w:r>
      <w:r w:rsidR="00F05FC9" w:rsidRPr="00D65FE4">
        <w:rPr>
          <w:color w:val="000000" w:themeColor="text1"/>
          <w:kern w:val="24"/>
          <w:sz w:val="16"/>
          <w:szCs w:val="16"/>
          <w:vertAlign w:val="superscript"/>
          <w:lang w:val="fr-FR"/>
        </w:rPr>
        <w:t>11</w:t>
      </w:r>
      <w:r w:rsidR="00880232">
        <w:rPr>
          <w:color w:val="000000" w:themeColor="text1"/>
          <w:kern w:val="24"/>
          <w:sz w:val="16"/>
          <w:szCs w:val="16"/>
        </w:rPr>
        <w:fldChar w:fldCharType="begin"/>
      </w:r>
      <w:r w:rsidR="0051129D">
        <w:rPr>
          <w:color w:val="000000" w:themeColor="text1"/>
          <w:kern w:val="24"/>
          <w:sz w:val="16"/>
          <w:szCs w:val="16"/>
          <w:lang w:val="fr-FR"/>
        </w:rPr>
        <w:instrText xml:space="preserve"> ADDIN ZOTERO_ITEM CSL_CITATION {"citationID":"Ac6Bihhw","properties":{"formattedCitation":"[234]","plainCitation":"[234]","noteIndex":0},"citationItems":[{"id":1819,"uris":["http://zotero.org/groups/2763812/items/3QFCLPQN"],"uri":["http://zotero.org/groups/2763812/items/3QFCLPQN"],"itemData":{"id":1819,"type":"article-journal","container-title":"Clean Technologies and Environmental Policy","ISSN":"0123456789","note":"publisher: Springer Berlin Heidelberg","page":"1233-1244","title":"Comparative life cycle assessment of lithium ‑ ion batteries with lithium metal , silicon nanowire , and graphite anodes","volume":"20","author":[{"family":"Wu","given":"Zheshan"},{"family":"Kong","given":"Defei"}],"issued":{"date-parts":[["2018"]]}}}],"schema":"https://github.com/citation-style-language/schema/raw/master/csl-citation.json"} </w:instrText>
      </w:r>
      <w:r w:rsidR="00880232">
        <w:rPr>
          <w:color w:val="000000" w:themeColor="text1"/>
          <w:kern w:val="24"/>
          <w:sz w:val="16"/>
          <w:szCs w:val="16"/>
        </w:rPr>
        <w:fldChar w:fldCharType="separate"/>
      </w:r>
      <w:r w:rsidR="00880232" w:rsidRPr="00D65FE4">
        <w:rPr>
          <w:sz w:val="16"/>
          <w:lang w:val="fr-FR"/>
        </w:rPr>
        <w:t>[234]</w:t>
      </w:r>
      <w:r w:rsidR="00880232">
        <w:rPr>
          <w:color w:val="000000" w:themeColor="text1"/>
          <w:kern w:val="24"/>
          <w:sz w:val="16"/>
          <w:szCs w:val="16"/>
        </w:rPr>
        <w:fldChar w:fldCharType="end"/>
      </w:r>
      <w:r w:rsidR="009C5095" w:rsidRPr="00D65FE4">
        <w:rPr>
          <w:color w:val="000000" w:themeColor="text1"/>
          <w:kern w:val="24"/>
          <w:sz w:val="16"/>
          <w:szCs w:val="16"/>
          <w:lang w:val="fr-FR"/>
        </w:rPr>
        <w:t xml:space="preserve">; </w:t>
      </w:r>
      <w:r w:rsidR="00F05FC9" w:rsidRPr="00D65FE4">
        <w:rPr>
          <w:color w:val="000000" w:themeColor="text1"/>
          <w:kern w:val="24"/>
          <w:sz w:val="16"/>
          <w:szCs w:val="16"/>
          <w:vertAlign w:val="superscript"/>
          <w:lang w:val="fr-FR"/>
        </w:rPr>
        <w:t>12</w:t>
      </w:r>
      <w:r w:rsidR="00880232">
        <w:rPr>
          <w:color w:val="000000" w:themeColor="text1"/>
          <w:kern w:val="24"/>
          <w:sz w:val="16"/>
          <w:szCs w:val="16"/>
        </w:rPr>
        <w:fldChar w:fldCharType="begin"/>
      </w:r>
      <w:r w:rsidR="0051129D">
        <w:rPr>
          <w:color w:val="000000" w:themeColor="text1"/>
          <w:kern w:val="24"/>
          <w:sz w:val="16"/>
          <w:szCs w:val="16"/>
          <w:lang w:val="fr-FR"/>
        </w:rPr>
        <w:instrText xml:space="preserve"> ADDIN ZOTERO_ITEM CSL_CITATION {"citationID":"vz6PsITu","properties":{"formattedCitation":"[235]","plainCitation":"[235]","noteIndex":0},"citationItems":[{"id":3373,"uris":["http://zotero.org/groups/2763812/items/5DUIFHID"],"uri":["http://zotero.org/groups/2763812/items/5DUIFHID"],"itemData":{"id":3373,"type":"article-journal","abstract":"Lithium–sulfur (Li–S) batteries have received tremendous attention due to their superior theoretical energy density of 2600 Wh kg−1, as well as the abundance of sulfur resources and its environmental friendliness. Polymer binders as an indispensable component in cathodes play a critical role in maintaining the structural integrity and stability of electrodes. Additionally, multifunctional polymer binders have been involved in Li–S batteries to benefit electrochemical performance by mitigating the shuttle effect, facilitating the electron/ion transportation, and propelling the redox kinetics. In the context of the significant impact of binders on the performance of Li–S batteries, recent progress in research on polymer binders in sulfur cathodes is herein summarized. Focusing on the functions and effects of the polymer binders, the authors hope to shed light on the rational construction of robust and stable sulfur cathode for high-energy-density Li–S batteries. Perspectives regarding the future research opportunities in Li–S batteries are also discussed.","container-title":"Advanced Energy Materials","DOI":"10.1002/aenm.201802107","issue":"31","page":"1-20","title":"A Review of Functional Binders in Lithium–Sulfur Batteries","volume":"8","author":[{"family":"Yuan","given":"Hong"},{"family":"Huang","given":"Jia Qi"},{"family":"Peng","given":"Hong Jie"},{"family":"Titirici","given":"Maria Magdalena"},{"family":"Xiang","given":"Rong"},{"family":"Chen","given":"Renjie"},{"family":"Liu","given":"Quanbing"},{"family":"Zhang","given":"Qiang"}],"issued":{"date-parts":[["2018"]]}}}],"schema":"https://github.com/citation-style-language/schema/raw/master/csl-citation.json"} </w:instrText>
      </w:r>
      <w:r w:rsidR="00880232">
        <w:rPr>
          <w:color w:val="000000" w:themeColor="text1"/>
          <w:kern w:val="24"/>
          <w:sz w:val="16"/>
          <w:szCs w:val="16"/>
        </w:rPr>
        <w:fldChar w:fldCharType="separate"/>
      </w:r>
      <w:r w:rsidR="00880232" w:rsidRPr="00D65FE4">
        <w:rPr>
          <w:sz w:val="16"/>
          <w:lang w:val="fr-FR"/>
        </w:rPr>
        <w:t>[235]</w:t>
      </w:r>
      <w:r w:rsidR="00880232">
        <w:rPr>
          <w:color w:val="000000" w:themeColor="text1"/>
          <w:kern w:val="24"/>
          <w:sz w:val="16"/>
          <w:szCs w:val="16"/>
        </w:rPr>
        <w:fldChar w:fldCharType="end"/>
      </w:r>
      <w:r w:rsidR="009C5095" w:rsidRPr="00D65FE4">
        <w:rPr>
          <w:color w:val="000000" w:themeColor="text1"/>
          <w:kern w:val="24"/>
          <w:sz w:val="16"/>
          <w:szCs w:val="16"/>
          <w:lang w:val="fr-FR"/>
        </w:rPr>
        <w:t xml:space="preserve">; </w:t>
      </w:r>
      <w:r w:rsidR="00F05FC9" w:rsidRPr="00D65FE4">
        <w:rPr>
          <w:color w:val="000000" w:themeColor="text1"/>
          <w:kern w:val="24"/>
          <w:sz w:val="16"/>
          <w:szCs w:val="16"/>
          <w:vertAlign w:val="superscript"/>
          <w:lang w:val="fr-FR"/>
        </w:rPr>
        <w:t>13</w:t>
      </w:r>
      <w:r w:rsidR="00880232">
        <w:rPr>
          <w:color w:val="000000" w:themeColor="text1"/>
          <w:kern w:val="24"/>
          <w:sz w:val="16"/>
          <w:szCs w:val="16"/>
        </w:rPr>
        <w:fldChar w:fldCharType="begin"/>
      </w:r>
      <w:r w:rsidR="0051129D">
        <w:rPr>
          <w:color w:val="000000" w:themeColor="text1"/>
          <w:kern w:val="24"/>
          <w:sz w:val="16"/>
          <w:szCs w:val="16"/>
          <w:lang w:val="fr-FR"/>
        </w:rPr>
        <w:instrText xml:space="preserve"> ADDIN ZOTERO_ITEM CSL_CITATION {"citationID":"CdrHp9U5","properties":{"formattedCitation":"[236]","plainCitation":"[236]","noteIndex":0},"citationItems":[{"id":4588,"uris":["http://zotero.org/groups/2763812/items/57TKTBV4"],"uri":["http://zotero.org/groups/2763812/items/57TKTBV4"],"itemData":{"id":4588,"type":"book","ISBN":"978-0-444-53880-2","note":"page: 16\ncontainer-title: New and Future Developments in Catalysis: Batteries, Hydrogen Storage and Fuel Cells\nDOI: 10.1016/B978-0-444-53880-2.00001-6","number-of-pages":"1","publisher":"Elsevier B.V.","title":"Catalytic Batteries","URL":"http://dx.doi.org/10.1016/B978-0-444-53880-2.00001-6","author":[{"family":"Dobley","given":"Arthur"}],"issued":{"date-parts":[["2013"]]}}}],"schema":"https://github.com/citation-style-language/schema/raw/master/csl-citation.json"} </w:instrText>
      </w:r>
      <w:r w:rsidR="00880232">
        <w:rPr>
          <w:color w:val="000000" w:themeColor="text1"/>
          <w:kern w:val="24"/>
          <w:sz w:val="16"/>
          <w:szCs w:val="16"/>
        </w:rPr>
        <w:fldChar w:fldCharType="separate"/>
      </w:r>
      <w:r w:rsidR="00880232" w:rsidRPr="00D65FE4">
        <w:rPr>
          <w:sz w:val="16"/>
          <w:lang w:val="fr-FR"/>
        </w:rPr>
        <w:t>[236]</w:t>
      </w:r>
      <w:r w:rsidR="00880232">
        <w:rPr>
          <w:color w:val="000000" w:themeColor="text1"/>
          <w:kern w:val="24"/>
          <w:sz w:val="16"/>
          <w:szCs w:val="16"/>
        </w:rPr>
        <w:fldChar w:fldCharType="end"/>
      </w:r>
      <w:r w:rsidR="009C5095" w:rsidRPr="00D65FE4">
        <w:rPr>
          <w:color w:val="000000" w:themeColor="text1"/>
          <w:kern w:val="24"/>
          <w:sz w:val="16"/>
          <w:szCs w:val="16"/>
          <w:lang w:val="fr-FR"/>
        </w:rPr>
        <w:t xml:space="preserve">; </w:t>
      </w:r>
      <w:r w:rsidR="00F05FC9" w:rsidRPr="00D65FE4">
        <w:rPr>
          <w:color w:val="000000" w:themeColor="text1"/>
          <w:kern w:val="24"/>
          <w:sz w:val="16"/>
          <w:szCs w:val="16"/>
          <w:vertAlign w:val="superscript"/>
          <w:lang w:val="fr-FR"/>
        </w:rPr>
        <w:t>14</w:t>
      </w:r>
      <w:r w:rsidR="00880232">
        <w:rPr>
          <w:color w:val="000000" w:themeColor="text1"/>
          <w:kern w:val="24"/>
          <w:sz w:val="16"/>
          <w:szCs w:val="16"/>
        </w:rPr>
        <w:fldChar w:fldCharType="begin"/>
      </w:r>
      <w:r w:rsidR="00752A1E">
        <w:rPr>
          <w:color w:val="000000" w:themeColor="text1"/>
          <w:kern w:val="24"/>
          <w:sz w:val="16"/>
          <w:szCs w:val="16"/>
          <w:lang w:val="fr-FR"/>
        </w:rPr>
        <w:instrText xml:space="preserve"> ADDIN ZOTERO_ITEM CSL_CITATION {"citationID":"uCu7cEOv","properties":{"formattedCitation":"[196]","plainCitation":"[196]","noteIndex":0},"citationItems":[{"id":"968HXJ10/NdmPZTxr","uris":["http://www.mendeley.com/documents/?uuid=ce05aca7-73b4-4f31-9501-e46106f36a8d"],"uri":["http://www.mendeley.com/documents/?uuid=ce05aca7-73b4-4f31-9501-e46106f36a8d"],"itemData":{"author":[{"dropping-particle":"","family":"The Faraday Institute","given":"","non-dropping-particle":"","parse-names":false,"suffix":""}],"id":"KC7RukkE/N47lgZK0","issued":{"date-parts":[["2020"]]},"title":"Faraday Report: High-energy battery technologies","type":"report"}}],"schema":"https://github.com/citation-style-language/schema/raw/master/csl-citation.json"} </w:instrText>
      </w:r>
      <w:r w:rsidR="00880232">
        <w:rPr>
          <w:color w:val="000000" w:themeColor="text1"/>
          <w:kern w:val="24"/>
          <w:sz w:val="16"/>
          <w:szCs w:val="16"/>
        </w:rPr>
        <w:fldChar w:fldCharType="separate"/>
      </w:r>
      <w:r w:rsidR="00880232" w:rsidRPr="00D65FE4">
        <w:rPr>
          <w:sz w:val="16"/>
          <w:lang w:val="fr-FR"/>
        </w:rPr>
        <w:t>[196]</w:t>
      </w:r>
      <w:r w:rsidR="00880232">
        <w:rPr>
          <w:color w:val="000000" w:themeColor="text1"/>
          <w:kern w:val="24"/>
          <w:sz w:val="16"/>
          <w:szCs w:val="16"/>
        </w:rPr>
        <w:fldChar w:fldCharType="end"/>
      </w:r>
      <w:r w:rsidR="009C5095" w:rsidRPr="00D65FE4">
        <w:rPr>
          <w:color w:val="000000" w:themeColor="text1"/>
          <w:kern w:val="24"/>
          <w:sz w:val="16"/>
          <w:szCs w:val="16"/>
          <w:lang w:val="fr-FR"/>
        </w:rPr>
        <w:t xml:space="preserve">; </w:t>
      </w:r>
      <w:r w:rsidR="00F05FC9" w:rsidRPr="00D65FE4">
        <w:rPr>
          <w:color w:val="000000" w:themeColor="text1"/>
          <w:kern w:val="24"/>
          <w:sz w:val="16"/>
          <w:szCs w:val="16"/>
          <w:vertAlign w:val="superscript"/>
          <w:lang w:val="fr-FR"/>
        </w:rPr>
        <w:t>15</w:t>
      </w:r>
      <w:r w:rsidR="00880232">
        <w:rPr>
          <w:color w:val="000000" w:themeColor="text1"/>
          <w:kern w:val="24"/>
          <w:sz w:val="16"/>
          <w:szCs w:val="16"/>
        </w:rPr>
        <w:fldChar w:fldCharType="begin"/>
      </w:r>
      <w:r w:rsidR="00752A1E">
        <w:rPr>
          <w:color w:val="000000" w:themeColor="text1"/>
          <w:kern w:val="24"/>
          <w:sz w:val="16"/>
          <w:szCs w:val="16"/>
          <w:lang w:val="fr-FR"/>
        </w:rPr>
        <w:instrText xml:space="preserve"> ADDIN ZOTERO_ITEM CSL_CITATION {"citationID":"DNLGnYwq","properties":{"formattedCitation":"[237]","plainCitation":"[237]","noteIndex":0},"citationItems":[{"id":"968HXJ10/FVqTN6kF","uris":["http://www.mendeley.com/documents/?uuid=a299db0d-4087-4bf7-a62e-4ee8c27470b4"],"uri":["http://www.mendeley.com/documents/?uuid=a299db0d-4087-4bf7-a62e-4ee8c27470b4"],"itemData":{"abstract":"(2) Higher Energy Density Lithium-ion batteries relying on a graphite anode can achieve a gravimetric energy density 3 and a volumetric energy density 4 of ~250 Wh/kg and ~700 Wh/l, respectively. 5 However, to keep up with demanding energy storage applications, lighter and smaller batteries with higher energy densities are required. In theory, it is possible to overcome these storage limits by replacing the graphite anode with a lithium metal anode. A number of potential solutions have been investigated around this chemistry, but none have been highly successful to date as the lithium metal anode is severely limited by its reactivity and cannot be used directly with a liquid electrolyte. Using a SSE could offer a solution to this challenge. Chemistries such as lithium-lithium metal oxide (Li-LMO), 6 lithium-sulfur Figure 1: Estimated gravimetric energy density and volumetric energy density for conventional lithium-ion vs. lithium metal-based batteries Source: Cui et al 2017, Reviving the lithium metal anode for high-energy batteries. (3) Faster Charging Times Faster charging times are highly desirable to EV consumers. The charging rate of current lithium-ion automotive batteries is fundamentally limited by the cell chemistry as well as the engineering required to protect the battery from exposure to high temperatures. SSEs have close to unity lithium-ion transference numbers and, in theory, negligible concentration pol</w:instrText>
      </w:r>
      <w:r w:rsidR="00752A1E" w:rsidRPr="00DA45DF">
        <w:rPr>
          <w:color w:val="000000" w:themeColor="text1"/>
          <w:kern w:val="24"/>
          <w:sz w:val="16"/>
          <w:szCs w:val="16"/>
          <w:lang w:val="fr-FR"/>
        </w:rPr>
        <w:instrText xml:space="preserve">arisation, and higher thermal conductivity compared to liquid electrolytes. 7 These properties should allow SSEs to transport lithium ions efficiently with adequate dissipation of heat and therefore may be a route to faster charging automotive battery systems. (4) Longer Lifetime Typically, the life of lithium-ion batteries is dependent on the chemical reactivity within. Lithium-ion batteries degrade with time, use, and exposure to prolonged periods at elevated temperature. In the case of liquid electrolytes, one such degradation mechanism is referred to as 'cross-talk'. Cross-talk typically involves dissolution of transition metals from the positive electrode, and migration to, and subsequent poisoning of the negative electrode. This poisoning accelerates degradation of the liquid electrolyte, eventually leading to cell failure. There are major opportunities for a SSE to protect electrode materials from this metal migration and electrode poisoning. Solving such issues by employing SSEs could extend the lifetime of lithium-based batteries,…","author":[{"dropping-particle":"","family":"The Faraday Institution","given":"","non-dropping-particle":"","parse-names":false,"suffix":""}],"id":"KC7RukkE/IVlC9hjx","issue":"June 2006","issued":{"date-parts":[["2020"]]},"title":"Solid-State Batteries: The Technology of the 2030s but the Research Challenge of the 2020s","type":"article-journal"}}],"schema":"https://github.com/citation-style-language/schema/raw/master/csl-citation.json"} </w:instrText>
      </w:r>
      <w:r w:rsidR="00880232">
        <w:rPr>
          <w:color w:val="000000" w:themeColor="text1"/>
          <w:kern w:val="24"/>
          <w:sz w:val="16"/>
          <w:szCs w:val="16"/>
        </w:rPr>
        <w:fldChar w:fldCharType="separate"/>
      </w:r>
      <w:r w:rsidR="00880232" w:rsidRPr="00DA45DF">
        <w:rPr>
          <w:sz w:val="16"/>
          <w:lang w:val="fr-FR"/>
        </w:rPr>
        <w:t>[237]</w:t>
      </w:r>
      <w:r w:rsidR="00880232">
        <w:rPr>
          <w:color w:val="000000" w:themeColor="text1"/>
          <w:kern w:val="24"/>
          <w:sz w:val="16"/>
          <w:szCs w:val="16"/>
        </w:rPr>
        <w:fldChar w:fldCharType="end"/>
      </w:r>
      <w:r w:rsidR="009C5095" w:rsidRPr="00DA45DF">
        <w:rPr>
          <w:color w:val="000000" w:themeColor="text1"/>
          <w:kern w:val="24"/>
          <w:sz w:val="16"/>
          <w:szCs w:val="16"/>
          <w:lang w:val="fr-FR"/>
        </w:rPr>
        <w:t xml:space="preserve">; </w:t>
      </w:r>
      <w:r w:rsidR="00F05FC9" w:rsidRPr="00DA45DF">
        <w:rPr>
          <w:color w:val="000000" w:themeColor="text1"/>
          <w:kern w:val="24"/>
          <w:sz w:val="16"/>
          <w:szCs w:val="16"/>
          <w:vertAlign w:val="superscript"/>
          <w:lang w:val="fr-FR"/>
        </w:rPr>
        <w:t>16</w:t>
      </w:r>
      <w:r w:rsidR="00880232">
        <w:rPr>
          <w:color w:val="000000" w:themeColor="text1"/>
          <w:kern w:val="24"/>
          <w:sz w:val="16"/>
          <w:szCs w:val="16"/>
        </w:rPr>
        <w:fldChar w:fldCharType="begin"/>
      </w:r>
      <w:r w:rsidR="0051129D" w:rsidRPr="00DA45DF">
        <w:rPr>
          <w:color w:val="000000" w:themeColor="text1"/>
          <w:kern w:val="24"/>
          <w:sz w:val="16"/>
          <w:szCs w:val="16"/>
          <w:lang w:val="fr-FR"/>
        </w:rPr>
        <w:instrText xml:space="preserve"> ADDIN ZOTERO_ITEM CSL_CITATION {"citationID":"t5EvPQLc","properties":{"formattedCitation":"[238]","plainCitation":"[238]","noteIndex":0},"citationItems":[{"id":2289,"uris":["http://zotero.org/groups/2763812/items/UU9XBY33"],"uri":["http://zotero.org/groups/2763812/items/UU9XBY33"],"itemData":{"id":2289,"type":"paper-conference","title":"Overview of Battery Cell Technologies Overview of battery technologies Bridging the Innovation Gap","author":[{"family":"Meeus","given":"Marcel"}],"issued":{"date-parts":[["2018"]]}}}],"schema":"https://github.com/citation-style-language/schema/raw/master/csl-citation.json"} </w:instrText>
      </w:r>
      <w:r w:rsidR="00880232">
        <w:rPr>
          <w:color w:val="000000" w:themeColor="text1"/>
          <w:kern w:val="24"/>
          <w:sz w:val="16"/>
          <w:szCs w:val="16"/>
        </w:rPr>
        <w:fldChar w:fldCharType="separate"/>
      </w:r>
      <w:r w:rsidR="00880232" w:rsidRPr="00DA45DF">
        <w:rPr>
          <w:sz w:val="16"/>
          <w:lang w:val="fr-FR"/>
        </w:rPr>
        <w:t>[238]</w:t>
      </w:r>
      <w:r w:rsidR="00880232">
        <w:rPr>
          <w:color w:val="000000" w:themeColor="text1"/>
          <w:kern w:val="24"/>
          <w:sz w:val="16"/>
          <w:szCs w:val="16"/>
        </w:rPr>
        <w:fldChar w:fldCharType="end"/>
      </w:r>
    </w:p>
    <w:p w14:paraId="3D0BE3CC" w14:textId="77777777" w:rsidR="00697AEF" w:rsidRPr="00DA45DF" w:rsidRDefault="0055183C" w:rsidP="00BC4779">
      <w:pPr>
        <w:spacing w:after="120" w:line="276" w:lineRule="auto"/>
        <w:jc w:val="thaiDistribute"/>
        <w:rPr>
          <w:rFonts w:ascii="Times New Roman" w:hAnsi="Times New Roman"/>
          <w:i/>
          <w:sz w:val="20"/>
          <w:szCs w:val="20"/>
          <w:lang w:val="fr-FR"/>
        </w:rPr>
      </w:pPr>
      <w:r w:rsidRPr="00DA45DF">
        <w:rPr>
          <w:rFonts w:ascii="Times New Roman" w:hAnsi="Times New Roman"/>
          <w:i/>
          <w:sz w:val="20"/>
          <w:szCs w:val="20"/>
          <w:lang w:val="fr-FR"/>
        </w:rPr>
        <w:lastRenderedPageBreak/>
        <w:t>5</w:t>
      </w:r>
      <w:r w:rsidR="003835D4" w:rsidRPr="00DA45DF">
        <w:rPr>
          <w:rFonts w:ascii="Times New Roman" w:hAnsi="Times New Roman"/>
          <w:i/>
          <w:sz w:val="20"/>
          <w:szCs w:val="20"/>
          <w:lang w:val="fr-FR"/>
        </w:rPr>
        <w:t>.2</w:t>
      </w:r>
      <w:r w:rsidR="00647C2E" w:rsidRPr="00DA45DF">
        <w:rPr>
          <w:rFonts w:ascii="Times New Roman" w:hAnsi="Times New Roman"/>
          <w:i/>
          <w:sz w:val="20"/>
          <w:szCs w:val="20"/>
          <w:lang w:val="fr-FR"/>
        </w:rPr>
        <w:t xml:space="preserve"> </w:t>
      </w:r>
      <w:r w:rsidR="00E03639" w:rsidRPr="00DA45DF">
        <w:rPr>
          <w:rFonts w:ascii="Times New Roman" w:hAnsi="Times New Roman"/>
          <w:i/>
          <w:sz w:val="20"/>
          <w:szCs w:val="20"/>
          <w:lang w:val="fr-FR"/>
        </w:rPr>
        <w:t xml:space="preserve">Hydrogen powered </w:t>
      </w:r>
      <w:r w:rsidR="003D57A7" w:rsidRPr="00DA45DF">
        <w:rPr>
          <w:rFonts w:ascii="Times New Roman" w:hAnsi="Times New Roman"/>
          <w:i/>
          <w:sz w:val="20"/>
          <w:szCs w:val="20"/>
          <w:lang w:val="fr-FR"/>
        </w:rPr>
        <w:t>aviation</w:t>
      </w:r>
    </w:p>
    <w:p w14:paraId="0C2EDBC2" w14:textId="5A7BB8E3" w:rsidR="002626B3" w:rsidRPr="00A9537A" w:rsidRDefault="00D0749F" w:rsidP="00BC4779">
      <w:pPr>
        <w:spacing w:after="120" w:line="276" w:lineRule="auto"/>
        <w:jc w:val="thaiDistribute"/>
        <w:rPr>
          <w:rFonts w:ascii="Times New Roman" w:hAnsi="Times New Roman"/>
          <w:sz w:val="20"/>
          <w:szCs w:val="20"/>
        </w:rPr>
      </w:pPr>
      <w:r w:rsidRPr="00DA45DF">
        <w:rPr>
          <w:rFonts w:ascii="Times New Roman" w:hAnsi="Times New Roman"/>
          <w:sz w:val="20"/>
          <w:szCs w:val="20"/>
          <w:lang w:val="fr-FR"/>
        </w:rPr>
        <w:t>The</w:t>
      </w:r>
      <w:r w:rsidR="006E6DAC" w:rsidRPr="00DA45DF">
        <w:rPr>
          <w:rFonts w:ascii="Times New Roman" w:hAnsi="Times New Roman"/>
          <w:sz w:val="20"/>
          <w:szCs w:val="20"/>
          <w:lang w:val="fr-FR"/>
        </w:rPr>
        <w:t xml:space="preserve"> energy density </w:t>
      </w:r>
      <w:r w:rsidRPr="00DA45DF">
        <w:rPr>
          <w:rFonts w:ascii="Times New Roman" w:hAnsi="Times New Roman"/>
          <w:sz w:val="20"/>
          <w:szCs w:val="20"/>
          <w:lang w:val="fr-FR"/>
        </w:rPr>
        <w:t xml:space="preserve">of hydrogen, </w:t>
      </w:r>
      <w:r w:rsidR="006E6DAC" w:rsidRPr="00DA45DF">
        <w:rPr>
          <w:rFonts w:ascii="Times New Roman" w:hAnsi="Times New Roman"/>
          <w:sz w:val="20"/>
          <w:szCs w:val="20"/>
          <w:lang w:val="fr-FR"/>
        </w:rPr>
        <w:t>in term</w:t>
      </w:r>
      <w:r w:rsidRPr="00DA45DF">
        <w:rPr>
          <w:rFonts w:ascii="Times New Roman" w:hAnsi="Times New Roman"/>
          <w:sz w:val="20"/>
          <w:szCs w:val="20"/>
          <w:lang w:val="fr-FR"/>
        </w:rPr>
        <w:t>s</w:t>
      </w:r>
      <w:r w:rsidR="006C4DEF" w:rsidRPr="00DA45DF">
        <w:rPr>
          <w:rFonts w:ascii="Times New Roman" w:hAnsi="Times New Roman"/>
          <w:sz w:val="20"/>
          <w:szCs w:val="20"/>
          <w:lang w:val="fr-FR"/>
        </w:rPr>
        <w:t xml:space="preserve"> of energy-to-weight ratio (MJ </w:t>
      </w:r>
      <w:r w:rsidR="006E6DAC" w:rsidRPr="00DA45DF">
        <w:rPr>
          <w:rFonts w:ascii="Times New Roman" w:hAnsi="Times New Roman"/>
          <w:sz w:val="20"/>
          <w:szCs w:val="20"/>
          <w:lang w:val="fr-FR"/>
        </w:rPr>
        <w:t>kg</w:t>
      </w:r>
      <w:r w:rsidR="006C4DEF" w:rsidRPr="00DA45DF">
        <w:rPr>
          <w:rFonts w:ascii="Times New Roman" w:hAnsi="Times New Roman"/>
          <w:sz w:val="20"/>
          <w:szCs w:val="20"/>
          <w:vertAlign w:val="superscript"/>
          <w:lang w:val="fr-FR"/>
        </w:rPr>
        <w:t>-1</w:t>
      </w:r>
      <w:r w:rsidR="006E6DAC" w:rsidRPr="00DA45DF">
        <w:rPr>
          <w:rFonts w:ascii="Times New Roman" w:hAnsi="Times New Roman"/>
          <w:sz w:val="20"/>
          <w:szCs w:val="20"/>
          <w:lang w:val="fr-FR"/>
        </w:rPr>
        <w:t xml:space="preserve">) </w:t>
      </w:r>
      <w:r w:rsidRPr="00DA45DF">
        <w:rPr>
          <w:rFonts w:ascii="Times New Roman" w:hAnsi="Times New Roman"/>
          <w:sz w:val="20"/>
          <w:szCs w:val="20"/>
          <w:lang w:val="fr-FR"/>
        </w:rPr>
        <w:t xml:space="preserve">is three-fold that of </w:t>
      </w:r>
      <w:r w:rsidR="006E6DAC" w:rsidRPr="00DA45DF">
        <w:rPr>
          <w:rFonts w:ascii="Times New Roman" w:hAnsi="Times New Roman"/>
          <w:sz w:val="20"/>
          <w:szCs w:val="20"/>
          <w:lang w:val="fr-FR"/>
        </w:rPr>
        <w:t xml:space="preserve">conventional </w:t>
      </w:r>
      <w:r w:rsidR="002626B3" w:rsidRPr="00DA45DF">
        <w:rPr>
          <w:rFonts w:ascii="Times New Roman" w:hAnsi="Times New Roman"/>
          <w:sz w:val="20"/>
          <w:szCs w:val="20"/>
          <w:lang w:val="fr-FR"/>
        </w:rPr>
        <w:t>kerosene</w:t>
      </w:r>
      <w:r w:rsidR="00F6758B" w:rsidRPr="00DA45DF">
        <w:rPr>
          <w:rFonts w:ascii="Times New Roman" w:hAnsi="Times New Roman"/>
          <w:sz w:val="20"/>
          <w:szCs w:val="20"/>
          <w:lang w:val="fr-FR"/>
        </w:rPr>
        <w:t>, rendering it suitable for longer flights in large planes supporting high payload capacity</w:t>
      </w:r>
      <w:r w:rsidR="0096551B" w:rsidRPr="00DA45DF">
        <w:rPr>
          <w:rFonts w:ascii="Times New Roman" w:hAnsi="Times New Roman"/>
          <w:sz w:val="20"/>
          <w:szCs w:val="20"/>
          <w:lang w:val="fr-FR"/>
        </w:rPr>
        <w:t xml:space="preserve">. </w:t>
      </w:r>
      <w:r w:rsidR="00E349FE" w:rsidRPr="00DA45DF">
        <w:rPr>
          <w:rFonts w:ascii="Times New Roman" w:hAnsi="Times New Roman"/>
          <w:sz w:val="20"/>
          <w:szCs w:val="20"/>
          <w:lang w:val="fr-FR"/>
        </w:rPr>
        <w:t>Despite</w:t>
      </w:r>
      <w:r w:rsidR="002626B3" w:rsidRPr="00DA45DF">
        <w:rPr>
          <w:rFonts w:ascii="Times New Roman" w:hAnsi="Times New Roman"/>
          <w:sz w:val="20"/>
          <w:szCs w:val="20"/>
          <w:lang w:val="fr-FR"/>
        </w:rPr>
        <w:t xml:space="preserve"> being lighter, hydrogen, in its </w:t>
      </w:r>
      <w:r w:rsidRPr="00DA45DF">
        <w:rPr>
          <w:rFonts w:ascii="Times New Roman" w:hAnsi="Times New Roman"/>
          <w:sz w:val="20"/>
          <w:szCs w:val="20"/>
          <w:lang w:val="fr-FR"/>
        </w:rPr>
        <w:t xml:space="preserve">cryogenic </w:t>
      </w:r>
      <w:r w:rsidR="002626B3" w:rsidRPr="00DA45DF">
        <w:rPr>
          <w:rFonts w:ascii="Times New Roman" w:hAnsi="Times New Roman"/>
          <w:sz w:val="20"/>
          <w:szCs w:val="20"/>
          <w:lang w:val="fr-FR"/>
        </w:rPr>
        <w:t>liquid form</w:t>
      </w:r>
      <w:r w:rsidRPr="00DA45DF">
        <w:rPr>
          <w:rFonts w:ascii="Times New Roman" w:hAnsi="Times New Roman"/>
          <w:sz w:val="20"/>
          <w:szCs w:val="20"/>
          <w:lang w:val="fr-FR"/>
        </w:rPr>
        <w:t xml:space="preserve">, </w:t>
      </w:r>
      <w:r w:rsidR="002626B3" w:rsidRPr="00DA45DF">
        <w:rPr>
          <w:rFonts w:ascii="Times New Roman" w:hAnsi="Times New Roman"/>
          <w:sz w:val="20"/>
          <w:szCs w:val="20"/>
          <w:lang w:val="fr-FR"/>
        </w:rPr>
        <w:t xml:space="preserve">has an energy-to-volume </w:t>
      </w:r>
      <w:r w:rsidR="006C4DEF" w:rsidRPr="00A9537A">
        <w:rPr>
          <w:rFonts w:ascii="Times New Roman" w:hAnsi="Times New Roman"/>
          <w:sz w:val="20"/>
          <w:szCs w:val="20"/>
        </w:rPr>
        <w:t xml:space="preserve">ratio (MJ </w:t>
      </w:r>
      <w:r w:rsidR="00AF722D" w:rsidRPr="00A9537A">
        <w:rPr>
          <w:rFonts w:ascii="Times New Roman" w:hAnsi="Times New Roman"/>
          <w:sz w:val="20"/>
          <w:szCs w:val="20"/>
        </w:rPr>
        <w:t>L</w:t>
      </w:r>
      <w:r w:rsidR="006C4DEF" w:rsidRPr="00A9537A">
        <w:rPr>
          <w:rFonts w:ascii="Times New Roman" w:hAnsi="Times New Roman"/>
          <w:sz w:val="20"/>
          <w:szCs w:val="20"/>
          <w:vertAlign w:val="superscript"/>
        </w:rPr>
        <w:t>-1</w:t>
      </w:r>
      <w:r w:rsidR="00AF722D" w:rsidRPr="00A9537A">
        <w:rPr>
          <w:rFonts w:ascii="Times New Roman" w:hAnsi="Times New Roman"/>
          <w:sz w:val="20"/>
          <w:szCs w:val="20"/>
        </w:rPr>
        <w:t xml:space="preserve">) </w:t>
      </w:r>
      <w:r w:rsidR="00E349FE">
        <w:rPr>
          <w:rFonts w:ascii="Times New Roman" w:hAnsi="Times New Roman"/>
          <w:sz w:val="20"/>
          <w:szCs w:val="20"/>
        </w:rPr>
        <w:t>four</w:t>
      </w:r>
      <w:r w:rsidR="00152E87" w:rsidRPr="00A9537A">
        <w:rPr>
          <w:rFonts w:ascii="Times New Roman" w:hAnsi="Times New Roman"/>
          <w:sz w:val="20"/>
          <w:szCs w:val="20"/>
        </w:rPr>
        <w:t xml:space="preserve">-fold </w:t>
      </w:r>
      <w:r w:rsidR="00F6758B" w:rsidRPr="00A9537A">
        <w:rPr>
          <w:rFonts w:ascii="Times New Roman" w:hAnsi="Times New Roman"/>
          <w:sz w:val="20"/>
          <w:szCs w:val="20"/>
        </w:rPr>
        <w:t>lower than fossil kerosene</w:t>
      </w:r>
      <w:r w:rsidR="00E349FE">
        <w:rPr>
          <w:rFonts w:ascii="Times New Roman" w:hAnsi="Times New Roman"/>
          <w:sz w:val="20"/>
          <w:szCs w:val="20"/>
        </w:rPr>
        <w:t>, which implies</w:t>
      </w:r>
      <w:r w:rsidR="00196B5E">
        <w:rPr>
          <w:rFonts w:ascii="Times New Roman" w:hAnsi="Times New Roman"/>
          <w:sz w:val="20"/>
          <w:szCs w:val="20"/>
        </w:rPr>
        <w:t xml:space="preserve"> obvious</w:t>
      </w:r>
      <w:r w:rsidR="00E349FE">
        <w:rPr>
          <w:rFonts w:ascii="Times New Roman" w:hAnsi="Times New Roman"/>
          <w:sz w:val="20"/>
          <w:szCs w:val="20"/>
        </w:rPr>
        <w:t xml:space="preserve"> storage challenges</w:t>
      </w:r>
      <w:r w:rsidR="00196B5E">
        <w:rPr>
          <w:rFonts w:ascii="Times New Roman" w:hAnsi="Times New Roman"/>
          <w:sz w:val="20"/>
          <w:szCs w:val="20"/>
        </w:rPr>
        <w:fldChar w:fldCharType="begin"/>
      </w:r>
      <w:r w:rsidR="0051129D">
        <w:rPr>
          <w:rFonts w:ascii="Times New Roman" w:hAnsi="Times New Roman"/>
          <w:sz w:val="20"/>
          <w:szCs w:val="20"/>
        </w:rPr>
        <w:instrText xml:space="preserve"> ADDIN ZOTERO_ITEM CSL_CITATION {"citationID":"jJstSdT8","properties":{"formattedCitation":"[239]","plainCitation":"[239]","noteIndex":0},"citationItems":[{"id":4621,"uris":["http://zotero.org/groups/2763812/items/GGG42ZG4"],"uri":["http://zotero.org/groups/2763812/items/GGG42ZG4"],"itemData":{"id":4621,"type":"article-journal","abstract":"Aviation is the backbone of our modern society. In 2019, around 4.5 billion passengers travelled through the air. However, at the same time, aviation was also responsible for around 5% of anthropogenic causes of global warming. The impact of the COVID-19 pandemic on the aviation sector in the short term is clearly very high, but the long-term effects are still unknown. However, with the increase in global GDP, the number of travelers is expected to increase between three- to four-fold by the middle of this century. While other sectors of transportation are making steady progress in decarbonizing, aviation is falling behind. This paper explores some of the various options for energy carriers in aviation and particularly highlights the possibilities and challenges of using cryogenic fuels/energy carriers such as liquid hydrogen (LH2) and liquefied natural gas (LNG).","container-title":"Aerospace","DOI":"10.3390/aerospace7120181","issue":"12","language":"en","page":"181","source":"www.mdpi.com","title":"Energy Transition in Aviation: The Role of Cryogenic Fuels","title-short":"Energy Transition in Aviation","volume":"7","author":[{"family":"Rao","given":"Arvind Gangoli"},{"family":"Yin","given":"Feijia"},{"family":"Werij","given":"Henri G. C."}],"issued":{"date-parts":[["2020",12]]}}}],"schema":"https://github.com/citation-style-language/schema/raw/master/csl-citation.json"} </w:instrText>
      </w:r>
      <w:r w:rsidR="00196B5E">
        <w:rPr>
          <w:rFonts w:ascii="Times New Roman" w:hAnsi="Times New Roman"/>
          <w:sz w:val="20"/>
          <w:szCs w:val="20"/>
        </w:rPr>
        <w:fldChar w:fldCharType="separate"/>
      </w:r>
      <w:r w:rsidR="00196B5E" w:rsidRPr="00196B5E">
        <w:rPr>
          <w:rFonts w:ascii="Times New Roman" w:hAnsi="Times New Roman" w:cs="Times New Roman"/>
          <w:sz w:val="20"/>
        </w:rPr>
        <w:t>[239]</w:t>
      </w:r>
      <w:r w:rsidR="00196B5E">
        <w:rPr>
          <w:rFonts w:ascii="Times New Roman" w:hAnsi="Times New Roman"/>
          <w:sz w:val="20"/>
          <w:szCs w:val="20"/>
        </w:rPr>
        <w:fldChar w:fldCharType="end"/>
      </w:r>
      <w:r w:rsidR="00E349FE">
        <w:rPr>
          <w:rFonts w:ascii="Times New Roman" w:hAnsi="Times New Roman"/>
          <w:sz w:val="20"/>
          <w:szCs w:val="20"/>
        </w:rPr>
        <w:t>.</w:t>
      </w:r>
      <w:r w:rsidR="00D610DE" w:rsidRPr="00A9537A">
        <w:rPr>
          <w:rFonts w:ascii="Times New Roman" w:hAnsi="Times New Roman"/>
          <w:sz w:val="20"/>
          <w:szCs w:val="20"/>
        </w:rPr>
        <w:t xml:space="preserve"> </w:t>
      </w:r>
      <w:r w:rsidR="00947D45" w:rsidRPr="00A9537A">
        <w:rPr>
          <w:rFonts w:ascii="Times New Roman" w:hAnsi="Times New Roman"/>
          <w:sz w:val="20"/>
          <w:szCs w:val="20"/>
        </w:rPr>
        <w:t xml:space="preserve">The different pathways for hydrogen production </w:t>
      </w:r>
      <w:r w:rsidR="00770708" w:rsidRPr="00A9537A">
        <w:rPr>
          <w:rFonts w:ascii="Times New Roman" w:hAnsi="Times New Roman"/>
          <w:sz w:val="20"/>
          <w:szCs w:val="20"/>
        </w:rPr>
        <w:t>through water-</w:t>
      </w:r>
      <w:r w:rsidR="000D0DA6" w:rsidRPr="00A9537A">
        <w:rPr>
          <w:rFonts w:ascii="Times New Roman" w:hAnsi="Times New Roman"/>
          <w:sz w:val="20"/>
          <w:szCs w:val="20"/>
        </w:rPr>
        <w:t>splitting</w:t>
      </w:r>
      <w:r w:rsidR="00770708" w:rsidRPr="00A9537A">
        <w:rPr>
          <w:rFonts w:ascii="Times New Roman" w:hAnsi="Times New Roman"/>
          <w:sz w:val="20"/>
          <w:szCs w:val="20"/>
        </w:rPr>
        <w:t xml:space="preserve"> technologies</w:t>
      </w:r>
      <w:r w:rsidR="005305F9" w:rsidRPr="00A9537A">
        <w:rPr>
          <w:rFonts w:ascii="Times New Roman" w:hAnsi="Times New Roman"/>
          <w:sz w:val="20"/>
          <w:szCs w:val="20"/>
        </w:rPr>
        <w:t xml:space="preserve"> </w:t>
      </w:r>
      <w:r w:rsidR="00947D45" w:rsidRPr="00A9537A">
        <w:rPr>
          <w:rFonts w:ascii="Times New Roman" w:hAnsi="Times New Roman"/>
          <w:sz w:val="20"/>
          <w:szCs w:val="20"/>
        </w:rPr>
        <w:t>are presented</w:t>
      </w:r>
      <w:r w:rsidR="00D610DE" w:rsidRPr="00A9537A">
        <w:rPr>
          <w:rFonts w:ascii="Times New Roman" w:hAnsi="Times New Roman"/>
          <w:sz w:val="20"/>
          <w:szCs w:val="20"/>
        </w:rPr>
        <w:t xml:space="preserve"> in </w:t>
      </w:r>
      <w:r w:rsidR="008C4535" w:rsidRPr="00A9537A">
        <w:rPr>
          <w:rFonts w:ascii="Times New Roman" w:hAnsi="Times New Roman"/>
          <w:sz w:val="20"/>
          <w:szCs w:val="20"/>
        </w:rPr>
        <w:t>Fig. 11</w:t>
      </w:r>
      <w:r w:rsidR="00D610DE" w:rsidRPr="00A9537A">
        <w:rPr>
          <w:rFonts w:ascii="Times New Roman" w:hAnsi="Times New Roman"/>
          <w:sz w:val="20"/>
          <w:szCs w:val="20"/>
        </w:rPr>
        <w:t>.</w:t>
      </w:r>
    </w:p>
    <w:p w14:paraId="7CB1625C" w14:textId="0C82E75C" w:rsidR="00B42468" w:rsidRPr="004D19FF" w:rsidRDefault="00AB30D6" w:rsidP="00BC4779">
      <w:pPr>
        <w:spacing w:after="120" w:line="276" w:lineRule="auto"/>
        <w:jc w:val="thaiDistribute"/>
        <w:rPr>
          <w:rFonts w:ascii="Times New Roman" w:hAnsi="Times New Roman"/>
          <w:sz w:val="20"/>
          <w:szCs w:val="20"/>
        </w:rPr>
      </w:pPr>
      <w:r w:rsidRPr="00A9537A">
        <w:rPr>
          <w:rFonts w:ascii="Times New Roman" w:hAnsi="Times New Roman"/>
          <w:sz w:val="20"/>
          <w:szCs w:val="20"/>
        </w:rPr>
        <w:t>Cryogenic h</w:t>
      </w:r>
      <w:r w:rsidR="00344BE8" w:rsidRPr="00A9537A">
        <w:rPr>
          <w:rFonts w:ascii="Times New Roman" w:hAnsi="Times New Roman"/>
          <w:sz w:val="20"/>
          <w:szCs w:val="20"/>
        </w:rPr>
        <w:t xml:space="preserve">ydrogen </w:t>
      </w:r>
      <w:r w:rsidR="0043384E" w:rsidRPr="00A9537A">
        <w:rPr>
          <w:rFonts w:ascii="Times New Roman" w:hAnsi="Times New Roman"/>
          <w:sz w:val="20"/>
          <w:szCs w:val="20"/>
        </w:rPr>
        <w:t>(</w:t>
      </w:r>
      <w:r w:rsidR="0033073E" w:rsidRPr="00A9537A">
        <w:rPr>
          <w:rFonts w:ascii="Times New Roman" w:hAnsi="Times New Roman"/>
          <w:sz w:val="20"/>
          <w:szCs w:val="20"/>
        </w:rPr>
        <w:t>referred as liquid hydr</w:t>
      </w:r>
      <w:r w:rsidR="0033073E" w:rsidRPr="00880232">
        <w:rPr>
          <w:rFonts w:ascii="Times New Roman" w:hAnsi="Times New Roman"/>
          <w:sz w:val="20"/>
          <w:szCs w:val="20"/>
        </w:rPr>
        <w:t>o</w:t>
      </w:r>
      <w:r w:rsidR="0033073E" w:rsidRPr="004D19FF">
        <w:rPr>
          <w:rFonts w:ascii="Times New Roman" w:hAnsi="Times New Roman"/>
          <w:sz w:val="20"/>
          <w:szCs w:val="20"/>
        </w:rPr>
        <w:t>gen;</w:t>
      </w:r>
      <w:r w:rsidR="0043384E" w:rsidRPr="004D19FF">
        <w:rPr>
          <w:rFonts w:ascii="Times New Roman" w:hAnsi="Times New Roman"/>
          <w:sz w:val="20"/>
          <w:szCs w:val="20"/>
        </w:rPr>
        <w:t xml:space="preserve"> LH</w:t>
      </w:r>
      <w:r w:rsidR="0043384E" w:rsidRPr="004D19FF">
        <w:rPr>
          <w:rFonts w:ascii="Times New Roman" w:hAnsi="Times New Roman"/>
          <w:sz w:val="20"/>
          <w:szCs w:val="20"/>
          <w:vertAlign w:val="subscript"/>
        </w:rPr>
        <w:t>2</w:t>
      </w:r>
      <w:r w:rsidR="0043384E" w:rsidRPr="004D19FF">
        <w:rPr>
          <w:rFonts w:ascii="Times New Roman" w:hAnsi="Times New Roman"/>
          <w:sz w:val="20"/>
          <w:szCs w:val="20"/>
        </w:rPr>
        <w:t xml:space="preserve">) </w:t>
      </w:r>
      <w:r w:rsidR="00344BE8" w:rsidRPr="004D19FF">
        <w:rPr>
          <w:rFonts w:ascii="Times New Roman" w:hAnsi="Times New Roman"/>
          <w:sz w:val="20"/>
          <w:szCs w:val="20"/>
        </w:rPr>
        <w:t xml:space="preserve">can be used either in </w:t>
      </w:r>
      <w:r w:rsidR="00AF722D" w:rsidRPr="004D19FF">
        <w:rPr>
          <w:rFonts w:ascii="Times New Roman" w:hAnsi="Times New Roman"/>
          <w:sz w:val="20"/>
          <w:szCs w:val="20"/>
        </w:rPr>
        <w:t xml:space="preserve">fuel cells </w:t>
      </w:r>
      <w:r w:rsidR="00E97179">
        <w:rPr>
          <w:rFonts w:ascii="Times New Roman" w:hAnsi="Times New Roman"/>
          <w:sz w:val="20"/>
          <w:szCs w:val="20"/>
        </w:rPr>
        <w:t xml:space="preserve">or </w:t>
      </w:r>
      <w:r w:rsidR="00E97179" w:rsidRPr="004D19FF">
        <w:rPr>
          <w:rFonts w:ascii="Times New Roman" w:hAnsi="Times New Roman"/>
          <w:sz w:val="20"/>
          <w:szCs w:val="20"/>
        </w:rPr>
        <w:t xml:space="preserve">in internal combustion engines </w:t>
      </w:r>
      <w:r w:rsidR="00B42468"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tnxQpRRV","properties":{"formattedCitation":"[27]","plainCitation":"[27]","noteIndex":0},"citationItems":[{"id":"968HXJ10/mGEa3YV5","uris":["http://www.mendeley.com/documents/?uuid=91fbef27-778a-4f0f-910f-0faf680e81c7"],"uri":["http://www.mendeley.com/documents/?uuid=91fbef27-778a-4f0f-910f-0faf680e81c7"],"itemData":{"author":[{"dropping-particle":"","family":"Misra","given":"Ajay","non-dropping-particle":"","parse-names":false,"suffix":""}],"container-title":"40th International Conference and Expo on Advanced  Ceramics and Composites","id":"ITEM-1","issued":{"date-parts":[["2016"]]},"title":"Energy Conversion and Storage Requirements for Hybrid Electric Aircraft","type":"article-journal"}}],"schema":"https://github.com/citation-style-language/schema/raw/master/csl-citation.json"} </w:instrText>
      </w:r>
      <w:r w:rsidR="00B42468" w:rsidRPr="004D19FF">
        <w:rPr>
          <w:rFonts w:ascii="Times New Roman" w:hAnsi="Times New Roman"/>
          <w:sz w:val="20"/>
          <w:szCs w:val="20"/>
        </w:rPr>
        <w:fldChar w:fldCharType="separate"/>
      </w:r>
      <w:r w:rsidR="0051129D" w:rsidRPr="0051129D">
        <w:rPr>
          <w:rFonts w:ascii="Times New Roman" w:hAnsi="Times New Roman" w:cs="Times New Roman"/>
          <w:sz w:val="20"/>
        </w:rPr>
        <w:t>[27]</w:t>
      </w:r>
      <w:r w:rsidR="00B42468" w:rsidRPr="004D19FF">
        <w:rPr>
          <w:rFonts w:ascii="Times New Roman" w:hAnsi="Times New Roman"/>
          <w:sz w:val="20"/>
          <w:szCs w:val="20"/>
        </w:rPr>
        <w:fldChar w:fldCharType="end"/>
      </w:r>
      <w:r w:rsidR="00196B5E">
        <w:rPr>
          <w:rFonts w:ascii="Times New Roman" w:hAnsi="Times New Roman"/>
          <w:sz w:val="20"/>
          <w:szCs w:val="20"/>
        </w:rPr>
        <w:t xml:space="preserve">, which </w:t>
      </w:r>
      <w:r w:rsidR="00B42468" w:rsidRPr="004D19FF">
        <w:rPr>
          <w:rFonts w:ascii="Times New Roman" w:hAnsi="Times New Roman"/>
          <w:sz w:val="20"/>
          <w:szCs w:val="20"/>
        </w:rPr>
        <w:t xml:space="preserve">require cryogenic storage (-253 </w:t>
      </w:r>
      <w:r w:rsidR="00B42468" w:rsidRPr="004D19FF">
        <w:rPr>
          <w:rFonts w:ascii="Times New Roman" w:hAnsi="Times New Roman" w:cs="Times New Roman"/>
          <w:sz w:val="20"/>
          <w:szCs w:val="20"/>
        </w:rPr>
        <w:t>°</w:t>
      </w:r>
      <w:r w:rsidR="00B42468" w:rsidRPr="004D19FF">
        <w:rPr>
          <w:rFonts w:ascii="Times New Roman" w:hAnsi="Times New Roman"/>
          <w:sz w:val="20"/>
          <w:szCs w:val="20"/>
        </w:rPr>
        <w:t xml:space="preserve">C) to maintain hydrogen in a liquid form </w:t>
      </w:r>
      <w:r w:rsidR="00B0018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vI51laKd","properties":{"formattedCitation":"[240]","plainCitation":"[240]","noteIndex":0},"citationItems":[{"id":"968HXJ10/bT42LOu2","uris":["http://www.mendeley.com/documents/?uuid=5160d282-6c6a-4245-bedd-2ecb6d4d9a4a"],"uri":["http://www.mendeley.com/documents/?uuid=5160d282-6c6a-4245-bedd-2ecb6d4d9a4a"],"itemData":{"DOI":"10.1007/978-3-319-93461-7","ISBN":"9783319934617","abstract":"This book describes the challenges and solutions the energy sector faces by shifting towards a hydrogen based fuel economy. The most current and up-to-date efforts of countries and leaders in the automotive sector are reviewed as they strive to develop technology and find solutions to production, storage, and distribution challenges. Hydrogen fuel is a zero-emission fuel when burned with oxygen and is often used with electrochemical cells, or combustion in internal engines, to power vehicles and electric devices. This book offers unique solutions to integrating renewable sources of energy like wind or solar power into the production of hydrogen fuel, making it a cost effective, efficient and truly renewable alternative fuel.","author":[{"dropping-particle":"","family":"Zohuri","given":"Bahman","non-dropping-particle":"","parse-names":false,"suffix":""}],"container-title":"Hydrogen Energy: Challenges and Solutions for a Cleaner Future","id":"ITEM-1","issue":"January","issued":{"date-parts":[["2018"]]},"page":"1-283","title":"Hydrogen energy: Challenges and solutions for a cleaner future","type":"article-journal"}}],"schema":"https://github.com/citation-style-language/schema/raw/master/csl-citation.json"} </w:instrText>
      </w:r>
      <w:r w:rsidR="00B00185" w:rsidRPr="004D19FF">
        <w:rPr>
          <w:rFonts w:ascii="Times New Roman" w:hAnsi="Times New Roman"/>
          <w:sz w:val="20"/>
          <w:szCs w:val="20"/>
        </w:rPr>
        <w:fldChar w:fldCharType="separate"/>
      </w:r>
      <w:r w:rsidR="00196B5E" w:rsidRPr="00196B5E">
        <w:rPr>
          <w:rFonts w:ascii="Times New Roman" w:hAnsi="Times New Roman" w:cs="Times New Roman"/>
          <w:sz w:val="20"/>
        </w:rPr>
        <w:t>[240]</w:t>
      </w:r>
      <w:r w:rsidR="00B00185" w:rsidRPr="004D19FF">
        <w:rPr>
          <w:rFonts w:ascii="Times New Roman" w:hAnsi="Times New Roman"/>
          <w:sz w:val="20"/>
          <w:szCs w:val="20"/>
        </w:rPr>
        <w:fldChar w:fldCharType="end"/>
      </w:r>
      <w:r w:rsidR="00B42468" w:rsidRPr="004D19FF">
        <w:rPr>
          <w:rFonts w:ascii="Times New Roman" w:hAnsi="Times New Roman"/>
          <w:sz w:val="20"/>
          <w:szCs w:val="20"/>
        </w:rPr>
        <w:t xml:space="preserve">. This is due to hydrogen’s high specific volume at standard atmospheric pressure and temperature. The use of </w:t>
      </w:r>
      <w:r w:rsidR="0043384E" w:rsidRPr="004D19FF">
        <w:rPr>
          <w:rFonts w:ascii="Times New Roman" w:hAnsi="Times New Roman"/>
          <w:sz w:val="20"/>
          <w:szCs w:val="20"/>
        </w:rPr>
        <w:t>LH</w:t>
      </w:r>
      <w:r w:rsidR="0043384E" w:rsidRPr="004D19FF">
        <w:rPr>
          <w:rFonts w:ascii="Times New Roman" w:hAnsi="Times New Roman"/>
          <w:sz w:val="20"/>
          <w:szCs w:val="20"/>
          <w:vertAlign w:val="subscript"/>
        </w:rPr>
        <w:t>2</w:t>
      </w:r>
      <w:r w:rsidR="0043384E" w:rsidRPr="004D19FF">
        <w:rPr>
          <w:rFonts w:ascii="Times New Roman" w:hAnsi="Times New Roman"/>
          <w:sz w:val="20"/>
          <w:szCs w:val="20"/>
        </w:rPr>
        <w:t xml:space="preserve"> </w:t>
      </w:r>
      <w:r w:rsidR="00B42468" w:rsidRPr="004D19FF">
        <w:rPr>
          <w:rFonts w:ascii="Times New Roman" w:hAnsi="Times New Roman"/>
          <w:sz w:val="20"/>
          <w:szCs w:val="20"/>
        </w:rPr>
        <w:t>for transport, in particular aviation, raises important</w:t>
      </w:r>
      <w:r w:rsidR="001650F2" w:rsidRPr="004D19FF">
        <w:rPr>
          <w:rFonts w:ascii="Times New Roman" w:hAnsi="Times New Roman"/>
          <w:sz w:val="20"/>
          <w:szCs w:val="20"/>
        </w:rPr>
        <w:t xml:space="preserve"> concerns about safety, </w:t>
      </w:r>
      <w:r w:rsidR="00B42468" w:rsidRPr="004D19FF">
        <w:rPr>
          <w:rFonts w:ascii="Times New Roman" w:hAnsi="Times New Roman"/>
          <w:sz w:val="20"/>
          <w:szCs w:val="20"/>
        </w:rPr>
        <w:t xml:space="preserve">and involves stringent procedures and requirements with regards to safety regulation certification </w:t>
      </w:r>
      <w:r w:rsidR="00B0018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Ej264SNO","properties":{"formattedCitation":"[30]","plainCitation":"[30]","noteIndex":0},"citationItems":[{"id":"968HXJ10/AmZ7STpN","uris":["http://www.mendeley.com/documents/?uuid=074d4e78-3a4c-4fa9-9f4c-3463b19e93be"],"uri":["http://www.mendeley.com/documents/?uuid=074d4e78-3a4c-4fa9-9f4c-3463b19e93be"],"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-1","issued":{"date-parts":[["2020"]]},"title":"Opportunities for Hydrogen in Commercial Aviation","type":"article-journal"}}],"schema":"https://github.com/citation-style-language/schema/raw/master/csl-citation.json"} </w:instrText>
      </w:r>
      <w:r w:rsidR="00B00185" w:rsidRPr="004D19FF">
        <w:rPr>
          <w:rFonts w:ascii="Times New Roman" w:hAnsi="Times New Roman"/>
          <w:sz w:val="20"/>
          <w:szCs w:val="20"/>
        </w:rPr>
        <w:fldChar w:fldCharType="separate"/>
      </w:r>
      <w:r w:rsidR="0078655A" w:rsidRPr="0078655A">
        <w:rPr>
          <w:rFonts w:ascii="Times New Roman" w:hAnsi="Times New Roman" w:cs="Times New Roman"/>
          <w:sz w:val="20"/>
        </w:rPr>
        <w:t>[30]</w:t>
      </w:r>
      <w:r w:rsidR="00B00185" w:rsidRPr="004D19FF">
        <w:rPr>
          <w:rFonts w:ascii="Times New Roman" w:hAnsi="Times New Roman"/>
          <w:sz w:val="20"/>
          <w:szCs w:val="20"/>
        </w:rPr>
        <w:fldChar w:fldCharType="end"/>
      </w:r>
      <w:r w:rsidR="00CD698D" w:rsidRPr="004D19FF">
        <w:rPr>
          <w:rFonts w:ascii="Times New Roman" w:hAnsi="Times New Roman"/>
          <w:sz w:val="20"/>
          <w:szCs w:val="20"/>
        </w:rPr>
        <w:t>.</w:t>
      </w:r>
      <w:r w:rsidR="00B42468" w:rsidRPr="004D19FF">
        <w:rPr>
          <w:rFonts w:ascii="Times New Roman" w:hAnsi="Times New Roman"/>
          <w:sz w:val="20"/>
          <w:szCs w:val="20"/>
        </w:rPr>
        <w:t xml:space="preserve"> One additional inconvenient of hydrogen relates to the weight penalty induced by the cryogenic system infrastructure</w:t>
      </w:r>
      <w:r w:rsidR="00DD020C" w:rsidRPr="004D19FF">
        <w:rPr>
          <w:rFonts w:ascii="Times New Roman" w:hAnsi="Times New Roman"/>
          <w:sz w:val="20"/>
          <w:szCs w:val="20"/>
        </w:rPr>
        <w:t>.</w:t>
      </w:r>
      <w:r w:rsidR="0005081F">
        <w:rPr>
          <w:rFonts w:ascii="Times New Roman" w:hAnsi="Times New Roman"/>
          <w:sz w:val="20"/>
          <w:szCs w:val="20"/>
        </w:rPr>
        <w:t xml:space="preserve"> L</w:t>
      </w:r>
      <w:r w:rsidR="007D5D98" w:rsidRPr="004D19FF">
        <w:rPr>
          <w:rFonts w:ascii="Times New Roman" w:hAnsi="Times New Roman"/>
          <w:sz w:val="20"/>
          <w:szCs w:val="20"/>
        </w:rPr>
        <w:t>i</w:t>
      </w:r>
      <w:r w:rsidR="00062C50">
        <w:rPr>
          <w:rFonts w:ascii="Times New Roman" w:hAnsi="Times New Roman"/>
          <w:sz w:val="20"/>
          <w:szCs w:val="20"/>
        </w:rPr>
        <w:t>ghtweight cry</w:t>
      </w:r>
      <w:r w:rsidR="0005081F">
        <w:rPr>
          <w:rFonts w:ascii="Times New Roman" w:hAnsi="Times New Roman"/>
          <w:sz w:val="20"/>
          <w:szCs w:val="20"/>
        </w:rPr>
        <w:t>ogenic</w:t>
      </w:r>
      <w:r w:rsidR="00B42468" w:rsidRPr="004D19FF">
        <w:rPr>
          <w:rFonts w:ascii="Times New Roman" w:hAnsi="Times New Roman"/>
          <w:sz w:val="20"/>
          <w:szCs w:val="20"/>
        </w:rPr>
        <w:t xml:space="preserve"> storage tank with cooling system advancement is necess</w:t>
      </w:r>
      <w:r w:rsidR="00F774B4" w:rsidRPr="004D19FF">
        <w:rPr>
          <w:rFonts w:ascii="Times New Roman" w:hAnsi="Times New Roman"/>
          <w:sz w:val="20"/>
          <w:szCs w:val="20"/>
        </w:rPr>
        <w:t>ary for tackling this challenge</w:t>
      </w:r>
      <w:r w:rsidR="00B42468" w:rsidRPr="004D19FF">
        <w:rPr>
          <w:rFonts w:ascii="Times New Roman" w:hAnsi="Times New Roman"/>
          <w:sz w:val="20"/>
          <w:szCs w:val="20"/>
        </w:rPr>
        <w:t xml:space="preserve"> </w:t>
      </w:r>
      <w:r w:rsidR="00B0018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vNUuUkTP","properties":{"formattedCitation":"[204]","plainCitation":"[204]","noteIndex":0},"citationItems":[{"id":"968HXJ10/ThnDpyF8","uris":["http://www.mendeley.com/documents/?uuid=bd870aee-d2ad-4c5e-8072-3f089bca66ee"],"uri":["http://www.mendeley.com/documents/?uuid=bd870aee-d2ad-4c5e-8072-3f089bca66ee"],"itemData":{"author":[{"dropping-particle":"","family":"Roland Berger","given":"","non-dropping-particle":"","parse-names":false,"suffix":""}],"id":"ITEM-1","issued":{"date-parts":[["2020"]]},"title":"A future fuel for aviation?","type":"report"}}],"schema":"https://github.com/citation-style-language/schema/raw/master/csl-citation.json"} </w:instrText>
      </w:r>
      <w:r w:rsidR="00B00185" w:rsidRPr="004D19FF">
        <w:rPr>
          <w:rFonts w:ascii="Times New Roman" w:hAnsi="Times New Roman"/>
          <w:sz w:val="20"/>
          <w:szCs w:val="20"/>
        </w:rPr>
        <w:fldChar w:fldCharType="separate"/>
      </w:r>
      <w:r w:rsidR="005D3B73" w:rsidRPr="005D3B73">
        <w:rPr>
          <w:rFonts w:ascii="Times New Roman" w:hAnsi="Times New Roman" w:cs="Times New Roman"/>
          <w:sz w:val="20"/>
        </w:rPr>
        <w:t>[204]</w:t>
      </w:r>
      <w:r w:rsidR="00B00185" w:rsidRPr="004D19FF">
        <w:rPr>
          <w:rFonts w:ascii="Times New Roman" w:hAnsi="Times New Roman"/>
          <w:sz w:val="20"/>
          <w:szCs w:val="20"/>
        </w:rPr>
        <w:fldChar w:fldCharType="end"/>
      </w:r>
      <w:r w:rsidR="00CD698D" w:rsidRPr="004D19FF">
        <w:rPr>
          <w:rFonts w:ascii="Times New Roman" w:hAnsi="Times New Roman"/>
          <w:sz w:val="20"/>
          <w:szCs w:val="20"/>
        </w:rPr>
        <w:t>.</w:t>
      </w:r>
      <w:r w:rsidR="00B42468" w:rsidRPr="004D19FF">
        <w:rPr>
          <w:rFonts w:ascii="Times New Roman" w:hAnsi="Times New Roman"/>
          <w:sz w:val="20"/>
          <w:szCs w:val="20"/>
        </w:rPr>
        <w:t xml:space="preserve"> </w:t>
      </w:r>
      <w:r w:rsidR="0005081F">
        <w:rPr>
          <w:rFonts w:ascii="Times New Roman" w:hAnsi="Times New Roman"/>
          <w:sz w:val="20"/>
          <w:szCs w:val="20"/>
        </w:rPr>
        <w:t>On top of this</w:t>
      </w:r>
      <w:r w:rsidR="00684986">
        <w:rPr>
          <w:rFonts w:ascii="Times New Roman" w:hAnsi="Times New Roman"/>
          <w:sz w:val="20"/>
          <w:szCs w:val="20"/>
        </w:rPr>
        <w:t xml:space="preserve">, fuselage </w:t>
      </w:r>
      <w:r w:rsidR="0005081F">
        <w:rPr>
          <w:rFonts w:ascii="Times New Roman" w:hAnsi="Times New Roman"/>
          <w:sz w:val="20"/>
          <w:szCs w:val="20"/>
        </w:rPr>
        <w:t>has</w:t>
      </w:r>
      <w:r w:rsidR="00684986">
        <w:rPr>
          <w:rFonts w:ascii="Times New Roman" w:hAnsi="Times New Roman"/>
          <w:sz w:val="20"/>
          <w:szCs w:val="20"/>
        </w:rPr>
        <w:t xml:space="preserve"> to be redesigned to accommodate the cryogenic hydrogen tank. </w:t>
      </w:r>
    </w:p>
    <w:p w14:paraId="3C176F2A" w14:textId="16C2A2A8" w:rsidR="0024620F" w:rsidRPr="004D19FF" w:rsidRDefault="00735CFC" w:rsidP="00BC4779">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Fuel cell propulsion system </w:t>
      </w:r>
      <w:r w:rsidR="008C7097" w:rsidRPr="004D19FF">
        <w:rPr>
          <w:rFonts w:ascii="Times New Roman" w:hAnsi="Times New Roman"/>
          <w:sz w:val="20"/>
          <w:szCs w:val="20"/>
        </w:rPr>
        <w:t xml:space="preserve">could be employed </w:t>
      </w:r>
      <w:r w:rsidR="00A84C18" w:rsidRPr="004D19FF">
        <w:rPr>
          <w:rFonts w:ascii="Times New Roman" w:hAnsi="Times New Roman"/>
          <w:sz w:val="20"/>
          <w:szCs w:val="20"/>
        </w:rPr>
        <w:t>in the place of the</w:t>
      </w:r>
      <w:r w:rsidR="008D2117">
        <w:rPr>
          <w:rFonts w:ascii="Times New Roman" w:hAnsi="Times New Roman"/>
          <w:sz w:val="20"/>
          <w:szCs w:val="20"/>
        </w:rPr>
        <w:t xml:space="preserve"> gas turbine as illustrated in Figs</w:t>
      </w:r>
      <w:r w:rsidR="008C7097" w:rsidRPr="004D19FF">
        <w:rPr>
          <w:rFonts w:ascii="Times New Roman" w:hAnsi="Times New Roman"/>
          <w:sz w:val="20"/>
          <w:szCs w:val="20"/>
        </w:rPr>
        <w:t xml:space="preserve">. </w:t>
      </w:r>
      <w:r w:rsidR="008C4535" w:rsidRPr="004D19FF">
        <w:rPr>
          <w:rFonts w:ascii="Times New Roman" w:hAnsi="Times New Roman"/>
          <w:sz w:val="20"/>
          <w:szCs w:val="20"/>
        </w:rPr>
        <w:t>13</w:t>
      </w:r>
      <w:r w:rsidR="004E745B" w:rsidRPr="004D19FF">
        <w:rPr>
          <w:rFonts w:ascii="Times New Roman" w:hAnsi="Times New Roman"/>
          <w:sz w:val="20"/>
          <w:szCs w:val="20"/>
        </w:rPr>
        <w:t>a and b</w:t>
      </w:r>
      <w:r w:rsidR="008C7097" w:rsidRPr="004D19FF">
        <w:rPr>
          <w:rFonts w:ascii="Times New Roman" w:hAnsi="Times New Roman"/>
          <w:sz w:val="20"/>
          <w:szCs w:val="20"/>
        </w:rPr>
        <w:t xml:space="preserve"> </w:t>
      </w:r>
      <w:r w:rsidR="00B0018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hgS4hVii","properties":{"formattedCitation":"[199,241]","plainCitation":"[199,241]","noteIndex":0},"citationItems":[{"id":"968HXJ10/xqANPmHL","uris":["http://www.mendeley.com/documents/?uuid=1746867a-c43a-45fe-a676-424110183b9a"],"uri":["http://www.mendeley.com/documents/?uuid=1746867a-c43a-45fe-a676-424110183b9a"],"itemData":{"author":[{"dropping-particle":"","family":"Barnes","given":"Phil","non-dropping-particle":"","parse-names":false,"suffix":""}],"id":"ITEM-1","issued":{"date-parts":[["2019"]]},"title":"General Aviation Aircraft : Fuel cell hybrids for electric propulsion","type":"legislation"}},{"id":"968HXJ10/obSwVbZZ","uris":["http://www.mendeley.com/documents/?uuid=1c9532ea-5e3e-4caa-a6ca-3ede3b626345"],"uri":["http://www.mendeley.com/documents/?uuid=1c9532ea-5e3e-4caa-a6ca-3ede3b626345"],"itemData":{"author":[{"dropping-particle":"","family":"Modular Approach to Hybrid Electric Propulsion Architecture (MAHEPA)","given":"","non-dropping-particle":"","parse-names":false,"suffix":""}],"container-title":"Modular Approach to Hybrid Electric Propulsion Architecture (MAHEPA)","id":"ITEM-2","issued":{"date-parts":[["2017"]]},"number-of-pages":"1-87","title":"D1 . 1 : Concept of Modular Architecture for Hybrid Electric Propulsion of Aircraft December , 2017","type":"report"}}],"schema":"https://github.com/citation-style-language/schema/raw/master/csl-citation.json"} </w:instrText>
      </w:r>
      <w:r w:rsidR="00B00185" w:rsidRPr="004D19FF">
        <w:rPr>
          <w:rFonts w:ascii="Times New Roman" w:hAnsi="Times New Roman"/>
          <w:sz w:val="20"/>
          <w:szCs w:val="20"/>
        </w:rPr>
        <w:fldChar w:fldCharType="separate"/>
      </w:r>
      <w:r w:rsidR="00196B5E" w:rsidRPr="00196B5E">
        <w:rPr>
          <w:rFonts w:ascii="Times New Roman" w:hAnsi="Times New Roman" w:cs="Times New Roman"/>
          <w:sz w:val="20"/>
        </w:rPr>
        <w:t>[199,241]</w:t>
      </w:r>
      <w:r w:rsidR="00B00185" w:rsidRPr="004D19FF">
        <w:rPr>
          <w:rFonts w:ascii="Times New Roman" w:hAnsi="Times New Roman"/>
          <w:sz w:val="20"/>
          <w:szCs w:val="20"/>
        </w:rPr>
        <w:fldChar w:fldCharType="end"/>
      </w:r>
      <w:r w:rsidR="00DF7014" w:rsidRPr="004D19FF">
        <w:rPr>
          <w:rFonts w:ascii="Times New Roman" w:hAnsi="Times New Roman"/>
          <w:sz w:val="20"/>
          <w:szCs w:val="20"/>
        </w:rPr>
        <w:t xml:space="preserve">, where </w:t>
      </w:r>
      <w:r w:rsidR="0043384E" w:rsidRPr="004D19FF">
        <w:rPr>
          <w:rFonts w:ascii="Times New Roman" w:hAnsi="Times New Roman"/>
          <w:sz w:val="20"/>
          <w:szCs w:val="20"/>
        </w:rPr>
        <w:t>LH</w:t>
      </w:r>
      <w:r w:rsidR="0043384E" w:rsidRPr="004D19FF">
        <w:rPr>
          <w:rFonts w:ascii="Times New Roman" w:hAnsi="Times New Roman"/>
          <w:sz w:val="20"/>
          <w:szCs w:val="20"/>
          <w:vertAlign w:val="subscript"/>
        </w:rPr>
        <w:t xml:space="preserve">2 </w:t>
      </w:r>
      <w:r w:rsidR="00DF7014" w:rsidRPr="004D19FF">
        <w:rPr>
          <w:rFonts w:ascii="Times New Roman" w:hAnsi="Times New Roman"/>
          <w:sz w:val="20"/>
          <w:szCs w:val="20"/>
        </w:rPr>
        <w:t>is converted to electricity that in turns power</w:t>
      </w:r>
      <w:r w:rsidR="00426E1F">
        <w:rPr>
          <w:rFonts w:ascii="Times New Roman" w:hAnsi="Times New Roman"/>
          <w:sz w:val="20"/>
          <w:szCs w:val="20"/>
        </w:rPr>
        <w:t>s</w:t>
      </w:r>
      <w:r w:rsidR="00DF7014" w:rsidRPr="004D19FF">
        <w:rPr>
          <w:rFonts w:ascii="Times New Roman" w:hAnsi="Times New Roman"/>
          <w:sz w:val="20"/>
          <w:szCs w:val="20"/>
        </w:rPr>
        <w:t xml:space="preserve"> an electric motor</w:t>
      </w:r>
      <w:r w:rsidR="00DD4939">
        <w:rPr>
          <w:rFonts w:ascii="Times New Roman" w:hAnsi="Times New Roman"/>
          <w:sz w:val="20"/>
          <w:szCs w:val="20"/>
        </w:rPr>
        <w:t xml:space="preserve">, which involves </w:t>
      </w:r>
      <w:r w:rsidR="00DF7014" w:rsidRPr="004D19FF">
        <w:rPr>
          <w:rFonts w:ascii="Times New Roman" w:hAnsi="Times New Roman"/>
          <w:sz w:val="20"/>
          <w:szCs w:val="20"/>
        </w:rPr>
        <w:t xml:space="preserve">a modification of the propulsion system </w:t>
      </w:r>
      <w:r w:rsidR="00B00185"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Wo7GCJXF","properties":{"formattedCitation":"[204]","plainCitation":"[204]","noteIndex":0},"citationItems":[{"id":"968HXJ10/ThnDpyF8","uris":["http://www.mendeley.com/documents/?uuid=bd870aee-d2ad-4c5e-8072-3f089bca66ee"],"uri":["http://www.mendeley.com/documents/?uuid=bd870aee-d2ad-4c5e-8072-3f089bca66ee"],"itemData":{"author":[{"dropping-particle":"","family":"Roland Berger","given":"","non-dropping-particle":"","parse-names":false,"suffix":""}],"id":"ITEM-1","issued":{"date-parts":[["2020"]]},"title":"A future fuel for aviation?","type":"report"}}],"schema":"https://github.com/citation-style-language/schema/raw/master/csl-citation.json"} </w:instrText>
      </w:r>
      <w:r w:rsidR="00B00185" w:rsidRPr="004D19FF">
        <w:rPr>
          <w:rFonts w:ascii="Times New Roman" w:hAnsi="Times New Roman"/>
          <w:sz w:val="20"/>
          <w:szCs w:val="20"/>
        </w:rPr>
        <w:fldChar w:fldCharType="separate"/>
      </w:r>
      <w:r w:rsidR="005D3B73" w:rsidRPr="005D3B73">
        <w:rPr>
          <w:rFonts w:ascii="Times New Roman" w:hAnsi="Times New Roman" w:cs="Times New Roman"/>
          <w:sz w:val="20"/>
        </w:rPr>
        <w:t>[204]</w:t>
      </w:r>
      <w:r w:rsidR="00B00185" w:rsidRPr="004D19FF">
        <w:rPr>
          <w:rFonts w:ascii="Times New Roman" w:hAnsi="Times New Roman"/>
          <w:sz w:val="20"/>
          <w:szCs w:val="20"/>
        </w:rPr>
        <w:fldChar w:fldCharType="end"/>
      </w:r>
      <w:r w:rsidR="00DF7014" w:rsidRPr="004D19FF">
        <w:rPr>
          <w:rFonts w:ascii="Times New Roman" w:hAnsi="Times New Roman"/>
          <w:sz w:val="20"/>
          <w:szCs w:val="20"/>
        </w:rPr>
        <w:t xml:space="preserve">. </w:t>
      </w:r>
      <w:r w:rsidR="00293F6D" w:rsidRPr="004D19FF">
        <w:rPr>
          <w:rFonts w:ascii="Times New Roman" w:hAnsi="Times New Roman"/>
          <w:sz w:val="20"/>
          <w:szCs w:val="20"/>
        </w:rPr>
        <w:t>Unlike the internal combustion engine where air is involved in the combustion process (thus involving nitrogen outputs such as nitrogen oxides; NO</w:t>
      </w:r>
      <w:r w:rsidR="00293F6D" w:rsidRPr="004D19FF">
        <w:rPr>
          <w:rFonts w:ascii="Times New Roman" w:hAnsi="Times New Roman"/>
          <w:sz w:val="20"/>
          <w:szCs w:val="20"/>
          <w:vertAlign w:val="subscript"/>
        </w:rPr>
        <w:t>x</w:t>
      </w:r>
      <w:r w:rsidR="00293F6D" w:rsidRPr="004D19FF">
        <w:rPr>
          <w:rFonts w:ascii="Times New Roman" w:hAnsi="Times New Roman"/>
          <w:sz w:val="20"/>
          <w:szCs w:val="20"/>
        </w:rPr>
        <w:t xml:space="preserve">); the only two by-products from fuel cell systems are water </w:t>
      </w:r>
      <w:r w:rsidR="0034743A" w:rsidRPr="004D19FF">
        <w:rPr>
          <w:rFonts w:ascii="Times New Roman" w:hAnsi="Times New Roman"/>
          <w:sz w:val="20"/>
          <w:szCs w:val="20"/>
        </w:rPr>
        <w:t>vapo</w:t>
      </w:r>
      <w:r w:rsidR="00DE1675" w:rsidRPr="004D19FF">
        <w:rPr>
          <w:rFonts w:ascii="Times New Roman" w:hAnsi="Times New Roman"/>
          <w:sz w:val="20"/>
          <w:szCs w:val="20"/>
        </w:rPr>
        <w:t xml:space="preserve">r </w:t>
      </w:r>
      <w:r w:rsidR="00293F6D" w:rsidRPr="004D19FF">
        <w:rPr>
          <w:rFonts w:ascii="Times New Roman" w:hAnsi="Times New Roman"/>
          <w:sz w:val="20"/>
          <w:szCs w:val="20"/>
        </w:rPr>
        <w:t>and a small amount of heat.</w:t>
      </w:r>
      <w:r w:rsidR="00561E34">
        <w:rPr>
          <w:rFonts w:ascii="Times New Roman" w:hAnsi="Times New Roman"/>
          <w:sz w:val="20"/>
          <w:szCs w:val="20"/>
        </w:rPr>
        <w:t xml:space="preserve"> This, however, involves non-negligible cooling requirement</w:t>
      </w:r>
      <w:r w:rsidR="00426E1F">
        <w:rPr>
          <w:rFonts w:ascii="Times New Roman" w:hAnsi="Times New Roman"/>
          <w:sz w:val="20"/>
          <w:szCs w:val="20"/>
        </w:rPr>
        <w:t>s</w:t>
      </w:r>
      <w:r w:rsidR="00561E34">
        <w:rPr>
          <w:rFonts w:ascii="Times New Roman" w:hAnsi="Times New Roman"/>
          <w:sz w:val="20"/>
          <w:szCs w:val="20"/>
        </w:rPr>
        <w:t xml:space="preserve"> </w:t>
      </w:r>
      <w:r w:rsidR="00561E34"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EJlvuD3x","properties":{"formattedCitation":"[242,243]","plainCitation":"[242,243]","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-1","issued":{"date-parts":[["2020"]]},"title":"Opportunities for Hydrogen in Commercial Aviation","type":"article-journal"}},{"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alone.","author":[{"dropping-particle":"","family":"McKinsey","given":"","non-dropping-particle":"","parse-names":false,"suffix":""}],"id":"ITEM-2","issue":"May","issued":{"date-parts":[["2020"]]},"number-of-pages":"1-96","title":"Hydrogen-powered aviation A fact-based study of hydrogen technology, economics, and climate impact by 2050","type":"book"}}],"schema":"https://github.com/citation-style-language/schema/raw/master/csl-citation.json"} </w:instrText>
      </w:r>
      <w:r w:rsidR="00561E34" w:rsidRPr="004D19FF">
        <w:rPr>
          <w:rFonts w:ascii="Times New Roman" w:hAnsi="Times New Roman"/>
          <w:sz w:val="20"/>
          <w:szCs w:val="20"/>
        </w:rPr>
        <w:fldChar w:fldCharType="separate"/>
      </w:r>
      <w:r w:rsidR="00196B5E" w:rsidRPr="00196B5E">
        <w:rPr>
          <w:rFonts w:ascii="Times New Roman" w:hAnsi="Times New Roman" w:cs="Times New Roman"/>
          <w:sz w:val="20"/>
        </w:rPr>
        <w:t>[242,243]</w:t>
      </w:r>
      <w:r w:rsidR="00561E34" w:rsidRPr="004D19FF">
        <w:rPr>
          <w:rFonts w:ascii="Times New Roman" w:hAnsi="Times New Roman"/>
          <w:sz w:val="20"/>
          <w:szCs w:val="20"/>
        </w:rPr>
        <w:fldChar w:fldCharType="end"/>
      </w:r>
      <w:r w:rsidR="00561E34">
        <w:rPr>
          <w:rFonts w:ascii="Times New Roman" w:hAnsi="Times New Roman"/>
          <w:sz w:val="20"/>
          <w:szCs w:val="20"/>
        </w:rPr>
        <w:t>.</w:t>
      </w:r>
      <w:r w:rsidR="00193C78" w:rsidRPr="004D19FF">
        <w:rPr>
          <w:rFonts w:ascii="Times New Roman" w:hAnsi="Times New Roman"/>
          <w:sz w:val="20"/>
          <w:szCs w:val="20"/>
        </w:rPr>
        <w:t xml:space="preserve"> </w:t>
      </w:r>
      <w:r w:rsidR="0014169F" w:rsidRPr="004D19FF">
        <w:rPr>
          <w:rFonts w:ascii="Times New Roman" w:hAnsi="Times New Roman"/>
          <w:sz w:val="20"/>
          <w:szCs w:val="20"/>
        </w:rPr>
        <w:t>Additionally</w:t>
      </w:r>
      <w:r w:rsidR="00193C78" w:rsidRPr="004D19FF">
        <w:rPr>
          <w:rFonts w:ascii="Times New Roman" w:hAnsi="Times New Roman"/>
          <w:sz w:val="20"/>
          <w:szCs w:val="20"/>
        </w:rPr>
        <w:t xml:space="preserve">, fuel cell </w:t>
      </w:r>
      <w:r w:rsidR="0024620F" w:rsidRPr="004D19FF">
        <w:rPr>
          <w:rFonts w:ascii="Times New Roman" w:hAnsi="Times New Roman"/>
          <w:sz w:val="20"/>
          <w:szCs w:val="20"/>
        </w:rPr>
        <w:t>propulsion</w:t>
      </w:r>
      <w:r w:rsidR="00193C78" w:rsidRPr="004D19FF">
        <w:rPr>
          <w:rFonts w:ascii="Times New Roman" w:hAnsi="Times New Roman"/>
          <w:sz w:val="20"/>
          <w:szCs w:val="20"/>
        </w:rPr>
        <w:t xml:space="preserve"> is unlikely to be competitive for heavy payload</w:t>
      </w:r>
      <w:r w:rsidR="00D44F88" w:rsidRPr="004D19FF">
        <w:rPr>
          <w:rFonts w:ascii="Times New Roman" w:hAnsi="Times New Roman"/>
          <w:sz w:val="20"/>
          <w:szCs w:val="20"/>
        </w:rPr>
        <w:t xml:space="preserve"> and long distances, </w:t>
      </w:r>
      <w:r w:rsidR="006D4490">
        <w:rPr>
          <w:rFonts w:ascii="Times New Roman" w:hAnsi="Times New Roman"/>
          <w:sz w:val="20"/>
          <w:szCs w:val="20"/>
        </w:rPr>
        <w:t xml:space="preserve">with 4-times the weight of current aircraft engines to generate the same power output </w:t>
      </w:r>
      <w:r w:rsidR="006D4490"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lY5fIc6o","properties":{"formattedCitation":"[242,243]","plainCitation":"[242,243]","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-1","issued":{"date-parts":[["2020"]]},"title":"Opportunities for Hydrogen in Commercial Aviation","type":"article-journal"}},{"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alone.","author":[{"dropping-particle":"","family":"McKinsey","given":"","non-dropping-particle":"","parse-names":false,"suffix":""}],"id":"ITEM-2","issue":"May","issued":{"date-parts":[["2020"]]},"number-of-pages":"1-96","title":"Hydrogen-powered aviation A fact-based study of hydrogen technology, economics, and climate impact by 2050","type":"book"}}],"schema":"https://github.com/citation-style-language/schema/raw/master/csl-citation.json"} </w:instrText>
      </w:r>
      <w:r w:rsidR="006D4490" w:rsidRPr="004D19FF">
        <w:rPr>
          <w:rFonts w:ascii="Times New Roman" w:hAnsi="Times New Roman"/>
          <w:sz w:val="20"/>
          <w:szCs w:val="20"/>
        </w:rPr>
        <w:fldChar w:fldCharType="separate"/>
      </w:r>
      <w:r w:rsidR="00196B5E" w:rsidRPr="00196B5E">
        <w:rPr>
          <w:rFonts w:ascii="Times New Roman" w:hAnsi="Times New Roman" w:cs="Times New Roman"/>
          <w:sz w:val="20"/>
        </w:rPr>
        <w:t>[242,243]</w:t>
      </w:r>
      <w:r w:rsidR="006D4490" w:rsidRPr="004D19FF">
        <w:rPr>
          <w:rFonts w:ascii="Times New Roman" w:hAnsi="Times New Roman"/>
          <w:sz w:val="20"/>
          <w:szCs w:val="20"/>
        </w:rPr>
        <w:fldChar w:fldCharType="end"/>
      </w:r>
      <w:r w:rsidR="0024620F" w:rsidRPr="004D19FF">
        <w:rPr>
          <w:rFonts w:ascii="Times New Roman" w:hAnsi="Times New Roman"/>
          <w:sz w:val="20"/>
          <w:szCs w:val="20"/>
        </w:rPr>
        <w:t>.</w:t>
      </w:r>
      <w:r w:rsidR="00172A98">
        <w:rPr>
          <w:rFonts w:ascii="Times New Roman" w:hAnsi="Times New Roman"/>
          <w:sz w:val="20"/>
          <w:szCs w:val="20"/>
        </w:rPr>
        <w:t xml:space="preserve"> </w:t>
      </w:r>
    </w:p>
    <w:p w14:paraId="6A106EF4" w14:textId="05BF4ECD" w:rsidR="00BF3DBD" w:rsidRPr="004D19FF" w:rsidRDefault="00BF3DBD" w:rsidP="00BC4779">
      <w:pPr>
        <w:spacing w:after="120" w:line="276" w:lineRule="auto"/>
        <w:jc w:val="thaiDistribute"/>
        <w:rPr>
          <w:rFonts w:ascii="Times New Roman" w:hAnsi="Times New Roman"/>
          <w:sz w:val="20"/>
          <w:szCs w:val="20"/>
        </w:rPr>
      </w:pPr>
      <w:r w:rsidRPr="5E6B58EF">
        <w:rPr>
          <w:rFonts w:ascii="Times New Roman" w:hAnsi="Times New Roman"/>
          <w:sz w:val="20"/>
          <w:szCs w:val="20"/>
        </w:rPr>
        <w:t>In comparison with batteries</w:t>
      </w:r>
      <w:r w:rsidR="00183293" w:rsidRPr="5E6B58EF">
        <w:rPr>
          <w:rFonts w:ascii="Times New Roman" w:hAnsi="Times New Roman"/>
          <w:sz w:val="20"/>
          <w:szCs w:val="20"/>
        </w:rPr>
        <w:t xml:space="preserve">, fuel </w:t>
      </w:r>
      <w:r w:rsidRPr="5E6B58EF">
        <w:rPr>
          <w:rFonts w:ascii="Times New Roman" w:hAnsi="Times New Roman"/>
          <w:sz w:val="20"/>
          <w:szCs w:val="20"/>
        </w:rPr>
        <w:t>cells serve</w:t>
      </w:r>
      <w:r w:rsidR="005763AA" w:rsidRPr="5E6B58EF">
        <w:rPr>
          <w:rFonts w:ascii="Times New Roman" w:hAnsi="Times New Roman"/>
          <w:sz w:val="20"/>
          <w:szCs w:val="20"/>
        </w:rPr>
        <w:t xml:space="preserve"> as energy converters</w:t>
      </w:r>
      <w:r w:rsidRPr="5E6B58EF">
        <w:rPr>
          <w:rFonts w:ascii="Times New Roman" w:hAnsi="Times New Roman"/>
          <w:sz w:val="20"/>
          <w:szCs w:val="20"/>
        </w:rPr>
        <w:t>, not as energy storage, and</w:t>
      </w:r>
      <w:r w:rsidR="00183293" w:rsidRPr="5E6B58EF">
        <w:rPr>
          <w:rFonts w:ascii="Times New Roman" w:hAnsi="Times New Roman"/>
          <w:sz w:val="20"/>
          <w:szCs w:val="20"/>
        </w:rPr>
        <w:t xml:space="preserve"> can continuously produce</w:t>
      </w:r>
      <w:r w:rsidRPr="5E6B58EF">
        <w:rPr>
          <w:rFonts w:ascii="Times New Roman" w:hAnsi="Times New Roman"/>
          <w:sz w:val="20"/>
          <w:szCs w:val="20"/>
        </w:rPr>
        <w:t xml:space="preserve"> electricity as long as </w:t>
      </w:r>
      <w:r w:rsidR="00183293" w:rsidRPr="5E6B58EF">
        <w:rPr>
          <w:rFonts w:ascii="Times New Roman" w:hAnsi="Times New Roman"/>
          <w:sz w:val="20"/>
          <w:szCs w:val="20"/>
        </w:rPr>
        <w:t xml:space="preserve">hydrogen </w:t>
      </w:r>
      <w:r w:rsidR="00530C87" w:rsidRPr="5E6B58EF">
        <w:rPr>
          <w:rFonts w:ascii="Times New Roman" w:hAnsi="Times New Roman"/>
          <w:sz w:val="20"/>
          <w:szCs w:val="20"/>
        </w:rPr>
        <w:t xml:space="preserve">is </w:t>
      </w:r>
      <w:r w:rsidRPr="5E6B58EF">
        <w:rPr>
          <w:rFonts w:ascii="Times New Roman" w:hAnsi="Times New Roman"/>
          <w:sz w:val="20"/>
          <w:szCs w:val="20"/>
        </w:rPr>
        <w:t>fed to the fuel cell</w:t>
      </w:r>
      <w:r w:rsidR="00530C87" w:rsidRPr="5E6B58EF">
        <w:rPr>
          <w:rFonts w:ascii="Times New Roman" w:hAnsi="Times New Roman"/>
          <w:sz w:val="20"/>
          <w:szCs w:val="20"/>
        </w:rPr>
        <w:t xml:space="preserve">. </w:t>
      </w:r>
      <w:r w:rsidR="00D55F48" w:rsidRPr="5E6B58EF">
        <w:rPr>
          <w:rFonts w:ascii="Times New Roman" w:hAnsi="Times New Roman"/>
          <w:sz w:val="20"/>
          <w:szCs w:val="20"/>
        </w:rPr>
        <w:t xml:space="preserve">The produced electricity </w:t>
      </w:r>
      <w:r w:rsidRPr="5E6B58EF">
        <w:rPr>
          <w:rFonts w:ascii="Times New Roman" w:hAnsi="Times New Roman"/>
          <w:sz w:val="20"/>
          <w:szCs w:val="20"/>
        </w:rPr>
        <w:t>in excess of what is needed for propelling the aircraft can additionally be stored in batteries</w:t>
      </w:r>
      <w:r w:rsidR="00D55F48" w:rsidRPr="5E6B58EF">
        <w:rPr>
          <w:rFonts w:ascii="Times New Roman" w:hAnsi="Times New Roman"/>
          <w:sz w:val="20"/>
          <w:szCs w:val="20"/>
        </w:rPr>
        <w:t xml:space="preserve"> as a back-up energy </w:t>
      </w:r>
      <w:r w:rsidR="00A91618" w:rsidRPr="5E6B58EF">
        <w:rPr>
          <w:rFonts w:ascii="Times New Roman" w:hAnsi="Times New Roman"/>
          <w:sz w:val="20"/>
          <w:szCs w:val="20"/>
        </w:rPr>
        <w:t>source</w:t>
      </w:r>
      <w:r w:rsidR="00D55F48" w:rsidRPr="5E6B58EF">
        <w:rPr>
          <w:rFonts w:ascii="Times New Roman" w:hAnsi="Times New Roman"/>
          <w:sz w:val="20"/>
          <w:szCs w:val="20"/>
        </w:rPr>
        <w:t xml:space="preserve"> </w:t>
      </w:r>
      <w:r w:rsidRPr="5E6B58E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cQQeqmf","properties":{"formattedCitation":"[204]","plainCitation":"[204]","noteIndex":0},"citationItems":[{"id":"968HXJ10/ThnDpyF8","uris":["http://www.mendeley.com/documents/?uuid=bd870aee-d2ad-4c5e-8072-3f089bca66ee"],"uri":["http://www.mendeley.com/documents/?uuid=bd870aee-d2ad-4c5e-8072-3f089bca66ee"],"itemData":{"author":[{"dropping-particle":"","family":"Roland Berger","given":"","non-dropping-particle":"","parse-names":false,"suffix":""}],"id":"ITEM-1","issued":{"date-parts":[["2020"]]},"title":"A future fuel for aviation?","type":"report"}}],"schema":"https://github.com/citation-style-language/schema/raw/master/csl-citation.json"} </w:instrText>
      </w:r>
      <w:r w:rsidRPr="5E6B58EF">
        <w:rPr>
          <w:rFonts w:ascii="Times New Roman" w:hAnsi="Times New Roman"/>
          <w:sz w:val="20"/>
          <w:szCs w:val="20"/>
        </w:rPr>
        <w:fldChar w:fldCharType="separate"/>
      </w:r>
      <w:r w:rsidR="005D3B73" w:rsidRPr="5E6B58EF">
        <w:rPr>
          <w:rFonts w:ascii="Times New Roman" w:hAnsi="Times New Roman" w:cs="Times New Roman"/>
          <w:sz w:val="20"/>
          <w:szCs w:val="20"/>
        </w:rPr>
        <w:t>[204]</w:t>
      </w:r>
      <w:r w:rsidRPr="5E6B58EF">
        <w:rPr>
          <w:rFonts w:ascii="Times New Roman" w:hAnsi="Times New Roman"/>
          <w:sz w:val="20"/>
          <w:szCs w:val="20"/>
        </w:rPr>
        <w:fldChar w:fldCharType="end"/>
      </w:r>
      <w:r w:rsidR="00CD698D" w:rsidRPr="5E6B58EF">
        <w:rPr>
          <w:rFonts w:ascii="Times New Roman" w:hAnsi="Times New Roman"/>
          <w:sz w:val="20"/>
          <w:szCs w:val="20"/>
        </w:rPr>
        <w:t>.</w:t>
      </w:r>
      <w:r w:rsidR="00D55F48" w:rsidRPr="5E6B58EF">
        <w:rPr>
          <w:rFonts w:ascii="Times New Roman" w:hAnsi="Times New Roman"/>
          <w:sz w:val="20"/>
          <w:szCs w:val="20"/>
        </w:rPr>
        <w:t xml:space="preserve"> </w:t>
      </w:r>
      <w:r w:rsidRPr="5E6B58EF">
        <w:rPr>
          <w:rFonts w:ascii="Times New Roman" w:hAnsi="Times New Roman"/>
          <w:sz w:val="20"/>
          <w:szCs w:val="20"/>
        </w:rPr>
        <w:t>Hydrogen fuel cells also provide the advantage of</w:t>
      </w:r>
      <w:r w:rsidR="000B52D0" w:rsidRPr="5E6B58EF">
        <w:rPr>
          <w:rFonts w:ascii="Times New Roman" w:hAnsi="Times New Roman"/>
          <w:sz w:val="20"/>
          <w:szCs w:val="20"/>
        </w:rPr>
        <w:t xml:space="preserve"> </w:t>
      </w:r>
      <w:r w:rsidR="00426E1F" w:rsidRPr="5E6B58EF">
        <w:rPr>
          <w:rFonts w:ascii="Times New Roman" w:hAnsi="Times New Roman"/>
          <w:sz w:val="20"/>
          <w:szCs w:val="20"/>
        </w:rPr>
        <w:t>short</w:t>
      </w:r>
      <w:r w:rsidR="000B52D0" w:rsidRPr="5E6B58EF">
        <w:rPr>
          <w:rFonts w:ascii="Times New Roman" w:hAnsi="Times New Roman"/>
          <w:sz w:val="20"/>
          <w:szCs w:val="20"/>
        </w:rPr>
        <w:t xml:space="preserve"> refueling time</w:t>
      </w:r>
      <w:r w:rsidR="001C1A8D" w:rsidRPr="5E6B58EF">
        <w:rPr>
          <w:rFonts w:ascii="Times New Roman" w:hAnsi="Times New Roman"/>
          <w:sz w:val="20"/>
          <w:szCs w:val="20"/>
        </w:rPr>
        <w:t xml:space="preserve"> in comparison with </w:t>
      </w:r>
      <w:r w:rsidR="00470974" w:rsidRPr="5E6B58EF">
        <w:rPr>
          <w:rFonts w:ascii="Times New Roman" w:hAnsi="Times New Roman"/>
          <w:sz w:val="20"/>
          <w:szCs w:val="20"/>
        </w:rPr>
        <w:t>batteries</w:t>
      </w:r>
      <w:r w:rsidR="001C1A8D" w:rsidRPr="5E6B58EF">
        <w:rPr>
          <w:rFonts w:ascii="Times New Roman" w:hAnsi="Times New Roman"/>
          <w:sz w:val="20"/>
          <w:szCs w:val="20"/>
        </w:rPr>
        <w:t xml:space="preserve"> </w:t>
      </w:r>
      <w:r w:rsidR="0014169F" w:rsidRPr="5E6B58EF">
        <w:rPr>
          <w:rFonts w:ascii="Times New Roman" w:hAnsi="Times New Roman"/>
          <w:sz w:val="20"/>
          <w:szCs w:val="20"/>
        </w:rPr>
        <w:t>with</w:t>
      </w:r>
      <w:r w:rsidR="00426E1F" w:rsidRPr="5E6B58EF">
        <w:rPr>
          <w:rFonts w:ascii="Times New Roman" w:hAnsi="Times New Roman"/>
          <w:sz w:val="20"/>
          <w:szCs w:val="20"/>
        </w:rPr>
        <w:t xml:space="preserve"> less</w:t>
      </w:r>
      <w:r w:rsidR="0014169F" w:rsidRPr="5E6B58EF">
        <w:rPr>
          <w:rFonts w:ascii="Times New Roman" w:hAnsi="Times New Roman"/>
          <w:sz w:val="20"/>
          <w:szCs w:val="20"/>
        </w:rPr>
        <w:t xml:space="preserve"> risk</w:t>
      </w:r>
      <w:r w:rsidR="00426E1F" w:rsidRPr="5E6B58EF">
        <w:rPr>
          <w:rFonts w:ascii="Times New Roman" w:hAnsi="Times New Roman"/>
          <w:sz w:val="20"/>
          <w:szCs w:val="20"/>
        </w:rPr>
        <w:t>s</w:t>
      </w:r>
      <w:r w:rsidR="0014169F" w:rsidRPr="5E6B58EF">
        <w:rPr>
          <w:rFonts w:ascii="Times New Roman" w:hAnsi="Times New Roman"/>
          <w:sz w:val="20"/>
          <w:szCs w:val="20"/>
        </w:rPr>
        <w:t xml:space="preserve"> of </w:t>
      </w:r>
      <w:r w:rsidR="00470974" w:rsidRPr="5E6B58EF">
        <w:rPr>
          <w:rFonts w:ascii="Times New Roman" w:hAnsi="Times New Roman"/>
          <w:sz w:val="20"/>
          <w:szCs w:val="20"/>
        </w:rPr>
        <w:t>reducing the lifetime</w:t>
      </w:r>
      <w:r w:rsidR="0014169F" w:rsidRPr="5E6B58EF">
        <w:rPr>
          <w:rFonts w:ascii="Times New Roman" w:hAnsi="Times New Roman"/>
          <w:sz w:val="20"/>
          <w:szCs w:val="20"/>
        </w:rPr>
        <w:t xml:space="preserve"> </w:t>
      </w:r>
      <w:r w:rsidRPr="5E6B58E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wdDMYgvG","properties":{"formattedCitation":"[30]","plainCitation":"[30]","noteIndex":0},"citationItems":[{"id":"968HXJ10/AmZ7STpN","uris":["http://www.mendeley.com/documents/?uuid=074d4e78-3a4c-4fa9-9f4c-3463b19e93be"],"uri":["http://www.mendeley.com/documents/?uuid=074d4e78-3a4c-4fa9-9f4c-3463b19e93be"],"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-1","issued":{"date-parts":[["2020"]]},"title":"Opportunities for Hydrogen in Commercial Aviation","type":"article-journal"}}],"schema":"https://github.com/citation-style-language/schema/raw/master/csl-citation.json"} </w:instrText>
      </w:r>
      <w:r w:rsidRPr="5E6B58EF">
        <w:rPr>
          <w:rFonts w:ascii="Times New Roman" w:hAnsi="Times New Roman"/>
          <w:sz w:val="20"/>
          <w:szCs w:val="20"/>
        </w:rPr>
        <w:fldChar w:fldCharType="separate"/>
      </w:r>
      <w:r w:rsidR="0078655A" w:rsidRPr="0078655A">
        <w:rPr>
          <w:rFonts w:ascii="Times New Roman" w:hAnsi="Times New Roman" w:cs="Times New Roman"/>
          <w:sz w:val="20"/>
        </w:rPr>
        <w:t>[30]</w:t>
      </w:r>
      <w:r w:rsidRPr="5E6B58EF">
        <w:rPr>
          <w:rFonts w:ascii="Times New Roman" w:hAnsi="Times New Roman"/>
          <w:sz w:val="20"/>
          <w:szCs w:val="20"/>
        </w:rPr>
        <w:fldChar w:fldCharType="end"/>
      </w:r>
      <w:r w:rsidR="00CD698D" w:rsidRPr="5E6B58EF">
        <w:rPr>
          <w:rFonts w:ascii="Times New Roman" w:hAnsi="Times New Roman"/>
          <w:sz w:val="20"/>
          <w:szCs w:val="20"/>
        </w:rPr>
        <w:t>.</w:t>
      </w:r>
      <w:r w:rsidR="00F47627" w:rsidRPr="5E6B58EF">
        <w:rPr>
          <w:rFonts w:ascii="Times New Roman" w:hAnsi="Times New Roman"/>
          <w:sz w:val="20"/>
          <w:szCs w:val="20"/>
        </w:rPr>
        <w:t xml:space="preserve"> </w:t>
      </w:r>
      <w:r w:rsidR="00426E1F" w:rsidRPr="5E6B58EF">
        <w:rPr>
          <w:rFonts w:ascii="Times New Roman" w:hAnsi="Times New Roman"/>
          <w:sz w:val="20"/>
          <w:szCs w:val="20"/>
        </w:rPr>
        <w:t>H</w:t>
      </w:r>
      <w:r w:rsidR="00673EB8" w:rsidRPr="5E6B58EF">
        <w:rPr>
          <w:rFonts w:ascii="Times New Roman" w:hAnsi="Times New Roman"/>
          <w:sz w:val="20"/>
          <w:szCs w:val="20"/>
        </w:rPr>
        <w:t xml:space="preserve">ydrogen fuel cell </w:t>
      </w:r>
      <w:r w:rsidR="00426E1F" w:rsidRPr="5E6B58EF">
        <w:rPr>
          <w:rFonts w:ascii="Times New Roman" w:hAnsi="Times New Roman"/>
          <w:sz w:val="20"/>
          <w:szCs w:val="20"/>
        </w:rPr>
        <w:t xml:space="preserve">designs </w:t>
      </w:r>
      <w:r w:rsidR="00470974" w:rsidRPr="5E6B58EF">
        <w:rPr>
          <w:rFonts w:ascii="Times New Roman" w:hAnsi="Times New Roman"/>
          <w:sz w:val="20"/>
          <w:szCs w:val="20"/>
        </w:rPr>
        <w:t xml:space="preserve">for </w:t>
      </w:r>
      <w:r w:rsidR="00673EB8" w:rsidRPr="5E6B58EF">
        <w:rPr>
          <w:rFonts w:ascii="Times New Roman" w:hAnsi="Times New Roman"/>
          <w:sz w:val="20"/>
          <w:szCs w:val="20"/>
        </w:rPr>
        <w:t>aircrafts</w:t>
      </w:r>
      <w:r w:rsidR="000C595C" w:rsidRPr="5E6B58EF">
        <w:rPr>
          <w:rFonts w:ascii="Times New Roman" w:hAnsi="Times New Roman"/>
          <w:sz w:val="20"/>
          <w:szCs w:val="20"/>
        </w:rPr>
        <w:t xml:space="preserve"> </w:t>
      </w:r>
      <w:r w:rsidR="00426E1F" w:rsidRPr="5E6B58EF">
        <w:rPr>
          <w:rFonts w:ascii="Times New Roman" w:hAnsi="Times New Roman"/>
          <w:sz w:val="20"/>
          <w:szCs w:val="20"/>
        </w:rPr>
        <w:t>are</w:t>
      </w:r>
      <w:r w:rsidR="000C595C" w:rsidRPr="5E6B58EF">
        <w:rPr>
          <w:rFonts w:ascii="Times New Roman" w:hAnsi="Times New Roman"/>
          <w:sz w:val="20"/>
          <w:szCs w:val="20"/>
        </w:rPr>
        <w:t xml:space="preserve"> </w:t>
      </w:r>
      <w:r w:rsidR="00673EB8" w:rsidRPr="5E6B58EF">
        <w:rPr>
          <w:rFonts w:ascii="Times New Roman" w:hAnsi="Times New Roman"/>
          <w:sz w:val="20"/>
          <w:szCs w:val="20"/>
        </w:rPr>
        <w:t>being developed</w:t>
      </w:r>
      <w:r w:rsidR="00C929E2" w:rsidRPr="5E6B58EF">
        <w:rPr>
          <w:rFonts w:ascii="Times New Roman" w:hAnsi="Times New Roman"/>
          <w:sz w:val="20"/>
          <w:szCs w:val="20"/>
        </w:rPr>
        <w:t xml:space="preserve"> by Airbus in ZEROe concept</w:t>
      </w:r>
      <w:r w:rsidR="000C7B48" w:rsidRPr="5E6B58EF">
        <w:rPr>
          <w:rFonts w:ascii="Times New Roman" w:hAnsi="Times New Roman"/>
          <w:sz w:val="20"/>
          <w:szCs w:val="20"/>
        </w:rPr>
        <w:t>s</w:t>
      </w:r>
      <w:r w:rsidR="00BA7826" w:rsidRPr="5E6B58EF">
        <w:rPr>
          <w:rFonts w:ascii="Times New Roman" w:hAnsi="Times New Roman"/>
          <w:sz w:val="20"/>
          <w:szCs w:val="20"/>
        </w:rPr>
        <w:t xml:space="preserve"> (</w:t>
      </w:r>
      <w:r w:rsidR="00A11E8B" w:rsidRPr="5E6B58EF">
        <w:rPr>
          <w:rFonts w:ascii="Times New Roman" w:hAnsi="Times New Roman"/>
          <w:sz w:val="20"/>
          <w:szCs w:val="20"/>
        </w:rPr>
        <w:t xml:space="preserve">a </w:t>
      </w:r>
      <w:r w:rsidR="00BA7826" w:rsidRPr="5E6B58EF">
        <w:rPr>
          <w:rFonts w:ascii="Times New Roman" w:hAnsi="Times New Roman"/>
          <w:sz w:val="20"/>
          <w:szCs w:val="20"/>
        </w:rPr>
        <w:t>h</w:t>
      </w:r>
      <w:r w:rsidR="2E290DBB" w:rsidRPr="5E6B58EF">
        <w:rPr>
          <w:rFonts w:ascii="Times New Roman" w:hAnsi="Times New Roman"/>
          <w:sz w:val="20"/>
          <w:szCs w:val="20"/>
        </w:rPr>
        <w:t>ybrid hydrogen combustion and hydrogen fuel cell propulsion system</w:t>
      </w:r>
      <w:r w:rsidR="000F3650" w:rsidRPr="5E6B58EF">
        <w:rPr>
          <w:rFonts w:ascii="Times New Roman" w:hAnsi="Times New Roman"/>
          <w:sz w:val="20"/>
          <w:szCs w:val="20"/>
        </w:rPr>
        <w:t>).</w:t>
      </w:r>
      <w:r w:rsidR="00C929E2" w:rsidRPr="5E6B58EF">
        <w:rPr>
          <w:rFonts w:ascii="Times New Roman" w:hAnsi="Times New Roman"/>
          <w:sz w:val="20"/>
          <w:szCs w:val="20"/>
        </w:rPr>
        <w:t xml:space="preserve"> These</w:t>
      </w:r>
      <w:r w:rsidR="00470974" w:rsidRPr="5E6B58EF">
        <w:rPr>
          <w:rFonts w:ascii="Times New Roman" w:hAnsi="Times New Roman"/>
          <w:sz w:val="20"/>
          <w:szCs w:val="20"/>
        </w:rPr>
        <w:t xml:space="preserve"> aircrafts are expected to enter in </w:t>
      </w:r>
      <w:r w:rsidR="00C929E2" w:rsidRPr="5E6B58EF">
        <w:rPr>
          <w:rFonts w:ascii="Times New Roman" w:hAnsi="Times New Roman"/>
          <w:sz w:val="20"/>
          <w:szCs w:val="20"/>
        </w:rPr>
        <w:t xml:space="preserve">service </w:t>
      </w:r>
      <w:r w:rsidR="00E871A6" w:rsidRPr="5E6B58EF">
        <w:rPr>
          <w:rFonts w:ascii="Times New Roman" w:hAnsi="Times New Roman"/>
          <w:sz w:val="20"/>
          <w:szCs w:val="20"/>
        </w:rPr>
        <w:t xml:space="preserve">(with carrying capacity </w:t>
      </w:r>
      <w:r w:rsidR="00470974" w:rsidRPr="5E6B58EF">
        <w:rPr>
          <w:rFonts w:ascii="Times New Roman" w:hAnsi="Times New Roman"/>
          <w:sz w:val="20"/>
          <w:szCs w:val="20"/>
        </w:rPr>
        <w:t xml:space="preserve">of </w:t>
      </w:r>
      <w:r w:rsidR="0002791A" w:rsidRPr="5E6B58EF">
        <w:rPr>
          <w:rFonts w:ascii="Times New Roman" w:hAnsi="Times New Roman"/>
          <w:sz w:val="20"/>
          <w:szCs w:val="20"/>
        </w:rPr>
        <w:t>100</w:t>
      </w:r>
      <w:r w:rsidR="00E871A6" w:rsidRPr="5E6B58EF">
        <w:rPr>
          <w:rFonts w:ascii="Times New Roman" w:hAnsi="Times New Roman"/>
          <w:sz w:val="20"/>
          <w:szCs w:val="20"/>
        </w:rPr>
        <w:t>-200</w:t>
      </w:r>
      <w:r w:rsidR="0002791A" w:rsidRPr="5E6B58EF">
        <w:rPr>
          <w:rFonts w:ascii="Times New Roman" w:hAnsi="Times New Roman"/>
          <w:sz w:val="20"/>
          <w:szCs w:val="20"/>
        </w:rPr>
        <w:t xml:space="preserve"> passengers</w:t>
      </w:r>
      <w:r w:rsidR="00096C08" w:rsidRPr="5E6B58EF">
        <w:rPr>
          <w:rFonts w:ascii="Times New Roman" w:hAnsi="Times New Roman"/>
          <w:sz w:val="20"/>
          <w:szCs w:val="20"/>
        </w:rPr>
        <w:t xml:space="preserve">) </w:t>
      </w:r>
      <w:r w:rsidR="008661F5" w:rsidRPr="5E6B58EF">
        <w:rPr>
          <w:rFonts w:ascii="Times New Roman" w:hAnsi="Times New Roman"/>
          <w:sz w:val="20"/>
          <w:szCs w:val="20"/>
        </w:rPr>
        <w:t>by</w:t>
      </w:r>
      <w:r w:rsidR="00C929E2" w:rsidRPr="5E6B58EF">
        <w:rPr>
          <w:rFonts w:ascii="Times New Roman" w:hAnsi="Times New Roman"/>
          <w:sz w:val="20"/>
          <w:szCs w:val="20"/>
        </w:rPr>
        <w:t xml:space="preserve"> 2035</w:t>
      </w:r>
      <w:r w:rsidR="002B36A1" w:rsidRPr="5E6B58EF">
        <w:rPr>
          <w:rFonts w:ascii="Times New Roman" w:hAnsi="Times New Roman"/>
          <w:sz w:val="20"/>
          <w:szCs w:val="20"/>
        </w:rPr>
        <w:t xml:space="preserve"> </w:t>
      </w:r>
      <w:r w:rsidRPr="5E6B58E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ApilTnrh","properties":{"formattedCitation":"[244]","plainCitation":"[244]","noteIndex":0},"citationItems":[{"id":"968HXJ10/ecRMclRu","uris":["http://www.mendeley.com/documents/?uuid=08412f26-a0e2-32e3-82e0-84e4d73a8ba9"],"uri":["http://www.mendeley.com/documents/?uuid=08412f26-a0e2-32e3-82e0-84e4d73a8ba9"],"itemData":{"URL":"https://www.airbus.com/innovation/zero-emission/hydrogen/zeroe.html","accessed":{"date-parts":[["2020","11","12"]]},"author":[{"dropping-particle":"","family":"Airbus","given":"","non-dropping-particle":"","parse-names":false,"suffix":""}],"id":"ITEM-1","issued":{"date-parts":[["2020"]]},"title":"ZEROe - Hydrogen - Airbus","type":"webpage"}}],"schema":"https://github.com/citation-style-language/schema/raw/master/csl-citation.json"} </w:instrText>
      </w:r>
      <w:r w:rsidRPr="5E6B58EF">
        <w:rPr>
          <w:rFonts w:ascii="Times New Roman" w:hAnsi="Times New Roman"/>
          <w:sz w:val="20"/>
          <w:szCs w:val="20"/>
        </w:rPr>
        <w:fldChar w:fldCharType="separate"/>
      </w:r>
      <w:r w:rsidR="00196B5E" w:rsidRPr="5E6B58EF">
        <w:rPr>
          <w:rFonts w:ascii="Times New Roman" w:hAnsi="Times New Roman" w:cs="Times New Roman"/>
          <w:sz w:val="20"/>
          <w:szCs w:val="20"/>
        </w:rPr>
        <w:t>[244]</w:t>
      </w:r>
      <w:r w:rsidRPr="5E6B58EF">
        <w:rPr>
          <w:rFonts w:ascii="Times New Roman" w:hAnsi="Times New Roman"/>
          <w:sz w:val="20"/>
          <w:szCs w:val="20"/>
        </w:rPr>
        <w:fldChar w:fldCharType="end"/>
      </w:r>
      <w:r w:rsidR="00C929E2" w:rsidRPr="5E6B58EF">
        <w:rPr>
          <w:rFonts w:ascii="Times New Roman" w:hAnsi="Times New Roman"/>
          <w:sz w:val="20"/>
          <w:szCs w:val="20"/>
        </w:rPr>
        <w:t xml:space="preserve">. </w:t>
      </w:r>
      <w:r w:rsidR="00F47627" w:rsidRPr="5E6B58EF">
        <w:rPr>
          <w:rFonts w:ascii="Times New Roman" w:hAnsi="Times New Roman"/>
          <w:sz w:val="20"/>
          <w:szCs w:val="20"/>
        </w:rPr>
        <w:t xml:space="preserve">Various projects have </w:t>
      </w:r>
      <w:r w:rsidR="00470974" w:rsidRPr="5E6B58EF">
        <w:rPr>
          <w:rFonts w:ascii="Times New Roman" w:hAnsi="Times New Roman"/>
          <w:sz w:val="20"/>
          <w:szCs w:val="20"/>
        </w:rPr>
        <w:t xml:space="preserve">been </w:t>
      </w:r>
      <w:r w:rsidR="00F47627" w:rsidRPr="5E6B58EF">
        <w:rPr>
          <w:rFonts w:ascii="Times New Roman" w:hAnsi="Times New Roman"/>
          <w:sz w:val="20"/>
          <w:szCs w:val="20"/>
        </w:rPr>
        <w:t>intensively studied in develop</w:t>
      </w:r>
      <w:r w:rsidR="00470974" w:rsidRPr="5E6B58EF">
        <w:rPr>
          <w:rFonts w:ascii="Times New Roman" w:hAnsi="Times New Roman"/>
          <w:sz w:val="20"/>
          <w:szCs w:val="20"/>
        </w:rPr>
        <w:t>ing</w:t>
      </w:r>
      <w:r w:rsidR="00F47627" w:rsidRPr="5E6B58EF">
        <w:rPr>
          <w:rFonts w:ascii="Times New Roman" w:hAnsi="Times New Roman"/>
          <w:sz w:val="20"/>
          <w:szCs w:val="20"/>
        </w:rPr>
        <w:t xml:space="preserve"> and </w:t>
      </w:r>
      <w:r w:rsidR="00470974" w:rsidRPr="5E6B58EF">
        <w:rPr>
          <w:rFonts w:ascii="Times New Roman" w:hAnsi="Times New Roman"/>
          <w:sz w:val="20"/>
          <w:szCs w:val="20"/>
        </w:rPr>
        <w:t>improving</w:t>
      </w:r>
      <w:r w:rsidR="00530C87" w:rsidRPr="5E6B58EF">
        <w:rPr>
          <w:rFonts w:ascii="Times New Roman" w:hAnsi="Times New Roman"/>
          <w:sz w:val="20"/>
          <w:szCs w:val="20"/>
        </w:rPr>
        <w:t xml:space="preserve"> </w:t>
      </w:r>
      <w:r w:rsidR="00F47627" w:rsidRPr="5E6B58EF">
        <w:rPr>
          <w:rFonts w:ascii="Times New Roman" w:hAnsi="Times New Roman"/>
          <w:sz w:val="20"/>
          <w:szCs w:val="20"/>
        </w:rPr>
        <w:t xml:space="preserve">hydrogen fuel cell </w:t>
      </w:r>
      <w:r w:rsidRPr="5E6B58EF">
        <w:rPr>
          <w:rFonts w:ascii="Times New Roman" w:hAnsi="Times New Roman"/>
          <w:sz w:val="20"/>
          <w:szCs w:val="20"/>
        </w:rPr>
        <w:t xml:space="preserve">technologies, as detailed in </w:t>
      </w:r>
      <w:r w:rsidR="00530C87" w:rsidRPr="5E6B58EF">
        <w:rPr>
          <w:rFonts w:ascii="Times New Roman" w:hAnsi="Times New Roman"/>
          <w:sz w:val="20"/>
          <w:szCs w:val="20"/>
        </w:rPr>
        <w:t xml:space="preserve">the </w:t>
      </w:r>
      <w:r w:rsidR="00FD4766" w:rsidRPr="5E6B58EF">
        <w:rPr>
          <w:rFonts w:ascii="Times New Roman" w:hAnsi="Times New Roman"/>
          <w:sz w:val="20"/>
          <w:szCs w:val="20"/>
        </w:rPr>
        <w:t>SM</w:t>
      </w:r>
      <w:r w:rsidR="00A217A1">
        <w:rPr>
          <w:rFonts w:ascii="Times New Roman" w:hAnsi="Times New Roman"/>
          <w:sz w:val="20"/>
          <w:szCs w:val="20"/>
        </w:rPr>
        <w:t>1</w:t>
      </w:r>
      <w:r w:rsidR="00F47627" w:rsidRPr="5E6B58EF">
        <w:rPr>
          <w:rFonts w:ascii="Times New Roman" w:hAnsi="Times New Roman"/>
          <w:sz w:val="20"/>
          <w:szCs w:val="20"/>
        </w:rPr>
        <w:t xml:space="preserve">. </w:t>
      </w:r>
    </w:p>
    <w:p w14:paraId="137D7889" w14:textId="46FDFDBB" w:rsidR="00BF0D88" w:rsidRDefault="00BF0D88" w:rsidP="00BC4779">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The </w:t>
      </w:r>
      <w:r w:rsidR="00196B5E">
        <w:rPr>
          <w:rFonts w:ascii="Times New Roman" w:hAnsi="Times New Roman"/>
          <w:sz w:val="20"/>
          <w:szCs w:val="20"/>
        </w:rPr>
        <w:t xml:space="preserve">direct </w:t>
      </w:r>
      <w:r w:rsidRPr="004D19FF">
        <w:rPr>
          <w:rFonts w:ascii="Times New Roman" w:hAnsi="Times New Roman"/>
          <w:sz w:val="20"/>
          <w:szCs w:val="20"/>
        </w:rPr>
        <w:t>use of LH</w:t>
      </w:r>
      <w:r w:rsidRPr="004D19FF">
        <w:rPr>
          <w:rFonts w:ascii="Times New Roman" w:hAnsi="Times New Roman"/>
          <w:sz w:val="20"/>
          <w:szCs w:val="20"/>
          <w:vertAlign w:val="subscript"/>
        </w:rPr>
        <w:t xml:space="preserve">2 </w:t>
      </w:r>
      <w:r w:rsidRPr="004D19FF">
        <w:rPr>
          <w:rFonts w:ascii="Times New Roman" w:hAnsi="Times New Roman"/>
          <w:sz w:val="20"/>
          <w:szCs w:val="20"/>
        </w:rPr>
        <w:t>in internal combustion engines has already been demonstrated for aviation. In fact, Russian manufacturer Tupolev manufactured, in 1989, the first hydrogen-powered aircraft using gaseous H</w:t>
      </w:r>
      <w:r w:rsidRPr="004D19FF">
        <w:rPr>
          <w:rFonts w:ascii="Times New Roman" w:hAnsi="Times New Roman"/>
          <w:sz w:val="20"/>
          <w:szCs w:val="20"/>
          <w:vertAlign w:val="subscript"/>
        </w:rPr>
        <w:t>2</w:t>
      </w:r>
      <w:r w:rsidR="00A91618">
        <w:rPr>
          <w:rFonts w:ascii="Times New Roman" w:hAnsi="Times New Roman"/>
          <w:sz w:val="20"/>
          <w:szCs w:val="20"/>
        </w:rPr>
        <w:t xml:space="preserve"> (from a L</w:t>
      </w:r>
      <w:r w:rsidRPr="004D19FF">
        <w:rPr>
          <w:rFonts w:ascii="Times New Roman" w:hAnsi="Times New Roman"/>
          <w:sz w:val="20"/>
          <w:szCs w:val="20"/>
        </w:rPr>
        <w:t>H</w:t>
      </w:r>
      <w:r w:rsidRPr="004D19FF">
        <w:rPr>
          <w:rFonts w:ascii="Times New Roman" w:hAnsi="Times New Roman"/>
          <w:sz w:val="20"/>
          <w:szCs w:val="20"/>
          <w:vertAlign w:val="subscript"/>
        </w:rPr>
        <w:t>2</w:t>
      </w:r>
      <w:r w:rsidRPr="004D19FF">
        <w:rPr>
          <w:rFonts w:ascii="Times New Roman" w:hAnsi="Times New Roman"/>
          <w:sz w:val="20"/>
          <w:szCs w:val="20"/>
        </w:rPr>
        <w:t xml:space="preserve"> tank), and liquefied natural gas (LNG) fuel </w:t>
      </w:r>
      <w:r w:rsidR="0006708B">
        <w:rPr>
          <w:rFonts w:ascii="Times New Roman" w:hAnsi="Times New Roman"/>
          <w:sz w:val="20"/>
          <w:szCs w:val="20"/>
        </w:rPr>
        <w:t xml:space="preserve">in </w:t>
      </w:r>
      <w:r w:rsidRPr="004D19FF">
        <w:rPr>
          <w:rFonts w:ascii="Times New Roman" w:hAnsi="Times New Roman"/>
          <w:sz w:val="20"/>
          <w:szCs w:val="20"/>
        </w:rPr>
        <w:t xml:space="preserve">an internal combustion engine to propel the Tupolev 155 (Tu-155)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3GoFOemf","properties":{"formattedCitation":"[245]","plainCitation":"[245]","noteIndex":0},"citationItems":[{"id":"968HXJ10/XBR4nGK6","uris":["http://www.mendeley.com/documents/?uuid=e27f0925-775d-33b7-bae6-89b2052175de"],"uri":["http://www.mendeley.com/documents/?uuid=e27f0925-775d-33b7-bae6-89b2052175de"],"itemData":{"author":[{"dropping-particle":"","family":"Browne","given":"M.","non-dropping-particle":"","parse-names":false,"suffix":""}],"container-title":"The New York Times","id":"ITEM-1","issued":{"date-parts":[["1988"]]},"title":"Clean Hydrogen Beckons Aviation Engineers","type":"article-newspaper"}}],"schema":"https://github.com/citation-style-language/schema/raw/master/csl-citation.json"} </w:instrText>
      </w:r>
      <w:r w:rsidRPr="004D19FF">
        <w:rPr>
          <w:rFonts w:ascii="Times New Roman" w:hAnsi="Times New Roman"/>
          <w:sz w:val="20"/>
          <w:szCs w:val="20"/>
        </w:rPr>
        <w:fldChar w:fldCharType="separate"/>
      </w:r>
      <w:r w:rsidR="00196B5E" w:rsidRPr="00196B5E">
        <w:rPr>
          <w:rFonts w:ascii="Times New Roman" w:hAnsi="Times New Roman" w:cs="Times New Roman"/>
          <w:sz w:val="20"/>
        </w:rPr>
        <w:t>[245]</w:t>
      </w:r>
      <w:r w:rsidRPr="004D19FF">
        <w:rPr>
          <w:rFonts w:ascii="Times New Roman" w:hAnsi="Times New Roman"/>
          <w:sz w:val="20"/>
          <w:szCs w:val="20"/>
        </w:rPr>
        <w:fldChar w:fldCharType="end"/>
      </w:r>
      <w:r w:rsidR="00CD698D" w:rsidRPr="004D19FF">
        <w:rPr>
          <w:rFonts w:ascii="Times New Roman" w:hAnsi="Times New Roman"/>
          <w:sz w:val="20"/>
          <w:szCs w:val="20"/>
        </w:rPr>
        <w:t>.</w:t>
      </w:r>
      <w:r w:rsidRPr="004D19FF">
        <w:rPr>
          <w:rFonts w:ascii="Times New Roman" w:hAnsi="Times New Roman"/>
          <w:sz w:val="20"/>
          <w:szCs w:val="20"/>
        </w:rPr>
        <w:t xml:space="preserve"> </w:t>
      </w:r>
      <w:r w:rsidR="008214D6">
        <w:rPr>
          <w:rFonts w:ascii="Times New Roman" w:hAnsi="Times New Roman"/>
          <w:sz w:val="20"/>
          <w:szCs w:val="20"/>
        </w:rPr>
        <w:t>Gas</w:t>
      </w:r>
      <w:r w:rsidR="003E2AA1">
        <w:rPr>
          <w:rFonts w:ascii="Times New Roman" w:hAnsi="Times New Roman"/>
          <w:sz w:val="20"/>
          <w:szCs w:val="20"/>
        </w:rPr>
        <w:t xml:space="preserve"> turbine engine</w:t>
      </w:r>
      <w:r w:rsidR="008214D6">
        <w:rPr>
          <w:rFonts w:ascii="Times New Roman" w:hAnsi="Times New Roman"/>
          <w:sz w:val="20"/>
          <w:szCs w:val="20"/>
        </w:rPr>
        <w:t xml:space="preserve">s, to be powered by hydrogen combustion, must however be redesigned to optimize the engine performance </w:t>
      </w:r>
      <w:r w:rsidR="008214D6">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ueUERpRH","properties":{"formattedCitation":"[204,246]","plainCitation":"[204,246]","noteIndex":0},"citationItems":[{"id":"968HXJ10/ThnDpyF8","uris":["http://www.mendeley.com/documents/?uuid=bd870aee-d2ad-4c5e-8072-3f089bca66ee"],"uri":["http://www.mendeley.com/documents/?uuid=bd870aee-d2ad-4c5e-8072-3f089bca66ee"],"itemData":{"author":[{"dropping-particle":"","family":"Roland Berger","given":"","non-dropping-particle":"","parse-names":false,"suffix":""}],"id":"ITEM-1","issued":{"date-parts":[["2020"]]},"title":"A future fuel for aviation?","type":"report"}},{"id":"968HXJ10/RBGqxi4u","uris":["http://www.mendeley.com/documents/?uuid=2d837e72-b0ef-45ba-83a9-cbc2d7b2eb00"],"uri":["http://www.mendeley.com/documents/?uuid=2d837e72-b0ef-45ba-83a9-cbc2d7b2eb00"],"itemData":{"author":[{"dropping-particle":"","family":"Huygevelde","given":"Nicolas","non-dropping-particle":"","parse-names":false,"suffix":""},{"dropping-particle":"","family":"Garruzzo","given":"Frank","non-dropping-particle":"","parse-names":false,"suffix":""}],"id":"ITEM-2","issue":"July","issued":{"date-parts":[["2020"]]},"title":"Hydrogen for Aviation: Webinar","type":"article-journal"}}],"schema":"https://github.com/citation-style-language/schema/raw/master/csl-citation.json"} </w:instrText>
      </w:r>
      <w:r w:rsidR="008214D6">
        <w:rPr>
          <w:rFonts w:ascii="Times New Roman" w:hAnsi="Times New Roman"/>
          <w:sz w:val="20"/>
          <w:szCs w:val="20"/>
        </w:rPr>
        <w:fldChar w:fldCharType="separate"/>
      </w:r>
      <w:r w:rsidR="00196B5E" w:rsidRPr="00196B5E">
        <w:rPr>
          <w:rFonts w:ascii="Times New Roman" w:hAnsi="Times New Roman" w:cs="Times New Roman"/>
          <w:sz w:val="20"/>
        </w:rPr>
        <w:t>[204,246]</w:t>
      </w:r>
      <w:r w:rsidR="008214D6">
        <w:rPr>
          <w:rFonts w:ascii="Times New Roman" w:hAnsi="Times New Roman"/>
          <w:sz w:val="20"/>
          <w:szCs w:val="20"/>
        </w:rPr>
        <w:fldChar w:fldCharType="end"/>
      </w:r>
      <w:r w:rsidR="008214D6">
        <w:rPr>
          <w:rFonts w:ascii="Times New Roman" w:hAnsi="Times New Roman"/>
          <w:sz w:val="20"/>
          <w:szCs w:val="20"/>
        </w:rPr>
        <w:t>. This for instance includes adaptations such as</w:t>
      </w:r>
      <w:r w:rsidR="00196B5E">
        <w:rPr>
          <w:rFonts w:ascii="Times New Roman" w:hAnsi="Times New Roman"/>
          <w:sz w:val="20"/>
          <w:szCs w:val="20"/>
        </w:rPr>
        <w:t xml:space="preserve"> integrating </w:t>
      </w:r>
      <w:r w:rsidR="008214D6">
        <w:rPr>
          <w:rFonts w:ascii="Times New Roman" w:hAnsi="Times New Roman"/>
          <w:sz w:val="20"/>
          <w:szCs w:val="20"/>
        </w:rPr>
        <w:t>high pressure pumps and heat exchangers</w:t>
      </w:r>
      <w:r w:rsidR="001A5CD2">
        <w:rPr>
          <w:rFonts w:ascii="Times New Roman" w:hAnsi="Times New Roman"/>
          <w:sz w:val="20"/>
          <w:szCs w:val="20"/>
        </w:rPr>
        <w:t xml:space="preserve"> to warm LH</w:t>
      </w:r>
      <w:r w:rsidR="001A5CD2" w:rsidRPr="001A5CD2">
        <w:rPr>
          <w:rFonts w:ascii="Times New Roman" w:hAnsi="Times New Roman"/>
          <w:sz w:val="20"/>
          <w:szCs w:val="20"/>
          <w:vertAlign w:val="subscript"/>
        </w:rPr>
        <w:t>2</w:t>
      </w:r>
      <w:r w:rsidR="001A5CD2">
        <w:rPr>
          <w:rFonts w:ascii="Times New Roman" w:hAnsi="Times New Roman"/>
          <w:sz w:val="20"/>
          <w:szCs w:val="20"/>
        </w:rPr>
        <w:t xml:space="preserve"> up</w:t>
      </w:r>
      <w:r w:rsidR="008214D6">
        <w:rPr>
          <w:rFonts w:ascii="Times New Roman" w:hAnsi="Times New Roman"/>
          <w:sz w:val="20"/>
          <w:szCs w:val="20"/>
        </w:rPr>
        <w:t xml:space="preserve">, among others </w:t>
      </w:r>
      <w:r w:rsidR="00800692">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wNnqMwAn","properties":{"formattedCitation":"[204,246]","plainCitation":"[204,246]","noteIndex":0},"citationItems":[{"id":"968HXJ10/ThnDpyF8","uris":["http://www.mendeley.com/documents/?uuid=bd870aee-d2ad-4c5e-8072-3f089bca66ee"],"uri":["http://www.mendeley.com/documents/?uuid=bd870aee-d2ad-4c5e-8072-3f089bca66ee"],"itemData":{"author":[{"dropping-particle":"","family":"Roland Berger","given":"","non-dropping-particle":"","parse-names":false,"suffix":""}],"id":"ITEM-1","issued":{"date-parts":[["2020"]]},"title":"A future fuel for aviation?","type":"report"}},{"id":"968HXJ10/RBGqxi4u","uris":["http://www.mendeley.com/documents/?uuid=2d837e72-b0ef-45ba-83a9-cbc2d7b2eb00"],"uri":["http://www.mendeley.com/documents/?uuid=2d837e72-b0ef-45ba-83a9-cbc2d7b2eb00"],"itemData":{"author":[{"dropping-particle":"","family":"Huygevelde","given":"Nicolas","non-dropping-particle":"","parse-names":false,"suffix":""},{"dropping-particle":"","family":"Garruzzo","given":"Frank","non-dropping-particle":"","parse-names":false,"suffix":""}],"id":"ITEM-2","issue":"July","issued":{"date-parts":[["2020"]]},"title":"Hydrogen for Aviation: Webinar","type":"article-journal"}}],"schema":"https://github.com/citation-style-language/schema/raw/master/csl-citation.json"} </w:instrText>
      </w:r>
      <w:r w:rsidR="00800692">
        <w:rPr>
          <w:rFonts w:ascii="Times New Roman" w:hAnsi="Times New Roman"/>
          <w:sz w:val="20"/>
          <w:szCs w:val="20"/>
        </w:rPr>
        <w:fldChar w:fldCharType="separate"/>
      </w:r>
      <w:r w:rsidR="00196B5E" w:rsidRPr="00196B5E">
        <w:rPr>
          <w:rFonts w:ascii="Times New Roman" w:hAnsi="Times New Roman" w:cs="Times New Roman"/>
          <w:sz w:val="20"/>
        </w:rPr>
        <w:t>[204,246]</w:t>
      </w:r>
      <w:r w:rsidR="00800692">
        <w:rPr>
          <w:rFonts w:ascii="Times New Roman" w:hAnsi="Times New Roman"/>
          <w:sz w:val="20"/>
          <w:szCs w:val="20"/>
        </w:rPr>
        <w:fldChar w:fldCharType="end"/>
      </w:r>
      <w:r w:rsidR="00800692">
        <w:rPr>
          <w:rFonts w:ascii="Times New Roman" w:hAnsi="Times New Roman"/>
          <w:sz w:val="20"/>
          <w:szCs w:val="20"/>
        </w:rPr>
        <w:t>.</w:t>
      </w:r>
      <w:r w:rsidR="00107D0F">
        <w:rPr>
          <w:rFonts w:ascii="Times New Roman" w:hAnsi="Times New Roman"/>
          <w:sz w:val="20"/>
          <w:szCs w:val="20"/>
        </w:rPr>
        <w:t xml:space="preserve"> </w:t>
      </w:r>
      <w:r w:rsidR="008214D6">
        <w:rPr>
          <w:rFonts w:ascii="Times New Roman" w:hAnsi="Times New Roman"/>
          <w:sz w:val="20"/>
          <w:szCs w:val="20"/>
        </w:rPr>
        <w:t>Moreover, h</w:t>
      </w:r>
      <w:r w:rsidR="0024620F" w:rsidRPr="004D19FF">
        <w:rPr>
          <w:rFonts w:ascii="Times New Roman" w:hAnsi="Times New Roman"/>
          <w:sz w:val="20"/>
          <w:szCs w:val="20"/>
        </w:rPr>
        <w:t xml:space="preserve">ydrogen </w:t>
      </w:r>
      <w:r w:rsidR="007915EC" w:rsidRPr="004D19FF">
        <w:rPr>
          <w:rFonts w:ascii="Times New Roman" w:hAnsi="Times New Roman"/>
          <w:sz w:val="20"/>
          <w:szCs w:val="20"/>
        </w:rPr>
        <w:t>turbine engine</w:t>
      </w:r>
      <w:r w:rsidR="008214D6">
        <w:rPr>
          <w:rFonts w:ascii="Times New Roman" w:hAnsi="Times New Roman"/>
          <w:sz w:val="20"/>
          <w:szCs w:val="20"/>
        </w:rPr>
        <w:t>s</w:t>
      </w:r>
      <w:r w:rsidR="007915EC" w:rsidRPr="004D19FF">
        <w:rPr>
          <w:rFonts w:ascii="Times New Roman" w:hAnsi="Times New Roman"/>
          <w:sz w:val="20"/>
          <w:szCs w:val="20"/>
        </w:rPr>
        <w:t xml:space="preserve"> with low-NO</w:t>
      </w:r>
      <w:r w:rsidR="007915EC" w:rsidRPr="004D19FF">
        <w:rPr>
          <w:rFonts w:ascii="Times New Roman" w:hAnsi="Times New Roman"/>
          <w:sz w:val="20"/>
          <w:szCs w:val="20"/>
          <w:vertAlign w:val="subscript"/>
        </w:rPr>
        <w:t>x</w:t>
      </w:r>
      <w:r w:rsidR="007915EC" w:rsidRPr="004D19FF">
        <w:rPr>
          <w:rFonts w:ascii="Times New Roman" w:hAnsi="Times New Roman"/>
          <w:sz w:val="20"/>
          <w:szCs w:val="20"/>
        </w:rPr>
        <w:t xml:space="preserve"> emissions </w:t>
      </w:r>
      <w:r w:rsidR="008214D6">
        <w:rPr>
          <w:rFonts w:ascii="Times New Roman" w:hAnsi="Times New Roman"/>
          <w:sz w:val="20"/>
          <w:szCs w:val="20"/>
        </w:rPr>
        <w:t>are already expected as the</w:t>
      </w:r>
      <w:r w:rsidR="0024620F" w:rsidRPr="004D19FF">
        <w:rPr>
          <w:rFonts w:ascii="Times New Roman" w:hAnsi="Times New Roman"/>
          <w:sz w:val="20"/>
          <w:szCs w:val="20"/>
        </w:rPr>
        <w:t xml:space="preserve"> next </w:t>
      </w:r>
      <w:r w:rsidR="008214D6">
        <w:rPr>
          <w:rFonts w:ascii="Times New Roman" w:hAnsi="Times New Roman"/>
          <w:sz w:val="20"/>
          <w:szCs w:val="20"/>
        </w:rPr>
        <w:t>improvement of this technology</w:t>
      </w:r>
      <w:r w:rsidR="00C24F54">
        <w:rPr>
          <w:rFonts w:ascii="Times New Roman" w:hAnsi="Times New Roman"/>
          <w:sz w:val="20"/>
          <w:szCs w:val="20"/>
        </w:rPr>
        <w:t xml:space="preserve"> </w:t>
      </w:r>
      <w:r w:rsidR="00B848FD">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lSMwKVyP","properties":{"formattedCitation":"[30,204,243]","plainCitation":"[30,204,243]","noteIndex":0},"citationItems":[{"id":"968HXJ10/ThnDpyF8","uris":["http://www.mendeley.com/documents/?uuid=bd870aee-d2ad-4c5e-8072-3f089bca66ee"],"uri":["http://www.mendeley.com/documents/?uuid=bd870aee-d2ad-4c5e-8072-3f089bca66ee"],"itemData":{"author":[{"dropping-particle":"","family":"Roland Berger","given":"","non-dropping-particle":"","parse-names":false,"suffix":""}],"id":"ITEM-1","issued":{"date-parts":[["2020"]]},"title":"A future fuel for aviation?","type":"report"}},{"id":"968HXJ10/AmZ7STpN","uris":["http://www.mendeley.com/documents/?uuid=074d4e78-3a4c-4fa9-9f4c-3463b19e93be"],"uri":["http://www.mendeley.com/documents/?uuid=074d4e78-3a4c-4fa9-9f4c-3463b19e93be"],"itemData":{"abstract":"Trends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-2","issued":{"date-parts":[["2020"]]},"title":"Opportunities for Hydrogen in Commercial Aviation","type":"article-journal"}},{"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alone.","author":[{"dropping-particle":"","family":"McKinsey","given":"","non-dropping-particle":"","parse-names":false,"suffix":""}],"id":"ITEM-3","issue":"May","issued":{"date-parts":[["2020"]]},"number-of-pages":"1-96","title":"Hydrogen-powered aviation A fact-based study of hydrogen technology, economics, and climate impact by 2050","type":"book"}}],"schema":"https://github.com/citation-style-language/schema/raw/master/csl-citation.json"} </w:instrText>
      </w:r>
      <w:r w:rsidR="00B848FD">
        <w:rPr>
          <w:rFonts w:ascii="Times New Roman" w:hAnsi="Times New Roman"/>
          <w:sz w:val="20"/>
          <w:szCs w:val="20"/>
        </w:rPr>
        <w:fldChar w:fldCharType="separate"/>
      </w:r>
      <w:r w:rsidR="0078655A" w:rsidRPr="0078655A">
        <w:rPr>
          <w:rFonts w:ascii="Times New Roman" w:hAnsi="Times New Roman" w:cs="Times New Roman"/>
          <w:sz w:val="20"/>
        </w:rPr>
        <w:t>[30,204,243]</w:t>
      </w:r>
      <w:r w:rsidR="00B848FD">
        <w:rPr>
          <w:rFonts w:ascii="Times New Roman" w:hAnsi="Times New Roman"/>
          <w:sz w:val="20"/>
          <w:szCs w:val="20"/>
        </w:rPr>
        <w:fldChar w:fldCharType="end"/>
      </w:r>
      <w:r w:rsidR="00B848FD">
        <w:rPr>
          <w:rFonts w:ascii="Times New Roman" w:hAnsi="Times New Roman"/>
          <w:sz w:val="20"/>
          <w:szCs w:val="20"/>
        </w:rPr>
        <w:t>.</w:t>
      </w:r>
    </w:p>
    <w:p w14:paraId="7C9CF627" w14:textId="6C0DD41F" w:rsidR="001A5CD2" w:rsidRPr="004D19FF" w:rsidRDefault="001A5CD2" w:rsidP="00BC4779">
      <w:pPr>
        <w:spacing w:after="120" w:line="276" w:lineRule="auto"/>
        <w:jc w:val="thaiDistribute"/>
        <w:rPr>
          <w:rFonts w:ascii="Times New Roman" w:hAnsi="Times New Roman"/>
          <w:sz w:val="20"/>
          <w:szCs w:val="20"/>
        </w:rPr>
      </w:pPr>
      <w:r>
        <w:rPr>
          <w:rFonts w:ascii="Times New Roman" w:hAnsi="Times New Roman"/>
          <w:sz w:val="20"/>
          <w:szCs w:val="20"/>
        </w:rPr>
        <w:t>Finally, hybrid systems with direct LH</w:t>
      </w:r>
      <w:r w:rsidRPr="001A5CD2">
        <w:rPr>
          <w:rFonts w:ascii="Times New Roman" w:hAnsi="Times New Roman"/>
          <w:sz w:val="20"/>
          <w:szCs w:val="20"/>
          <w:vertAlign w:val="subscript"/>
        </w:rPr>
        <w:t>2</w:t>
      </w:r>
      <w:r>
        <w:rPr>
          <w:rFonts w:ascii="Times New Roman" w:hAnsi="Times New Roman"/>
          <w:sz w:val="20"/>
          <w:szCs w:val="20"/>
        </w:rPr>
        <w:t xml:space="preserve"> use at take-off and fuel cells during cruise could also be used, among others for short range flights </w:t>
      </w:r>
      <w:r>
        <w:rPr>
          <w:rFonts w:ascii="Times New Roman" w:hAnsi="Times New Roman"/>
          <w:sz w:val="20"/>
          <w:szCs w:val="20"/>
        </w:rPr>
        <w:fldChar w:fldCharType="begin"/>
      </w:r>
      <w:r w:rsidR="00752A1E">
        <w:rPr>
          <w:rFonts w:ascii="Times New Roman" w:hAnsi="Times New Roman"/>
          <w:sz w:val="20"/>
          <w:szCs w:val="20"/>
        </w:rPr>
        <w:instrText xml:space="preserve"> ADDIN ZOTERO_ITEM CSL_CITATION {"citationID":"ShhAOLpJ","properties":{"formattedCitation":"[243]","plainCitation":"[243]","noteIndex":0},"citationItems":[{"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alone.","author":[{"dropping-particle":"","family":"McKinsey","given":"","non-dropping-particle":"","parse-names":false,"suffix":""}],"id":"vuwDj4zV/7fRDiwJN","issue":"May","issued":{"date-parts":[["2020"]]},"number-of-pages":"1-96","title":"Hydrogen-powered aviation A fact-based study of hydrogen technology, economics, and climate impact by 2050","type":"book"}}],"schema":"https://github.com/citation-style-language/schema/raw/master/csl-citation.json"} </w:instrText>
      </w:r>
      <w:r>
        <w:rPr>
          <w:rFonts w:ascii="Times New Roman" w:hAnsi="Times New Roman"/>
          <w:sz w:val="20"/>
          <w:szCs w:val="20"/>
        </w:rPr>
        <w:fldChar w:fldCharType="separate"/>
      </w:r>
      <w:r w:rsidRPr="001A5CD2">
        <w:rPr>
          <w:rFonts w:ascii="Times New Roman" w:hAnsi="Times New Roman" w:cs="Times New Roman"/>
          <w:sz w:val="20"/>
        </w:rPr>
        <w:t>[243]</w:t>
      </w:r>
      <w:r>
        <w:rPr>
          <w:rFonts w:ascii="Times New Roman" w:hAnsi="Times New Roman"/>
          <w:sz w:val="20"/>
          <w:szCs w:val="20"/>
        </w:rPr>
        <w:fldChar w:fldCharType="end"/>
      </w:r>
      <w:r>
        <w:rPr>
          <w:rFonts w:ascii="Times New Roman" w:hAnsi="Times New Roman"/>
          <w:sz w:val="20"/>
          <w:szCs w:val="20"/>
        </w:rPr>
        <w:t>.</w:t>
      </w:r>
    </w:p>
    <w:p w14:paraId="4F85D6D7" w14:textId="77777777" w:rsidR="003835D4" w:rsidRPr="004D19FF" w:rsidRDefault="003835D4" w:rsidP="003835D4">
      <w:pPr>
        <w:spacing w:after="120" w:line="276" w:lineRule="auto"/>
        <w:jc w:val="thaiDistribute"/>
        <w:rPr>
          <w:rFonts w:ascii="Times New Roman" w:hAnsi="Times New Roman"/>
          <w:i/>
          <w:sz w:val="20"/>
          <w:szCs w:val="20"/>
        </w:rPr>
      </w:pPr>
      <w:r w:rsidRPr="004D19FF">
        <w:rPr>
          <w:rFonts w:ascii="Times New Roman" w:hAnsi="Times New Roman"/>
          <w:i/>
          <w:sz w:val="20"/>
          <w:szCs w:val="20"/>
        </w:rPr>
        <w:t xml:space="preserve">5.3 Solar powered </w:t>
      </w:r>
      <w:r w:rsidR="003D57A7" w:rsidRPr="004D19FF">
        <w:rPr>
          <w:rFonts w:ascii="Times New Roman" w:hAnsi="Times New Roman"/>
          <w:i/>
          <w:sz w:val="20"/>
          <w:szCs w:val="20"/>
        </w:rPr>
        <w:t>aviation</w:t>
      </w:r>
    </w:p>
    <w:p w14:paraId="2F47E927" w14:textId="391BF611" w:rsidR="00611B6C" w:rsidRDefault="003835D4" w:rsidP="00BC4779">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Solar photovoltaic (PV) systems are used to produce electricity for propulsion and for charging batteries as a back-up energy source for periods without sun. </w:t>
      </w:r>
      <w:r w:rsidR="00611B6C" w:rsidRPr="004D19FF">
        <w:rPr>
          <w:rFonts w:ascii="Times New Roman" w:hAnsi="Times New Roman"/>
          <w:sz w:val="20"/>
          <w:szCs w:val="20"/>
        </w:rPr>
        <w:t xml:space="preserve">Solar panel installed on </w:t>
      </w:r>
      <w:r w:rsidR="00611B6C">
        <w:rPr>
          <w:rFonts w:ascii="Times New Roman" w:hAnsi="Times New Roman"/>
          <w:sz w:val="20"/>
          <w:szCs w:val="20"/>
        </w:rPr>
        <w:t xml:space="preserve">the </w:t>
      </w:r>
      <w:r w:rsidR="00611B6C" w:rsidRPr="004D19FF">
        <w:rPr>
          <w:rFonts w:ascii="Times New Roman" w:hAnsi="Times New Roman"/>
          <w:sz w:val="20"/>
          <w:szCs w:val="20"/>
        </w:rPr>
        <w:t xml:space="preserve">wings convert the solar energy into electricity, which </w:t>
      </w:r>
      <w:r w:rsidR="00611B6C">
        <w:rPr>
          <w:rFonts w:ascii="Times New Roman" w:hAnsi="Times New Roman"/>
          <w:sz w:val="20"/>
          <w:szCs w:val="20"/>
        </w:rPr>
        <w:t>is</w:t>
      </w:r>
      <w:r w:rsidR="00611B6C" w:rsidRPr="004D19FF">
        <w:rPr>
          <w:rFonts w:ascii="Times New Roman" w:hAnsi="Times New Roman"/>
          <w:sz w:val="20"/>
          <w:szCs w:val="20"/>
        </w:rPr>
        <w:t xml:space="preserve"> directly used to propel and charge batteries during daylight</w:t>
      </w:r>
      <w:r w:rsidR="00611B6C">
        <w:rPr>
          <w:rFonts w:ascii="Times New Roman" w:hAnsi="Times New Roman"/>
          <w:sz w:val="20"/>
          <w:szCs w:val="20"/>
        </w:rPr>
        <w:t xml:space="preserve"> time</w:t>
      </w:r>
      <w:r w:rsidR="00611B6C" w:rsidRPr="004D19FF">
        <w:rPr>
          <w:rFonts w:ascii="Times New Roman" w:hAnsi="Times New Roman"/>
          <w:sz w:val="20"/>
          <w:szCs w:val="20"/>
        </w:rPr>
        <w:t>. Excess electricity is stored in batt</w:t>
      </w:r>
      <w:r w:rsidR="00611B6C">
        <w:rPr>
          <w:rFonts w:ascii="Times New Roman" w:hAnsi="Times New Roman"/>
          <w:sz w:val="20"/>
          <w:szCs w:val="20"/>
        </w:rPr>
        <w:t>eries to supply overnight power</w:t>
      </w:r>
      <w:r w:rsidR="00611B6C" w:rsidRPr="004D19FF">
        <w:rPr>
          <w:rFonts w:ascii="Times New Roman" w:hAnsi="Times New Roman"/>
          <w:sz w:val="20"/>
          <w:szCs w:val="20"/>
        </w:rPr>
        <w:t>.</w:t>
      </w:r>
    </w:p>
    <w:p w14:paraId="5C8FE359" w14:textId="0E52F23A" w:rsidR="003835D4" w:rsidRPr="004D19FF" w:rsidRDefault="003835D4" w:rsidP="00BC4779">
      <w:pPr>
        <w:spacing w:after="120" w:line="276" w:lineRule="auto"/>
        <w:jc w:val="thaiDistribute"/>
        <w:rPr>
          <w:rFonts w:ascii="Times New Roman" w:hAnsi="Times New Roman"/>
          <w:sz w:val="20"/>
          <w:szCs w:val="20"/>
        </w:rPr>
      </w:pPr>
      <w:r w:rsidRPr="004D19FF">
        <w:rPr>
          <w:rFonts w:ascii="Times New Roman" w:hAnsi="Times New Roman"/>
          <w:sz w:val="20"/>
          <w:szCs w:val="20"/>
        </w:rPr>
        <w:t xml:space="preserve">To date, </w:t>
      </w:r>
      <w:r w:rsidR="00611B6C">
        <w:rPr>
          <w:rFonts w:ascii="Times New Roman" w:hAnsi="Times New Roman"/>
          <w:sz w:val="20"/>
          <w:szCs w:val="20"/>
        </w:rPr>
        <w:t>solar powered aviation was</w:t>
      </w:r>
      <w:r w:rsidRPr="004D19FF">
        <w:rPr>
          <w:rFonts w:ascii="Times New Roman" w:hAnsi="Times New Roman"/>
          <w:sz w:val="20"/>
          <w:szCs w:val="20"/>
        </w:rPr>
        <w:t xml:space="preserve"> not used for passengers’ transportation, but rather for unmanned applications. Airbus Defence and Space announced the world’s first operational High Altitude Pseudo-Satellite (HAPS) Unmanned </w:t>
      </w:r>
      <w:r w:rsidRPr="004D19FF">
        <w:rPr>
          <w:rFonts w:ascii="Times New Roman" w:hAnsi="Times New Roman"/>
          <w:sz w:val="20"/>
          <w:szCs w:val="20"/>
        </w:rPr>
        <w:lastRenderedPageBreak/>
        <w:t>Aircraft System/ Unmanned Aerial Vehicle (UAS/UAV) flight</w:t>
      </w:r>
      <w:r w:rsidR="00A631B8">
        <w:rPr>
          <w:rFonts w:ascii="Times New Roman" w:hAnsi="Times New Roman"/>
          <w:sz w:val="20"/>
          <w:szCs w:val="20"/>
        </w:rPr>
        <w:t xml:space="preserve"> (Zephyr project).</w:t>
      </w:r>
      <w:r w:rsidR="00611B6C" w:rsidRPr="00611B6C">
        <w:rPr>
          <w:rFonts w:ascii="Times New Roman" w:hAnsi="Times New Roman"/>
          <w:sz w:val="20"/>
          <w:szCs w:val="20"/>
        </w:rPr>
        <w:t xml:space="preserve"> </w:t>
      </w:r>
      <w:r w:rsidR="00611B6C" w:rsidRPr="004D19FF">
        <w:rPr>
          <w:rFonts w:ascii="Times New Roman" w:hAnsi="Times New Roman"/>
          <w:sz w:val="20"/>
          <w:szCs w:val="20"/>
        </w:rPr>
        <w:t xml:space="preserve">A first model has completed a maiden flight in 2018 for 26 days straight </w:t>
      </w:r>
      <w:r w:rsidR="00611B6C"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X2hlAtod","properties":{"formattedCitation":"[247]","plainCitation":"[247]","noteIndex":0},"citationItems":[{"id":"968HXJ10/LKNkoSZw","uris":["http://www.mendeley.com/documents/?uuid=c94a2e34-c8a2-384c-a743-4a01e64f1bf6"],"uri":["http://www.mendeley.com/documents/?uuid=c94a2e34-c8a2-384c-a743-4a01e64f1bf6"],"itemData":{"URL":"https://www.airbus.com/defence/uav/zephyr.html","accessed":{"date-parts":[["2020","1","10"]]},"author":[{"dropping-particle":"","family":"Airbus","given":"","non-dropping-particle":"","parse-names":false,"suffix":""}],"container-title":"Airbus","id":"ITEM-1","issued":{"date-parts":[["2020"]]},"title":"Zephyr - UAV - Airbus","type":"webpage"}}],"schema":"https://github.com/citation-style-language/schema/raw/master/csl-citation.json"} </w:instrText>
      </w:r>
      <w:r w:rsidR="00611B6C" w:rsidRPr="004D19FF">
        <w:rPr>
          <w:rFonts w:ascii="Times New Roman" w:hAnsi="Times New Roman"/>
          <w:sz w:val="20"/>
          <w:szCs w:val="20"/>
        </w:rPr>
        <w:fldChar w:fldCharType="separate"/>
      </w:r>
      <w:r w:rsidR="00196B5E" w:rsidRPr="00196B5E">
        <w:rPr>
          <w:rFonts w:ascii="Times New Roman" w:hAnsi="Times New Roman" w:cs="Times New Roman"/>
          <w:sz w:val="20"/>
        </w:rPr>
        <w:t>[247]</w:t>
      </w:r>
      <w:r w:rsidR="00611B6C" w:rsidRPr="004D19FF">
        <w:rPr>
          <w:rFonts w:ascii="Times New Roman" w:hAnsi="Times New Roman"/>
          <w:sz w:val="20"/>
          <w:szCs w:val="20"/>
        </w:rPr>
        <w:fldChar w:fldCharType="end"/>
      </w:r>
      <w:r w:rsidR="00611B6C" w:rsidRPr="004D19FF">
        <w:rPr>
          <w:rFonts w:ascii="Times New Roman" w:hAnsi="Times New Roman"/>
          <w:sz w:val="20"/>
          <w:szCs w:val="20"/>
        </w:rPr>
        <w:t>.</w:t>
      </w:r>
      <w:r w:rsidR="00611B6C">
        <w:rPr>
          <w:rFonts w:ascii="Times New Roman" w:hAnsi="Times New Roman"/>
          <w:sz w:val="20"/>
          <w:szCs w:val="20"/>
        </w:rPr>
        <w:t xml:space="preserve"> Other successful demonstrations for solar powered UAS/UAV include the Odysseus drone (</w:t>
      </w:r>
      <w:r w:rsidRPr="004D19FF">
        <w:rPr>
          <w:rFonts w:ascii="Times New Roman" w:hAnsi="Times New Roman"/>
          <w:sz w:val="20"/>
          <w:szCs w:val="20"/>
        </w:rPr>
        <w:t xml:space="preserve">first flight in April 2019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eAzBW1Dt","properties":{"formattedCitation":"[248]","plainCitation":"[248]","noteIndex":0},"citationItems":[{"id":"968HXJ10/tTUkOlFH","uris":["http://www.mendeley.com/documents/?uuid=46423255-064c-3824-9e69-09bbc256a469"],"uri":["http://www.mendeley.com/documents/?uuid=46423255-064c-3824-9e69-09bbc256a469"],"itemData":{"URL":"https://www.aurora.aero/odysseus-high-altitude-pseudo-satellite-haps/","accessed":{"date-parts":[["2020","1","11"]]},"author":[{"dropping-particle":"","family":"Aurora Flight Sciences","given":"","non-dropping-particle":"","parse-names":false,"suffix":""}],"container-title":"Aurora Flight Sciences","id":"ITEM-1","issued":{"date-parts":[["2019"]]},"title":"Odysseus -- High Altitude, Ultra-long Endurance, Pseudo-Satellite -- HAPS -- Aurora Flight Sciences","type":"webpage"}}],"schema":"https://github.com/citation-style-language/schema/raw/master/csl-citation.json"} </w:instrText>
      </w:r>
      <w:r w:rsidRPr="004D19FF">
        <w:rPr>
          <w:rFonts w:ascii="Times New Roman" w:hAnsi="Times New Roman"/>
          <w:sz w:val="20"/>
          <w:szCs w:val="20"/>
        </w:rPr>
        <w:fldChar w:fldCharType="separate"/>
      </w:r>
      <w:r w:rsidR="00196B5E" w:rsidRPr="00196B5E">
        <w:rPr>
          <w:rFonts w:ascii="Times New Roman" w:hAnsi="Times New Roman" w:cs="Times New Roman"/>
          <w:sz w:val="20"/>
        </w:rPr>
        <w:t>[248]</w:t>
      </w:r>
      <w:r w:rsidRPr="004D19FF">
        <w:rPr>
          <w:rFonts w:ascii="Times New Roman" w:hAnsi="Times New Roman"/>
          <w:sz w:val="20"/>
          <w:szCs w:val="20"/>
        </w:rPr>
        <w:fldChar w:fldCharType="end"/>
      </w:r>
      <w:r w:rsidR="00611B6C">
        <w:rPr>
          <w:rFonts w:ascii="Times New Roman" w:hAnsi="Times New Roman"/>
          <w:sz w:val="20"/>
          <w:szCs w:val="20"/>
        </w:rPr>
        <w:t xml:space="preserve">) and the </w:t>
      </w:r>
      <w:r w:rsidRPr="004D19FF">
        <w:rPr>
          <w:rFonts w:ascii="Times New Roman" w:hAnsi="Times New Roman"/>
          <w:sz w:val="20"/>
          <w:szCs w:val="20"/>
        </w:rPr>
        <w:t>Silent Falcon UAS/UAV</w:t>
      </w:r>
      <w:r w:rsidR="00611B6C">
        <w:rPr>
          <w:rFonts w:ascii="Times New Roman" w:hAnsi="Times New Roman"/>
          <w:sz w:val="20"/>
          <w:szCs w:val="20"/>
        </w:rPr>
        <w:t xml:space="preserve"> (</w:t>
      </w:r>
      <w:r w:rsidR="00611B6C" w:rsidRPr="004D19FF">
        <w:rPr>
          <w:rFonts w:ascii="Times New Roman" w:hAnsi="Times New Roman"/>
          <w:sz w:val="20"/>
          <w:szCs w:val="20"/>
        </w:rPr>
        <w:t xml:space="preserve">commercialized in 2015 </w:t>
      </w:r>
      <w:r w:rsidR="00611B6C"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DXXlLoYO","properties":{"formattedCitation":"[31]","plainCitation":"[31]","noteIndex":0},"citationItems":[{"id":"968HXJ10/XESOk0cA","uris":["http://www.mendeley.com/documents/?uuid=b9bc453f-278b-39a2-9a56-5516cff1e460"],"uri":["http://www.mendeley.com/documents/?uuid=b9bc453f-278b-39a2-9a56-5516cff1e460"],"itemData":{"URL":"https://byeaerospace.com/silent-falcon/","accessed":{"date-parts":[["2020","1","12"]]},"author":[{"dropping-particle":"","family":"ByeAerospace","given":"","non-dropping-particle":"","parse-names":false,"suffix":""}],"container-title":"Bye Aerospace","id":"ITEM-1","issued":{"date-parts":[["2020"]]},"title":"Silent Falcon Solar Electric UAV - Bye Aerospace","type":"webpage"}}],"schema":"https://github.com/citation-style-language/schema/raw/master/csl-citation.json"} </w:instrText>
      </w:r>
      <w:r w:rsidR="00611B6C" w:rsidRPr="004D19FF">
        <w:rPr>
          <w:rFonts w:ascii="Times New Roman" w:hAnsi="Times New Roman"/>
          <w:sz w:val="20"/>
          <w:szCs w:val="20"/>
        </w:rPr>
        <w:fldChar w:fldCharType="separate"/>
      </w:r>
      <w:r w:rsidR="00611B6C" w:rsidRPr="00CA240D">
        <w:rPr>
          <w:rFonts w:ascii="Times New Roman" w:hAnsi="Times New Roman" w:cs="Times New Roman"/>
          <w:sz w:val="20"/>
        </w:rPr>
        <w:t>[31]</w:t>
      </w:r>
      <w:r w:rsidR="00611B6C" w:rsidRPr="004D19FF">
        <w:rPr>
          <w:rFonts w:ascii="Times New Roman" w:hAnsi="Times New Roman"/>
          <w:sz w:val="20"/>
          <w:szCs w:val="20"/>
        </w:rPr>
        <w:fldChar w:fldCharType="end"/>
      </w:r>
      <w:r w:rsidR="00611B6C">
        <w:rPr>
          <w:rFonts w:ascii="Times New Roman" w:hAnsi="Times New Roman"/>
          <w:sz w:val="20"/>
          <w:szCs w:val="20"/>
        </w:rPr>
        <w:t xml:space="preserve">; </w:t>
      </w:r>
      <w:r w:rsidRPr="004D19FF">
        <w:rPr>
          <w:rFonts w:ascii="Times New Roman" w:hAnsi="Times New Roman"/>
          <w:sz w:val="20"/>
          <w:szCs w:val="20"/>
        </w:rPr>
        <w:t>five to seven hours</w:t>
      </w:r>
      <w:r w:rsidR="00611B6C">
        <w:rPr>
          <w:rFonts w:ascii="Times New Roman" w:hAnsi="Times New Roman"/>
          <w:sz w:val="20"/>
          <w:szCs w:val="20"/>
        </w:rPr>
        <w:t xml:space="preserve"> flight) (Fig. 12)</w:t>
      </w:r>
      <w:r w:rsidRPr="004D19FF">
        <w:rPr>
          <w:rFonts w:ascii="Times New Roman" w:hAnsi="Times New Roman"/>
          <w:sz w:val="20"/>
          <w:szCs w:val="20"/>
        </w:rPr>
        <w:t xml:space="preserve">. </w:t>
      </w:r>
      <w:r w:rsidR="00611B6C">
        <w:rPr>
          <w:rFonts w:ascii="Times New Roman" w:hAnsi="Times New Roman"/>
          <w:sz w:val="20"/>
          <w:szCs w:val="20"/>
        </w:rPr>
        <w:t xml:space="preserve">Notably, </w:t>
      </w:r>
      <w:r w:rsidRPr="004D19FF">
        <w:rPr>
          <w:rFonts w:ascii="Times New Roman" w:hAnsi="Times New Roman"/>
          <w:sz w:val="20"/>
          <w:szCs w:val="20"/>
        </w:rPr>
        <w:t xml:space="preserve">Solar Impulse has become the first solar airplane flying more than 40,000 km around the world without fuel from June 2012 to July 2016, however, it is a one-seat plane (pilot) and was not built to carry passengers </w:t>
      </w:r>
      <w:r w:rsidRPr="004D19FF">
        <w:rPr>
          <w:rFonts w:ascii="Times New Roman" w:hAnsi="Times New Roman"/>
          <w:sz w:val="20"/>
          <w:szCs w:val="20"/>
        </w:rPr>
        <w:fldChar w:fldCharType="begin" w:fldLock="1"/>
      </w:r>
      <w:r w:rsidR="00752A1E">
        <w:rPr>
          <w:rFonts w:ascii="Times New Roman" w:hAnsi="Times New Roman"/>
          <w:sz w:val="20"/>
          <w:szCs w:val="20"/>
        </w:rPr>
        <w:instrText xml:space="preserve"> ADDIN ZOTERO_ITEM CSL_CITATION {"citationID":"NUrn931b","properties":{"formattedCitation":"[249]","plainCitation":"[249]","noteIndex":0},"citationItems":[{"id":"968HXJ10/67pYMsuG","uris":["http://www.mendeley.com/documents/?uuid=c0114b96-bd75-3024-9234-3d382f24fe43"],"uri":["http://www.mendeley.com/documents/?uuid=c0114b96-bd75-3024-9234-3d382f24fe43"],"itemData":{"URL":"https://solarimpulse.com/","accessed":{"date-parts":[["2020","1","13"]]},"author":[{"dropping-particle":"","family":"SolarImpulse","given":"","non-dropping-particle":"","parse-names":false,"suffix":""}],"container-title":"Solar Impulse","id":"ITEM-1","issued":{"date-parts":[["2020"]]},"title":"Solar Impulse Foundation: 1000 profitable solutions for the environment","type":"webpage"}}],"schema":"https://github.com/citation-style-language/schema/raw/master/csl-citation.json"} </w:instrText>
      </w:r>
      <w:r w:rsidRPr="004D19FF">
        <w:rPr>
          <w:rFonts w:ascii="Times New Roman" w:hAnsi="Times New Roman"/>
          <w:sz w:val="20"/>
          <w:szCs w:val="20"/>
        </w:rPr>
        <w:fldChar w:fldCharType="separate"/>
      </w:r>
      <w:r w:rsidR="00196B5E" w:rsidRPr="00196B5E">
        <w:rPr>
          <w:rFonts w:ascii="Times New Roman" w:hAnsi="Times New Roman" w:cs="Times New Roman"/>
          <w:sz w:val="20"/>
        </w:rPr>
        <w:t>[249]</w:t>
      </w:r>
      <w:r w:rsidRPr="004D19FF">
        <w:rPr>
          <w:rFonts w:ascii="Times New Roman" w:hAnsi="Times New Roman"/>
          <w:sz w:val="20"/>
          <w:szCs w:val="20"/>
        </w:rPr>
        <w:fldChar w:fldCharType="end"/>
      </w:r>
      <w:r w:rsidRPr="004D19FF">
        <w:rPr>
          <w:rFonts w:ascii="Times New Roman" w:hAnsi="Times New Roman"/>
          <w:sz w:val="20"/>
          <w:szCs w:val="20"/>
        </w:rPr>
        <w:t xml:space="preserve">. </w:t>
      </w:r>
    </w:p>
    <w:p w14:paraId="1711C718" w14:textId="77777777" w:rsidR="006633C8" w:rsidRPr="004D19FF" w:rsidRDefault="0055183C" w:rsidP="00BC4779">
      <w:pPr>
        <w:spacing w:after="120" w:line="276" w:lineRule="auto"/>
        <w:jc w:val="thaiDistribute"/>
        <w:rPr>
          <w:rFonts w:ascii="Times New Roman" w:hAnsi="Times New Roman" w:cs="Times New Roman"/>
          <w:b/>
          <w:sz w:val="20"/>
          <w:szCs w:val="20"/>
        </w:rPr>
      </w:pPr>
      <w:r w:rsidRPr="004D19FF">
        <w:rPr>
          <w:rFonts w:ascii="Times New Roman" w:hAnsi="Times New Roman" w:cs="Times New Roman"/>
          <w:b/>
          <w:sz w:val="20"/>
          <w:szCs w:val="20"/>
        </w:rPr>
        <w:t>6</w:t>
      </w:r>
      <w:r w:rsidR="00233BF3" w:rsidRPr="004D19FF">
        <w:rPr>
          <w:rFonts w:ascii="Times New Roman" w:hAnsi="Times New Roman" w:cs="Times New Roman"/>
          <w:b/>
          <w:sz w:val="20"/>
          <w:szCs w:val="20"/>
        </w:rPr>
        <w:t>. Regulatory frameworks/ Sustainability policies</w:t>
      </w:r>
    </w:p>
    <w:p w14:paraId="200F9D91" w14:textId="0CD1DEE3" w:rsidR="000A57C9" w:rsidRPr="004D19FF" w:rsidRDefault="00233BF3" w:rsidP="00BC4779">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t xml:space="preserve">The use of </w:t>
      </w:r>
      <w:r w:rsidR="005562D5">
        <w:rPr>
          <w:rFonts w:ascii="Times New Roman" w:hAnsi="Times New Roman" w:cs="Times New Roman"/>
          <w:sz w:val="20"/>
          <w:szCs w:val="20"/>
        </w:rPr>
        <w:t>SESA (</w:t>
      </w:r>
      <w:r w:rsidR="00B11BB0">
        <w:rPr>
          <w:rFonts w:ascii="Times New Roman" w:hAnsi="Times New Roman" w:cs="Times New Roman"/>
          <w:sz w:val="20"/>
          <w:szCs w:val="20"/>
        </w:rPr>
        <w:t xml:space="preserve">here </w:t>
      </w:r>
      <w:r w:rsidR="005562D5">
        <w:rPr>
          <w:rFonts w:ascii="Times New Roman" w:hAnsi="Times New Roman" w:cs="Times New Roman"/>
          <w:sz w:val="20"/>
          <w:szCs w:val="20"/>
        </w:rPr>
        <w:t>referred as biofuels)</w:t>
      </w:r>
      <w:r w:rsidR="00BC3BF3" w:rsidRPr="004D19FF">
        <w:rPr>
          <w:rFonts w:ascii="Times New Roman" w:hAnsi="Times New Roman" w:cs="Times New Roman"/>
          <w:sz w:val="20"/>
          <w:szCs w:val="20"/>
        </w:rPr>
        <w:t xml:space="preserve"> remains minimal, with </w:t>
      </w:r>
      <w:r w:rsidRPr="004D19FF">
        <w:rPr>
          <w:rFonts w:ascii="Times New Roman" w:hAnsi="Times New Roman" w:cs="Times New Roman"/>
          <w:sz w:val="20"/>
          <w:szCs w:val="20"/>
        </w:rPr>
        <w:t>less than 1</w:t>
      </w:r>
      <w:r w:rsidR="000A57C9" w:rsidRPr="004D19FF">
        <w:rPr>
          <w:rFonts w:ascii="Times New Roman" w:hAnsi="Times New Roman" w:cs="Times New Roman"/>
          <w:sz w:val="20"/>
          <w:szCs w:val="20"/>
        </w:rPr>
        <w:t xml:space="preserve">% of total aviation fuel demand </w:t>
      </w:r>
      <w:r w:rsidR="004210DB"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LGh1mSzM","properties":{"formattedCitation":"[1]","plainCitation":"[1]","noteIndex":0},"citationItems":[{"id":"968HXJ10/m3YWOnZF","uris":["http://www.mendeley.com/documents/?uuid=fabbbd79-d888-4761-b3c8-27ad6c71fdf3"],"uri":["http://www.mendeley.com/documents/?uuid=fabbbd79-d888-4761-b3c8-27ad6c71fdf3"],"itemData":{"abstract":"The aviation industry recognizes the need to address the global challenge of climate change and in 2009 adopted a set of ambitious targets to mitigate CO2 emissions from air transport: </w:instrText>
      </w:r>
      <w:r w:rsidR="00752A1E">
        <w:rPr>
          <w:rFonts w:ascii="Times New Roman" w:hAnsi="Times New Roman" w:cs="Times New Roman"/>
          <w:sz w:val="20"/>
          <w:szCs w:val="20"/>
        </w:rPr>
        <w:instrText xml:space="preserve"> An average improvement in fuel efficiency of 1.5% per year from 2009 to 2020 </w:instrText>
      </w:r>
      <w:r w:rsidR="00752A1E">
        <w:rPr>
          <w:rFonts w:ascii="Times New Roman" w:hAnsi="Times New Roman" w:cs="Times New Roman"/>
          <w:sz w:val="20"/>
          <w:szCs w:val="20"/>
        </w:rPr>
        <w:instrText xml:space="preserve"> A cap on net aviation CO2 emissions from 2020 (carbon-neutral growth) </w:instrText>
      </w:r>
      <w:r w:rsidR="00752A1E">
        <w:rPr>
          <w:rFonts w:ascii="Times New Roman" w:hAnsi="Times New Roman" w:cs="Times New Roman"/>
          <w:sz w:val="20"/>
          <w:szCs w:val="20"/>
        </w:rPr>
        <w:instrText xml:space="preserve"> A reduction in net aviation CO2 emissions of 50% by 2050, relative to 2005 levels The industry 4-pillar strategy The industry is pursuing a 4-pillar strategy for addressing aviation's climate impacts and to meet the carbon targets: </w:instrText>
      </w:r>
      <w:r w:rsidR="00752A1E">
        <w:rPr>
          <w:rFonts w:ascii="Times New Roman" w:hAnsi="Times New Roman" w:cs="Times New Roman"/>
          <w:sz w:val="20"/>
          <w:szCs w:val="20"/>
        </w:rPr>
        <w:instrText xml:space="preserve"> New technology, including the deployment of sustainable alternative fuels </w:instrText>
      </w:r>
      <w:r w:rsidR="00752A1E">
        <w:rPr>
          <w:rFonts w:ascii="Times New Roman" w:hAnsi="Times New Roman" w:cs="Times New Roman"/>
          <w:sz w:val="20"/>
          <w:szCs w:val="20"/>
        </w:rPr>
        <w:instrText xml:space="preserve"> More efficient aircraft operations </w:instrText>
      </w:r>
      <w:r w:rsidR="00752A1E">
        <w:rPr>
          <w:rFonts w:ascii="Times New Roman" w:hAnsi="Times New Roman" w:cs="Times New Roman"/>
          <w:sz w:val="20"/>
          <w:szCs w:val="20"/>
        </w:rPr>
        <w:instrText xml:space="preserve"> Infrastructure improvements, including modernized air traffic management systems </w:instrText>
      </w:r>
      <w:r w:rsidR="00752A1E">
        <w:rPr>
          <w:rFonts w:ascii="Times New Roman" w:hAnsi="Times New Roman" w:cs="Times New Roman"/>
          <w:sz w:val="20"/>
          <w:szCs w:val="20"/>
        </w:rPr>
        <w:instrText xml:space="preserve"> A single Global Market-Based Measure (GMBM) to fill the remaining emissions gap The aviation industry is confident that technology, operations and infrastructure measures will provide long-term solutions for aviation's sustainable growth. However, the industry recognizes that a global market-based measure (GMBM) is needed to fill any remaining emissions gap. The industry favors a single, global market-based measure to address CO2 emissions from international aviation. Many airlines fly into dozens of different countries on a daily basis, with some large airlines serving over a hundred different countries each day; they need to have a single point of accountability. If airlines are subject to a patchwork of national or regional CO2 taxes, offsetting mechanisms, emissions trading schemes and other carbon pricing instruments, compliance would be unnecessarily complex and costly. In February 2017, the International Civil Aviation Organization (ICAO) adopted the first ever global CO2 certification standard for new aircraft. The standard sets limits to the CO2 emissions from aircraft in relation to their size and weight. The standard is projected to save significant quantities of CO2 once it comes into effect in 2020. CORSIA-the ICAO global market-based measure In 2016, ICAO adopted CORSIA, a global carbon offsetting scheme to address CO2 emissions from international aviation. The aviation sector is committed to technology, operational and infrastructure advances","author":[{"dropping-particle":"","family":"IATA","given":"","non-dropping-particle":"","parse-names":false,"suffix":""}],"id":"ITEM-1","issue":"May 2018","issued":{"date-parts":[["2018"]]},"page":"1-2","title":"Fact Sheet Climate and CORSIA","type":"article-journal"}}],"schema":"https://github.com/citation-style-language/schema/raw/master/csl-citation.json"} </w:instrText>
      </w:r>
      <w:r w:rsidR="004210DB" w:rsidRPr="004D19FF">
        <w:rPr>
          <w:rFonts w:ascii="Times New Roman" w:hAnsi="Times New Roman" w:cs="Times New Roman"/>
          <w:sz w:val="20"/>
          <w:szCs w:val="20"/>
        </w:rPr>
        <w:fldChar w:fldCharType="separate"/>
      </w:r>
      <w:r w:rsidR="0051129D" w:rsidRPr="0051129D">
        <w:rPr>
          <w:rFonts w:ascii="Times New Roman" w:hAnsi="Times New Roman" w:cs="Times New Roman"/>
          <w:sz w:val="20"/>
        </w:rPr>
        <w:t>[1]</w:t>
      </w:r>
      <w:r w:rsidR="004210DB" w:rsidRPr="004D19FF">
        <w:rPr>
          <w:rFonts w:ascii="Times New Roman" w:hAnsi="Times New Roman" w:cs="Times New Roman"/>
          <w:sz w:val="20"/>
          <w:szCs w:val="20"/>
        </w:rPr>
        <w:fldChar w:fldCharType="end"/>
      </w:r>
      <w:r w:rsidR="000A57C9" w:rsidRPr="004D19FF">
        <w:rPr>
          <w:rFonts w:ascii="Times New Roman" w:hAnsi="Times New Roman" w:cs="Times New Roman"/>
          <w:sz w:val="20"/>
          <w:szCs w:val="20"/>
        </w:rPr>
        <w:t xml:space="preserve">. However, there are global and regional policies in place to encourage and regulate the use of </w:t>
      </w:r>
      <w:r w:rsidR="00BE1A0D">
        <w:rPr>
          <w:rFonts w:ascii="Times New Roman" w:hAnsi="Times New Roman" w:cs="Times New Roman"/>
          <w:sz w:val="20"/>
          <w:szCs w:val="20"/>
        </w:rPr>
        <w:t>SESA</w:t>
      </w:r>
      <w:r w:rsidR="000A57C9" w:rsidRPr="004D19FF">
        <w:rPr>
          <w:rFonts w:ascii="Times New Roman" w:hAnsi="Times New Roman" w:cs="Times New Roman"/>
          <w:sz w:val="20"/>
          <w:szCs w:val="20"/>
        </w:rPr>
        <w:t xml:space="preserve">. The regulatory context on </w:t>
      </w:r>
      <w:r w:rsidR="009F5612" w:rsidRPr="004D19FF">
        <w:rPr>
          <w:rFonts w:ascii="Times New Roman" w:hAnsi="Times New Roman" w:cs="Times New Roman"/>
          <w:sz w:val="20"/>
          <w:szCs w:val="20"/>
        </w:rPr>
        <w:t>alternatives</w:t>
      </w:r>
      <w:r w:rsidR="000A57C9" w:rsidRPr="004D19FF">
        <w:rPr>
          <w:rFonts w:ascii="Times New Roman" w:hAnsi="Times New Roman" w:cs="Times New Roman"/>
          <w:sz w:val="20"/>
          <w:szCs w:val="20"/>
        </w:rPr>
        <w:t xml:space="preserve"> implemented at the point of writing </w:t>
      </w:r>
      <w:r w:rsidR="00244E5C" w:rsidRPr="004D19FF">
        <w:rPr>
          <w:rFonts w:ascii="Times New Roman" w:hAnsi="Times New Roman" w:cs="Times New Roman"/>
          <w:sz w:val="20"/>
          <w:szCs w:val="20"/>
        </w:rPr>
        <w:t xml:space="preserve">is </w:t>
      </w:r>
      <w:r w:rsidR="000A57C9" w:rsidRPr="004D19FF">
        <w:rPr>
          <w:rFonts w:ascii="Times New Roman" w:hAnsi="Times New Roman" w:cs="Times New Roman"/>
          <w:sz w:val="20"/>
          <w:szCs w:val="20"/>
        </w:rPr>
        <w:t>summarized herein</w:t>
      </w:r>
      <w:r w:rsidR="00244E5C" w:rsidRPr="004D19FF">
        <w:rPr>
          <w:rFonts w:ascii="Times New Roman" w:hAnsi="Times New Roman" w:cs="Times New Roman"/>
          <w:sz w:val="20"/>
          <w:szCs w:val="20"/>
        </w:rPr>
        <w:t xml:space="preserve">, </w:t>
      </w:r>
      <w:r w:rsidR="006168F5" w:rsidRPr="004D19FF">
        <w:rPr>
          <w:rFonts w:ascii="Times New Roman" w:hAnsi="Times New Roman" w:cs="Times New Roman"/>
          <w:sz w:val="20"/>
          <w:szCs w:val="20"/>
        </w:rPr>
        <w:t>with a greater focus</w:t>
      </w:r>
      <w:r w:rsidR="00244E5C" w:rsidRPr="004D19FF">
        <w:rPr>
          <w:rFonts w:ascii="Times New Roman" w:hAnsi="Times New Roman" w:cs="Times New Roman"/>
          <w:sz w:val="20"/>
          <w:szCs w:val="20"/>
        </w:rPr>
        <w:t xml:space="preserve"> on schemes</w:t>
      </w:r>
      <w:r w:rsidR="006168F5" w:rsidRPr="004D19FF">
        <w:rPr>
          <w:rFonts w:ascii="Times New Roman" w:hAnsi="Times New Roman" w:cs="Times New Roman"/>
          <w:sz w:val="20"/>
          <w:szCs w:val="20"/>
        </w:rPr>
        <w:t xml:space="preserve"> affecting the EU countries</w:t>
      </w:r>
      <w:r w:rsidR="000A57C9" w:rsidRPr="004D19FF">
        <w:rPr>
          <w:rFonts w:ascii="Times New Roman" w:hAnsi="Times New Roman" w:cs="Times New Roman"/>
          <w:sz w:val="20"/>
          <w:szCs w:val="20"/>
        </w:rPr>
        <w:t xml:space="preserve">. </w:t>
      </w:r>
    </w:p>
    <w:p w14:paraId="121C7FD9" w14:textId="77777777" w:rsidR="00233BF3" w:rsidRPr="004D19FF" w:rsidRDefault="0055183C" w:rsidP="00BC4779">
      <w:pPr>
        <w:spacing w:after="120" w:line="276" w:lineRule="auto"/>
        <w:jc w:val="thaiDistribute"/>
        <w:rPr>
          <w:rFonts w:ascii="Times New Roman" w:hAnsi="Times New Roman" w:cs="Times New Roman"/>
          <w:i/>
          <w:sz w:val="20"/>
          <w:szCs w:val="20"/>
        </w:rPr>
      </w:pPr>
      <w:r w:rsidRPr="004D19FF">
        <w:rPr>
          <w:rFonts w:ascii="Times New Roman" w:hAnsi="Times New Roman" w:cs="Times New Roman"/>
          <w:i/>
          <w:sz w:val="20"/>
          <w:szCs w:val="20"/>
        </w:rPr>
        <w:t>6</w:t>
      </w:r>
      <w:r w:rsidR="00233BF3" w:rsidRPr="004D19FF">
        <w:rPr>
          <w:rFonts w:ascii="Times New Roman" w:hAnsi="Times New Roman" w:cs="Times New Roman"/>
          <w:i/>
          <w:sz w:val="20"/>
          <w:szCs w:val="20"/>
        </w:rPr>
        <w:t>.1 The EU Renewable Energy Directive (RED)</w:t>
      </w:r>
    </w:p>
    <w:p w14:paraId="6A6155D6" w14:textId="4255815C" w:rsidR="00233BF3" w:rsidRPr="004D19FF" w:rsidRDefault="00233BF3" w:rsidP="00BC4779">
      <w:pPr>
        <w:spacing w:after="120" w:line="276" w:lineRule="auto"/>
        <w:jc w:val="both"/>
        <w:rPr>
          <w:rFonts w:ascii="Times New Roman" w:hAnsi="Times New Roman" w:cs="Times New Roman"/>
          <w:sz w:val="20"/>
          <w:szCs w:val="20"/>
        </w:rPr>
      </w:pPr>
      <w:r w:rsidRPr="004D19FF">
        <w:rPr>
          <w:rFonts w:ascii="Times New Roman" w:hAnsi="Times New Roman" w:cs="Times New Roman"/>
          <w:sz w:val="20"/>
          <w:szCs w:val="20"/>
        </w:rPr>
        <w:t xml:space="preserve">The EU Renewable Energy Directive (RED) adopted in 2009 established an overall policy framework for the production and promotion of energy from renewable sources. </w:t>
      </w:r>
      <w:r w:rsidR="00244E5C" w:rsidRPr="004D19FF">
        <w:rPr>
          <w:rFonts w:ascii="Times New Roman" w:hAnsi="Times New Roman" w:cs="Times New Roman"/>
          <w:sz w:val="20"/>
          <w:szCs w:val="20"/>
        </w:rPr>
        <w:t>It is a binding regulation for EU Member States. The RED requires</w:t>
      </w:r>
      <w:r w:rsidR="00E55522" w:rsidRPr="004D19FF">
        <w:rPr>
          <w:rFonts w:ascii="Times New Roman" w:hAnsi="Times New Roman" w:cs="Times New Roman"/>
          <w:sz w:val="20"/>
          <w:szCs w:val="20"/>
        </w:rPr>
        <w:t xml:space="preserve"> all EU countries to ensure a share of at least 10% of final energy consumed in transport</w:t>
      </w:r>
      <w:r w:rsidR="00877A81" w:rsidRPr="004D19FF">
        <w:rPr>
          <w:rFonts w:ascii="Times New Roman" w:hAnsi="Times New Roman" w:cs="Times New Roman"/>
          <w:sz w:val="20"/>
          <w:szCs w:val="20"/>
        </w:rPr>
        <w:t>ation</w:t>
      </w:r>
      <w:r w:rsidR="00E55522" w:rsidRPr="004D19FF">
        <w:rPr>
          <w:rFonts w:ascii="Times New Roman" w:hAnsi="Times New Roman" w:cs="Times New Roman"/>
          <w:sz w:val="20"/>
          <w:szCs w:val="20"/>
        </w:rPr>
        <w:t xml:space="preserve"> to stem from renewable sources by 2020</w:t>
      </w:r>
      <w:r w:rsidRPr="004D19FF">
        <w:rPr>
          <w:rFonts w:ascii="Times New Roman" w:hAnsi="Times New Roman" w:cs="Times New Roman"/>
          <w:sz w:val="20"/>
          <w:szCs w:val="20"/>
        </w:rPr>
        <w:t xml:space="preserve"> </w:t>
      </w:r>
      <w:r w:rsidR="004210DB"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e0s4Ey7R","properties":{"formattedCitation":"[250]","plainCitation":"[250]","noteIndex":0},"citationItems":[{"id":"968HXJ10/PbwilIOK","uris":["http://www.mendeley.com/documents/?uuid=cccd0721-2e4f-46eb-acd7-29046e3aea25"],"uri":["http://www.mendeley.com/documents/?uuid=cccd0721-2e4f-46eb-acd7-29046e3aea25"],"itemData":{"author":[{"dropping-particle":"","family":"EU","given":"","non-dropping-particle":"","parse-names":false,"suffix":""}],"id":"ITEM-1","issue":"9","issued":{"date-parts":[["2009"]]},"page":"28-44","title":"Directive 2009/38/EC - Works Council","type":"article-journal"}}],"schema":"https://github.com/citation-style-language/schema/raw/master/csl-citation.json"} </w:instrText>
      </w:r>
      <w:r w:rsidR="004210DB"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[250]</w:t>
      </w:r>
      <w:r w:rsidR="004210DB" w:rsidRPr="004D19FF">
        <w:rPr>
          <w:rFonts w:ascii="Times New Roman" w:hAnsi="Times New Roman" w:cs="Times New Roman"/>
          <w:sz w:val="20"/>
          <w:szCs w:val="20"/>
        </w:rPr>
        <w:fldChar w:fldCharType="end"/>
      </w:r>
      <w:r w:rsidRPr="004D19FF">
        <w:rPr>
          <w:rFonts w:ascii="Times New Roman" w:hAnsi="Times New Roman" w:cs="Times New Roman"/>
          <w:sz w:val="20"/>
          <w:szCs w:val="20"/>
        </w:rPr>
        <w:t xml:space="preserve">. </w:t>
      </w:r>
      <w:r w:rsidR="00E55522" w:rsidRPr="004D19FF">
        <w:rPr>
          <w:rFonts w:ascii="Times New Roman" w:hAnsi="Times New Roman" w:cs="Times New Roman"/>
          <w:sz w:val="20"/>
          <w:szCs w:val="20"/>
        </w:rPr>
        <w:t xml:space="preserve">The RED </w:t>
      </w:r>
      <w:r w:rsidR="00FD6BD7" w:rsidRPr="004D19FF">
        <w:rPr>
          <w:rFonts w:ascii="Times New Roman" w:hAnsi="Times New Roman" w:cs="Times New Roman"/>
          <w:sz w:val="20"/>
          <w:szCs w:val="20"/>
        </w:rPr>
        <w:t xml:space="preserve">(or RED-I) </w:t>
      </w:r>
      <w:r w:rsidR="00E55522" w:rsidRPr="004D19FF">
        <w:rPr>
          <w:rFonts w:ascii="Times New Roman" w:hAnsi="Times New Roman" w:cs="Times New Roman"/>
          <w:sz w:val="20"/>
          <w:szCs w:val="20"/>
        </w:rPr>
        <w:t>target, however, does not fully include the</w:t>
      </w:r>
      <w:r w:rsidRPr="004D19FF">
        <w:rPr>
          <w:rFonts w:ascii="Times New Roman" w:hAnsi="Times New Roman" w:cs="Times New Roman"/>
          <w:sz w:val="20"/>
          <w:szCs w:val="20"/>
        </w:rPr>
        <w:t xml:space="preserve"> aviation sector</w:t>
      </w:r>
      <w:r w:rsidR="00E55522" w:rsidRPr="004D19FF">
        <w:rPr>
          <w:rFonts w:ascii="Times New Roman" w:hAnsi="Times New Roman" w:cs="Times New Roman"/>
          <w:sz w:val="20"/>
          <w:szCs w:val="20"/>
        </w:rPr>
        <w:t>, by limiting the amount of energy consumed by this sector to a specific share, depending on the Member State (this share is at maximum 6.18%</w:t>
      </w:r>
      <w:r w:rsidR="00877A81" w:rsidRPr="004D19FF">
        <w:rPr>
          <w:rFonts w:ascii="Times New Roman" w:hAnsi="Times New Roman" w:cs="Times New Roman"/>
          <w:sz w:val="20"/>
          <w:szCs w:val="20"/>
        </w:rPr>
        <w:t xml:space="preserve"> </w:t>
      </w:r>
      <w:r w:rsidR="00FD6BD7" w:rsidRPr="004D19FF">
        <w:rPr>
          <w:rFonts w:ascii="Times New Roman" w:hAnsi="Times New Roman" w:cs="Times New Roman"/>
          <w:sz w:val="20"/>
          <w:szCs w:val="20"/>
        </w:rPr>
        <w:t>of the gross final consumption of energy in aviation</w:t>
      </w:r>
      <w:r w:rsidR="00401C96" w:rsidRPr="004D19FF">
        <w:rPr>
          <w:rFonts w:ascii="Times New Roman" w:hAnsi="Times New Roman" w:cs="Times New Roman"/>
          <w:sz w:val="20"/>
          <w:szCs w:val="20"/>
        </w:rPr>
        <w:t xml:space="preserve"> in 2005</w:t>
      </w:r>
      <w:r w:rsidR="00E55522" w:rsidRPr="004D19FF">
        <w:rPr>
          <w:rFonts w:ascii="Times New Roman" w:hAnsi="Times New Roman" w:cs="Times New Roman"/>
          <w:sz w:val="20"/>
          <w:szCs w:val="20"/>
        </w:rPr>
        <w:t xml:space="preserve">). The RED was further amended with </w:t>
      </w:r>
      <w:r w:rsidR="00177768" w:rsidRPr="004D19FF">
        <w:rPr>
          <w:rFonts w:ascii="Times New Roman" w:hAnsi="Times New Roman" w:cs="Times New Roman"/>
          <w:sz w:val="20"/>
          <w:szCs w:val="20"/>
        </w:rPr>
        <w:t xml:space="preserve">the </w:t>
      </w:r>
      <w:r w:rsidRPr="004D19FF">
        <w:rPr>
          <w:rFonts w:ascii="Times New Roman" w:hAnsi="Times New Roman" w:cs="Times New Roman"/>
          <w:sz w:val="20"/>
          <w:szCs w:val="20"/>
        </w:rPr>
        <w:t xml:space="preserve">Directive 2015/1513 </w:t>
      </w:r>
      <w:r w:rsidR="00E55522" w:rsidRPr="004D19FF">
        <w:rPr>
          <w:rFonts w:ascii="Times New Roman" w:hAnsi="Times New Roman" w:cs="Times New Roman"/>
          <w:sz w:val="20"/>
          <w:szCs w:val="20"/>
        </w:rPr>
        <w:t>to</w:t>
      </w:r>
      <w:r w:rsidR="00177768" w:rsidRPr="004D19FF">
        <w:rPr>
          <w:rFonts w:ascii="Times New Roman" w:hAnsi="Times New Roman" w:cs="Times New Roman"/>
          <w:sz w:val="20"/>
          <w:szCs w:val="20"/>
        </w:rPr>
        <w:t>,</w:t>
      </w:r>
      <w:r w:rsidR="00E55522" w:rsidRPr="004D19FF">
        <w:rPr>
          <w:rFonts w:ascii="Times New Roman" w:hAnsi="Times New Roman" w:cs="Times New Roman"/>
          <w:sz w:val="20"/>
          <w:szCs w:val="20"/>
        </w:rPr>
        <w:t xml:space="preserve"> among others</w:t>
      </w:r>
      <w:r w:rsidR="00177768" w:rsidRPr="004D19FF">
        <w:rPr>
          <w:rFonts w:ascii="Times New Roman" w:hAnsi="Times New Roman" w:cs="Times New Roman"/>
          <w:sz w:val="20"/>
          <w:szCs w:val="20"/>
        </w:rPr>
        <w:t>,</w:t>
      </w:r>
      <w:r w:rsidR="00081BCA" w:rsidRPr="004D19FF">
        <w:rPr>
          <w:rFonts w:ascii="Times New Roman" w:hAnsi="Times New Roman" w:cs="Times New Roman"/>
          <w:sz w:val="20"/>
          <w:szCs w:val="20"/>
        </w:rPr>
        <w:t xml:space="preserve"> recognize the opportunity of </w:t>
      </w:r>
      <w:r w:rsidR="00AF2E43" w:rsidRPr="004D19FF">
        <w:rPr>
          <w:rFonts w:ascii="Times New Roman" w:hAnsi="Times New Roman" w:cs="Times New Roman"/>
          <w:sz w:val="20"/>
          <w:szCs w:val="20"/>
        </w:rPr>
        <w:t>biofuels/electrofuels</w:t>
      </w:r>
      <w:r w:rsidR="00C70D00" w:rsidRPr="004D19FF">
        <w:rPr>
          <w:rFonts w:ascii="Times New Roman" w:hAnsi="Times New Roman" w:cs="Times New Roman"/>
          <w:sz w:val="20"/>
          <w:szCs w:val="20"/>
        </w:rPr>
        <w:t xml:space="preserve"> to enhance the consumption of non-fossil derived fuels within the aviation sector. This translated in the so-called ‘voluntary opt-in’</w:t>
      </w:r>
      <w:r w:rsidR="00DE3396" w:rsidRPr="004D19FF">
        <w:rPr>
          <w:rFonts w:ascii="Times New Roman" w:hAnsi="Times New Roman" w:cs="Times New Roman"/>
          <w:sz w:val="20"/>
          <w:szCs w:val="20"/>
        </w:rPr>
        <w:t xml:space="preserve"> </w:t>
      </w:r>
      <w:r w:rsidR="00A21CC2"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y75KJuXc","properties":{"formattedCitation":"[251]","plainCitation":"[251]","noteIndex":0},"citationItems":[{"id":"968HXJ10/VSsdS1x2","uris":["http://www.mendeley.com/documents/?uuid=1238ef86-56a9-4b90-815c-259f64798c72"],"uri":["http://www.mendeley.com/documents/?uuid=1238ef86-56a9-4b90-815c-259f64798c72"],"itemData":{"DOI":"http://eur-lex.europa.eu/pri/en/oj/dat/2003/l_285/l_28520031101en00330037.pdf","ISBN":"683/2004","ISSN":"1098-6596","PMID":"25246403","author":[{"dropping-particle":"","family":"Council of the European Union","given":"European Parliament","non-dropping-particle":"","parse-names":false,"suffix":""}],"id":"ITEM-1","issue":"September","issued":{"date-parts":[["2015"]]},"title":"Directive (EU) 2015/1513 of the European Parliament and of the Council of 9 September 2015 amending Directive 98/70/EC relating to the quality of petrol and diesel fuels and amending Directive 2009/28/EC on the promotion of the use of energy from renewabl","type":"report"}}],"schema":"https://github.com/citation-style-language/schema/raw/master/csl-citation.json"} </w:instrText>
      </w:r>
      <w:r w:rsidR="00A21CC2"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[251]</w:t>
      </w:r>
      <w:r w:rsidR="00A21CC2" w:rsidRPr="004D19FF">
        <w:rPr>
          <w:rFonts w:ascii="Times New Roman" w:hAnsi="Times New Roman" w:cs="Times New Roman"/>
          <w:sz w:val="20"/>
          <w:szCs w:val="20"/>
        </w:rPr>
        <w:fldChar w:fldCharType="end"/>
      </w:r>
      <w:r w:rsidRPr="004D19FF">
        <w:rPr>
          <w:rFonts w:ascii="Times New Roman" w:hAnsi="Times New Roman" w:cs="Times New Roman"/>
          <w:sz w:val="20"/>
          <w:szCs w:val="20"/>
        </w:rPr>
        <w:t>.</w:t>
      </w:r>
      <w:r w:rsidR="00177768" w:rsidRPr="004D19FF">
        <w:rPr>
          <w:rFonts w:ascii="Times New Roman" w:hAnsi="Times New Roman" w:cs="Times New Roman"/>
          <w:sz w:val="20"/>
          <w:szCs w:val="20"/>
        </w:rPr>
        <w:t xml:space="preserve"> The M</w:t>
      </w:r>
      <w:r w:rsidR="00DE3396" w:rsidRPr="004D19FF">
        <w:rPr>
          <w:rFonts w:ascii="Times New Roman" w:hAnsi="Times New Roman" w:cs="Times New Roman"/>
          <w:sz w:val="20"/>
          <w:szCs w:val="20"/>
        </w:rPr>
        <w:t xml:space="preserve">ember States </w:t>
      </w:r>
      <w:r w:rsidR="00EA2794" w:rsidRPr="004D19FF">
        <w:rPr>
          <w:rFonts w:ascii="Times New Roman" w:hAnsi="Times New Roman" w:cs="Times New Roman"/>
          <w:sz w:val="20"/>
          <w:szCs w:val="20"/>
        </w:rPr>
        <w:t xml:space="preserve">could </w:t>
      </w:r>
      <w:r w:rsidR="00177768" w:rsidRPr="004D19FF">
        <w:rPr>
          <w:rFonts w:ascii="Times New Roman" w:hAnsi="Times New Roman" w:cs="Times New Roman"/>
          <w:sz w:val="20"/>
          <w:szCs w:val="20"/>
        </w:rPr>
        <w:t xml:space="preserve">implement </w:t>
      </w:r>
      <w:r w:rsidR="00C70D00" w:rsidRPr="004D19FF">
        <w:rPr>
          <w:rFonts w:ascii="Times New Roman" w:hAnsi="Times New Roman" w:cs="Times New Roman"/>
          <w:sz w:val="20"/>
          <w:szCs w:val="20"/>
        </w:rPr>
        <w:t xml:space="preserve">this opt-in </w:t>
      </w:r>
      <w:r w:rsidR="00177768" w:rsidRPr="004D19FF">
        <w:rPr>
          <w:rFonts w:ascii="Times New Roman" w:hAnsi="Times New Roman" w:cs="Times New Roman"/>
          <w:sz w:val="20"/>
          <w:szCs w:val="20"/>
        </w:rPr>
        <w:t>differently:</w:t>
      </w:r>
      <w:r w:rsidR="00DE3396" w:rsidRPr="004D19FF">
        <w:rPr>
          <w:rFonts w:ascii="Times New Roman" w:hAnsi="Times New Roman" w:cs="Times New Roman"/>
          <w:sz w:val="20"/>
          <w:szCs w:val="20"/>
        </w:rPr>
        <w:t xml:space="preserve"> </w:t>
      </w:r>
      <w:r w:rsidR="00177768" w:rsidRPr="004D19FF">
        <w:rPr>
          <w:rFonts w:ascii="Times New Roman" w:hAnsi="Times New Roman" w:cs="Times New Roman"/>
          <w:sz w:val="20"/>
          <w:szCs w:val="20"/>
        </w:rPr>
        <w:t>in form of a certificate system for</w:t>
      </w:r>
      <w:r w:rsidR="00DE3396" w:rsidRPr="004D19FF">
        <w:rPr>
          <w:rFonts w:ascii="Times New Roman" w:hAnsi="Times New Roman" w:cs="Times New Roman"/>
          <w:sz w:val="20"/>
          <w:szCs w:val="20"/>
        </w:rPr>
        <w:t xml:space="preserve"> fuel suppliers, </w:t>
      </w:r>
      <w:r w:rsidR="00177768" w:rsidRPr="004D19FF">
        <w:rPr>
          <w:rFonts w:ascii="Times New Roman" w:hAnsi="Times New Roman" w:cs="Times New Roman"/>
          <w:sz w:val="20"/>
          <w:szCs w:val="20"/>
        </w:rPr>
        <w:t xml:space="preserve">or as a </w:t>
      </w:r>
      <w:r w:rsidR="00DE3396" w:rsidRPr="004D19FF">
        <w:rPr>
          <w:rFonts w:ascii="Times New Roman" w:hAnsi="Times New Roman" w:cs="Times New Roman"/>
          <w:sz w:val="20"/>
          <w:szCs w:val="20"/>
        </w:rPr>
        <w:t>tax exemption</w:t>
      </w:r>
      <w:r w:rsidR="00D642DF" w:rsidRPr="004D19FF">
        <w:rPr>
          <w:rFonts w:ascii="Times New Roman" w:hAnsi="Times New Roman" w:cs="Times New Roman"/>
          <w:sz w:val="20"/>
          <w:szCs w:val="20"/>
        </w:rPr>
        <w:t xml:space="preserve"> </w:t>
      </w:r>
      <w:r w:rsidR="00C65974" w:rsidRPr="004D19FF">
        <w:rPr>
          <w:rFonts w:ascii="Times New Roman" w:hAnsi="Times New Roman" w:cs="Times New Roman"/>
          <w:sz w:val="20"/>
          <w:szCs w:val="20"/>
        </w:rPr>
        <w:t xml:space="preserve">for reaching the 10% </w:t>
      </w:r>
      <w:r w:rsidR="00AC4BCA" w:rsidRPr="004D19FF">
        <w:rPr>
          <w:rFonts w:ascii="Times New Roman" w:hAnsi="Times New Roman" w:cs="Times New Roman"/>
          <w:sz w:val="20"/>
          <w:szCs w:val="20"/>
        </w:rPr>
        <w:t xml:space="preserve">of final energy consumption from renewable sources </w:t>
      </w:r>
      <w:r w:rsidR="00C65974" w:rsidRPr="004D19FF">
        <w:rPr>
          <w:rFonts w:ascii="Times New Roman" w:hAnsi="Times New Roman" w:cs="Times New Roman"/>
          <w:sz w:val="20"/>
          <w:szCs w:val="20"/>
        </w:rPr>
        <w:t xml:space="preserve">by 2020 </w:t>
      </w:r>
      <w:r w:rsidR="00A21CC2"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YKnLJp2m","properties":{"formattedCitation":"[252]","plainCitation":"[252]","noteIndex":0},"citationItems":[{"id":"968HXJ10/9PamuAYv","uris":["http://www.mendeley.com/documents/?uuid=da7ab05c-2ae2-4d1b-87fe-9ac6f71a663e"],"uri":["http://www.mendeley.com/documents/?uuid=da7ab05c-2ae2-4d1b-87fe-9ac6f71a663e"],"itemData":{"author":[{"dropping-particle":"","family":"Meijerink","given":"Oscar","non-dropping-particle":"","parse-names":false,"suffix":""},{"dropping-particle":"","family":"Valk","given":"Misha","non-dropping-particle":"","parse-names":false,"suffix":""},{"dropping-particle":"","family":"Junginger","given":"Martin","non-dropping-particle":"","parse-names":false,"suffix":""}],"id":"ITEM-1","issued":{"date-parts":[["2016"]]},"page":"1-101","title":"The voluntary RED opt-in for aviation biofuels","type":"article-journal"}}],"schema":"https://github.com/citation-style-language/schema/raw/master/csl-citation.json"} </w:instrText>
      </w:r>
      <w:r w:rsidR="00A21CC2"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[252]</w:t>
      </w:r>
      <w:r w:rsidR="00A21CC2" w:rsidRPr="004D19FF">
        <w:rPr>
          <w:rFonts w:ascii="Times New Roman" w:hAnsi="Times New Roman" w:cs="Times New Roman"/>
          <w:sz w:val="20"/>
          <w:szCs w:val="20"/>
        </w:rPr>
        <w:fldChar w:fldCharType="end"/>
      </w:r>
      <w:r w:rsidR="00DE3396" w:rsidRPr="004D19FF">
        <w:rPr>
          <w:rFonts w:ascii="Times New Roman" w:hAnsi="Times New Roman" w:cs="Times New Roman"/>
          <w:sz w:val="20"/>
          <w:szCs w:val="20"/>
        </w:rPr>
        <w:t>.</w:t>
      </w:r>
      <w:r w:rsidR="003876FE" w:rsidRPr="004D19FF">
        <w:rPr>
          <w:rFonts w:ascii="Times New Roman" w:hAnsi="Times New Roman" w:cs="Times New Roman"/>
          <w:sz w:val="20"/>
          <w:szCs w:val="20"/>
        </w:rPr>
        <w:t xml:space="preserve"> </w:t>
      </w:r>
      <w:r w:rsidR="00081BCA" w:rsidRPr="004D19FF">
        <w:rPr>
          <w:rFonts w:ascii="Times New Roman" w:hAnsi="Times New Roman" w:cs="Times New Roman"/>
          <w:sz w:val="20"/>
          <w:szCs w:val="20"/>
        </w:rPr>
        <w:t>T</w:t>
      </w:r>
      <w:r w:rsidR="00BB7D7D" w:rsidRPr="004D19FF">
        <w:rPr>
          <w:rFonts w:ascii="Times New Roman" w:hAnsi="Times New Roman" w:cs="Times New Roman"/>
          <w:sz w:val="20"/>
          <w:szCs w:val="20"/>
        </w:rPr>
        <w:t>he</w:t>
      </w:r>
      <w:r w:rsidR="00081BCA" w:rsidRPr="004D19FF">
        <w:rPr>
          <w:rFonts w:ascii="Times New Roman" w:hAnsi="Times New Roman" w:cs="Times New Roman"/>
          <w:sz w:val="20"/>
          <w:szCs w:val="20"/>
        </w:rPr>
        <w:t xml:space="preserve"> amendment </w:t>
      </w:r>
      <w:r w:rsidR="00965810" w:rsidRPr="004D19FF">
        <w:rPr>
          <w:rFonts w:ascii="Times New Roman" w:hAnsi="Times New Roman" w:cs="Times New Roman"/>
          <w:sz w:val="20"/>
          <w:szCs w:val="20"/>
        </w:rPr>
        <w:t xml:space="preserve">was taken up by the Netherlands and UK </w:t>
      </w:r>
      <w:r w:rsidR="00226ECB"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QPmxG8x8","properties":{"formattedCitation":"[252,253]","plainCitation":"[252,253]","noteIndex":0},"citationItems":[{"id":"968HXJ10/9PamuAYv","uris":["http://www.mendeley.com/documents/?uuid=da7ab05c-2ae2-4d1b-87fe-9ac6f71a663e"],"uri":["http://www.mendeley.com/documents/?uuid=da7ab05c-2ae2-4d1b-87fe-9ac6f71a663e"],"itemData":{"author":[{"dropping-particle":"","family":"Meijerink","given":"Oscar","non-dropping-particle":"","parse-names":false,"suffix":""},{"dropping-particle":"","family":"Valk","given":"Misha","non-dropping-particle":"","parse-names":false,"suffix":""},{"dropping-particle":"","family":"Junginger","given":"Martin","non-dropping-particle":"","parse-names":false,"suffix":""}],"id":"ITEM-1","issued":{"date-parts":[["2016"]]},"page":"1-101","title":"The voluntary RED opt-in for aviation biofuels","type":"article-journal"}},{"id":"968HXJ10/IJ9p2IHh","uris":["http://www.mendeley.com/documents/?uuid=8dafbab9-dc84-405d-abb6-3916cd144ec1"],"uri":["http://www.mendeley.com/documents/?uuid=8dafbab9-dc84-405d-abb6-3916cd144ec1"],"itemData":{"DOI":"10.2822/309946","ISBN":"978-92-9210-214-2","author":[{"dropping-particle":"","family":"EEA","given":"","non-dropping-particle":"","parse-names":false,"suffix":""},{"dropping-particle":"","family":"EASA","given":"","non-dropping-particle":"","parse-names":false,"suffix":""},{"dropping-particle":"","family":"EUROCONTROL","given":"","non-dropping-particle":"","parse-names":false,"suffix":""}],"id":"ITEM-2","issued":{"date-parts":[["2019"]]},"number-of-pages":"1-109","title":"European Aviation Environmental Report 2019","type":"report"}}],"schema":"https://github.com/citation-style-language/schema/raw/master/csl-citation.json"} </w:instrText>
      </w:r>
      <w:r w:rsidR="00226ECB"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[252,253]</w:t>
      </w:r>
      <w:r w:rsidR="00226ECB" w:rsidRPr="004D19FF">
        <w:rPr>
          <w:rFonts w:ascii="Times New Roman" w:hAnsi="Times New Roman" w:cs="Times New Roman"/>
          <w:sz w:val="20"/>
          <w:szCs w:val="20"/>
        </w:rPr>
        <w:fldChar w:fldCharType="end"/>
      </w:r>
      <w:r w:rsidR="00965810" w:rsidRPr="004D19FF">
        <w:rPr>
          <w:rFonts w:ascii="Times New Roman" w:hAnsi="Times New Roman" w:cs="Times New Roman"/>
          <w:sz w:val="20"/>
          <w:szCs w:val="20"/>
        </w:rPr>
        <w:t xml:space="preserve">. </w:t>
      </w:r>
      <w:r w:rsidRPr="004D19FF">
        <w:rPr>
          <w:rFonts w:ascii="Times New Roman" w:hAnsi="Times New Roman" w:cs="Times New Roman"/>
          <w:sz w:val="20"/>
          <w:szCs w:val="20"/>
        </w:rPr>
        <w:t>The revised RED for the period 2021-2030</w:t>
      </w:r>
      <w:r w:rsidR="00401C96" w:rsidRPr="004D19FF">
        <w:rPr>
          <w:rFonts w:ascii="Times New Roman" w:hAnsi="Times New Roman" w:cs="Times New Roman"/>
          <w:sz w:val="20"/>
          <w:szCs w:val="20"/>
        </w:rPr>
        <w:t>,</w:t>
      </w:r>
      <w:r w:rsidRPr="004D19FF">
        <w:rPr>
          <w:rFonts w:ascii="Times New Roman" w:hAnsi="Times New Roman" w:cs="Times New Roman"/>
          <w:sz w:val="20"/>
          <w:szCs w:val="20"/>
        </w:rPr>
        <w:t xml:space="preserve"> denoted as the RED-II</w:t>
      </w:r>
      <w:r w:rsidR="00C120C9" w:rsidRPr="004D19FF">
        <w:rPr>
          <w:rFonts w:ascii="Times New Roman" w:hAnsi="Times New Roman" w:cs="Times New Roman"/>
          <w:sz w:val="20"/>
          <w:szCs w:val="20"/>
        </w:rPr>
        <w:t>,</w:t>
      </w:r>
      <w:r w:rsidRPr="004D19FF">
        <w:rPr>
          <w:rFonts w:ascii="Times New Roman" w:hAnsi="Times New Roman" w:cs="Times New Roman"/>
          <w:sz w:val="20"/>
          <w:szCs w:val="20"/>
        </w:rPr>
        <w:t xml:space="preserve"> </w:t>
      </w:r>
      <w:r w:rsidR="00CF20C7" w:rsidRPr="004D19FF">
        <w:rPr>
          <w:rFonts w:ascii="Times New Roman" w:hAnsi="Times New Roman" w:cs="Times New Roman"/>
          <w:sz w:val="20"/>
          <w:szCs w:val="20"/>
        </w:rPr>
        <w:t>requires a m</w:t>
      </w:r>
      <w:r w:rsidRPr="004D19FF">
        <w:rPr>
          <w:rFonts w:ascii="Times New Roman" w:hAnsi="Times New Roman" w:cs="Times New Roman"/>
          <w:sz w:val="20"/>
          <w:szCs w:val="20"/>
        </w:rPr>
        <w:t xml:space="preserve">inimum share of 14% of final energy consumption in transport sector </w:t>
      </w:r>
      <w:r w:rsidR="00CF20C7" w:rsidRPr="004D19FF">
        <w:rPr>
          <w:rFonts w:ascii="Times New Roman" w:hAnsi="Times New Roman" w:cs="Times New Roman"/>
          <w:sz w:val="20"/>
          <w:szCs w:val="20"/>
        </w:rPr>
        <w:t xml:space="preserve">to be </w:t>
      </w:r>
      <w:r w:rsidRPr="004D19FF">
        <w:rPr>
          <w:rFonts w:ascii="Times New Roman" w:hAnsi="Times New Roman" w:cs="Times New Roman"/>
          <w:sz w:val="20"/>
          <w:szCs w:val="20"/>
        </w:rPr>
        <w:t>derived fr</w:t>
      </w:r>
      <w:r w:rsidR="00CF20C7" w:rsidRPr="004D19FF">
        <w:rPr>
          <w:rFonts w:ascii="Times New Roman" w:hAnsi="Times New Roman" w:cs="Times New Roman"/>
          <w:sz w:val="20"/>
          <w:szCs w:val="20"/>
        </w:rPr>
        <w:t xml:space="preserve">om renewable energy by 2030, and </w:t>
      </w:r>
      <w:r w:rsidR="00C120C9" w:rsidRPr="004D19FF">
        <w:rPr>
          <w:rFonts w:ascii="Times New Roman" w:hAnsi="Times New Roman" w:cs="Times New Roman"/>
          <w:sz w:val="20"/>
          <w:szCs w:val="20"/>
        </w:rPr>
        <w:t>is set as an obligation for</w:t>
      </w:r>
      <w:r w:rsidRPr="004D19FF">
        <w:rPr>
          <w:rFonts w:ascii="Times New Roman" w:hAnsi="Times New Roman" w:cs="Times New Roman"/>
          <w:sz w:val="20"/>
          <w:szCs w:val="20"/>
        </w:rPr>
        <w:t xml:space="preserve"> fuel supplier</w:t>
      </w:r>
      <w:r w:rsidR="00AB1100" w:rsidRPr="004D19FF">
        <w:rPr>
          <w:rFonts w:ascii="Times New Roman" w:hAnsi="Times New Roman" w:cs="Times New Roman"/>
          <w:sz w:val="20"/>
          <w:szCs w:val="20"/>
        </w:rPr>
        <w:t>s</w:t>
      </w:r>
      <w:r w:rsidR="00067C70">
        <w:rPr>
          <w:rFonts w:ascii="Times New Roman" w:hAnsi="Times New Roman" w:cs="Times New Roman"/>
          <w:sz w:val="20"/>
          <w:szCs w:val="20"/>
        </w:rPr>
        <w:t xml:space="preserve"> </w:t>
      </w:r>
      <w:r w:rsidR="00067C70">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ShFXxTN3","properties":{"formattedCitation":"[254]","plainCitation":"[254]","noteIndex":0},"citationItems":[{"id":"968HXJ10/xbEzC1Al","uris":["http://www.mendeley.com/documents/?uuid=433b9649-1efe-42f5-8485-b931f3881960"],"uri":["http://www.mendeley.com/documents/?uuid=433b9649-1efe-42f5-8485-b931f3881960"],"itemData":{"author":[{"dropping-particle":"","family":"European Union.","given":"","non-dropping-particle":"","parse-names":false,"suffix":""}],"container-title":"Official Journal of the European Union","id":"ITEM-1","issue":"April 2009","issued":{"date-parts":[["2018"]]},"page":"1-128","title":"Directive (EU) 2018/2001 of the European Parliament and of the Council on the promotion of the use of energy from renewable sources","type":"article-journal","volume":"2018"}}],"schema":"https://github.com/citation-style-language/schema/raw/master/csl-citation.json"} </w:instrText>
      </w:r>
      <w:r w:rsidR="00067C70">
        <w:rPr>
          <w:rFonts w:ascii="Times New Roman" w:hAnsi="Times New Roman" w:cs="Times New Roman"/>
          <w:sz w:val="20"/>
          <w:szCs w:val="20"/>
        </w:rPr>
        <w:fldChar w:fldCharType="separate"/>
      </w:r>
      <w:r w:rsidR="00196B5E" w:rsidRPr="00196B5E">
        <w:rPr>
          <w:rFonts w:ascii="Times New Roman" w:hAnsi="Times New Roman" w:cs="Times New Roman"/>
          <w:sz w:val="20"/>
        </w:rPr>
        <w:t>[254]</w:t>
      </w:r>
      <w:r w:rsidR="00067C70">
        <w:rPr>
          <w:rFonts w:ascii="Times New Roman" w:hAnsi="Times New Roman" w:cs="Times New Roman"/>
          <w:sz w:val="20"/>
          <w:szCs w:val="20"/>
        </w:rPr>
        <w:fldChar w:fldCharType="end"/>
      </w:r>
      <w:r w:rsidRPr="004D19FF">
        <w:rPr>
          <w:rFonts w:ascii="Times New Roman" w:hAnsi="Times New Roman" w:cs="Times New Roman"/>
          <w:sz w:val="20"/>
          <w:szCs w:val="20"/>
        </w:rPr>
        <w:t xml:space="preserve">. </w:t>
      </w:r>
      <w:r w:rsidR="00C120C9" w:rsidRPr="004D19FF">
        <w:rPr>
          <w:rFonts w:ascii="Times New Roman" w:hAnsi="Times New Roman" w:cs="Times New Roman"/>
          <w:sz w:val="20"/>
          <w:szCs w:val="20"/>
        </w:rPr>
        <w:t>The new directive introduces</w:t>
      </w:r>
      <w:r w:rsidR="00AB1100" w:rsidRPr="004D19FF">
        <w:rPr>
          <w:rFonts w:ascii="Times New Roman" w:hAnsi="Times New Roman" w:cs="Times New Roman"/>
          <w:sz w:val="20"/>
          <w:szCs w:val="20"/>
        </w:rPr>
        <w:t xml:space="preserve"> a slight incentive for using non-food biomass for aviation and maritime fuels</w:t>
      </w:r>
      <w:r w:rsidR="00244E5C" w:rsidRPr="004D19FF">
        <w:rPr>
          <w:rFonts w:ascii="Times New Roman" w:hAnsi="Times New Roman" w:cs="Times New Roman"/>
          <w:sz w:val="20"/>
          <w:szCs w:val="20"/>
        </w:rPr>
        <w:t xml:space="preserve"> production through a </w:t>
      </w:r>
      <w:r w:rsidR="00C120C9" w:rsidRPr="004D19FF">
        <w:rPr>
          <w:rFonts w:ascii="Times New Roman" w:hAnsi="Times New Roman" w:cs="Times New Roman"/>
          <w:sz w:val="20"/>
          <w:szCs w:val="20"/>
        </w:rPr>
        <w:t xml:space="preserve">multiplication </w:t>
      </w:r>
      <w:r w:rsidR="00AB1100" w:rsidRPr="004D19FF">
        <w:rPr>
          <w:rFonts w:ascii="Times New Roman" w:hAnsi="Times New Roman" w:cs="Times New Roman"/>
          <w:sz w:val="20"/>
          <w:szCs w:val="20"/>
        </w:rPr>
        <w:t xml:space="preserve">factor of 1.2 in </w:t>
      </w:r>
      <w:r w:rsidR="00C120C9" w:rsidRPr="004D19FF">
        <w:rPr>
          <w:rFonts w:ascii="Times New Roman" w:hAnsi="Times New Roman" w:cs="Times New Roman"/>
          <w:sz w:val="20"/>
          <w:szCs w:val="20"/>
        </w:rPr>
        <w:t xml:space="preserve">the </w:t>
      </w:r>
      <w:r w:rsidR="00B91D97" w:rsidRPr="004D19FF">
        <w:rPr>
          <w:rFonts w:ascii="Times New Roman" w:hAnsi="Times New Roman" w:cs="Times New Roman"/>
          <w:sz w:val="20"/>
          <w:szCs w:val="20"/>
        </w:rPr>
        <w:t>calculation</w:t>
      </w:r>
      <w:r w:rsidR="00C120C9" w:rsidRPr="004D19FF">
        <w:rPr>
          <w:rFonts w:ascii="Times New Roman" w:hAnsi="Times New Roman" w:cs="Times New Roman"/>
          <w:sz w:val="20"/>
          <w:szCs w:val="20"/>
        </w:rPr>
        <w:t xml:space="preserve"> of </w:t>
      </w:r>
      <w:r w:rsidR="00AB1100" w:rsidRPr="004D19FF">
        <w:rPr>
          <w:rFonts w:ascii="Times New Roman" w:hAnsi="Times New Roman" w:cs="Times New Roman"/>
          <w:sz w:val="20"/>
          <w:szCs w:val="20"/>
        </w:rPr>
        <w:t xml:space="preserve">renewable energy </w:t>
      </w:r>
      <w:r w:rsidR="002D782B" w:rsidRPr="004D19FF">
        <w:rPr>
          <w:rFonts w:ascii="Times New Roman" w:hAnsi="Times New Roman" w:cs="Times New Roman"/>
          <w:sz w:val="20"/>
          <w:szCs w:val="20"/>
        </w:rPr>
        <w:t>not stemmed from feedstock intended for food and feed consumption</w:t>
      </w:r>
      <w:r w:rsidR="00AB1100" w:rsidRPr="004D19FF">
        <w:rPr>
          <w:rFonts w:ascii="Times New Roman" w:hAnsi="Times New Roman" w:cs="Times New Roman"/>
          <w:sz w:val="20"/>
          <w:szCs w:val="20"/>
        </w:rPr>
        <w:t xml:space="preserve">. Exactly as the original RED, </w:t>
      </w:r>
      <w:r w:rsidR="00B91D97" w:rsidRPr="004D19FF">
        <w:rPr>
          <w:rFonts w:ascii="Times New Roman" w:hAnsi="Times New Roman" w:cs="Times New Roman"/>
          <w:sz w:val="20"/>
          <w:szCs w:val="20"/>
        </w:rPr>
        <w:t>RED-II</w:t>
      </w:r>
      <w:r w:rsidR="00AB1100" w:rsidRPr="004D19FF">
        <w:rPr>
          <w:rFonts w:ascii="Times New Roman" w:hAnsi="Times New Roman" w:cs="Times New Roman"/>
          <w:sz w:val="20"/>
          <w:szCs w:val="20"/>
        </w:rPr>
        <w:t xml:space="preserve"> only partly accounts the aviation sector in the calculation of the final energy consumption</w:t>
      </w:r>
      <w:r w:rsidR="00B91D97" w:rsidRPr="004D19FF">
        <w:rPr>
          <w:rFonts w:ascii="Times New Roman" w:hAnsi="Times New Roman" w:cs="Times New Roman"/>
          <w:sz w:val="20"/>
          <w:szCs w:val="20"/>
        </w:rPr>
        <w:t xml:space="preserve"> </w:t>
      </w:r>
      <w:r w:rsidR="00226ECB"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FXiOBTzw","properties":{"formattedCitation":"[254]","plainCitation":"[254]","noteIndex":0},"citationItems":[{"id":"968HXJ10/xbEzC1Al","uris":["http://www.mendeley.com/documents/?uuid=433b9649-1efe-42f5-8485-b931f3881960"],"uri":["http://www.mendeley.com/documents/?uuid=433b9649-1efe-42f5-8485-b931f3881960"],"itemData":{"author":[{"dropping-particle":"","family":"European Union.","given":"","non-dropping-particle":"","parse-names":false,"suffix":""}],"container-title":"Official Journal of the European Union","id":"ITEM-1","issue":"April 2009","issued":{"date-parts":[["2018"]]},"page":"1-128","title":"Directive (EU) 2018/2001 of the European Parliament and of the Council on the promotion of the use of energy from renewable sources","type":"article-journal","volume":"2018"}}],"schema":"https://github.com/citation-style-language/schema/raw/master/csl-citation.json"} </w:instrText>
      </w:r>
      <w:r w:rsidR="00226ECB"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[254]</w:t>
      </w:r>
      <w:r w:rsidR="00226ECB" w:rsidRPr="004D19FF">
        <w:rPr>
          <w:rFonts w:ascii="Times New Roman" w:hAnsi="Times New Roman" w:cs="Times New Roman"/>
          <w:sz w:val="20"/>
          <w:szCs w:val="20"/>
        </w:rPr>
        <w:fldChar w:fldCharType="end"/>
      </w:r>
      <w:r w:rsidR="00963D9D" w:rsidRPr="004D19FF">
        <w:rPr>
          <w:rFonts w:ascii="Times New Roman" w:hAnsi="Times New Roman" w:cs="Times New Roman"/>
          <w:sz w:val="20"/>
          <w:szCs w:val="20"/>
        </w:rPr>
        <w:t xml:space="preserve">. </w:t>
      </w:r>
    </w:p>
    <w:p w14:paraId="3326E0D0" w14:textId="77777777" w:rsidR="00233BF3" w:rsidRPr="004D19FF" w:rsidRDefault="0055183C" w:rsidP="00BC4779">
      <w:pPr>
        <w:spacing w:after="120" w:line="276" w:lineRule="auto"/>
        <w:jc w:val="both"/>
        <w:rPr>
          <w:rFonts w:ascii="Times New Roman" w:hAnsi="Times New Roman" w:cs="Times New Roman"/>
          <w:i/>
          <w:sz w:val="20"/>
          <w:szCs w:val="20"/>
        </w:rPr>
      </w:pPr>
      <w:r w:rsidRPr="004D19FF">
        <w:rPr>
          <w:rFonts w:ascii="Times New Roman" w:hAnsi="Times New Roman" w:cs="Times New Roman"/>
          <w:i/>
          <w:sz w:val="20"/>
          <w:szCs w:val="20"/>
        </w:rPr>
        <w:t>6</w:t>
      </w:r>
      <w:r w:rsidR="00233BF3" w:rsidRPr="004D19FF">
        <w:rPr>
          <w:rFonts w:ascii="Times New Roman" w:hAnsi="Times New Roman" w:cs="Times New Roman"/>
          <w:i/>
          <w:sz w:val="20"/>
          <w:szCs w:val="20"/>
        </w:rPr>
        <w:t>.2 The EU Emission Trading System (EU ETS)</w:t>
      </w:r>
    </w:p>
    <w:p w14:paraId="758B5EE1" w14:textId="5ED58B8E" w:rsidR="0017677F" w:rsidRPr="004D19FF" w:rsidRDefault="00387FDE" w:rsidP="00BC4779">
      <w:pPr>
        <w:spacing w:after="120" w:line="276" w:lineRule="auto"/>
        <w:jc w:val="both"/>
        <w:rPr>
          <w:rFonts w:ascii="Times New Roman" w:hAnsi="Times New Roman" w:cs="Times New Roman"/>
          <w:sz w:val="20"/>
          <w:szCs w:val="20"/>
        </w:rPr>
      </w:pPr>
      <w:r w:rsidRPr="004D19FF">
        <w:rPr>
          <w:rFonts w:ascii="Times New Roman" w:hAnsi="Times New Roman" w:cs="Times New Roman"/>
          <w:sz w:val="20"/>
          <w:szCs w:val="20"/>
        </w:rPr>
        <w:t>The</w:t>
      </w:r>
      <w:r w:rsidR="00C64BDC" w:rsidRPr="004D19FF">
        <w:rPr>
          <w:rFonts w:ascii="Times New Roman" w:hAnsi="Times New Roman" w:cs="Times New Roman"/>
          <w:sz w:val="20"/>
          <w:szCs w:val="20"/>
        </w:rPr>
        <w:t xml:space="preserve"> EU ETS is one of the EU’s polic</w:t>
      </w:r>
      <w:r w:rsidRPr="004D19FF">
        <w:rPr>
          <w:rFonts w:ascii="Times New Roman" w:hAnsi="Times New Roman" w:cs="Times New Roman"/>
          <w:sz w:val="20"/>
          <w:szCs w:val="20"/>
        </w:rPr>
        <w:t xml:space="preserve">y </w:t>
      </w:r>
      <w:r w:rsidR="0017677F" w:rsidRPr="004D19FF">
        <w:rPr>
          <w:rFonts w:ascii="Times New Roman" w:hAnsi="Times New Roman" w:cs="Times New Roman"/>
          <w:sz w:val="20"/>
          <w:szCs w:val="20"/>
        </w:rPr>
        <w:t xml:space="preserve">instrument </w:t>
      </w:r>
      <w:r w:rsidRPr="004D19FF">
        <w:rPr>
          <w:rFonts w:ascii="Times New Roman" w:hAnsi="Times New Roman" w:cs="Times New Roman"/>
          <w:sz w:val="20"/>
          <w:szCs w:val="20"/>
        </w:rPr>
        <w:t xml:space="preserve">to mitigate climate change </w:t>
      </w:r>
      <w:r w:rsidR="00CB15AC"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lz0Znkhb","properties":{"formattedCitation":"[255]","plainCitation":"[255]","noteIndex":0},"citationItems":[{"id":"968HXJ10/D7JvwzwL","uris":["http://www.mendeley.com/documents/?uuid=d2a1cba3-749b-4340-96cd-5f99eb93ea15"],"uri":["http://www.mendeley.com/documents/?uuid=d2a1cba3-749b-4340-96cd-5f99eb93ea15"],"itemData":{"DOI":"ISSN 1725-2555","ISBN":"9788578110796","ISSN":"1098-6596","PMID":"25246403","abstract":"In the airline industry the longstanding importance of 'duty to serve' with respect to smaller communities is evinced by the continuation of several support programmes around the world. However, communities with existing air service increasingly view air links on other routes as a desirable commodity - especially as a means to facilitate regional and local economic growth. In this paper, various schemes to attract air service in smaller markets are examined; specifically direct subsidies, protected route packages, and guaranteed revenue approaches including the airline travel bank. Relative orders of magnitude for the direct social costs are derived using a small network simulation model and each mechanism is evaluated in terms of social welfare and underlying agency costs.","author":[{"dropping-particle":"","family":"European Parliament","given":"","non-dropping-particle":"","parse-names":false,"suffix":""}],"container-title":"Official Journal of the European Union","id":"ITEM-1","issue":"8/3","issued":{"date-parts":[["2008"]]},"page":"3-21","title":"Directive 2008/101/EC of the European Parliament and of the Council of 19 November 2008 amending Directive 2003 87 EC so as to include aviation activities in the scheme for greenhouse gas emission allowance trading within the Community","type":"article-journal","volume":"L"}}],"schema":"https://github.com/citation-style-language/schema/raw/master/csl-citation.json"} </w:instrText>
      </w:r>
      <w:r w:rsidR="00CB15AC"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[255]</w:t>
      </w:r>
      <w:r w:rsidR="00CB15AC" w:rsidRPr="004D19FF">
        <w:rPr>
          <w:rFonts w:ascii="Times New Roman" w:hAnsi="Times New Roman" w:cs="Times New Roman"/>
          <w:sz w:val="20"/>
          <w:szCs w:val="20"/>
        </w:rPr>
        <w:fldChar w:fldCharType="end"/>
      </w:r>
      <w:r w:rsidRPr="004D19FF">
        <w:rPr>
          <w:rFonts w:ascii="Times New Roman" w:hAnsi="Times New Roman" w:cs="Times New Roman"/>
          <w:sz w:val="20"/>
          <w:szCs w:val="20"/>
        </w:rPr>
        <w:t>. I</w:t>
      </w:r>
      <w:r w:rsidR="002C58C4" w:rsidRPr="004D19FF">
        <w:rPr>
          <w:rFonts w:ascii="Times New Roman" w:hAnsi="Times New Roman" w:cs="Times New Roman"/>
          <w:sz w:val="20"/>
          <w:szCs w:val="20"/>
        </w:rPr>
        <w:t>t is</w:t>
      </w:r>
      <w:r w:rsidR="00233BF3" w:rsidRPr="004D19FF">
        <w:rPr>
          <w:rFonts w:ascii="Times New Roman" w:hAnsi="Times New Roman" w:cs="Times New Roman"/>
          <w:sz w:val="20"/>
          <w:szCs w:val="20"/>
        </w:rPr>
        <w:t xml:space="preserve"> a </w:t>
      </w:r>
      <w:r w:rsidR="00540940" w:rsidRPr="004D19FF">
        <w:rPr>
          <w:rFonts w:ascii="Times New Roman" w:hAnsi="Times New Roman" w:cs="Times New Roman"/>
          <w:sz w:val="20"/>
          <w:szCs w:val="20"/>
        </w:rPr>
        <w:t xml:space="preserve">mandatory </w:t>
      </w:r>
      <w:r w:rsidR="00233BF3" w:rsidRPr="004D19FF">
        <w:rPr>
          <w:rFonts w:ascii="Times New Roman" w:hAnsi="Times New Roman" w:cs="Times New Roman"/>
          <w:sz w:val="20"/>
          <w:szCs w:val="20"/>
        </w:rPr>
        <w:t>cap-and-trade system</w:t>
      </w:r>
      <w:r w:rsidR="00307BB5" w:rsidRPr="004D19FF">
        <w:rPr>
          <w:rFonts w:ascii="Times New Roman" w:hAnsi="Times New Roman" w:cs="Times New Roman"/>
          <w:sz w:val="20"/>
          <w:szCs w:val="20"/>
        </w:rPr>
        <w:t xml:space="preserve"> and covers</w:t>
      </w:r>
      <w:r w:rsidR="00233BF3" w:rsidRPr="004D19FF">
        <w:rPr>
          <w:rFonts w:ascii="Times New Roman" w:hAnsi="Times New Roman" w:cs="Times New Roman"/>
          <w:sz w:val="20"/>
          <w:szCs w:val="20"/>
        </w:rPr>
        <w:t xml:space="preserve"> approximately 40% of total EU GHG emiss</w:t>
      </w:r>
      <w:r w:rsidR="00307BB5" w:rsidRPr="004D19FF">
        <w:rPr>
          <w:rFonts w:ascii="Times New Roman" w:hAnsi="Times New Roman" w:cs="Times New Roman"/>
          <w:sz w:val="20"/>
          <w:szCs w:val="20"/>
        </w:rPr>
        <w:t xml:space="preserve">ions from industrial activities, including the </w:t>
      </w:r>
      <w:r w:rsidR="00355FCB" w:rsidRPr="004D19FF">
        <w:rPr>
          <w:rFonts w:ascii="Times New Roman" w:hAnsi="Times New Roman" w:cs="Times New Roman"/>
          <w:sz w:val="20"/>
          <w:szCs w:val="20"/>
        </w:rPr>
        <w:t>aviation sector</w:t>
      </w:r>
      <w:r w:rsidR="00233BF3" w:rsidRPr="004D19FF">
        <w:rPr>
          <w:rFonts w:ascii="Times New Roman" w:hAnsi="Times New Roman" w:cs="Times New Roman"/>
          <w:sz w:val="20"/>
          <w:szCs w:val="20"/>
        </w:rPr>
        <w:t xml:space="preserve">. </w:t>
      </w:r>
      <w:r w:rsidR="00644A3D" w:rsidRPr="004D19FF">
        <w:rPr>
          <w:rFonts w:ascii="Times New Roman" w:hAnsi="Times New Roman" w:cs="Times New Roman"/>
          <w:sz w:val="20"/>
          <w:szCs w:val="20"/>
        </w:rPr>
        <w:t xml:space="preserve">The EU ETS </w:t>
      </w:r>
      <w:r w:rsidR="0017677F" w:rsidRPr="004D19FF">
        <w:rPr>
          <w:rFonts w:ascii="Times New Roman" w:hAnsi="Times New Roman" w:cs="Times New Roman"/>
          <w:sz w:val="20"/>
          <w:szCs w:val="20"/>
        </w:rPr>
        <w:t>aims at</w:t>
      </w:r>
      <w:r w:rsidR="00644A3D" w:rsidRPr="004D19FF">
        <w:rPr>
          <w:rFonts w:ascii="Times New Roman" w:hAnsi="Times New Roman" w:cs="Times New Roman"/>
          <w:sz w:val="20"/>
          <w:szCs w:val="20"/>
        </w:rPr>
        <w:t xml:space="preserve"> </w:t>
      </w:r>
      <w:r w:rsidR="00C64BDC" w:rsidRPr="004D19FF">
        <w:rPr>
          <w:rFonts w:ascii="Times New Roman" w:hAnsi="Times New Roman" w:cs="Times New Roman"/>
          <w:sz w:val="20"/>
          <w:szCs w:val="20"/>
        </w:rPr>
        <w:t xml:space="preserve">achieving </w:t>
      </w:r>
      <w:r w:rsidR="00355FCB" w:rsidRPr="004D19FF">
        <w:rPr>
          <w:rFonts w:ascii="Times New Roman" w:hAnsi="Times New Roman" w:cs="Times New Roman"/>
          <w:sz w:val="20"/>
          <w:szCs w:val="20"/>
        </w:rPr>
        <w:t xml:space="preserve">economy-wide emission reduction targets </w:t>
      </w:r>
      <w:r w:rsidR="0017677F" w:rsidRPr="004D19FF">
        <w:rPr>
          <w:rFonts w:ascii="Times New Roman" w:hAnsi="Times New Roman" w:cs="Times New Roman"/>
          <w:sz w:val="20"/>
          <w:szCs w:val="20"/>
        </w:rPr>
        <w:t>through tradable allowances putting a price on carbon emissions</w:t>
      </w:r>
      <w:r w:rsidR="00355FCB" w:rsidRPr="004D19FF">
        <w:rPr>
          <w:rFonts w:ascii="Times New Roman" w:hAnsi="Times New Roman" w:cs="Times New Roman"/>
          <w:sz w:val="20"/>
          <w:szCs w:val="20"/>
        </w:rPr>
        <w:t xml:space="preserve">. This system </w:t>
      </w:r>
      <w:r w:rsidR="0017677F" w:rsidRPr="004D19FF">
        <w:rPr>
          <w:rFonts w:ascii="Times New Roman" w:hAnsi="Times New Roman" w:cs="Times New Roman"/>
          <w:sz w:val="20"/>
          <w:szCs w:val="20"/>
        </w:rPr>
        <w:t xml:space="preserve">counts </w:t>
      </w:r>
      <w:r w:rsidR="00AF2E43" w:rsidRPr="004D19FF">
        <w:rPr>
          <w:rFonts w:ascii="Times New Roman" w:hAnsi="Times New Roman" w:cs="Times New Roman"/>
          <w:sz w:val="20"/>
          <w:szCs w:val="20"/>
        </w:rPr>
        <w:t>biofuels/electrofuel</w:t>
      </w:r>
      <w:r w:rsidR="0017677F" w:rsidRPr="004D19FF">
        <w:rPr>
          <w:rFonts w:ascii="Times New Roman" w:hAnsi="Times New Roman" w:cs="Times New Roman"/>
          <w:sz w:val="20"/>
          <w:szCs w:val="20"/>
        </w:rPr>
        <w:t xml:space="preserve"> (to the extent it complies with the sustainability criteria defined in the RED) as having zero emissions, making it easier for aircraft operators </w:t>
      </w:r>
      <w:r w:rsidR="00AF2E43" w:rsidRPr="004D19FF">
        <w:rPr>
          <w:rFonts w:ascii="Times New Roman" w:hAnsi="Times New Roman" w:cs="Times New Roman"/>
          <w:sz w:val="20"/>
          <w:szCs w:val="20"/>
        </w:rPr>
        <w:t>to not</w:t>
      </w:r>
      <w:r w:rsidR="0017677F" w:rsidRPr="004D19FF">
        <w:rPr>
          <w:rFonts w:ascii="Times New Roman" w:hAnsi="Times New Roman" w:cs="Times New Roman"/>
          <w:sz w:val="20"/>
          <w:szCs w:val="20"/>
        </w:rPr>
        <w:t xml:space="preserve"> overpass their cap. Aircraft operators ETS emissions continuously rose and were 27% higher in 2019 compared to 2013</w:t>
      </w:r>
      <w:r w:rsidR="00233BF3" w:rsidRPr="004D19FF">
        <w:rPr>
          <w:rFonts w:ascii="Times New Roman" w:hAnsi="Times New Roman" w:cs="Times New Roman"/>
          <w:sz w:val="20"/>
          <w:szCs w:val="20"/>
        </w:rPr>
        <w:t xml:space="preserve"> due to the increasing demands in air transportation </w:t>
      </w:r>
      <w:r w:rsidR="00743CE1"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Fp6VQwxt","properties":{"formattedCitation":"[256]","plainCitation":"[256]","noteIndex":0},"citationItems":[{"id":"968HXJ10/5ElqrpXL","uris":["http://www.mendeley.com/documents/?uuid=72d8ef9b-cbc8-384f-8cf7-56eb192dd310"],"uri":["http://www.mendeley.com/documents/?uuid=72d8ef9b-cbc8-384f-8cf7-56eb192dd310"],"itemData":{"id":"ITEM-1","issued":{"date-parts":[["0"]]},"title":"State of the aviation ETS _ Transport &amp; Environment","type":"article-journal"}}],"schema":"https://github.com/citation-style-language/schema/raw/master/csl-citation.json"} </w:instrText>
      </w:r>
      <w:r w:rsidR="00743CE1"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[256]</w:t>
      </w:r>
      <w:r w:rsidR="00743CE1" w:rsidRPr="004D19FF">
        <w:rPr>
          <w:rFonts w:ascii="Times New Roman" w:hAnsi="Times New Roman" w:cs="Times New Roman"/>
          <w:sz w:val="20"/>
          <w:szCs w:val="20"/>
        </w:rPr>
        <w:fldChar w:fldCharType="end"/>
      </w:r>
      <w:r w:rsidR="00173180" w:rsidRPr="004D19FF">
        <w:rPr>
          <w:rFonts w:ascii="Times New Roman" w:hAnsi="Times New Roman" w:cs="Times New Roman"/>
          <w:sz w:val="20"/>
        </w:rPr>
        <w:t xml:space="preserve">. </w:t>
      </w:r>
      <w:r w:rsidR="002F285E" w:rsidRPr="004D19FF">
        <w:rPr>
          <w:rFonts w:ascii="Times New Roman" w:hAnsi="Times New Roman" w:cs="Times New Roman"/>
          <w:sz w:val="20"/>
        </w:rPr>
        <w:t>Since passenger flights were accounted for 85% of commercial aviation CO</w:t>
      </w:r>
      <w:r w:rsidR="002F285E" w:rsidRPr="004D19FF">
        <w:rPr>
          <w:rFonts w:ascii="Times New Roman" w:hAnsi="Times New Roman" w:cs="Times New Roman"/>
          <w:sz w:val="20"/>
          <w:vertAlign w:val="subscript"/>
        </w:rPr>
        <w:t xml:space="preserve">2 </w:t>
      </w:r>
      <w:r w:rsidR="002F285E" w:rsidRPr="004D19FF">
        <w:rPr>
          <w:rFonts w:ascii="Times New Roman" w:hAnsi="Times New Roman" w:cs="Times New Roman"/>
          <w:sz w:val="20"/>
        </w:rPr>
        <w:t>emissions</w:t>
      </w:r>
      <w:r w:rsidR="000D71D6" w:rsidRPr="004D19FF">
        <w:rPr>
          <w:rFonts w:ascii="Times New Roman" w:hAnsi="Times New Roman" w:cs="Times New Roman"/>
          <w:sz w:val="20"/>
        </w:rPr>
        <w:t xml:space="preserve"> </w:t>
      </w:r>
      <w:r w:rsidR="00364E74" w:rsidRPr="004D19FF">
        <w:rPr>
          <w:rFonts w:ascii="Times New Roman" w:hAnsi="Times New Roman" w:cs="Times New Roman"/>
          <w:sz w:val="20"/>
        </w:rPr>
        <w:t xml:space="preserve">in 2019 </w:t>
      </w:r>
      <w:r w:rsidR="00ED15FD" w:rsidRPr="004D19FF">
        <w:rPr>
          <w:rFonts w:ascii="Times New Roman" w:hAnsi="Times New Roman" w:cs="Times New Roman"/>
          <w:sz w:val="20"/>
        </w:rPr>
        <w:fldChar w:fldCharType="begin" w:fldLock="1"/>
      </w:r>
      <w:r w:rsidR="00752A1E">
        <w:rPr>
          <w:rFonts w:ascii="Times New Roman" w:hAnsi="Times New Roman" w:cs="Times New Roman"/>
          <w:sz w:val="20"/>
        </w:rPr>
        <w:instrText xml:space="preserve"> ADDIN ZOTERO_ITEM CSL_CITATION {"citationID":"WF1p9QdB","properties":{"formattedCitation":"[257]","plainCitation":"[257]","noteIndex":0},"citationItems":[{"id":"968HXJ10/cxxFX5UV","uris":["http://www.mendeley.com/documents/?uuid=ee293962-1406-4c91-af3a-1f88bedf1c56"],"uri":["http://www.mendeley.com/documents/?uuid=ee293962-1406-4c91-af3a-1f88bedf1c56"],"itemData":{"author":[{"dropping-particle":"","family":"Graver","given":"Brandon","non-dropping-particle":"","parse-names":false,"suffix":""},{"dropping-particle":"","family":"Rutherford","given":"D A N","non-dropping-particle":"","parse-names":false,"suffix":""},{"dropping-particle":"","family":"Zheng","given":"Sola","non-dropping-particle":"","parse-names":false,"suffix":""}],"id":"ITEM-1","issue":"October","issued":{"date-parts":[["2020"]]},"title":"CO 2 EMISSIONS FROM COMMERCIAL AVIATION","type":"article-journal"}}],"schema":"https://github.com/citation-style-language/schema/raw/master/csl-citation.json"} </w:instrText>
      </w:r>
      <w:r w:rsidR="00ED15FD" w:rsidRPr="004D19FF">
        <w:rPr>
          <w:rFonts w:ascii="Times New Roman" w:hAnsi="Times New Roman" w:cs="Times New Roman"/>
          <w:sz w:val="20"/>
        </w:rPr>
        <w:fldChar w:fldCharType="separate"/>
      </w:r>
      <w:r w:rsidR="00196B5E" w:rsidRPr="00196B5E">
        <w:rPr>
          <w:rFonts w:ascii="Times New Roman" w:hAnsi="Times New Roman" w:cs="Times New Roman"/>
          <w:sz w:val="20"/>
        </w:rPr>
        <w:t>[257]</w:t>
      </w:r>
      <w:r w:rsidR="00ED15FD" w:rsidRPr="004D19FF">
        <w:rPr>
          <w:rFonts w:ascii="Times New Roman" w:hAnsi="Times New Roman" w:cs="Times New Roman"/>
          <w:sz w:val="20"/>
        </w:rPr>
        <w:fldChar w:fldCharType="end"/>
      </w:r>
      <w:r w:rsidR="002F285E" w:rsidRPr="004D19FF">
        <w:rPr>
          <w:rFonts w:ascii="Times New Roman" w:hAnsi="Times New Roman" w:cs="Times New Roman"/>
          <w:sz w:val="20"/>
        </w:rPr>
        <w:t xml:space="preserve">. This is </w:t>
      </w:r>
      <w:r w:rsidR="00211655" w:rsidRPr="004D19FF">
        <w:rPr>
          <w:rFonts w:ascii="Times New Roman" w:hAnsi="Times New Roman" w:cs="Times New Roman"/>
          <w:sz w:val="20"/>
        </w:rPr>
        <w:t xml:space="preserve">therefore </w:t>
      </w:r>
      <w:r w:rsidR="002F285E" w:rsidRPr="004D19FF">
        <w:rPr>
          <w:rFonts w:ascii="Times New Roman" w:hAnsi="Times New Roman" w:cs="Times New Roman"/>
          <w:sz w:val="20"/>
        </w:rPr>
        <w:t xml:space="preserve">expected to be decreased as the COVID-19 crisis corresponding with </w:t>
      </w:r>
      <w:r w:rsidR="00CF20B2" w:rsidRPr="004D19FF">
        <w:rPr>
          <w:rFonts w:ascii="Times New Roman" w:hAnsi="Times New Roman" w:cs="Times New Roman"/>
          <w:sz w:val="20"/>
        </w:rPr>
        <w:t xml:space="preserve">approximately </w:t>
      </w:r>
      <w:r w:rsidR="005451CF" w:rsidRPr="004D19FF">
        <w:rPr>
          <w:rFonts w:ascii="Times New Roman" w:hAnsi="Times New Roman" w:cs="Times New Roman"/>
          <w:sz w:val="20"/>
        </w:rPr>
        <w:t xml:space="preserve">declined </w:t>
      </w:r>
      <w:r w:rsidR="00EA32DF" w:rsidRPr="004D19FF">
        <w:rPr>
          <w:rFonts w:ascii="Times New Roman" w:hAnsi="Times New Roman" w:cs="Times New Roman"/>
          <w:sz w:val="20"/>
        </w:rPr>
        <w:t>21.8</w:t>
      </w:r>
      <w:r w:rsidR="00CF20B2" w:rsidRPr="004D19FF">
        <w:rPr>
          <w:rFonts w:ascii="Times New Roman" w:hAnsi="Times New Roman" w:cs="Times New Roman"/>
          <w:sz w:val="20"/>
        </w:rPr>
        <w:t xml:space="preserve">% year-on-year change in </w:t>
      </w:r>
      <w:r w:rsidR="005E0CA1" w:rsidRPr="004D19FF">
        <w:rPr>
          <w:rFonts w:ascii="Times New Roman" w:hAnsi="Times New Roman" w:cs="Times New Roman"/>
          <w:sz w:val="20"/>
        </w:rPr>
        <w:t xml:space="preserve">passenger </w:t>
      </w:r>
      <w:r w:rsidR="00CF20B2" w:rsidRPr="004D19FF">
        <w:rPr>
          <w:rFonts w:ascii="Times New Roman" w:hAnsi="Times New Roman" w:cs="Times New Roman"/>
          <w:sz w:val="20"/>
        </w:rPr>
        <w:t xml:space="preserve">load factor </w:t>
      </w:r>
      <w:r w:rsidR="00642168" w:rsidRPr="004D19FF">
        <w:rPr>
          <w:rFonts w:ascii="Times New Roman" w:hAnsi="Times New Roman" w:cs="Times New Roman"/>
          <w:sz w:val="20"/>
        </w:rPr>
        <w:t>f</w:t>
      </w:r>
      <w:r w:rsidR="00EA32DF" w:rsidRPr="004D19FF">
        <w:rPr>
          <w:rFonts w:ascii="Times New Roman" w:hAnsi="Times New Roman" w:cs="Times New Roman"/>
          <w:sz w:val="20"/>
        </w:rPr>
        <w:t>or the month of September</w:t>
      </w:r>
      <w:r w:rsidR="00D844FD" w:rsidRPr="004D19FF">
        <w:rPr>
          <w:rFonts w:ascii="Times New Roman" w:hAnsi="Times New Roman" w:cs="Times New Roman"/>
          <w:sz w:val="20"/>
        </w:rPr>
        <w:t xml:space="preserve"> 2019 level</w:t>
      </w:r>
      <w:r w:rsidR="009D2D00">
        <w:rPr>
          <w:rFonts w:ascii="Times New Roman" w:hAnsi="Times New Roman" w:cs="Times New Roman"/>
          <w:sz w:val="20"/>
        </w:rPr>
        <w:t xml:space="preserve"> </w:t>
      </w:r>
      <w:r w:rsidR="009D2D00">
        <w:rPr>
          <w:rFonts w:ascii="Times New Roman" w:hAnsi="Times New Roman" w:cs="Times New Roman"/>
          <w:sz w:val="20"/>
        </w:rPr>
        <w:fldChar w:fldCharType="begin" w:fldLock="1"/>
      </w:r>
      <w:r w:rsidR="00752A1E">
        <w:rPr>
          <w:rFonts w:ascii="Times New Roman" w:hAnsi="Times New Roman" w:cs="Times New Roman"/>
          <w:sz w:val="20"/>
        </w:rPr>
        <w:instrText xml:space="preserve"> ADDIN ZOTERO_ITEM CSL_CITATION {"citationID":"oYbVUxTo","properties":{"formattedCitation":"[258]","plainCitation":"[258]","noteIndex":0},"citationItems":[{"id":"968HXJ10/kKptBWCM","uris":["http://www.mendeley.com/documents/?uuid=b66cbcd7-cda6-4748-a3f5-a20292b2e36f"],"uri":["http://www.mendeley.com/documents/?uuid=b66cbcd7-cda6-4748-a3f5-a20292b2e36f"],"itemData":{"author":[{"dropping-particle":"","family":"IATA","given":"","non-dropping-particle":"","parse-names":false,"suffix":""}],"container-title":"IATA Economics","id":"ITEM-1","issue":"September","issued":{"date-parts":[["2020"]]},"page":"1-4","title":"Air Passenger Demand Analysis- September 2020","type":"article-journal"}}],"schema":"https://github.com/citation-style-language/schema/raw/master/csl-citation.json"} </w:instrText>
      </w:r>
      <w:r w:rsidR="009D2D00">
        <w:rPr>
          <w:rFonts w:ascii="Times New Roman" w:hAnsi="Times New Roman" w:cs="Times New Roman"/>
          <w:sz w:val="20"/>
        </w:rPr>
        <w:fldChar w:fldCharType="separate"/>
      </w:r>
      <w:r w:rsidR="00196B5E" w:rsidRPr="00196B5E">
        <w:rPr>
          <w:rFonts w:ascii="Times New Roman" w:hAnsi="Times New Roman" w:cs="Times New Roman"/>
          <w:sz w:val="20"/>
        </w:rPr>
        <w:t>[258]</w:t>
      </w:r>
      <w:r w:rsidR="009D2D00">
        <w:rPr>
          <w:rFonts w:ascii="Times New Roman" w:hAnsi="Times New Roman" w:cs="Times New Roman"/>
          <w:sz w:val="20"/>
        </w:rPr>
        <w:fldChar w:fldCharType="end"/>
      </w:r>
      <w:r w:rsidR="002F285E" w:rsidRPr="004D19FF">
        <w:rPr>
          <w:rFonts w:ascii="Times New Roman" w:hAnsi="Times New Roman" w:cs="Times New Roman"/>
          <w:sz w:val="20"/>
        </w:rPr>
        <w:t xml:space="preserve">. </w:t>
      </w:r>
      <w:r w:rsidR="0017677F" w:rsidRPr="004D19FF">
        <w:rPr>
          <w:rFonts w:ascii="Times New Roman" w:hAnsi="Times New Roman" w:cs="Times New Roman"/>
          <w:sz w:val="20"/>
          <w:szCs w:val="20"/>
        </w:rPr>
        <w:t xml:space="preserve">Overall, emissions allowances to airline operators covered by the EU ETS are distributed as follows: 85% are granted as free allowances allocated on the basis of airline efficiency in transporting passengers and cargo while 15% are auctioned, for a price of ca. </w:t>
      </w:r>
      <w:r w:rsidR="00036DA0" w:rsidRPr="004D19FF">
        <w:rPr>
          <w:rFonts w:ascii="Times New Roman" w:hAnsi="Times New Roman" w:cs="Times New Roman"/>
          <w:sz w:val="20"/>
          <w:szCs w:val="20"/>
        </w:rPr>
        <w:t>€25 for one tonne of CO</w:t>
      </w:r>
      <w:r w:rsidR="00036DA0" w:rsidRPr="004D19FF">
        <w:rPr>
          <w:rFonts w:ascii="Times New Roman" w:hAnsi="Times New Roman" w:cs="Times New Roman"/>
          <w:sz w:val="20"/>
          <w:szCs w:val="20"/>
          <w:vertAlign w:val="subscript"/>
        </w:rPr>
        <w:t>2</w:t>
      </w:r>
      <w:r w:rsidR="0017677F" w:rsidRPr="004D19FF">
        <w:rPr>
          <w:rFonts w:ascii="Times New Roman" w:hAnsi="Times New Roman" w:cs="Times New Roman"/>
          <w:sz w:val="20"/>
          <w:szCs w:val="20"/>
        </w:rPr>
        <w:t xml:space="preserve"> at the end of 2019</w:t>
      </w:r>
      <w:r w:rsidR="00036DA0" w:rsidRPr="004D19FF">
        <w:rPr>
          <w:rFonts w:ascii="Times New Roman" w:hAnsi="Times New Roman" w:cs="Times New Roman"/>
          <w:sz w:val="20"/>
          <w:szCs w:val="20"/>
        </w:rPr>
        <w:t xml:space="preserve"> </w:t>
      </w:r>
      <w:r w:rsidR="00707C66"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6syqj9lo","properties":{"formattedCitation":"[259]","plainCitation":"[259]","noteIndex":0},"citationItems":[{"id":"968HXJ10/rqQ4DnHu","uris":["http://www.mendeley.com/documents/?uuid=54642f32-5673-4399-aecf-8b17285028de"],"uri":["http://www.mendeley.com/documents/?uuid=54642f32-5673-4399-aecf-8b17285028de"],"itemData":{"author":[{"dropping-particle":"","family":"Ministry of Ecological and Solidarity Transition","given":"","non-dropping-particle":"","parse-names":false,"suffix":""}],"container-title":"Ministry of Ecological and Solidarity Transition","id":"ITEM-1","issue":"August","issued":{"date-parts":[["2020"]]},"number-of-pages":"1-377","title":"French strategy for energy and climate: Multi annual energy plan 2019-2023 and 2024-2028","type":"report"}}],"schema":"https://github.com/citation-style-language/schema/raw/master/csl-citation.json"} </w:instrText>
      </w:r>
      <w:r w:rsidR="00707C66"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[259]</w:t>
      </w:r>
      <w:r w:rsidR="00707C66" w:rsidRPr="004D19FF">
        <w:rPr>
          <w:rFonts w:ascii="Times New Roman" w:hAnsi="Times New Roman" w:cs="Times New Roman"/>
          <w:sz w:val="20"/>
          <w:szCs w:val="20"/>
        </w:rPr>
        <w:fldChar w:fldCharType="end"/>
      </w:r>
      <w:r w:rsidR="0017677F" w:rsidRPr="004D19FF">
        <w:rPr>
          <w:rFonts w:ascii="Times New Roman" w:hAnsi="Times New Roman" w:cs="Times New Roman"/>
          <w:sz w:val="20"/>
          <w:szCs w:val="20"/>
        </w:rPr>
        <w:t>.</w:t>
      </w:r>
      <w:r w:rsidR="0017677F" w:rsidRPr="004D19FF">
        <w:t xml:space="preserve"> </w:t>
      </w:r>
      <w:r w:rsidR="00C2435B" w:rsidRPr="004D19FF">
        <w:rPr>
          <w:rFonts w:ascii="Times New Roman" w:hAnsi="Times New Roman" w:cs="Times New Roman"/>
          <w:sz w:val="20"/>
        </w:rPr>
        <w:t xml:space="preserve">The flights operated within the European Economic Area (EEA) as intra-EU flights (arriving at and departing from the EU airports) are presently accounted in the EU ETS, while flights to and from non-EEA countries are exempted until the end of 2023 </w:t>
      </w:r>
      <w:r w:rsidR="00C2435B"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XGNSdN8s","properties":{"formattedCitation":"[260]","plainCitation":"[260]","noteIndex":0},"citationItems":[{"id":"968HXJ10/s1CiEVki","uris":["http://www.mendeley.com/documents/?uuid=a88ff954-070a-4ef0-a250-f64d47722c0b"],"uri":["http://www.mendeley.com/documents/?uuid=a88ff954-070a-4ef0-a250-f64d47722c0b"],"itemData":{"DOI":"10.1016/j.jclepro.2010.02.014","ISBN":"0-7803-8590-x","ISSN":"0959-6526","PMID":"19239417","abstract":"DIRECTIVE 2003/30/EC OF THE EUROPEAN PARLIAMENT AND OF THE COUNCIL of 8 May 2003 on the promotion of the use of biofuels or other renewable fuels for transport","author":[{"dropping-particle":"","family":"European Union","given":"","non-dropping-particle":"","parse-names":false,"suffix":""}],"container-title":"Official Journal of the European Union","id":"ITEM-1","issue":"L 114/64","issued":{"date-parts":[["2017"]]},"page":"12-25","title":"Regulation (EU) 2017/2392 of the European Parliment and of the Council","type":"article-journal","volume":"2017"}}],"schema":"https://github.com/citation-style-language/schema/raw/master/csl-citation.json"} </w:instrText>
      </w:r>
      <w:r w:rsidR="00C2435B"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[260]</w:t>
      </w:r>
      <w:r w:rsidR="00C2435B" w:rsidRPr="004D19FF">
        <w:rPr>
          <w:rFonts w:ascii="Times New Roman" w:hAnsi="Times New Roman" w:cs="Times New Roman"/>
          <w:sz w:val="20"/>
          <w:szCs w:val="20"/>
        </w:rPr>
        <w:fldChar w:fldCharType="end"/>
      </w:r>
      <w:r w:rsidR="00C2435B" w:rsidRPr="004D19FF">
        <w:rPr>
          <w:rFonts w:ascii="Times New Roman" w:hAnsi="Times New Roman" w:cs="Times New Roman"/>
          <w:sz w:val="20"/>
          <w:szCs w:val="20"/>
        </w:rPr>
        <w:t>. The aviation cap for these free allowances is annually limited by 97% of emissions in the reference year 2012 and restricted to 95% for 2013-2020. For CO</w:t>
      </w:r>
      <w:r w:rsidR="00C2435B" w:rsidRPr="004D19FF">
        <w:rPr>
          <w:rFonts w:ascii="Times New Roman" w:hAnsi="Times New Roman" w:cs="Times New Roman"/>
          <w:sz w:val="20"/>
          <w:szCs w:val="20"/>
          <w:vertAlign w:val="subscript"/>
        </w:rPr>
        <w:t>2</w:t>
      </w:r>
      <w:r w:rsidR="00C2435B" w:rsidRPr="004D19FF">
        <w:rPr>
          <w:rFonts w:ascii="Times New Roman" w:hAnsi="Times New Roman" w:cs="Times New Roman"/>
          <w:sz w:val="20"/>
          <w:szCs w:val="20"/>
        </w:rPr>
        <w:t xml:space="preserve"> emissions exceeding the cap, the aircraft operators have to purchase EU emission unit </w:t>
      </w:r>
      <w:r w:rsidR="00C2435B" w:rsidRPr="004D19FF">
        <w:rPr>
          <w:rFonts w:ascii="Times New Roman" w:hAnsi="Times New Roman" w:cs="Times New Roman"/>
          <w:sz w:val="20"/>
          <w:szCs w:val="20"/>
        </w:rPr>
        <w:lastRenderedPageBreak/>
        <w:t>allowances (EUAs) at auction, or from other sectors, leading to additional costs for the airlines. CO</w:t>
      </w:r>
      <w:r w:rsidR="00C2435B" w:rsidRPr="004D19FF">
        <w:rPr>
          <w:rFonts w:ascii="Times New Roman" w:hAnsi="Times New Roman" w:cs="Times New Roman"/>
          <w:sz w:val="20"/>
          <w:szCs w:val="20"/>
          <w:vertAlign w:val="subscript"/>
        </w:rPr>
        <w:t>2</w:t>
      </w:r>
      <w:r w:rsidR="00C2435B" w:rsidRPr="004D19FF">
        <w:rPr>
          <w:rFonts w:ascii="Times New Roman" w:hAnsi="Times New Roman" w:cs="Times New Roman"/>
          <w:sz w:val="20"/>
          <w:szCs w:val="20"/>
        </w:rPr>
        <w:t xml:space="preserve"> emissions are significantly dependent upon the carried weight, namely the revenue tonne kilometer (RTK). The EU allowances are used to fund emission-saving projects in lower-income countries, such as the development of innovative renewable energy technologies or, modernization in power sector and energy system </w:t>
      </w:r>
      <w:r w:rsidR="00B76F4A"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izBxvnOq","properties":{"formattedCitation":"[253,261]","plainCitation":"[253,261]","noteIndex":0},"citationItems":[{"id":"968HXJ10/l8uIoF2i","uris":["http://www.mendeley.com/documents/?uuid=a5aa9d38-d133-3f57-a1d7-e75dad0f5a1b"],"uri":["http://www.mendeley.com/documents/?uuid=a5aa9d38-d133-3f57-a1d7-e75dad0f5a1b"],"itemData":{"URL":"https://www.reuters.com/article/us-climate-change-eu-airlines/eu-nations-aim-high-with-plan-to-tax-air-travel-idUSKCN1TL1I7","accessed":{"date-parts":[["2020","3","5"]]},"author":[{"dropping-particle":"","family":"Reuters","given":"","non-dropping-particle":"","parse-names":false,"suffix":""}],"container-title":"Sustainable business","id":"ITEM-1","issued":{"date-parts":[["2019"]]},"title":"EU nations aim high with plan to tax air travel","type":"webpage"}},{"id":"968HXJ10/IJ9p2IHh","uris":["http://www.mendeley.com/documents/?uuid=8dafbab9-dc84-405d-abb6-3916cd144ec1"],"uri":["http://www.mendeley.com/documents/?uuid=8dafbab9-dc84-405d-abb6-3916cd144ec1"],"itemData":{"DOI":"10.2822/309946","ISBN":"978-92-9210-214-2","author":[{"dropping-particle":"","family":"EEA","given":"","non-dropping-particle":"","parse-names":false,"suffix":""},{"dropping-particle":"","family":"EASA","given":"","non-dropping-particle":"","parse-names":false,"suffix":""},{"dropping-particle":"","family":"EUROCONTROL","given":"","non-dropping-particle":"","parse-names":false,"suffix":""}],"id":"ITEM-2","issued":{"date-parts":[["2019"]]},"number-of-pages":"1-109","title":"European Aviation Environmental Report 2019","type":"report"}}],"schema":"https://github.com/citation-style-language/schema/raw/master/csl-citation.json"} </w:instrText>
      </w:r>
      <w:r w:rsidR="00B76F4A"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[253,261]</w:t>
      </w:r>
      <w:r w:rsidR="00B76F4A" w:rsidRPr="004D19FF">
        <w:rPr>
          <w:rFonts w:ascii="Times New Roman" w:hAnsi="Times New Roman" w:cs="Times New Roman"/>
          <w:sz w:val="20"/>
          <w:szCs w:val="20"/>
        </w:rPr>
        <w:fldChar w:fldCharType="end"/>
      </w:r>
      <w:r w:rsidR="00C2435B" w:rsidRPr="004D19FF">
        <w:rPr>
          <w:rFonts w:ascii="Times New Roman" w:hAnsi="Times New Roman" w:cs="Times New Roman"/>
          <w:sz w:val="20"/>
          <w:szCs w:val="20"/>
        </w:rPr>
        <w:t xml:space="preserve">. </w:t>
      </w:r>
    </w:p>
    <w:p w14:paraId="7EC3DD56" w14:textId="77777777" w:rsidR="00233BF3" w:rsidRPr="004D19FF" w:rsidRDefault="0055183C" w:rsidP="00BC4779">
      <w:pPr>
        <w:spacing w:after="120" w:line="276" w:lineRule="auto"/>
        <w:jc w:val="both"/>
        <w:rPr>
          <w:rFonts w:ascii="Times New Roman" w:hAnsi="Times New Roman" w:cs="Times New Roman"/>
          <w:i/>
          <w:sz w:val="20"/>
          <w:szCs w:val="20"/>
        </w:rPr>
      </w:pPr>
      <w:r w:rsidRPr="004D19FF">
        <w:rPr>
          <w:rFonts w:ascii="Times New Roman" w:hAnsi="Times New Roman" w:cs="Times New Roman"/>
          <w:i/>
          <w:sz w:val="20"/>
          <w:szCs w:val="20"/>
        </w:rPr>
        <w:t>6</w:t>
      </w:r>
      <w:r w:rsidR="00233BF3" w:rsidRPr="004D19FF">
        <w:rPr>
          <w:rFonts w:ascii="Times New Roman" w:hAnsi="Times New Roman" w:cs="Times New Roman"/>
          <w:i/>
          <w:sz w:val="20"/>
          <w:szCs w:val="20"/>
        </w:rPr>
        <w:t>.3 The European Advanced Biofuels Flightpath Initiative</w:t>
      </w:r>
      <w:r w:rsidR="00DF49E6" w:rsidRPr="004D19FF">
        <w:rPr>
          <w:rFonts w:ascii="Times New Roman" w:hAnsi="Times New Roman" w:cs="Times New Roman"/>
          <w:i/>
          <w:sz w:val="20"/>
          <w:szCs w:val="20"/>
        </w:rPr>
        <w:t xml:space="preserve"> (EABFI)</w:t>
      </w:r>
    </w:p>
    <w:p w14:paraId="3B0F3955" w14:textId="083993B4" w:rsidR="00233BF3" w:rsidRDefault="00D26FCA" w:rsidP="00BC4779">
      <w:pPr>
        <w:spacing w:after="120" w:line="276" w:lineRule="auto"/>
        <w:jc w:val="both"/>
        <w:rPr>
          <w:rFonts w:ascii="Times New Roman" w:hAnsi="Times New Roman" w:cs="Times New Roman"/>
          <w:sz w:val="20"/>
          <w:szCs w:val="20"/>
        </w:rPr>
      </w:pPr>
      <w:r w:rsidRPr="004D19FF">
        <w:rPr>
          <w:rFonts w:ascii="Times New Roman" w:hAnsi="Times New Roman" w:cs="Times New Roman"/>
          <w:sz w:val="20"/>
          <w:szCs w:val="20"/>
        </w:rPr>
        <w:t xml:space="preserve">The </w:t>
      </w:r>
      <w:r w:rsidR="00DF49E6" w:rsidRPr="004D19FF">
        <w:rPr>
          <w:rFonts w:ascii="Times New Roman" w:hAnsi="Times New Roman" w:cs="Times New Roman"/>
          <w:sz w:val="20"/>
          <w:szCs w:val="20"/>
        </w:rPr>
        <w:t>EABFI</w:t>
      </w:r>
      <w:r w:rsidR="007D7983" w:rsidRPr="004D19FF">
        <w:rPr>
          <w:rFonts w:ascii="Times New Roman" w:hAnsi="Times New Roman" w:cs="Times New Roman"/>
          <w:sz w:val="20"/>
          <w:szCs w:val="20"/>
        </w:rPr>
        <w:t xml:space="preserve"> </w:t>
      </w:r>
      <w:r w:rsidR="00233BF3" w:rsidRPr="004D19FF">
        <w:rPr>
          <w:rFonts w:ascii="Times New Roman" w:hAnsi="Times New Roman" w:cs="Times New Roman"/>
          <w:sz w:val="20"/>
          <w:szCs w:val="20"/>
        </w:rPr>
        <w:t xml:space="preserve">was launched in 2011 as a </w:t>
      </w:r>
      <w:r w:rsidR="00282360" w:rsidRPr="004D19FF">
        <w:rPr>
          <w:rFonts w:ascii="Times New Roman" w:hAnsi="Times New Roman" w:cs="Times New Roman"/>
          <w:sz w:val="20"/>
          <w:szCs w:val="20"/>
        </w:rPr>
        <w:t>partnership</w:t>
      </w:r>
      <w:r w:rsidR="00233BF3" w:rsidRPr="004D19FF">
        <w:rPr>
          <w:rFonts w:ascii="Times New Roman" w:hAnsi="Times New Roman" w:cs="Times New Roman"/>
          <w:sz w:val="20"/>
          <w:szCs w:val="20"/>
        </w:rPr>
        <w:t xml:space="preserve"> </w:t>
      </w:r>
      <w:r w:rsidR="00282360" w:rsidRPr="004D19FF">
        <w:rPr>
          <w:rFonts w:ascii="Times New Roman" w:hAnsi="Times New Roman" w:cs="Times New Roman"/>
          <w:sz w:val="20"/>
          <w:szCs w:val="20"/>
        </w:rPr>
        <w:t>between</w:t>
      </w:r>
      <w:r w:rsidR="00233BF3" w:rsidRPr="004D19FF">
        <w:rPr>
          <w:rFonts w:ascii="Times New Roman" w:hAnsi="Times New Roman" w:cs="Times New Roman"/>
          <w:sz w:val="20"/>
          <w:szCs w:val="20"/>
        </w:rPr>
        <w:t xml:space="preserve"> the European Commission and major European stakeholders including airlines and biofuel producers. The objective </w:t>
      </w:r>
      <w:r w:rsidR="007D7983" w:rsidRPr="004D19FF">
        <w:rPr>
          <w:rFonts w:ascii="Times New Roman" w:hAnsi="Times New Roman" w:cs="Times New Roman"/>
          <w:sz w:val="20"/>
          <w:szCs w:val="20"/>
        </w:rPr>
        <w:t xml:space="preserve">is </w:t>
      </w:r>
      <w:r w:rsidR="00233BF3" w:rsidRPr="004D19FF">
        <w:rPr>
          <w:rFonts w:ascii="Times New Roman" w:hAnsi="Times New Roman" w:cs="Times New Roman"/>
          <w:sz w:val="20"/>
          <w:szCs w:val="20"/>
        </w:rPr>
        <w:t xml:space="preserve">to promote the commercialization of </w:t>
      </w:r>
      <w:r w:rsidR="00C9337A" w:rsidRPr="004D19FF">
        <w:rPr>
          <w:rFonts w:ascii="Times New Roman" w:hAnsi="Times New Roman" w:cs="Times New Roman"/>
          <w:sz w:val="20"/>
          <w:szCs w:val="20"/>
        </w:rPr>
        <w:t>biofuel</w:t>
      </w:r>
      <w:r w:rsidR="00233BF3" w:rsidRPr="004D19FF">
        <w:rPr>
          <w:rFonts w:ascii="Times New Roman" w:hAnsi="Times New Roman" w:cs="Times New Roman"/>
          <w:sz w:val="20"/>
          <w:szCs w:val="20"/>
        </w:rPr>
        <w:t xml:space="preserve"> in term</w:t>
      </w:r>
      <w:r w:rsidR="00BA061A" w:rsidRPr="004D19FF">
        <w:rPr>
          <w:rFonts w:ascii="Times New Roman" w:hAnsi="Times New Roman" w:cs="Times New Roman"/>
          <w:sz w:val="20"/>
          <w:szCs w:val="20"/>
        </w:rPr>
        <w:t>s</w:t>
      </w:r>
      <w:r w:rsidR="00233BF3" w:rsidRPr="004D19FF">
        <w:rPr>
          <w:rFonts w:ascii="Times New Roman" w:hAnsi="Times New Roman" w:cs="Times New Roman"/>
          <w:sz w:val="20"/>
          <w:szCs w:val="20"/>
        </w:rPr>
        <w:t xml:space="preserve"> of production, storage and distribution </w:t>
      </w:r>
      <w:r w:rsidR="007D7983" w:rsidRPr="004D19FF">
        <w:rPr>
          <w:rFonts w:ascii="Times New Roman" w:hAnsi="Times New Roman" w:cs="Times New Roman"/>
          <w:sz w:val="20"/>
          <w:szCs w:val="20"/>
        </w:rPr>
        <w:t>in an endeavor to support</w:t>
      </w:r>
      <w:r w:rsidR="00233BF3" w:rsidRPr="004D19FF">
        <w:rPr>
          <w:rFonts w:ascii="Times New Roman" w:hAnsi="Times New Roman" w:cs="Times New Roman"/>
          <w:sz w:val="20"/>
          <w:szCs w:val="20"/>
        </w:rPr>
        <w:t xml:space="preserve"> the European </w:t>
      </w:r>
      <w:r w:rsidR="00BA061A" w:rsidRPr="004D19FF">
        <w:rPr>
          <w:rFonts w:ascii="Times New Roman" w:hAnsi="Times New Roman" w:cs="Times New Roman"/>
          <w:sz w:val="20"/>
          <w:szCs w:val="20"/>
        </w:rPr>
        <w:t>Commission’s ambition to r</w:t>
      </w:r>
      <w:r w:rsidR="008177DA" w:rsidRPr="004D19FF">
        <w:rPr>
          <w:rFonts w:ascii="Times New Roman" w:hAnsi="Times New Roman" w:cs="Times New Roman"/>
          <w:sz w:val="20"/>
          <w:szCs w:val="20"/>
        </w:rPr>
        <w:t xml:space="preserve">each </w:t>
      </w:r>
      <w:r w:rsidR="00233BF3" w:rsidRPr="004D19FF">
        <w:rPr>
          <w:rFonts w:ascii="Times New Roman" w:hAnsi="Times New Roman" w:cs="Times New Roman"/>
          <w:sz w:val="20"/>
          <w:szCs w:val="20"/>
        </w:rPr>
        <w:t xml:space="preserve">energy security </w:t>
      </w:r>
      <w:r w:rsidR="00FD652F"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BAMmhDhi","properties":{"formattedCitation":"[262]","plainCitation":"[262]","noteIndex":0},"citationItems":[{"id":"968HXJ10/nU4W90fl","uris":["http://www.mendeley.com/documents/?uuid=0cb6848e-2c11-4fe7-8576-9b7963180972"],"uri":["http://www.mendeley.com/documents/?uuid=0cb6848e-2c11-4fe7-8576-9b7963180972"],"itemData":{"abstract":"The European Commission, Airbus, and high-level representatives of the Aviation and Biofuel producers industries, launched the European Advanced Biofuels Flightpath. This action is scheduled to achieve 2 million tons of sustainable biofuels used in the EU civil aviation sector by the year 2020. The parties agreed to make all best efforts to support the activities described in the attached Flight path, for reaching the objectives. It was agreed to enhance their co-operation in the areas mentioned in the Flight path, each in the respective sphere of their competence and within the limits of their overall resources and possibilities, and applicable rules and regulations. To prepare this launch, the European Advanced Biofuels Flightpath has been discussed widely by representatives from EU Member States' energy, research and transportation departments, industry representatives from the aviation and biofuels sector and non-governmental organisations. The parties emphasised the need to work together to promote production, distribution, storage and use of sustainably produced and technically certified biofuels. The aim is to ensure the commercialisation of sustainably produced paraffinic biofuels in the aviation sector by reaching a 2 million tons consumption by 2020. For this, it is necessary to join forces in establishing appropriate and effective financial mechanisms to support the construction of industrial \" first of a kind \" advanced biofuel production plants. More specifically, the action focuses on the following issues:","author":[{"dropping-particle":"","family":"European Commission","given":"","non-dropping-particle":"","parse-names":false,"suffix":""}],"container-title":"European Commission","id":"ITEM-1","issue":"February","issued":{"date-parts":[["2011"]]},"page":"2-3","title":"Launch of the European Advanced Biofuels Flightpath","type":"article-journal"}}],"schema":"https://github.com/citation-style-language/schema/raw/master/csl-citation.json"} </w:instrText>
      </w:r>
      <w:r w:rsidR="00FD652F"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[262]</w:t>
      </w:r>
      <w:r w:rsidR="00FD652F" w:rsidRPr="004D19FF">
        <w:rPr>
          <w:rFonts w:ascii="Times New Roman" w:hAnsi="Times New Roman" w:cs="Times New Roman"/>
          <w:sz w:val="20"/>
          <w:szCs w:val="20"/>
        </w:rPr>
        <w:fldChar w:fldCharType="end"/>
      </w:r>
      <w:r w:rsidR="00233BF3" w:rsidRPr="004D19FF">
        <w:rPr>
          <w:rFonts w:ascii="Times New Roman" w:hAnsi="Times New Roman" w:cs="Times New Roman"/>
          <w:sz w:val="20"/>
          <w:szCs w:val="20"/>
        </w:rPr>
        <w:t xml:space="preserve">. </w:t>
      </w:r>
      <w:r w:rsidR="007D7983" w:rsidRPr="004D19FF">
        <w:rPr>
          <w:rFonts w:ascii="Times New Roman" w:hAnsi="Times New Roman" w:cs="Times New Roman"/>
          <w:sz w:val="20"/>
          <w:szCs w:val="20"/>
        </w:rPr>
        <w:t>Concretely, this translates in the objective of reaching</w:t>
      </w:r>
      <w:r w:rsidR="002C4674" w:rsidRPr="004D19FF">
        <w:rPr>
          <w:rFonts w:ascii="Times New Roman" w:hAnsi="Times New Roman" w:cs="Times New Roman"/>
          <w:sz w:val="20"/>
          <w:szCs w:val="20"/>
        </w:rPr>
        <w:t xml:space="preserve"> 2 million ton</w:t>
      </w:r>
      <w:r w:rsidR="008177DA" w:rsidRPr="004D19FF">
        <w:rPr>
          <w:rFonts w:ascii="Times New Roman" w:hAnsi="Times New Roman" w:cs="Times New Roman"/>
          <w:sz w:val="20"/>
          <w:szCs w:val="20"/>
        </w:rPr>
        <w:t xml:space="preserve">nes of </w:t>
      </w:r>
      <w:r w:rsidR="00C9337A" w:rsidRPr="004D19FF">
        <w:rPr>
          <w:rFonts w:ascii="Times New Roman" w:hAnsi="Times New Roman" w:cs="Times New Roman"/>
          <w:sz w:val="20"/>
          <w:szCs w:val="20"/>
        </w:rPr>
        <w:t>biofuel</w:t>
      </w:r>
      <w:r w:rsidR="008177DA" w:rsidRPr="004D19FF">
        <w:rPr>
          <w:rFonts w:ascii="Times New Roman" w:hAnsi="Times New Roman" w:cs="Times New Roman"/>
          <w:sz w:val="20"/>
          <w:szCs w:val="20"/>
        </w:rPr>
        <w:t xml:space="preserve"> consumption </w:t>
      </w:r>
      <w:r w:rsidR="007D7983" w:rsidRPr="004D19FF">
        <w:rPr>
          <w:rFonts w:ascii="Times New Roman" w:hAnsi="Times New Roman" w:cs="Times New Roman"/>
          <w:sz w:val="20"/>
          <w:szCs w:val="20"/>
        </w:rPr>
        <w:t>per annum by 2020 through the construction of advanced biofuels production plants in Europe</w:t>
      </w:r>
      <w:r w:rsidR="002C4674" w:rsidRPr="004D19FF">
        <w:rPr>
          <w:rFonts w:ascii="Times New Roman" w:hAnsi="Times New Roman" w:cs="Times New Roman"/>
          <w:sz w:val="20"/>
          <w:szCs w:val="20"/>
        </w:rPr>
        <w:t>.</w:t>
      </w:r>
      <w:r w:rsidR="007D7983" w:rsidRPr="004D19FF">
        <w:rPr>
          <w:rFonts w:ascii="Times New Roman" w:hAnsi="Times New Roman" w:cs="Times New Roman"/>
          <w:sz w:val="20"/>
          <w:szCs w:val="20"/>
        </w:rPr>
        <w:t xml:space="preserve"> </w:t>
      </w:r>
      <w:r w:rsidR="00445F46" w:rsidRPr="004D19FF">
        <w:rPr>
          <w:rFonts w:ascii="Times New Roman" w:hAnsi="Times New Roman" w:cs="Times New Roman"/>
          <w:sz w:val="20"/>
          <w:szCs w:val="20"/>
        </w:rPr>
        <w:t xml:space="preserve">The EABFI is </w:t>
      </w:r>
      <w:r w:rsidR="00325196" w:rsidRPr="004D19FF">
        <w:rPr>
          <w:rFonts w:ascii="Times New Roman" w:hAnsi="Times New Roman" w:cs="Times New Roman"/>
          <w:sz w:val="20"/>
          <w:szCs w:val="20"/>
        </w:rPr>
        <w:t xml:space="preserve">a shared and </w:t>
      </w:r>
      <w:r w:rsidR="00445F46" w:rsidRPr="004D19FF">
        <w:rPr>
          <w:rFonts w:ascii="Times New Roman" w:hAnsi="Times New Roman" w:cs="Times New Roman"/>
          <w:sz w:val="20"/>
          <w:szCs w:val="20"/>
        </w:rPr>
        <w:t xml:space="preserve">voluntary commitment to promote the </w:t>
      </w:r>
      <w:r w:rsidR="00C9337A" w:rsidRPr="004D19FF">
        <w:rPr>
          <w:rFonts w:ascii="Times New Roman" w:hAnsi="Times New Roman" w:cs="Times New Roman"/>
          <w:sz w:val="20"/>
          <w:szCs w:val="20"/>
        </w:rPr>
        <w:t>biofuel</w:t>
      </w:r>
      <w:r w:rsidR="00445F46" w:rsidRPr="004D19FF">
        <w:rPr>
          <w:rFonts w:ascii="Times New Roman" w:hAnsi="Times New Roman" w:cs="Times New Roman"/>
          <w:sz w:val="20"/>
          <w:szCs w:val="20"/>
        </w:rPr>
        <w:t xml:space="preserve"> deployment through appropriate financial mechanisms</w:t>
      </w:r>
      <w:r w:rsidR="00325196" w:rsidRPr="004D19FF">
        <w:rPr>
          <w:rFonts w:ascii="Times New Roman" w:hAnsi="Times New Roman" w:cs="Times New Roman"/>
          <w:sz w:val="20"/>
          <w:szCs w:val="20"/>
        </w:rPr>
        <w:t xml:space="preserve"> </w:t>
      </w:r>
      <w:r w:rsidR="00480E88"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lOCOEZ7U","properties":{"formattedCitation":"[263]","plainCitation":"[263]","noteIndex":0},"citationItems":[{"id":"968HXJ10/cyPZeMDp","uris":["http://www.mendeley.com/documents/?uuid=08cf5a3b-45cc-4c58-95d6-245a941d13d7"],"uri":["http://www.mendeley.com/documents/?uuid=08cf5a3b-45cc-4c58-95d6-245a941d13d7"],"itemData":{"author":[{"dropping-particle":"","family":"Cesar","given":"V.","non-dropping-particle":"","parse-names":false,"suffix":""}],"id":"ITEM-1","issued":{"date-parts":[["2011"]]},"publisher-place":"Montreal, Canada","title":"The European Advanced Biofuels Flight path Initiative","type":"report"}}],"schema":"https://github.com/citation-style-language/schema/raw/master/csl-citation.json"} </w:instrText>
      </w:r>
      <w:r w:rsidR="00480E88"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[263]</w:t>
      </w:r>
      <w:r w:rsidR="00480E88" w:rsidRPr="004D19FF">
        <w:rPr>
          <w:rFonts w:ascii="Times New Roman" w:hAnsi="Times New Roman" w:cs="Times New Roman"/>
          <w:sz w:val="20"/>
          <w:szCs w:val="20"/>
        </w:rPr>
        <w:fldChar w:fldCharType="end"/>
      </w:r>
      <w:r w:rsidR="00445F46" w:rsidRPr="004D19FF">
        <w:rPr>
          <w:rFonts w:ascii="Times New Roman" w:hAnsi="Times New Roman" w:cs="Times New Roman"/>
          <w:sz w:val="20"/>
          <w:szCs w:val="20"/>
        </w:rPr>
        <w:t xml:space="preserve">. </w:t>
      </w:r>
      <w:r w:rsidR="00325196" w:rsidRPr="004D19FF">
        <w:rPr>
          <w:rFonts w:ascii="Times New Roman" w:hAnsi="Times New Roman" w:cs="Times New Roman"/>
          <w:sz w:val="20"/>
          <w:szCs w:val="20"/>
        </w:rPr>
        <w:t xml:space="preserve">However, </w:t>
      </w:r>
      <w:r w:rsidR="00150D31" w:rsidRPr="004D19FF">
        <w:rPr>
          <w:rFonts w:ascii="Times New Roman" w:hAnsi="Times New Roman" w:cs="Times New Roman"/>
          <w:sz w:val="20"/>
          <w:szCs w:val="20"/>
        </w:rPr>
        <w:t xml:space="preserve">the aforementioned goal </w:t>
      </w:r>
      <w:r w:rsidR="008177DA" w:rsidRPr="004D19FF">
        <w:rPr>
          <w:rFonts w:ascii="Times New Roman" w:hAnsi="Times New Roman" w:cs="Times New Roman"/>
          <w:sz w:val="20"/>
          <w:szCs w:val="20"/>
        </w:rPr>
        <w:t>has not been</w:t>
      </w:r>
      <w:r w:rsidR="00150D31" w:rsidRPr="004D19FF">
        <w:rPr>
          <w:rFonts w:ascii="Times New Roman" w:hAnsi="Times New Roman" w:cs="Times New Roman"/>
          <w:sz w:val="20"/>
          <w:szCs w:val="20"/>
        </w:rPr>
        <w:t xml:space="preserve"> met. The EABFI is working on an updated roadmap towards 2030</w:t>
      </w:r>
      <w:r w:rsidR="002C4674" w:rsidRPr="004D19FF">
        <w:rPr>
          <w:rFonts w:ascii="Times New Roman" w:hAnsi="Times New Roman" w:cs="Times New Roman"/>
          <w:sz w:val="20"/>
          <w:szCs w:val="20"/>
        </w:rPr>
        <w:t xml:space="preserve"> </w:t>
      </w:r>
      <w:r w:rsidR="002C4674"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KfzYqgVN","properties":{"formattedCitation":"[262,264]","plainCitation":"[262,264]","noteIndex":0},"citationItems":[{"id":"968HXJ10/nU4W90fl","uris":["http://www.mendeley.com/documents/?uuid=0cb6848e-2c11-4fe7-8576-9b7963180972"],"uri":["http://www.mendeley.com/documents/?uuid=0cb6848e-2c11-4fe7-8576-9b7963180972"],"itemData":{"abstract":"The European Commission, Airbus, and high-level representatives of the Aviation and Biofuel producers industries, launched the European Advanced Biofuels Flightpath. This action is scheduled to achieve 2 million tons of sustainable biofuels used in the EU civil aviation sector by the year 2020. The parties agreed to make all best efforts to support the activities described in the attached Flight path, for reaching the objectives. It was agreed to enhance their co-operation in the areas mentioned in the Flight path, each in the respective sphere of their competence and within the limits of their overall resources and possibilities, and applicable rules and regulations. To prepare this launch, the European Advanced Biofuels Flightpath has been discussed widely by representatives from EU Member States' energy, research and transportation departments, industry representatives from the aviation and biofuels sector and non-governmental organisations. The parties emphasised the need to work together to promote production, distribution, storage and use of sustainably produced and technically certified biofuels. The aim is to ensure the commercialisation of sustainably produced paraffinic biofuels in the aviation sector by reaching a 2 million tons consumption by 2020. For this, it is necessary to join forces in establishing appropriate and effective financial mechanisms to support the construction of industrial \" first of a kind \" advanced biofuel production plants. More specifically, the action focuses on the following issues:","author":[{"dropping-particle":"","family":"European Commission","given":"","non-dropping-particle":"","parse-names":false,"suffix":""}],"container-title":"European Commission","id":"ITEM-1","issue":"February","issued":{"date-parts":[["2011"]]},"page":"2-3","title":"Launch of the European Advanced Biofuels Flightpath","type":"article-journal"}},{"id":"968HXJ10/HLxOtV8V","uris":["http://www.mendeley.com/documents/?uuid=1091a2d7-3170-40ba-be36-d3aab68215b8"],"uri":["http://www.mendeley.com/documents/?uuid=1091a2d7-3170-40ba-be36-d3aab68215b8"],"itemData":{"abstract":"The European Biofuel FlightPath initiative is targeting the use of 2 million ton sof sustainable biofuels in aviation by 2020. The report identifies the critical issues and proposes actions to address them in order to achieve the Biofuel FlightPath's objectives.","author":[{"dropping-particle":"","family":"EC","given":"","non-dropping-particle":"","parse-names":false,"suffix":""}],"id":"ITEM-2","issue":"August","issued":{"date-parts":[["2013"]]},"page":"1-37","title":"2 million tons per year : A performing biofuels supply chain for EU aviation August 2013 Update","type":"article-journal"}}],"schema":"https://github.com/citation-style-language/schema/raw/master/csl-citation.json"} </w:instrText>
      </w:r>
      <w:r w:rsidR="002C4674"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[262,264]</w:t>
      </w:r>
      <w:r w:rsidR="002C4674" w:rsidRPr="004D19FF">
        <w:rPr>
          <w:rFonts w:ascii="Times New Roman" w:hAnsi="Times New Roman" w:cs="Times New Roman"/>
          <w:sz w:val="20"/>
          <w:szCs w:val="20"/>
        </w:rPr>
        <w:fldChar w:fldCharType="end"/>
      </w:r>
      <w:r w:rsidR="002C4674" w:rsidRPr="004D19FF">
        <w:rPr>
          <w:rFonts w:ascii="Times New Roman" w:hAnsi="Times New Roman" w:cs="Times New Roman"/>
          <w:sz w:val="20"/>
          <w:szCs w:val="20"/>
        </w:rPr>
        <w:t>.</w:t>
      </w:r>
    </w:p>
    <w:p w14:paraId="52174CEA" w14:textId="77777777" w:rsidR="00450885" w:rsidRPr="000B3AC3" w:rsidRDefault="00450885" w:rsidP="00BC4779">
      <w:pPr>
        <w:spacing w:after="120" w:line="276" w:lineRule="auto"/>
        <w:jc w:val="both"/>
        <w:rPr>
          <w:rFonts w:ascii="Times New Roman" w:hAnsi="Times New Roman" w:cs="Times New Roman"/>
          <w:i/>
          <w:sz w:val="20"/>
          <w:szCs w:val="20"/>
        </w:rPr>
      </w:pPr>
      <w:r w:rsidRPr="00901E9C">
        <w:rPr>
          <w:rFonts w:ascii="Times New Roman" w:hAnsi="Times New Roman" w:cs="Times New Roman"/>
          <w:i/>
          <w:sz w:val="20"/>
          <w:szCs w:val="20"/>
        </w:rPr>
        <w:t>6.4 EU climate law</w:t>
      </w:r>
    </w:p>
    <w:p w14:paraId="62EEA172" w14:textId="3A8C2551" w:rsidR="00F87027" w:rsidRDefault="00F87027" w:rsidP="00BC4779">
      <w:pPr>
        <w:spacing w:after="120" w:line="276" w:lineRule="auto"/>
        <w:jc w:val="both"/>
        <w:rPr>
          <w:rFonts w:ascii="Times New Roman" w:hAnsi="Times New Roman" w:cs="Times New Roman"/>
          <w:sz w:val="20"/>
          <w:szCs w:val="20"/>
        </w:rPr>
      </w:pPr>
      <w:r>
        <w:rPr>
          <w:rFonts w:ascii="Times New Roman" w:hAnsi="Times New Roman" w:cs="Times New Roman"/>
          <w:sz w:val="20"/>
          <w:szCs w:val="20"/>
        </w:rPr>
        <w:t xml:space="preserve">In the framework of the European Green Deal, the EU launched its first proposal for a Climate Law </w:t>
      </w:r>
      <w:r>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34ZWwCqD","properties":{"formattedCitation":"[265]","plainCitation":"[265]","noteIndex":0},"citationItems":[{"id":"968HXJ10/PdxUQQLT","uris":["http://www.mendeley.com/documents/?uuid=d918b403-bff2-4c85-bbcf-79c6587a5dc6"],"uri":["http://www.mendeley.com/documents/?uuid=d918b403-bff2-4c85-bbcf-79c6587a5dc6"],"itemData":{"author":[{"dropping-particle":"","family":"European Commission","given":"","non-dropping-particle":"","parse-names":false,"suffix":""}],"id":"ITEM-1","issued":{"date-parts":[["2020"]]},"title":"Proposal for a regulation of the European Parliament and of the Council: EU 2018/1999 (European Climate Law)","type":"report"}}],"schema":"https://github.com/citation-style-language/schema/raw/master/csl-citation.json"} </w:instrText>
      </w:r>
      <w:r>
        <w:rPr>
          <w:rFonts w:ascii="Times New Roman" w:hAnsi="Times New Roman" w:cs="Times New Roman"/>
          <w:sz w:val="20"/>
          <w:szCs w:val="20"/>
        </w:rPr>
        <w:fldChar w:fldCharType="separate"/>
      </w:r>
      <w:r w:rsidR="00196B5E" w:rsidRPr="00196B5E">
        <w:rPr>
          <w:rFonts w:ascii="Times New Roman" w:hAnsi="Times New Roman" w:cs="Times New Roman"/>
          <w:sz w:val="20"/>
        </w:rPr>
        <w:t>[265]</w:t>
      </w:r>
      <w:r>
        <w:rPr>
          <w:rFonts w:ascii="Times New Roman" w:hAnsi="Times New Roman" w:cs="Times New Roman"/>
          <w:sz w:val="20"/>
          <w:szCs w:val="20"/>
        </w:rPr>
        <w:fldChar w:fldCharType="end"/>
      </w:r>
      <w:r>
        <w:rPr>
          <w:rFonts w:ascii="Times New Roman" w:hAnsi="Times New Roman" w:cs="Times New Roman"/>
          <w:sz w:val="20"/>
          <w:szCs w:val="20"/>
        </w:rPr>
        <w:t xml:space="preserve">. This law makes it legally binding for the EU to achieve a balance between GHG emissions and emissions removals (so-called </w:t>
      </w:r>
      <w:r w:rsidRPr="00901E9C">
        <w:rPr>
          <w:rFonts w:ascii="Times New Roman" w:hAnsi="Times New Roman" w:cs="Times New Roman"/>
          <w:sz w:val="20"/>
          <w:szCs w:val="20"/>
        </w:rPr>
        <w:t>neutrality) by 2050. The current proposal of the Climate Law covers all GHGs. As it stands now, there are no clear measures specifically applying to the aviation sector.</w:t>
      </w:r>
      <w:r>
        <w:rPr>
          <w:rFonts w:ascii="Times New Roman" w:hAnsi="Times New Roman" w:cs="Times New Roman"/>
          <w:sz w:val="20"/>
          <w:szCs w:val="20"/>
        </w:rPr>
        <w:t xml:space="preserve"> The use of DAC technologies for electrofuels implying the removal of CO</w:t>
      </w:r>
      <w:r w:rsidRPr="009C75B3">
        <w:rPr>
          <w:rFonts w:ascii="Times New Roman" w:hAnsi="Times New Roman" w:cs="Times New Roman"/>
          <w:sz w:val="20"/>
          <w:szCs w:val="20"/>
          <w:vertAlign w:val="subscript"/>
        </w:rPr>
        <w:t>2</w:t>
      </w:r>
      <w:r>
        <w:rPr>
          <w:rFonts w:ascii="Times New Roman" w:hAnsi="Times New Roman" w:cs="Times New Roman"/>
          <w:sz w:val="20"/>
          <w:szCs w:val="20"/>
        </w:rPr>
        <w:t xml:space="preserve"> from the atmosphere could become interesting under such framework, although according to </w:t>
      </w:r>
      <w:r w:rsidR="00901E9C">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7C3bqbhK","properties":{"formattedCitation":"[266]","plainCitation":"[266]","noteIndex":0},"citationItems":[{"id":"968HXJ10/4gplfamF","uris":["http://www.mendeley.com/documents/?uuid=e8735457-8f2e-47f5-9020-0a67aac49062"],"uri":["http://www.mendeley.com/documents/?uuid=e8735457-8f2e-47f5-9020-0a67aac49062"],"itemData":{"DOI":"10.1039/c8ee03338b","ISSN":"17545706","abstract":"Negative emission technologies (NETs) have seen a recent surge of interest in both academic and popular media and have been hailed as both a saviour and false idol of global warming mitigation. Proponents hope NETs can prevent or reverse catastrophic climate change by permanently removing greenhouse gases from the atmosphere. But there is currently limited agreement on what \"negative emissions\" are. This paper highlights inconsistencies in negative emission accounting in recent NET literature, focusing on the influence of system boundary selection. A quantified step-by-step example provides a clear picture of the impact of system boundary choices on the estimated emissions of a NET system. Finally, this paper proposes a checklist of minimum qualifications that a NET system and its emission accounting should be able to satisfy to determine if it could result in negative emissions.","author":[{"dropping-particle":"","family":"Tanzer","given":"Samantha Eleanor","non-dropping-particle":"","parse-names":false,"suffix":""},{"dropping-particle":"","family":"Ramírez","given":"Andrea","non-dropping-particle":"","parse-names":false,"suffix":""}],"container-title":"Energy and Environmental Science","id":"ITEM-1","issue":"4","issued":{"date-parts":[["2019"]]},"page":"1210-1218","title":"When are negative emissions negative emissions?","type":"article-journal","volume":"12"}}],"schema":"https://github.com/citation-style-language/schema/raw/master/csl-citation.json"} </w:instrText>
      </w:r>
      <w:r w:rsidR="00901E9C">
        <w:rPr>
          <w:rFonts w:ascii="Times New Roman" w:hAnsi="Times New Roman" w:cs="Times New Roman"/>
          <w:sz w:val="20"/>
          <w:szCs w:val="20"/>
        </w:rPr>
        <w:fldChar w:fldCharType="separate"/>
      </w:r>
      <w:r w:rsidR="00196B5E" w:rsidRPr="00196B5E">
        <w:rPr>
          <w:rFonts w:ascii="Times New Roman" w:hAnsi="Times New Roman" w:cs="Times New Roman"/>
          <w:sz w:val="20"/>
        </w:rPr>
        <w:t>[266]</w:t>
      </w:r>
      <w:r w:rsidR="00901E9C">
        <w:rPr>
          <w:rFonts w:ascii="Times New Roman" w:hAnsi="Times New Roman" w:cs="Times New Roman"/>
          <w:sz w:val="20"/>
          <w:szCs w:val="20"/>
        </w:rPr>
        <w:fldChar w:fldCharType="end"/>
      </w:r>
      <w:r>
        <w:rPr>
          <w:rFonts w:ascii="Times New Roman" w:hAnsi="Times New Roman" w:cs="Times New Roman"/>
          <w:sz w:val="20"/>
          <w:szCs w:val="20"/>
        </w:rPr>
        <w:t xml:space="preserve"> it would not qualify as CO</w:t>
      </w:r>
      <w:r w:rsidRPr="009C75B3">
        <w:rPr>
          <w:rFonts w:ascii="Times New Roman" w:hAnsi="Times New Roman" w:cs="Times New Roman"/>
          <w:sz w:val="20"/>
          <w:szCs w:val="20"/>
          <w:vertAlign w:val="subscript"/>
        </w:rPr>
        <w:t xml:space="preserve">2 </w:t>
      </w:r>
      <w:r>
        <w:rPr>
          <w:rFonts w:ascii="Times New Roman" w:hAnsi="Times New Roman" w:cs="Times New Roman"/>
          <w:sz w:val="20"/>
          <w:szCs w:val="20"/>
        </w:rPr>
        <w:t xml:space="preserve">removal since in this case it is not intended to be a permanent removal. Carbon-free technologies like batteries and cryogenic hydrogen, on the other hand, would likely be favored by such legislative framework. </w:t>
      </w:r>
    </w:p>
    <w:p w14:paraId="77B47697" w14:textId="77777777" w:rsidR="008177DA" w:rsidRPr="00901E9C" w:rsidRDefault="00450885" w:rsidP="00BC4779">
      <w:pPr>
        <w:spacing w:after="120" w:line="276" w:lineRule="auto"/>
        <w:jc w:val="both"/>
        <w:rPr>
          <w:rFonts w:ascii="Times New Roman" w:hAnsi="Times New Roman" w:cs="Times New Roman"/>
          <w:i/>
          <w:sz w:val="20"/>
          <w:szCs w:val="20"/>
        </w:rPr>
      </w:pPr>
      <w:r w:rsidRPr="00901E9C">
        <w:rPr>
          <w:rFonts w:ascii="Times New Roman" w:hAnsi="Times New Roman" w:cs="Times New Roman"/>
          <w:i/>
          <w:sz w:val="20"/>
          <w:szCs w:val="20"/>
        </w:rPr>
        <w:t>6.5</w:t>
      </w:r>
      <w:r w:rsidR="008177DA" w:rsidRPr="00901E9C">
        <w:rPr>
          <w:rFonts w:ascii="Times New Roman" w:hAnsi="Times New Roman" w:cs="Times New Roman"/>
          <w:i/>
          <w:sz w:val="20"/>
          <w:szCs w:val="20"/>
        </w:rPr>
        <w:t xml:space="preserve"> The French </w:t>
      </w:r>
      <w:r w:rsidR="00A26E3D" w:rsidRPr="00901E9C">
        <w:rPr>
          <w:rFonts w:ascii="Times New Roman" w:hAnsi="Times New Roman" w:cs="Times New Roman"/>
          <w:i/>
          <w:sz w:val="20"/>
          <w:szCs w:val="20"/>
        </w:rPr>
        <w:t>SESA</w:t>
      </w:r>
      <w:r w:rsidR="008177DA" w:rsidRPr="00901E9C">
        <w:rPr>
          <w:rFonts w:ascii="Times New Roman" w:hAnsi="Times New Roman" w:cs="Times New Roman"/>
          <w:i/>
          <w:sz w:val="20"/>
          <w:szCs w:val="20"/>
        </w:rPr>
        <w:t xml:space="preserve"> targets as an example of national initiative</w:t>
      </w:r>
    </w:p>
    <w:p w14:paraId="61367970" w14:textId="749E03B8" w:rsidR="00814821" w:rsidRPr="00EC063E" w:rsidRDefault="002554D7" w:rsidP="00BC4779">
      <w:pPr>
        <w:spacing w:after="120" w:line="276" w:lineRule="auto"/>
        <w:jc w:val="both"/>
        <w:rPr>
          <w:rFonts w:ascii="Times New Roman" w:hAnsi="Times New Roman" w:cs="Times New Roman"/>
          <w:sz w:val="20"/>
          <w:szCs w:val="20"/>
        </w:rPr>
      </w:pPr>
      <w:r w:rsidRPr="00EC063E">
        <w:rPr>
          <w:rFonts w:ascii="Times New Roman" w:hAnsi="Times New Roman" w:cs="Times New Roman"/>
          <w:sz w:val="20"/>
          <w:szCs w:val="20"/>
        </w:rPr>
        <w:t xml:space="preserve">France was </w:t>
      </w:r>
      <w:r w:rsidR="00C52BF3">
        <w:rPr>
          <w:rFonts w:ascii="Times New Roman" w:hAnsi="Times New Roman" w:cs="Times New Roman"/>
          <w:sz w:val="20"/>
          <w:szCs w:val="20"/>
        </w:rPr>
        <w:t xml:space="preserve">one of </w:t>
      </w:r>
      <w:r w:rsidRPr="00EC063E">
        <w:rPr>
          <w:rFonts w:ascii="Times New Roman" w:hAnsi="Times New Roman" w:cs="Times New Roman"/>
          <w:sz w:val="20"/>
          <w:szCs w:val="20"/>
        </w:rPr>
        <w:t>the first country to</w:t>
      </w:r>
      <w:r w:rsidR="00431FE2" w:rsidRPr="00EC063E">
        <w:rPr>
          <w:rFonts w:ascii="Times New Roman" w:hAnsi="Times New Roman" w:cs="Times New Roman"/>
          <w:sz w:val="20"/>
          <w:szCs w:val="20"/>
        </w:rPr>
        <w:t xml:space="preserve"> </w:t>
      </w:r>
      <w:r w:rsidR="006A75A5">
        <w:rPr>
          <w:rFonts w:ascii="Times New Roman" w:hAnsi="Times New Roman" w:cs="Times New Roman"/>
          <w:sz w:val="20"/>
          <w:szCs w:val="20"/>
        </w:rPr>
        <w:t xml:space="preserve">announce the ambition of making </w:t>
      </w:r>
      <w:r w:rsidR="00C407D5" w:rsidRPr="00EC063E">
        <w:rPr>
          <w:rFonts w:ascii="Times New Roman" w:hAnsi="Times New Roman" w:cs="Times New Roman"/>
          <w:sz w:val="20"/>
          <w:szCs w:val="20"/>
        </w:rPr>
        <w:t>its</w:t>
      </w:r>
      <w:r w:rsidR="00985252" w:rsidRPr="00EC063E">
        <w:rPr>
          <w:rFonts w:ascii="Times New Roman" w:hAnsi="Times New Roman" w:cs="Times New Roman"/>
          <w:sz w:val="20"/>
          <w:szCs w:val="20"/>
        </w:rPr>
        <w:t xml:space="preserve"> aviation industry</w:t>
      </w:r>
      <w:r w:rsidR="00222BBC" w:rsidRPr="00EC063E">
        <w:rPr>
          <w:rFonts w:ascii="Times New Roman" w:hAnsi="Times New Roman" w:cs="Times New Roman"/>
          <w:sz w:val="20"/>
          <w:szCs w:val="20"/>
        </w:rPr>
        <w:t xml:space="preserve"> “</w:t>
      </w:r>
      <w:r w:rsidR="00E40882" w:rsidRPr="00EC063E">
        <w:rPr>
          <w:rFonts w:ascii="Times New Roman" w:hAnsi="Times New Roman" w:cs="Times New Roman"/>
          <w:sz w:val="20"/>
          <w:szCs w:val="20"/>
        </w:rPr>
        <w:t xml:space="preserve">the </w:t>
      </w:r>
      <w:r w:rsidR="00222BBC" w:rsidRPr="00EC063E">
        <w:rPr>
          <w:rFonts w:ascii="Times New Roman" w:hAnsi="Times New Roman" w:cs="Times New Roman"/>
          <w:sz w:val="20"/>
          <w:szCs w:val="20"/>
        </w:rPr>
        <w:t>cleanest in the world”</w:t>
      </w:r>
      <w:r w:rsidR="0037397F" w:rsidRPr="00EC063E">
        <w:rPr>
          <w:rFonts w:ascii="Times New Roman" w:hAnsi="Times New Roman" w:cs="Times New Roman"/>
          <w:sz w:val="20"/>
          <w:szCs w:val="20"/>
        </w:rPr>
        <w:t>.</w:t>
      </w:r>
      <w:r w:rsidR="00431FE2" w:rsidRPr="00EC063E">
        <w:rPr>
          <w:rFonts w:ascii="Times New Roman" w:hAnsi="Times New Roman" w:cs="Times New Roman"/>
          <w:sz w:val="20"/>
          <w:szCs w:val="20"/>
        </w:rPr>
        <w:t xml:space="preserve"> </w:t>
      </w:r>
    </w:p>
    <w:p w14:paraId="01DD9DD3" w14:textId="6D84E9C7" w:rsidR="00E80A74" w:rsidRPr="00EC063E" w:rsidRDefault="0098150B" w:rsidP="00BC4779">
      <w:pPr>
        <w:spacing w:after="120" w:line="276" w:lineRule="auto"/>
        <w:jc w:val="both"/>
        <w:rPr>
          <w:rFonts w:ascii="Times New Roman" w:hAnsi="Times New Roman" w:cs="Times New Roman"/>
          <w:sz w:val="20"/>
          <w:szCs w:val="20"/>
        </w:rPr>
      </w:pPr>
      <w:r w:rsidRPr="00EC063E">
        <w:rPr>
          <w:rFonts w:ascii="Times New Roman" w:hAnsi="Times New Roman" w:cs="Times New Roman"/>
          <w:sz w:val="20"/>
          <w:szCs w:val="20"/>
        </w:rPr>
        <w:t xml:space="preserve">At the end of 2017, </w:t>
      </w:r>
      <w:r w:rsidR="006A75A5">
        <w:rPr>
          <w:rFonts w:ascii="Times New Roman" w:hAnsi="Times New Roman" w:cs="Times New Roman"/>
          <w:sz w:val="20"/>
          <w:szCs w:val="20"/>
        </w:rPr>
        <w:t>France</w:t>
      </w:r>
      <w:r w:rsidR="00644430" w:rsidRPr="00EC063E">
        <w:rPr>
          <w:rFonts w:ascii="Times New Roman" w:hAnsi="Times New Roman" w:cs="Times New Roman"/>
          <w:sz w:val="20"/>
          <w:szCs w:val="20"/>
        </w:rPr>
        <w:t xml:space="preserve"> planned to </w:t>
      </w:r>
      <w:r w:rsidR="00644430" w:rsidRPr="004A37F6">
        <w:rPr>
          <w:rFonts w:ascii="Times New Roman" w:hAnsi="Times New Roman" w:cs="Times New Roman"/>
          <w:sz w:val="20"/>
          <w:szCs w:val="20"/>
        </w:rPr>
        <w:t>fa</w:t>
      </w:r>
      <w:r w:rsidR="00EA06B2" w:rsidRPr="004A37F6">
        <w:rPr>
          <w:rFonts w:ascii="Times New Roman" w:hAnsi="Times New Roman" w:cs="Times New Roman"/>
          <w:sz w:val="20"/>
          <w:szCs w:val="20"/>
        </w:rPr>
        <w:t xml:space="preserve">cilitate </w:t>
      </w:r>
      <w:r w:rsidR="002B7D7D">
        <w:rPr>
          <w:rFonts w:ascii="Times New Roman" w:hAnsi="Times New Roman" w:cs="Times New Roman"/>
          <w:sz w:val="20"/>
          <w:szCs w:val="20"/>
        </w:rPr>
        <w:t xml:space="preserve">the </w:t>
      </w:r>
      <w:r w:rsidR="00EA06B2" w:rsidRPr="004A37F6">
        <w:rPr>
          <w:rFonts w:ascii="Times New Roman" w:hAnsi="Times New Roman" w:cs="Times New Roman"/>
          <w:sz w:val="20"/>
          <w:szCs w:val="20"/>
        </w:rPr>
        <w:t xml:space="preserve">production, distribution and </w:t>
      </w:r>
      <w:r w:rsidR="00644430" w:rsidRPr="004A37F6">
        <w:rPr>
          <w:rFonts w:ascii="Times New Roman" w:hAnsi="Times New Roman" w:cs="Times New Roman"/>
          <w:sz w:val="20"/>
          <w:szCs w:val="20"/>
        </w:rPr>
        <w:t>deployment</w:t>
      </w:r>
      <w:r w:rsidR="00EA06B2" w:rsidRPr="004A37F6">
        <w:rPr>
          <w:rFonts w:ascii="Times New Roman" w:hAnsi="Times New Roman" w:cs="Times New Roman"/>
          <w:sz w:val="20"/>
          <w:szCs w:val="20"/>
        </w:rPr>
        <w:t xml:space="preserve"> for aviation biofuels</w:t>
      </w:r>
      <w:r w:rsidR="00644430" w:rsidRPr="004A37F6">
        <w:rPr>
          <w:rFonts w:ascii="Times New Roman" w:hAnsi="Times New Roman" w:cs="Times New Roman"/>
          <w:sz w:val="20"/>
          <w:szCs w:val="20"/>
        </w:rPr>
        <w:t>, corresponding to</w:t>
      </w:r>
      <w:r w:rsidR="00F85067" w:rsidRPr="004A37F6">
        <w:rPr>
          <w:rFonts w:ascii="Times New Roman" w:hAnsi="Times New Roman" w:cs="Times New Roman"/>
          <w:sz w:val="20"/>
          <w:szCs w:val="20"/>
        </w:rPr>
        <w:t xml:space="preserve"> a “Commitment to</w:t>
      </w:r>
      <w:r w:rsidR="007E3CA0" w:rsidRPr="004A37F6">
        <w:rPr>
          <w:rFonts w:ascii="Times New Roman" w:hAnsi="Times New Roman" w:cs="Times New Roman"/>
          <w:sz w:val="20"/>
          <w:szCs w:val="20"/>
        </w:rPr>
        <w:t xml:space="preserve"> Green Growth”</w:t>
      </w:r>
      <w:r w:rsidR="003E2BFB" w:rsidRPr="004A37F6">
        <w:rPr>
          <w:rFonts w:ascii="Times New Roman" w:hAnsi="Times New Roman" w:cs="Times New Roman"/>
          <w:sz w:val="20"/>
          <w:szCs w:val="20"/>
        </w:rPr>
        <w:t xml:space="preserve"> </w:t>
      </w:r>
      <w:r w:rsidR="00644430" w:rsidRPr="004A37F6">
        <w:rPr>
          <w:rFonts w:ascii="Times New Roman" w:hAnsi="Times New Roman" w:cs="Times New Roman"/>
          <w:sz w:val="20"/>
          <w:szCs w:val="20"/>
        </w:rPr>
        <w:t xml:space="preserve">with five industrial partnerships including Air France, Airbus, Safran, Total and Suez Environment </w:t>
      </w:r>
      <w:r w:rsidR="00F47471" w:rsidRPr="004A37F6">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iZdI3GL2","properties":{"formattedCitation":"[267]","plainCitation":"[267]","noteIndex":0},"citationItems":[{"id":"968HXJ10/fe6OdZUV","uris":["http://www.mendeley.com/documents/?uuid=697c15d1-c5aa-49a0-ba4b-ef669c60f0d9"],"uri":["http://www.mendeley.com/documents/?uuid=697c15d1-c5aa-49a0-ba4b-ef669c60f0d9"],"itemData":{"author":[{"dropping-particle":"","family":"Ministry of Ecological and Solidarity Transition","given":"","non-dropping-particle":"","parse-names":false,"suffix":""},{"dropping-particle":"","family":"Ministry of Economy and Finance","given":"","non-dropping-particle":"","parse-names":false,"suffix":""}],"id":"ITEM-1","issued":{"date-parts":[["2017"]]},"title":"Engagements pour la croissance verte","type":"report"}}],"schema":"https://github.com/citation-style-language/schema/raw/master/csl-citation.json"} </w:instrText>
      </w:r>
      <w:r w:rsidR="00F47471" w:rsidRPr="004A37F6">
        <w:rPr>
          <w:rFonts w:ascii="Times New Roman" w:hAnsi="Times New Roman" w:cs="Times New Roman"/>
          <w:sz w:val="20"/>
          <w:szCs w:val="20"/>
        </w:rPr>
        <w:fldChar w:fldCharType="separate"/>
      </w:r>
      <w:r w:rsidR="00196B5E" w:rsidRPr="00196B5E">
        <w:rPr>
          <w:rFonts w:ascii="Times New Roman" w:hAnsi="Times New Roman" w:cs="Times New Roman"/>
          <w:sz w:val="20"/>
        </w:rPr>
        <w:t>[267]</w:t>
      </w:r>
      <w:r w:rsidR="00F47471" w:rsidRPr="004A37F6">
        <w:rPr>
          <w:rFonts w:ascii="Times New Roman" w:hAnsi="Times New Roman" w:cs="Times New Roman"/>
          <w:sz w:val="20"/>
          <w:szCs w:val="20"/>
        </w:rPr>
        <w:fldChar w:fldCharType="end"/>
      </w:r>
      <w:r w:rsidR="00F47471" w:rsidRPr="004A37F6">
        <w:rPr>
          <w:rFonts w:ascii="Times New Roman" w:hAnsi="Times New Roman" w:cs="Times New Roman"/>
          <w:sz w:val="20"/>
          <w:szCs w:val="20"/>
        </w:rPr>
        <w:t>.</w:t>
      </w:r>
      <w:r w:rsidR="006A75A5">
        <w:rPr>
          <w:rFonts w:ascii="Times New Roman" w:hAnsi="Times New Roman" w:cs="Times New Roman"/>
          <w:sz w:val="20"/>
          <w:szCs w:val="20"/>
        </w:rPr>
        <w:t xml:space="preserve"> The intention, as stated in</w:t>
      </w:r>
      <w:r w:rsidR="00F47471" w:rsidRPr="004A37F6">
        <w:rPr>
          <w:rFonts w:ascii="Times New Roman" w:hAnsi="Times New Roman" w:cs="Times New Roman"/>
          <w:sz w:val="20"/>
          <w:szCs w:val="20"/>
        </w:rPr>
        <w:t xml:space="preserve"> </w:t>
      </w:r>
      <w:r w:rsidR="007E3CA0" w:rsidRPr="004A37F6">
        <w:rPr>
          <w:rFonts w:ascii="Times New Roman" w:hAnsi="Times New Roman" w:cs="Times New Roman"/>
          <w:sz w:val="20"/>
          <w:szCs w:val="20"/>
        </w:rPr>
        <w:t>the</w:t>
      </w:r>
      <w:r w:rsidR="006A75A5">
        <w:rPr>
          <w:rFonts w:ascii="Times New Roman" w:hAnsi="Times New Roman" w:cs="Times New Roman"/>
          <w:sz w:val="20"/>
          <w:szCs w:val="20"/>
        </w:rPr>
        <w:t xml:space="preserve"> French</w:t>
      </w:r>
      <w:r w:rsidR="007E3CA0" w:rsidRPr="004A37F6">
        <w:rPr>
          <w:rFonts w:ascii="Times New Roman" w:hAnsi="Times New Roman" w:cs="Times New Roman"/>
          <w:sz w:val="20"/>
          <w:szCs w:val="20"/>
        </w:rPr>
        <w:t xml:space="preserve"> </w:t>
      </w:r>
      <w:r w:rsidR="00947753" w:rsidRPr="004A37F6">
        <w:rPr>
          <w:rFonts w:ascii="Times New Roman" w:hAnsi="Times New Roman" w:cs="Times New Roman"/>
          <w:sz w:val="20"/>
          <w:szCs w:val="20"/>
        </w:rPr>
        <w:t>“</w:t>
      </w:r>
      <w:r w:rsidR="007E3CA0" w:rsidRPr="004A37F6">
        <w:rPr>
          <w:rFonts w:ascii="Times New Roman" w:hAnsi="Times New Roman" w:cs="Times New Roman"/>
          <w:sz w:val="20"/>
          <w:szCs w:val="20"/>
        </w:rPr>
        <w:t>National Low Carbon Strategy</w:t>
      </w:r>
      <w:r w:rsidR="00947753" w:rsidRPr="004A37F6">
        <w:rPr>
          <w:rFonts w:ascii="Times New Roman" w:hAnsi="Times New Roman" w:cs="Times New Roman"/>
          <w:sz w:val="20"/>
          <w:szCs w:val="20"/>
        </w:rPr>
        <w:t>”</w:t>
      </w:r>
      <w:r w:rsidR="006A75A5">
        <w:rPr>
          <w:rFonts w:ascii="Times New Roman" w:hAnsi="Times New Roman" w:cs="Times New Roman"/>
          <w:sz w:val="20"/>
          <w:szCs w:val="20"/>
        </w:rPr>
        <w:t xml:space="preserve"> of </w:t>
      </w:r>
      <w:r w:rsidR="000C597D" w:rsidRPr="004A37F6">
        <w:rPr>
          <w:rFonts w:ascii="Times New Roman" w:hAnsi="Times New Roman" w:cs="Times New Roman"/>
          <w:sz w:val="20"/>
          <w:szCs w:val="20"/>
        </w:rPr>
        <w:t xml:space="preserve">March </w:t>
      </w:r>
      <w:r w:rsidR="007E3CA0" w:rsidRPr="004A37F6">
        <w:rPr>
          <w:rFonts w:ascii="Times New Roman" w:hAnsi="Times New Roman" w:cs="Times New Roman"/>
          <w:sz w:val="20"/>
          <w:szCs w:val="20"/>
        </w:rPr>
        <w:t>2019</w:t>
      </w:r>
      <w:r w:rsidR="008D4869" w:rsidRPr="004A37F6">
        <w:rPr>
          <w:rFonts w:ascii="Times New Roman" w:hAnsi="Times New Roman" w:cs="Times New Roman"/>
          <w:sz w:val="20"/>
          <w:szCs w:val="20"/>
        </w:rPr>
        <w:t xml:space="preserve"> is </w:t>
      </w:r>
      <w:r w:rsidR="006A75A5">
        <w:rPr>
          <w:rFonts w:ascii="Times New Roman" w:hAnsi="Times New Roman" w:cs="Times New Roman"/>
          <w:sz w:val="20"/>
          <w:szCs w:val="20"/>
        </w:rPr>
        <w:t>the</w:t>
      </w:r>
      <w:r w:rsidR="00DC2979" w:rsidRPr="004A37F6">
        <w:rPr>
          <w:rFonts w:ascii="Times New Roman" w:hAnsi="Times New Roman" w:cs="Times New Roman"/>
          <w:sz w:val="20"/>
          <w:szCs w:val="20"/>
        </w:rPr>
        <w:t xml:space="preserve"> </w:t>
      </w:r>
      <w:r w:rsidR="00C82F76" w:rsidRPr="004A37F6">
        <w:rPr>
          <w:rFonts w:ascii="Times New Roman" w:hAnsi="Times New Roman" w:cs="Times New Roman"/>
          <w:sz w:val="20"/>
          <w:szCs w:val="20"/>
        </w:rPr>
        <w:t xml:space="preserve">deployment </w:t>
      </w:r>
      <w:r w:rsidR="000D551A" w:rsidRPr="004A37F6">
        <w:rPr>
          <w:rFonts w:ascii="Times New Roman" w:hAnsi="Times New Roman" w:cs="Times New Roman"/>
          <w:sz w:val="20"/>
          <w:szCs w:val="20"/>
        </w:rPr>
        <w:t xml:space="preserve">of 2% and 5% biofuels of the expected gross demand </w:t>
      </w:r>
      <w:r w:rsidR="00A15523" w:rsidRPr="004A37F6">
        <w:rPr>
          <w:rFonts w:ascii="Times New Roman" w:hAnsi="Times New Roman" w:cs="Times New Roman"/>
          <w:sz w:val="20"/>
          <w:szCs w:val="20"/>
        </w:rPr>
        <w:t>of</w:t>
      </w:r>
      <w:r w:rsidR="000D551A" w:rsidRPr="004A37F6">
        <w:rPr>
          <w:rFonts w:ascii="Times New Roman" w:hAnsi="Times New Roman" w:cs="Times New Roman"/>
          <w:sz w:val="20"/>
          <w:szCs w:val="20"/>
        </w:rPr>
        <w:t xml:space="preserve"> the aviation fuel in 2025 and 2030, respectively</w:t>
      </w:r>
      <w:r w:rsidR="005F6C0E" w:rsidRPr="004A37F6">
        <w:rPr>
          <w:rFonts w:ascii="Times New Roman" w:hAnsi="Times New Roman" w:cs="Times New Roman"/>
          <w:sz w:val="20"/>
          <w:szCs w:val="20"/>
        </w:rPr>
        <w:t xml:space="preserve"> </w:t>
      </w:r>
      <w:r w:rsidR="00AC421A" w:rsidRPr="004A37F6">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46Hgtxfq","properties":{"formattedCitation":"[268]","plainCitation":"[268]","noteIndex":0},"citationItems":[{"id":"968HXJ10/Td2vyvNi","uris":["http://www.mendeley.com/documents/?uuid=b143a996-fe1d-4561-9b6d-17e70e33fd27"],"uri":["http://www.mendeley.com/documents/?uuid=b143a996-fe1d-4561-9b6d-17e70e33fd27"],"itemData":{"author":[{"dropping-particle":"","family":"Ministry of Ecological and Solidarity Transition","given":"","non-dropping-particle":"","parse-names":false,"suffix":""},{"dropping-particle":"","family":"Ministry in Charge of Transport","given":"","non-dropping-particle":"","parse-names":false,"suffix":""},{"dropping-particle":"","family":"Ministry of Agriculture and Food","given":"","non-dropping-particle":"","parse-names":false,"suffix":""}],"id":"ITEM-1","issued":{"date-parts":[["0"]]},"number-of-pages":"1-7","title":"Feuille de route française pour le déploiement des biocarburants aéronautiques durables","type":"report"}}],"schema":"https://github.com/citation-style-language/schema/raw/master/csl-citation.json"} </w:instrText>
      </w:r>
      <w:r w:rsidR="00AC421A" w:rsidRPr="004A37F6">
        <w:rPr>
          <w:rFonts w:ascii="Times New Roman" w:hAnsi="Times New Roman" w:cs="Times New Roman"/>
          <w:sz w:val="20"/>
          <w:szCs w:val="20"/>
        </w:rPr>
        <w:fldChar w:fldCharType="separate"/>
      </w:r>
      <w:r w:rsidR="00196B5E" w:rsidRPr="00196B5E">
        <w:rPr>
          <w:rFonts w:ascii="Times New Roman" w:hAnsi="Times New Roman" w:cs="Times New Roman"/>
          <w:sz w:val="20"/>
        </w:rPr>
        <w:t>[268]</w:t>
      </w:r>
      <w:r w:rsidR="00AC421A" w:rsidRPr="004A37F6">
        <w:rPr>
          <w:rFonts w:ascii="Times New Roman" w:hAnsi="Times New Roman" w:cs="Times New Roman"/>
          <w:sz w:val="20"/>
          <w:szCs w:val="20"/>
        </w:rPr>
        <w:fldChar w:fldCharType="end"/>
      </w:r>
      <w:r w:rsidR="00982A8E" w:rsidRPr="004A37F6">
        <w:rPr>
          <w:rFonts w:ascii="Times New Roman" w:hAnsi="Times New Roman" w:cs="Times New Roman"/>
          <w:sz w:val="20"/>
          <w:szCs w:val="20"/>
        </w:rPr>
        <w:t>.</w:t>
      </w:r>
      <w:r w:rsidR="007F39EF" w:rsidRPr="004A37F6">
        <w:rPr>
          <w:rFonts w:ascii="Times New Roman" w:hAnsi="Times New Roman" w:cs="Times New Roman"/>
          <w:sz w:val="20"/>
          <w:szCs w:val="20"/>
        </w:rPr>
        <w:t xml:space="preserve"> </w:t>
      </w:r>
      <w:r w:rsidR="00E0211F">
        <w:rPr>
          <w:rFonts w:ascii="Times New Roman" w:hAnsi="Times New Roman" w:cs="Times New Roman"/>
          <w:sz w:val="20"/>
          <w:szCs w:val="20"/>
        </w:rPr>
        <w:t>Accordingly, a</w:t>
      </w:r>
      <w:r w:rsidR="00F35A83" w:rsidRPr="004A37F6">
        <w:rPr>
          <w:rFonts w:ascii="Times New Roman" w:hAnsi="Times New Roman" w:cs="Times New Roman"/>
          <w:sz w:val="20"/>
          <w:szCs w:val="20"/>
        </w:rPr>
        <w:t>viation</w:t>
      </w:r>
      <w:r w:rsidR="007F39EF" w:rsidRPr="004A37F6">
        <w:rPr>
          <w:rFonts w:ascii="Times New Roman" w:hAnsi="Times New Roman" w:cs="Times New Roman"/>
          <w:sz w:val="20"/>
          <w:szCs w:val="20"/>
        </w:rPr>
        <w:t xml:space="preserve"> biofuels </w:t>
      </w:r>
      <w:r w:rsidR="006147B6" w:rsidRPr="004A37F6">
        <w:rPr>
          <w:rFonts w:ascii="Times New Roman" w:hAnsi="Times New Roman" w:cs="Times New Roman"/>
          <w:sz w:val="20"/>
          <w:szCs w:val="20"/>
        </w:rPr>
        <w:t xml:space="preserve">should be </w:t>
      </w:r>
      <w:r w:rsidR="00783E41" w:rsidRPr="004A37F6">
        <w:rPr>
          <w:rFonts w:ascii="Times New Roman" w:hAnsi="Times New Roman" w:cs="Times New Roman"/>
          <w:sz w:val="20"/>
          <w:szCs w:val="20"/>
        </w:rPr>
        <w:t>produced</w:t>
      </w:r>
      <w:r w:rsidR="00F35A83" w:rsidRPr="004A37F6">
        <w:rPr>
          <w:rFonts w:ascii="Times New Roman" w:hAnsi="Times New Roman" w:cs="Times New Roman"/>
          <w:sz w:val="20"/>
          <w:szCs w:val="20"/>
        </w:rPr>
        <w:t xml:space="preserve"> from resources</w:t>
      </w:r>
      <w:r w:rsidR="006A75A5">
        <w:rPr>
          <w:rFonts w:ascii="Times New Roman" w:hAnsi="Times New Roman" w:cs="Times New Roman"/>
          <w:sz w:val="20"/>
          <w:szCs w:val="20"/>
        </w:rPr>
        <w:t xml:space="preserve"> listed</w:t>
      </w:r>
      <w:r w:rsidR="00F35A83" w:rsidRPr="004A37F6">
        <w:rPr>
          <w:rFonts w:ascii="Times New Roman" w:hAnsi="Times New Roman" w:cs="Times New Roman"/>
          <w:sz w:val="20"/>
          <w:szCs w:val="20"/>
        </w:rPr>
        <w:t xml:space="preserve"> in Annex IX of the </w:t>
      </w:r>
      <w:r w:rsidR="00A46C4B">
        <w:rPr>
          <w:rFonts w:ascii="Times New Roman" w:hAnsi="Times New Roman" w:cs="Times New Roman"/>
          <w:sz w:val="20"/>
          <w:szCs w:val="20"/>
        </w:rPr>
        <w:t xml:space="preserve">EU </w:t>
      </w:r>
      <w:r w:rsidR="00F35A83" w:rsidRPr="004A37F6">
        <w:rPr>
          <w:rFonts w:ascii="Times New Roman" w:hAnsi="Times New Roman" w:cs="Times New Roman"/>
          <w:sz w:val="20"/>
          <w:szCs w:val="20"/>
        </w:rPr>
        <w:t>RED-II</w:t>
      </w:r>
      <w:r w:rsidR="00F47471" w:rsidRPr="004A37F6">
        <w:rPr>
          <w:rFonts w:ascii="Times New Roman" w:hAnsi="Times New Roman" w:cs="Times New Roman"/>
          <w:sz w:val="20"/>
          <w:szCs w:val="20"/>
        </w:rPr>
        <w:t xml:space="preserve"> </w:t>
      </w:r>
      <w:r w:rsidR="00F47471" w:rsidRPr="004A37F6">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f0S96qc3","properties":{"formattedCitation":"[254]","plainCitation":"[254]","noteIndex":0},"citationItems":[{"id":"968HXJ10/xbEzC1Al","uris":["http://www.mendeley.com/documents/?uuid=433b9649-1efe-42f5-8485-b931f3881960"],"uri":["http://www.mendeley.com/documents/?uuid=433b9649-1efe-42f5-8485-b931f3881960"],"itemData":{"author":[{"dropping-particle":"","family":"European Union.","given":"","non-dropping-particle":"","parse-names":false,"suffix":""}],"container-title":"Official Journal of the European Union","id":"ITEM-1","issue":"April 2009","issued":{"date-parts":[["2018"]]},"page":"1-128","title":"Directive (EU) 2018/2001 of the European Parliament and of the Council on the promotion of the use of energy from renewable sources","type":"article-journal","volume":"2018"}}],"schema":"https://github.com/citation-style-language/schema/raw/master/csl-citation.json"} </w:instrText>
      </w:r>
      <w:r w:rsidR="00F47471" w:rsidRPr="004A37F6">
        <w:rPr>
          <w:rFonts w:ascii="Times New Roman" w:hAnsi="Times New Roman" w:cs="Times New Roman"/>
          <w:sz w:val="20"/>
          <w:szCs w:val="20"/>
        </w:rPr>
        <w:fldChar w:fldCharType="separate"/>
      </w:r>
      <w:r w:rsidR="00196B5E" w:rsidRPr="00196B5E">
        <w:rPr>
          <w:rFonts w:ascii="Times New Roman" w:hAnsi="Times New Roman" w:cs="Times New Roman"/>
          <w:sz w:val="20"/>
        </w:rPr>
        <w:t>[254]</w:t>
      </w:r>
      <w:r w:rsidR="00F47471" w:rsidRPr="004A37F6">
        <w:rPr>
          <w:rFonts w:ascii="Times New Roman" w:hAnsi="Times New Roman" w:cs="Times New Roman"/>
          <w:sz w:val="20"/>
          <w:szCs w:val="20"/>
        </w:rPr>
        <w:fldChar w:fldCharType="end"/>
      </w:r>
      <w:r w:rsidR="00F35A83" w:rsidRPr="004A37F6">
        <w:rPr>
          <w:rFonts w:ascii="Times New Roman" w:hAnsi="Times New Roman" w:cs="Times New Roman"/>
          <w:sz w:val="20"/>
          <w:szCs w:val="20"/>
        </w:rPr>
        <w:t xml:space="preserve">. </w:t>
      </w:r>
      <w:r w:rsidR="00FF1C92" w:rsidRPr="004A37F6">
        <w:rPr>
          <w:rFonts w:ascii="Times New Roman" w:hAnsi="Times New Roman" w:cs="Times New Roman"/>
          <w:sz w:val="20"/>
          <w:szCs w:val="20"/>
        </w:rPr>
        <w:t xml:space="preserve">The </w:t>
      </w:r>
      <w:r w:rsidR="003028BC" w:rsidRPr="004A37F6">
        <w:rPr>
          <w:rFonts w:ascii="Times New Roman" w:hAnsi="Times New Roman" w:cs="Times New Roman"/>
          <w:sz w:val="20"/>
          <w:szCs w:val="20"/>
        </w:rPr>
        <w:t xml:space="preserve">HRJ/HEFA </w:t>
      </w:r>
      <w:r w:rsidR="0083225C" w:rsidRPr="004A37F6">
        <w:rPr>
          <w:rFonts w:ascii="Times New Roman" w:hAnsi="Times New Roman" w:cs="Times New Roman"/>
          <w:sz w:val="20"/>
          <w:szCs w:val="20"/>
        </w:rPr>
        <w:t>from WCO</w:t>
      </w:r>
      <w:r w:rsidR="006A75A5">
        <w:rPr>
          <w:rFonts w:ascii="Times New Roman" w:hAnsi="Times New Roman" w:cs="Times New Roman"/>
          <w:sz w:val="20"/>
          <w:szCs w:val="20"/>
        </w:rPr>
        <w:t>, being a mature technology,</w:t>
      </w:r>
      <w:r w:rsidR="00DF0090" w:rsidRPr="004A37F6">
        <w:rPr>
          <w:rFonts w:ascii="Times New Roman" w:hAnsi="Times New Roman" w:cs="Times New Roman"/>
          <w:sz w:val="20"/>
          <w:szCs w:val="20"/>
        </w:rPr>
        <w:t xml:space="preserve"> </w:t>
      </w:r>
      <w:r w:rsidR="003028BC" w:rsidRPr="004A37F6">
        <w:rPr>
          <w:rFonts w:ascii="Times New Roman" w:hAnsi="Times New Roman" w:cs="Times New Roman"/>
          <w:sz w:val="20"/>
          <w:szCs w:val="20"/>
        </w:rPr>
        <w:t>is the pathway</w:t>
      </w:r>
      <w:r w:rsidR="006A75A5">
        <w:rPr>
          <w:rFonts w:ascii="Times New Roman" w:hAnsi="Times New Roman" w:cs="Times New Roman"/>
          <w:sz w:val="20"/>
          <w:szCs w:val="20"/>
        </w:rPr>
        <w:t xml:space="preserve"> that received the most focus</w:t>
      </w:r>
      <w:r w:rsidR="00DF0090" w:rsidRPr="004A37F6">
        <w:rPr>
          <w:rFonts w:ascii="Times New Roman" w:hAnsi="Times New Roman" w:cs="Times New Roman"/>
          <w:sz w:val="20"/>
          <w:szCs w:val="20"/>
        </w:rPr>
        <w:t>, starting production in 2020</w:t>
      </w:r>
      <w:r w:rsidR="003028BC" w:rsidRPr="004A37F6">
        <w:rPr>
          <w:rFonts w:ascii="Times New Roman" w:hAnsi="Times New Roman" w:cs="Times New Roman"/>
          <w:sz w:val="20"/>
          <w:szCs w:val="20"/>
        </w:rPr>
        <w:t xml:space="preserve">. </w:t>
      </w:r>
      <w:r w:rsidR="006A75A5">
        <w:rPr>
          <w:rFonts w:ascii="Times New Roman" w:hAnsi="Times New Roman" w:cs="Times New Roman"/>
          <w:sz w:val="20"/>
          <w:szCs w:val="20"/>
        </w:rPr>
        <w:t>At the</w:t>
      </w:r>
      <w:r w:rsidR="002B169A" w:rsidRPr="004A37F6">
        <w:rPr>
          <w:rFonts w:ascii="Times New Roman" w:hAnsi="Times New Roman" w:cs="Times New Roman"/>
          <w:sz w:val="20"/>
          <w:szCs w:val="20"/>
        </w:rPr>
        <w:t xml:space="preserve"> 2050</w:t>
      </w:r>
      <w:r w:rsidR="006A75A5">
        <w:rPr>
          <w:rFonts w:ascii="Times New Roman" w:hAnsi="Times New Roman" w:cs="Times New Roman"/>
          <w:sz w:val="20"/>
          <w:szCs w:val="20"/>
        </w:rPr>
        <w:t xml:space="preserve"> horizon</w:t>
      </w:r>
      <w:r w:rsidR="002B169A" w:rsidRPr="004A37F6">
        <w:rPr>
          <w:rFonts w:ascii="Times New Roman" w:hAnsi="Times New Roman" w:cs="Times New Roman"/>
          <w:sz w:val="20"/>
          <w:szCs w:val="20"/>
        </w:rPr>
        <w:t>, alternative liquid fuels from other advanced pathways (both aviation biofuels and electrofuels) are considered to substitu</w:t>
      </w:r>
      <w:r w:rsidR="00F47471" w:rsidRPr="004A37F6">
        <w:rPr>
          <w:rFonts w:ascii="Times New Roman" w:hAnsi="Times New Roman" w:cs="Times New Roman"/>
          <w:sz w:val="20"/>
          <w:szCs w:val="20"/>
        </w:rPr>
        <w:t>te 50% of conventional kerosene</w:t>
      </w:r>
      <w:r w:rsidR="00AC421A" w:rsidRPr="004A37F6">
        <w:rPr>
          <w:rFonts w:ascii="Times New Roman" w:hAnsi="Times New Roman" w:cs="Times New Roman"/>
          <w:sz w:val="20"/>
          <w:szCs w:val="20"/>
        </w:rPr>
        <w:t xml:space="preserve"> </w:t>
      </w:r>
      <w:r w:rsidR="00AC421A" w:rsidRPr="004A37F6">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p1mfx8yH","properties":{"formattedCitation":"[268]","plainCitation":"[268]","noteIndex":0},"citationItems":[{"id":"968HXJ10/Td2vyvNi","uris":["http://www.mendeley.com/documents/?uuid=b143a996-fe1d-4561-9b6d-17e70e33fd27"],"uri":["http://www.mendeley.com/documents/?uuid=b143a996-fe1d-4561-9b6d-17e70e33fd27"],"itemData":{"author":[{"dropping-particle":"","family":"Ministry of Ecological and Solidarity Transition","given":"","non-dropping-particle":"","parse-names":false,"suffix":""},{"dropping-particle":"","family":"Ministry in Charge of Transport","given":"","non-dropping-particle":"","parse-names":false,"suffix":""},{"dropping-particle":"","family":"Ministry of Agriculture and Food","given":"","non-dropping-particle":"","parse-names":false,"suffix":""}],"id":"ITEM-1","issued":{"date-parts":[["0"]]},"number-of-pages":"1-7","title":"Feuille de route française pour le déploiement des biocarburants aéronautiques durables","type":"report"}}],"schema":"https://github.com/citation-style-language/schema/raw/master/csl-citation.json"} </w:instrText>
      </w:r>
      <w:r w:rsidR="00AC421A" w:rsidRPr="004A37F6">
        <w:rPr>
          <w:rFonts w:ascii="Times New Roman" w:hAnsi="Times New Roman" w:cs="Times New Roman"/>
          <w:sz w:val="20"/>
          <w:szCs w:val="20"/>
        </w:rPr>
        <w:fldChar w:fldCharType="separate"/>
      </w:r>
      <w:r w:rsidR="00196B5E" w:rsidRPr="00196B5E">
        <w:rPr>
          <w:rFonts w:ascii="Times New Roman" w:hAnsi="Times New Roman" w:cs="Times New Roman"/>
          <w:sz w:val="20"/>
        </w:rPr>
        <w:t>[268]</w:t>
      </w:r>
      <w:r w:rsidR="00AC421A" w:rsidRPr="004A37F6">
        <w:rPr>
          <w:rFonts w:ascii="Times New Roman" w:hAnsi="Times New Roman" w:cs="Times New Roman"/>
          <w:sz w:val="20"/>
          <w:szCs w:val="20"/>
        </w:rPr>
        <w:fldChar w:fldCharType="end"/>
      </w:r>
      <w:r w:rsidR="00F47471" w:rsidRPr="004A37F6">
        <w:rPr>
          <w:rFonts w:ascii="Times New Roman" w:hAnsi="Times New Roman" w:cs="Times New Roman"/>
          <w:sz w:val="20"/>
          <w:szCs w:val="20"/>
        </w:rPr>
        <w:t>.</w:t>
      </w:r>
      <w:r w:rsidR="00515664" w:rsidRPr="004A37F6">
        <w:rPr>
          <w:rFonts w:ascii="Times New Roman" w:hAnsi="Times New Roman" w:cs="Times New Roman"/>
          <w:sz w:val="20"/>
          <w:szCs w:val="20"/>
        </w:rPr>
        <w:t xml:space="preserve"> </w:t>
      </w:r>
    </w:p>
    <w:p w14:paraId="2DFC5CDA" w14:textId="0065AE2B" w:rsidR="00B9127D" w:rsidRPr="004D19FF" w:rsidRDefault="006A75A5" w:rsidP="00BC4779">
      <w:pPr>
        <w:spacing w:after="120" w:line="276" w:lineRule="auto"/>
        <w:jc w:val="both"/>
        <w:rPr>
          <w:rFonts w:ascii="Times New Roman" w:hAnsi="Times New Roman" w:cs="Times New Roman"/>
          <w:sz w:val="20"/>
          <w:szCs w:val="20"/>
        </w:rPr>
      </w:pPr>
      <w:r>
        <w:rPr>
          <w:rFonts w:ascii="Times New Roman" w:hAnsi="Times New Roman" w:cs="Times New Roman"/>
          <w:sz w:val="20"/>
          <w:szCs w:val="20"/>
        </w:rPr>
        <w:t>In addition</w:t>
      </w:r>
      <w:r w:rsidR="005754CE" w:rsidRPr="00EC063E">
        <w:rPr>
          <w:rFonts w:ascii="Times New Roman" w:hAnsi="Times New Roman" w:cs="Times New Roman"/>
          <w:sz w:val="20"/>
          <w:szCs w:val="20"/>
        </w:rPr>
        <w:t>, in early 2020,</w:t>
      </w:r>
      <w:r w:rsidR="0091487F" w:rsidRPr="00EC063E">
        <w:rPr>
          <w:rFonts w:ascii="Times New Roman" w:hAnsi="Times New Roman" w:cs="Times New Roman"/>
          <w:sz w:val="20"/>
          <w:szCs w:val="20"/>
        </w:rPr>
        <w:t xml:space="preserve"> </w:t>
      </w:r>
      <w:r>
        <w:rPr>
          <w:rFonts w:ascii="Times New Roman" w:hAnsi="Times New Roman" w:cs="Times New Roman"/>
          <w:sz w:val="20"/>
          <w:szCs w:val="20"/>
        </w:rPr>
        <w:t xml:space="preserve">French </w:t>
      </w:r>
      <w:r w:rsidR="0091487F" w:rsidRPr="00EC063E">
        <w:rPr>
          <w:rFonts w:ascii="Times New Roman" w:hAnsi="Times New Roman" w:cs="Times New Roman"/>
          <w:sz w:val="20"/>
          <w:szCs w:val="20"/>
        </w:rPr>
        <w:t xml:space="preserve">government officials announced an additional 1.5 billion euros </w:t>
      </w:r>
      <w:r w:rsidR="00980253" w:rsidRPr="00EC063E">
        <w:rPr>
          <w:rFonts w:ascii="Times New Roman" w:hAnsi="Times New Roman" w:cs="Times New Roman"/>
          <w:sz w:val="20"/>
          <w:szCs w:val="20"/>
        </w:rPr>
        <w:t>aid from COVID-19 pandemic</w:t>
      </w:r>
      <w:r w:rsidR="0091487F" w:rsidRPr="00EC063E">
        <w:rPr>
          <w:rFonts w:ascii="Times New Roman" w:hAnsi="Times New Roman" w:cs="Times New Roman"/>
          <w:sz w:val="20"/>
          <w:szCs w:val="20"/>
        </w:rPr>
        <w:t xml:space="preserve"> </w:t>
      </w:r>
      <w:r w:rsidR="0091487F" w:rsidRPr="00EC063E">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l0f39fME","properties":{"formattedCitation":"[269]","plainCitation":"[269]","noteIndex":0},"citationItems":[{"id":"968HXJ10/DpmvzuXE","uris":["http://www.mendeley.com/documents/?uuid=c455f5f8-ff1a-335c-83bc-4e13c7677fd5"],"uri":["http://www.mendeley.com/documents/?uuid=c455f5f8-ff1a-335c-83bc-4e13c7677fd5"],"itemData":{"URL":"https://www.economie.gouv.fr/plan-soutien-aeronautique#","accessed":{"date-parts":[["2020","11","10"]]},"id":"ITEM-1","issued":{"date-parts":[["0"]]},"title":"Présentation du plan de soutien à l’aéronautique | economie.gouv.fr","type":"webpage"}}],"schema":"https://github.com/citation-style-language/schema/raw/master/csl-citation.json"} </w:instrText>
      </w:r>
      <w:r w:rsidR="0091487F" w:rsidRPr="00EC063E">
        <w:rPr>
          <w:rFonts w:ascii="Times New Roman" w:hAnsi="Times New Roman" w:cs="Times New Roman"/>
          <w:sz w:val="20"/>
          <w:szCs w:val="20"/>
        </w:rPr>
        <w:fldChar w:fldCharType="separate"/>
      </w:r>
      <w:r w:rsidR="00196B5E" w:rsidRPr="00196B5E">
        <w:rPr>
          <w:rFonts w:ascii="Times New Roman" w:hAnsi="Times New Roman" w:cs="Times New Roman"/>
          <w:sz w:val="20"/>
        </w:rPr>
        <w:t>[269]</w:t>
      </w:r>
      <w:r w:rsidR="0091487F" w:rsidRPr="00EC063E">
        <w:rPr>
          <w:rFonts w:ascii="Times New Roman" w:hAnsi="Times New Roman" w:cs="Times New Roman"/>
          <w:sz w:val="20"/>
          <w:szCs w:val="20"/>
        </w:rPr>
        <w:fldChar w:fldCharType="end"/>
      </w:r>
      <w:r>
        <w:rPr>
          <w:rFonts w:ascii="Times New Roman" w:hAnsi="Times New Roman" w:cs="Times New Roman"/>
          <w:sz w:val="20"/>
          <w:szCs w:val="20"/>
        </w:rPr>
        <w:t>, with about</w:t>
      </w:r>
      <w:r w:rsidR="00D41B2F" w:rsidRPr="00EC063E">
        <w:rPr>
          <w:rFonts w:ascii="Times New Roman" w:hAnsi="Times New Roman" w:cs="Times New Roman"/>
          <w:sz w:val="20"/>
          <w:szCs w:val="20"/>
        </w:rPr>
        <w:t xml:space="preserve"> half</w:t>
      </w:r>
      <w:r>
        <w:rPr>
          <w:rFonts w:ascii="Times New Roman" w:hAnsi="Times New Roman" w:cs="Times New Roman"/>
          <w:sz w:val="20"/>
          <w:szCs w:val="20"/>
        </w:rPr>
        <w:t xml:space="preserve"> of the</w:t>
      </w:r>
      <w:r w:rsidR="00D41B2F" w:rsidRPr="00EC063E">
        <w:rPr>
          <w:rFonts w:ascii="Times New Roman" w:hAnsi="Times New Roman" w:cs="Times New Roman"/>
          <w:sz w:val="20"/>
          <w:szCs w:val="20"/>
        </w:rPr>
        <w:t xml:space="preserve"> funds to support research and development into cleaner aviation technologies, for </w:t>
      </w:r>
      <w:r w:rsidR="00840E8B" w:rsidRPr="00EC063E">
        <w:rPr>
          <w:rFonts w:ascii="Times New Roman" w:hAnsi="Times New Roman" w:cs="Times New Roman"/>
          <w:sz w:val="20"/>
          <w:szCs w:val="20"/>
        </w:rPr>
        <w:t>instance</w:t>
      </w:r>
      <w:r w:rsidR="00D41B2F" w:rsidRPr="00EC063E">
        <w:rPr>
          <w:rFonts w:ascii="Times New Roman" w:hAnsi="Times New Roman" w:cs="Times New Roman"/>
          <w:sz w:val="20"/>
          <w:szCs w:val="20"/>
        </w:rPr>
        <w:t xml:space="preserve">, the </w:t>
      </w:r>
      <w:r w:rsidR="004E3550" w:rsidRPr="00EC063E">
        <w:rPr>
          <w:rFonts w:ascii="Times New Roman" w:hAnsi="Times New Roman" w:cs="Times New Roman"/>
          <w:sz w:val="20"/>
          <w:szCs w:val="20"/>
        </w:rPr>
        <w:t>improvement of engine efficiency</w:t>
      </w:r>
      <w:r w:rsidR="00D41B2F" w:rsidRPr="00EC063E">
        <w:rPr>
          <w:rFonts w:ascii="Times New Roman" w:hAnsi="Times New Roman" w:cs="Times New Roman"/>
          <w:sz w:val="20"/>
          <w:szCs w:val="20"/>
        </w:rPr>
        <w:t xml:space="preserve"> </w:t>
      </w:r>
      <w:r w:rsidR="003D44B9" w:rsidRPr="00EC063E">
        <w:rPr>
          <w:rFonts w:ascii="Times New Roman" w:hAnsi="Times New Roman" w:cs="Times New Roman"/>
          <w:sz w:val="20"/>
          <w:szCs w:val="20"/>
        </w:rPr>
        <w:t xml:space="preserve">with a </w:t>
      </w:r>
      <w:r w:rsidR="00D41B2F" w:rsidRPr="00EC063E">
        <w:rPr>
          <w:rFonts w:ascii="Times New Roman" w:hAnsi="Times New Roman" w:cs="Times New Roman"/>
          <w:sz w:val="20"/>
          <w:szCs w:val="20"/>
        </w:rPr>
        <w:t xml:space="preserve">30% </w:t>
      </w:r>
      <w:r w:rsidR="003D44B9" w:rsidRPr="00EC063E">
        <w:rPr>
          <w:rFonts w:ascii="Times New Roman" w:hAnsi="Times New Roman" w:cs="Times New Roman"/>
          <w:sz w:val="20"/>
          <w:szCs w:val="20"/>
        </w:rPr>
        <w:t>reduction in fuel consumption</w:t>
      </w:r>
      <w:r w:rsidR="001736A6" w:rsidRPr="00EC063E">
        <w:rPr>
          <w:rFonts w:ascii="Times New Roman" w:hAnsi="Times New Roman" w:cs="Times New Roman"/>
          <w:sz w:val="20"/>
          <w:szCs w:val="20"/>
        </w:rPr>
        <w:t xml:space="preserve"> for the early 2030s. </w:t>
      </w:r>
      <w:r w:rsidR="008575E4">
        <w:rPr>
          <w:rFonts w:ascii="Times New Roman" w:hAnsi="Times New Roman" w:cs="Times New Roman"/>
          <w:sz w:val="20"/>
          <w:szCs w:val="20"/>
        </w:rPr>
        <w:t>Investments into t</w:t>
      </w:r>
      <w:r w:rsidR="00B9127D" w:rsidRPr="00EC063E">
        <w:rPr>
          <w:rFonts w:ascii="Times New Roman" w:hAnsi="Times New Roman" w:cs="Times New Roman"/>
          <w:sz w:val="20"/>
          <w:szCs w:val="20"/>
        </w:rPr>
        <w:t>ransition to electric</w:t>
      </w:r>
      <w:r>
        <w:rPr>
          <w:rFonts w:ascii="Times New Roman" w:hAnsi="Times New Roman" w:cs="Times New Roman"/>
          <w:sz w:val="20"/>
          <w:szCs w:val="20"/>
        </w:rPr>
        <w:t>- and hydrogen-</w:t>
      </w:r>
      <w:r w:rsidR="008575E4">
        <w:rPr>
          <w:rFonts w:ascii="Times New Roman" w:hAnsi="Times New Roman" w:cs="Times New Roman"/>
          <w:sz w:val="20"/>
          <w:szCs w:val="20"/>
        </w:rPr>
        <w:t>powered aviation have</w:t>
      </w:r>
      <w:r w:rsidR="00B2327D">
        <w:rPr>
          <w:rFonts w:ascii="Times New Roman" w:hAnsi="Times New Roman" w:cs="Times New Roman"/>
          <w:sz w:val="20"/>
          <w:szCs w:val="20"/>
        </w:rPr>
        <w:t xml:space="preserve"> been mentioned</w:t>
      </w:r>
      <w:r>
        <w:rPr>
          <w:rFonts w:ascii="Times New Roman" w:hAnsi="Times New Roman" w:cs="Times New Roman"/>
          <w:sz w:val="20"/>
          <w:szCs w:val="20"/>
        </w:rPr>
        <w:t>, along with</w:t>
      </w:r>
      <w:r w:rsidR="00B9127D" w:rsidRPr="00EC063E">
        <w:rPr>
          <w:rFonts w:ascii="Times New Roman" w:hAnsi="Times New Roman" w:cs="Times New Roman"/>
          <w:sz w:val="20"/>
          <w:szCs w:val="20"/>
        </w:rPr>
        <w:t xml:space="preserve"> the advancement of biofuel/electrofuel in order to </w:t>
      </w:r>
      <w:r>
        <w:rPr>
          <w:rFonts w:ascii="Times New Roman" w:hAnsi="Times New Roman" w:cs="Times New Roman"/>
          <w:sz w:val="20"/>
          <w:szCs w:val="20"/>
        </w:rPr>
        <w:t>reduce</w:t>
      </w:r>
      <w:r w:rsidR="00B9127D" w:rsidRPr="00EC063E">
        <w:rPr>
          <w:rFonts w:ascii="Times New Roman" w:hAnsi="Times New Roman" w:cs="Times New Roman"/>
          <w:sz w:val="20"/>
          <w:szCs w:val="20"/>
        </w:rPr>
        <w:t xml:space="preserve"> GHG </w:t>
      </w:r>
      <w:r w:rsidR="00B9127D" w:rsidRPr="004A37F6">
        <w:rPr>
          <w:rFonts w:ascii="Times New Roman" w:hAnsi="Times New Roman" w:cs="Times New Roman"/>
          <w:sz w:val="20"/>
          <w:szCs w:val="20"/>
        </w:rPr>
        <w:t xml:space="preserve">emissions </w:t>
      </w:r>
      <w:r w:rsidR="00B9127D" w:rsidRPr="004A37F6">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uKC4J7T9","properties":{"formattedCitation":"[269]","plainCitation":"[269]","noteIndex":0},"citationItems":[{"id":"968HXJ10/DpmvzuXE","uris":["http://www.mendeley.com/documents/?uuid=c455f5f8-ff1a-335c-83bc-4e13c7677fd5"],"uri":["http://www.mendeley.com/documents/?uuid=c455f5f8-ff1a-335c-83bc-4e13c7677fd5"],"itemData":{"URL":"https://www.economie.gouv.fr/plan-soutien-aeronautique#","accessed":{"date-parts":[["2020","11","10"]]},"id":"ITEM-1","issued":{"date-parts":[["0"]]},"title":"Présentation du plan de soutien à l’aéronautique | economie.gouv.fr","type":"webpage"}}],"schema":"https://github.com/citation-style-language/schema/raw/master/csl-citation.json"} </w:instrText>
      </w:r>
      <w:r w:rsidR="00B9127D" w:rsidRPr="004A37F6">
        <w:rPr>
          <w:rFonts w:ascii="Times New Roman" w:hAnsi="Times New Roman" w:cs="Times New Roman"/>
          <w:sz w:val="20"/>
          <w:szCs w:val="20"/>
        </w:rPr>
        <w:fldChar w:fldCharType="separate"/>
      </w:r>
      <w:r w:rsidR="00196B5E" w:rsidRPr="00196B5E">
        <w:rPr>
          <w:rFonts w:ascii="Times New Roman" w:hAnsi="Times New Roman" w:cs="Times New Roman"/>
          <w:sz w:val="20"/>
        </w:rPr>
        <w:t>[269]</w:t>
      </w:r>
      <w:r w:rsidR="00B9127D" w:rsidRPr="004A37F6">
        <w:rPr>
          <w:rFonts w:ascii="Times New Roman" w:hAnsi="Times New Roman" w:cs="Times New Roman"/>
          <w:sz w:val="20"/>
          <w:szCs w:val="20"/>
        </w:rPr>
        <w:fldChar w:fldCharType="end"/>
      </w:r>
      <w:r w:rsidR="00B9127D" w:rsidRPr="004A37F6">
        <w:rPr>
          <w:rFonts w:ascii="Times New Roman" w:hAnsi="Times New Roman" w:cs="Times New Roman"/>
          <w:sz w:val="20"/>
          <w:szCs w:val="20"/>
        </w:rPr>
        <w:t>.</w:t>
      </w:r>
      <w:r w:rsidR="00B9127D" w:rsidRPr="004D19FF">
        <w:rPr>
          <w:rFonts w:ascii="Times New Roman" w:hAnsi="Times New Roman" w:cs="Times New Roman"/>
          <w:sz w:val="20"/>
          <w:szCs w:val="20"/>
        </w:rPr>
        <w:t xml:space="preserve"> </w:t>
      </w:r>
    </w:p>
    <w:p w14:paraId="4582EFB0" w14:textId="77777777" w:rsidR="00233BF3" w:rsidRPr="004D19FF" w:rsidRDefault="0055183C" w:rsidP="00BC4779">
      <w:pPr>
        <w:spacing w:after="120" w:line="276" w:lineRule="auto"/>
        <w:jc w:val="thaiDistribute"/>
        <w:rPr>
          <w:rFonts w:ascii="Times New Roman" w:hAnsi="Times New Roman" w:cs="Times New Roman"/>
          <w:i/>
          <w:sz w:val="20"/>
          <w:szCs w:val="20"/>
        </w:rPr>
      </w:pPr>
      <w:r w:rsidRPr="004D19FF">
        <w:rPr>
          <w:rFonts w:ascii="Times New Roman" w:hAnsi="Times New Roman" w:cs="Times New Roman"/>
          <w:i/>
          <w:sz w:val="20"/>
          <w:szCs w:val="20"/>
        </w:rPr>
        <w:t>6</w:t>
      </w:r>
      <w:r w:rsidR="00450885">
        <w:rPr>
          <w:rFonts w:ascii="Times New Roman" w:hAnsi="Times New Roman" w:cs="Times New Roman"/>
          <w:i/>
          <w:sz w:val="20"/>
          <w:szCs w:val="20"/>
        </w:rPr>
        <w:t>.6</w:t>
      </w:r>
      <w:r w:rsidR="008177DA" w:rsidRPr="004D19FF">
        <w:rPr>
          <w:rFonts w:ascii="Times New Roman" w:hAnsi="Times New Roman" w:cs="Times New Roman"/>
          <w:i/>
          <w:sz w:val="20"/>
          <w:szCs w:val="20"/>
        </w:rPr>
        <w:t xml:space="preserve"> </w:t>
      </w:r>
      <w:r w:rsidR="00233BF3" w:rsidRPr="004D19FF">
        <w:rPr>
          <w:rFonts w:ascii="Times New Roman" w:hAnsi="Times New Roman" w:cs="Times New Roman"/>
          <w:i/>
          <w:sz w:val="20"/>
          <w:szCs w:val="20"/>
        </w:rPr>
        <w:t>Carbon Offsetting and Reduction Scheme for International Aviation (CORSIA)</w:t>
      </w:r>
    </w:p>
    <w:p w14:paraId="4B321146" w14:textId="619BB1BF" w:rsidR="00AD6775" w:rsidRPr="004D19FF" w:rsidRDefault="00BE2C28" w:rsidP="00BC4779">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t xml:space="preserve">It was launched in 2016 by </w:t>
      </w:r>
      <w:r w:rsidR="00294CF5">
        <w:rPr>
          <w:rFonts w:ascii="Times New Roman" w:hAnsi="Times New Roman" w:cs="Times New Roman"/>
          <w:sz w:val="20"/>
          <w:szCs w:val="20"/>
        </w:rPr>
        <w:t>ICAO</w:t>
      </w:r>
      <w:r w:rsidRPr="004D19FF">
        <w:rPr>
          <w:rFonts w:ascii="Times New Roman" w:hAnsi="Times New Roman" w:cs="Times New Roman"/>
          <w:sz w:val="20"/>
          <w:szCs w:val="20"/>
        </w:rPr>
        <w:t xml:space="preserve"> in the endeavor of meeting international goals in terms of GHG mitigation. The aviation industry organ</w:t>
      </w:r>
      <w:r w:rsidR="00510D67">
        <w:rPr>
          <w:rFonts w:ascii="Times New Roman" w:hAnsi="Times New Roman" w:cs="Times New Roman"/>
          <w:sz w:val="20"/>
          <w:szCs w:val="20"/>
        </w:rPr>
        <w:t xml:space="preserve">izations including IATA and </w:t>
      </w:r>
      <w:r w:rsidR="007C56E7">
        <w:rPr>
          <w:rFonts w:ascii="Times New Roman" w:hAnsi="Times New Roman" w:cs="Times New Roman"/>
          <w:sz w:val="20"/>
          <w:szCs w:val="20"/>
        </w:rPr>
        <w:t>ATAG</w:t>
      </w:r>
      <w:r w:rsidRPr="004D19FF">
        <w:rPr>
          <w:rFonts w:ascii="Times New Roman" w:hAnsi="Times New Roman" w:cs="Times New Roman"/>
          <w:sz w:val="20"/>
          <w:szCs w:val="20"/>
        </w:rPr>
        <w:t xml:space="preserve"> have set goals of CO</w:t>
      </w:r>
      <w:r w:rsidRPr="004D19FF">
        <w:rPr>
          <w:rFonts w:ascii="Times New Roman" w:hAnsi="Times New Roman" w:cs="Times New Roman"/>
          <w:sz w:val="20"/>
          <w:szCs w:val="20"/>
          <w:vertAlign w:val="subscript"/>
        </w:rPr>
        <w:t>2</w:t>
      </w:r>
      <w:r w:rsidRPr="004D19FF">
        <w:rPr>
          <w:rFonts w:ascii="Times New Roman" w:hAnsi="Times New Roman" w:cs="Times New Roman"/>
          <w:sz w:val="20"/>
          <w:szCs w:val="20"/>
        </w:rPr>
        <w:t xml:space="preserve"> emission reduction by 50% </w:t>
      </w:r>
      <w:r w:rsidR="00297250">
        <w:rPr>
          <w:rFonts w:ascii="Times New Roman" w:hAnsi="Times New Roman" w:cs="Times New Roman"/>
          <w:sz w:val="20"/>
          <w:szCs w:val="20"/>
        </w:rPr>
        <w:t>in 2050 (relative to 2005 level</w:t>
      </w:r>
      <w:r w:rsidRPr="004D19FF">
        <w:rPr>
          <w:rFonts w:ascii="Times New Roman" w:hAnsi="Times New Roman" w:cs="Times New Roman"/>
          <w:sz w:val="20"/>
          <w:szCs w:val="20"/>
        </w:rPr>
        <w:t xml:space="preserve">). </w:t>
      </w:r>
      <w:r w:rsidR="00BC1E1C" w:rsidRPr="004D19FF">
        <w:rPr>
          <w:rFonts w:ascii="Times New Roman" w:hAnsi="Times New Roman" w:cs="Times New Roman"/>
          <w:sz w:val="20"/>
          <w:szCs w:val="20"/>
        </w:rPr>
        <w:t xml:space="preserve">It covers all states that are ICAO members. CORSIA aims </w:t>
      </w:r>
      <w:r w:rsidR="00233BF3" w:rsidRPr="004D19FF">
        <w:rPr>
          <w:rFonts w:ascii="Times New Roman" w:hAnsi="Times New Roman" w:cs="Times New Roman"/>
          <w:sz w:val="20"/>
          <w:szCs w:val="20"/>
        </w:rPr>
        <w:t xml:space="preserve">to offset the emission from international aviation that is not covered under the Paris Agreement. </w:t>
      </w:r>
      <w:r w:rsidR="00B841DC" w:rsidRPr="004D19FF">
        <w:rPr>
          <w:rFonts w:ascii="Times New Roman" w:hAnsi="Times New Roman" w:cs="Times New Roman"/>
          <w:sz w:val="20"/>
          <w:szCs w:val="20"/>
        </w:rPr>
        <w:t>The aircraft operators wi</w:t>
      </w:r>
      <w:r w:rsidR="00283DAE" w:rsidRPr="004D19FF">
        <w:rPr>
          <w:rFonts w:ascii="Times New Roman" w:hAnsi="Times New Roman" w:cs="Times New Roman"/>
          <w:sz w:val="20"/>
          <w:szCs w:val="20"/>
        </w:rPr>
        <w:t xml:space="preserve">th emissions greater than 10,000 tonnes </w:t>
      </w:r>
      <w:r w:rsidR="00501F71">
        <w:rPr>
          <w:rFonts w:ascii="Times New Roman" w:hAnsi="Times New Roman" w:cs="Times New Roman"/>
          <w:sz w:val="20"/>
          <w:szCs w:val="20"/>
        </w:rPr>
        <w:t>CO</w:t>
      </w:r>
      <w:r w:rsidR="00501F71" w:rsidRPr="00501F71">
        <w:rPr>
          <w:rFonts w:ascii="Times New Roman" w:hAnsi="Times New Roman" w:cs="Times New Roman"/>
          <w:sz w:val="20"/>
          <w:szCs w:val="20"/>
          <w:vertAlign w:val="subscript"/>
        </w:rPr>
        <w:t>2</w:t>
      </w:r>
      <w:r w:rsidR="00501F71">
        <w:rPr>
          <w:rFonts w:ascii="Times New Roman" w:hAnsi="Times New Roman" w:cs="Times New Roman"/>
          <w:sz w:val="20"/>
          <w:szCs w:val="20"/>
        </w:rPr>
        <w:t xml:space="preserve"> </w:t>
      </w:r>
      <w:r w:rsidR="00C5677F">
        <w:rPr>
          <w:rFonts w:ascii="Times New Roman" w:hAnsi="Times New Roman" w:cs="Times New Roman"/>
          <w:sz w:val="20"/>
          <w:szCs w:val="20"/>
        </w:rPr>
        <w:t>need to prepare</w:t>
      </w:r>
      <w:r w:rsidR="00283DAE" w:rsidRPr="004D19FF">
        <w:rPr>
          <w:rFonts w:ascii="Times New Roman" w:hAnsi="Times New Roman" w:cs="Times New Roman"/>
          <w:sz w:val="20"/>
          <w:szCs w:val="20"/>
        </w:rPr>
        <w:t xml:space="preserve"> the emission monitoring plans and emission reports to </w:t>
      </w:r>
      <w:r w:rsidR="00482F84" w:rsidRPr="004D19FF">
        <w:rPr>
          <w:rFonts w:ascii="Times New Roman" w:hAnsi="Times New Roman" w:cs="Times New Roman"/>
          <w:sz w:val="20"/>
          <w:szCs w:val="20"/>
        </w:rPr>
        <w:t>verify</w:t>
      </w:r>
      <w:r w:rsidR="00283DAE" w:rsidRPr="004D19FF">
        <w:rPr>
          <w:rFonts w:ascii="Times New Roman" w:hAnsi="Times New Roman" w:cs="Times New Roman"/>
          <w:sz w:val="20"/>
          <w:szCs w:val="20"/>
        </w:rPr>
        <w:t xml:space="preserve"> all </w:t>
      </w:r>
      <w:r w:rsidR="00482F84" w:rsidRPr="004D19FF">
        <w:rPr>
          <w:rFonts w:ascii="Times New Roman" w:hAnsi="Times New Roman" w:cs="Times New Roman"/>
          <w:sz w:val="20"/>
          <w:szCs w:val="20"/>
        </w:rPr>
        <w:t xml:space="preserve">their </w:t>
      </w:r>
      <w:r w:rsidR="00283DAE" w:rsidRPr="004D19FF">
        <w:rPr>
          <w:rFonts w:ascii="Times New Roman" w:hAnsi="Times New Roman" w:cs="Times New Roman"/>
          <w:sz w:val="20"/>
          <w:szCs w:val="20"/>
        </w:rPr>
        <w:t xml:space="preserve">international </w:t>
      </w:r>
      <w:r w:rsidR="00283DAE" w:rsidRPr="004D19FF">
        <w:rPr>
          <w:rFonts w:ascii="Times New Roman" w:hAnsi="Times New Roman" w:cs="Times New Roman"/>
          <w:sz w:val="20"/>
          <w:szCs w:val="20"/>
        </w:rPr>
        <w:lastRenderedPageBreak/>
        <w:t xml:space="preserve">flights </w:t>
      </w:r>
      <w:r w:rsidR="00482F84" w:rsidRPr="004D19FF">
        <w:rPr>
          <w:rFonts w:ascii="Times New Roman" w:hAnsi="Times New Roman" w:cs="Times New Roman"/>
          <w:sz w:val="20"/>
          <w:szCs w:val="20"/>
        </w:rPr>
        <w:t>on an annual base,</w:t>
      </w:r>
      <w:r w:rsidR="00283DAE" w:rsidRPr="004D19FF">
        <w:rPr>
          <w:rFonts w:ascii="Times New Roman" w:hAnsi="Times New Roman" w:cs="Times New Roman"/>
          <w:sz w:val="20"/>
          <w:szCs w:val="20"/>
        </w:rPr>
        <w:t xml:space="preserve"> from 1 January 2019. Governments will collaborate with ICAO to inform the number of offset credits they require. The aircraft operators will be required to purchase the emissi</w:t>
      </w:r>
      <w:r w:rsidR="00750F49">
        <w:rPr>
          <w:rFonts w:ascii="Times New Roman" w:hAnsi="Times New Roman" w:cs="Times New Roman"/>
          <w:sz w:val="20"/>
          <w:szCs w:val="20"/>
        </w:rPr>
        <w:t>on</w:t>
      </w:r>
      <w:r w:rsidR="004C191F" w:rsidRPr="004D19FF">
        <w:rPr>
          <w:rFonts w:ascii="Times New Roman" w:hAnsi="Times New Roman" w:cs="Times New Roman"/>
          <w:sz w:val="20"/>
          <w:szCs w:val="20"/>
        </w:rPr>
        <w:t xml:space="preserve"> units in order to offset the</w:t>
      </w:r>
      <w:r w:rsidR="00283DAE" w:rsidRPr="004D19FF">
        <w:rPr>
          <w:rFonts w:ascii="Times New Roman" w:hAnsi="Times New Roman" w:cs="Times New Roman"/>
          <w:sz w:val="20"/>
          <w:szCs w:val="20"/>
        </w:rPr>
        <w:t xml:space="preserve"> CO</w:t>
      </w:r>
      <w:r w:rsidR="00283DAE" w:rsidRPr="004D19FF">
        <w:rPr>
          <w:rFonts w:ascii="Times New Roman" w:hAnsi="Times New Roman" w:cs="Times New Roman"/>
          <w:sz w:val="20"/>
          <w:szCs w:val="20"/>
          <w:vertAlign w:val="subscript"/>
        </w:rPr>
        <w:t>2</w:t>
      </w:r>
      <w:r w:rsidR="00283DAE" w:rsidRPr="004D19FF">
        <w:rPr>
          <w:rFonts w:ascii="Times New Roman" w:hAnsi="Times New Roman" w:cs="Times New Roman"/>
          <w:sz w:val="20"/>
          <w:szCs w:val="20"/>
        </w:rPr>
        <w:t xml:space="preserve"> emission</w:t>
      </w:r>
      <w:r w:rsidR="004C191F" w:rsidRPr="004D19FF">
        <w:rPr>
          <w:rFonts w:ascii="Times New Roman" w:hAnsi="Times New Roman" w:cs="Times New Roman"/>
          <w:sz w:val="20"/>
          <w:szCs w:val="20"/>
        </w:rPr>
        <w:t>s</w:t>
      </w:r>
      <w:r w:rsidR="00283DAE" w:rsidRPr="004D19FF">
        <w:rPr>
          <w:rFonts w:ascii="Times New Roman" w:hAnsi="Times New Roman" w:cs="Times New Roman"/>
          <w:sz w:val="20"/>
          <w:szCs w:val="20"/>
        </w:rPr>
        <w:t xml:space="preserve"> </w:t>
      </w:r>
      <w:r w:rsidR="004C191F" w:rsidRPr="004D19FF">
        <w:rPr>
          <w:rFonts w:ascii="Times New Roman" w:hAnsi="Times New Roman" w:cs="Times New Roman"/>
          <w:sz w:val="20"/>
          <w:szCs w:val="20"/>
        </w:rPr>
        <w:t>which exceed</w:t>
      </w:r>
      <w:r w:rsidR="00283DAE" w:rsidRPr="004D19FF">
        <w:rPr>
          <w:rFonts w:ascii="Times New Roman" w:hAnsi="Times New Roman" w:cs="Times New Roman"/>
          <w:sz w:val="20"/>
          <w:szCs w:val="20"/>
        </w:rPr>
        <w:t xml:space="preserve"> the 2019-2020 baseline</w:t>
      </w:r>
      <w:r w:rsidR="002051CD" w:rsidRPr="004D19FF">
        <w:rPr>
          <w:rFonts w:ascii="Times New Roman" w:hAnsi="Times New Roman" w:cs="Times New Roman"/>
          <w:sz w:val="20"/>
          <w:szCs w:val="20"/>
        </w:rPr>
        <w:t xml:space="preserve"> </w:t>
      </w:r>
      <w:r w:rsidR="002444FD"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rS5SgSlU","properties":{"formattedCitation":"[137]","plainCitation":"[137]","noteIndex":0},"citationItems":[{"id":"968HXJ10/kVf5wNDQ","uris":["http://www.mendeley.com/documents/?uuid=d1b6ea6b-b9ba-36af-805c-20b628a97f9e"],"uri":["http://www.mendeley.com/documents/?uuid=d1b6ea6b-b9ba-36af-805c-20b628a97f9e"],"itemData":{"URL":"https://www.atag.org/our-activities/sustainable-aviation-fuels.html","accessed":{"date-parts":[["2019","11","10"]]},"author":[{"dropping-particle":"","family":"ATAG","given":"","non-dropping-particle":"","parse-names":false,"suffix":""}],"id":"ITEM-1","issued":{"date-parts":[["2019"]]},"title":"Sustainable Aviation Fuel (SAF)","type":"webpage"}}],"schema":"https://github.com/citation-style-language/schema/raw/master/csl-citation.json"} </w:instrText>
      </w:r>
      <w:r w:rsidR="002444FD" w:rsidRPr="004D19FF">
        <w:rPr>
          <w:rFonts w:ascii="Times New Roman" w:hAnsi="Times New Roman" w:cs="Times New Roman"/>
          <w:sz w:val="20"/>
          <w:szCs w:val="20"/>
        </w:rPr>
        <w:fldChar w:fldCharType="separate"/>
      </w:r>
      <w:r w:rsidR="00623E85" w:rsidRPr="00623E85">
        <w:rPr>
          <w:rFonts w:ascii="Times New Roman" w:hAnsi="Times New Roman" w:cs="Times New Roman"/>
          <w:sz w:val="20"/>
        </w:rPr>
        <w:t>[137]</w:t>
      </w:r>
      <w:r w:rsidR="002444FD" w:rsidRPr="004D19FF">
        <w:rPr>
          <w:rFonts w:ascii="Times New Roman" w:hAnsi="Times New Roman" w:cs="Times New Roman"/>
          <w:sz w:val="20"/>
          <w:szCs w:val="20"/>
        </w:rPr>
        <w:fldChar w:fldCharType="end"/>
      </w:r>
      <w:r w:rsidR="00283DAE" w:rsidRPr="004D19FF">
        <w:rPr>
          <w:rFonts w:ascii="Times New Roman" w:hAnsi="Times New Roman" w:cs="Times New Roman"/>
          <w:sz w:val="20"/>
          <w:szCs w:val="20"/>
        </w:rPr>
        <w:t xml:space="preserve">. </w:t>
      </w:r>
    </w:p>
    <w:p w14:paraId="5ACD7834" w14:textId="7FE92664" w:rsidR="00283DAE" w:rsidRPr="004D19FF" w:rsidRDefault="00283DAE" w:rsidP="00BC4779">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t>The aircraft operators could be entitled to the emission reduction by the aircraft technology development, operational improvem</w:t>
      </w:r>
      <w:r w:rsidR="003B1572">
        <w:rPr>
          <w:rFonts w:ascii="Times New Roman" w:hAnsi="Times New Roman" w:cs="Times New Roman"/>
          <w:sz w:val="20"/>
          <w:szCs w:val="20"/>
        </w:rPr>
        <w:t xml:space="preserve">ent and </w:t>
      </w:r>
      <w:r w:rsidRPr="004D19FF">
        <w:rPr>
          <w:rFonts w:ascii="Times New Roman" w:hAnsi="Times New Roman" w:cs="Times New Roman"/>
          <w:sz w:val="20"/>
          <w:szCs w:val="20"/>
        </w:rPr>
        <w:t xml:space="preserve">deployment of </w:t>
      </w:r>
      <w:r w:rsidR="003B1572">
        <w:rPr>
          <w:rFonts w:ascii="Times New Roman" w:hAnsi="Times New Roman" w:cs="Times New Roman"/>
          <w:sz w:val="20"/>
          <w:szCs w:val="20"/>
        </w:rPr>
        <w:t>biofuels</w:t>
      </w:r>
      <w:r w:rsidR="00545EC8" w:rsidRPr="004D19FF">
        <w:rPr>
          <w:rFonts w:ascii="Times New Roman" w:hAnsi="Times New Roman" w:cs="Times New Roman"/>
          <w:sz w:val="20"/>
          <w:szCs w:val="20"/>
        </w:rPr>
        <w:t xml:space="preserve">, to achieve </w:t>
      </w:r>
      <w:r w:rsidRPr="004D19FF">
        <w:rPr>
          <w:rFonts w:ascii="Times New Roman" w:hAnsi="Times New Roman" w:cs="Times New Roman"/>
          <w:sz w:val="20"/>
          <w:szCs w:val="20"/>
        </w:rPr>
        <w:t>their CO</w:t>
      </w:r>
      <w:r w:rsidRPr="004D19FF">
        <w:rPr>
          <w:rFonts w:ascii="Times New Roman" w:hAnsi="Times New Roman" w:cs="Times New Roman"/>
          <w:sz w:val="20"/>
          <w:szCs w:val="20"/>
          <w:vertAlign w:val="subscript"/>
        </w:rPr>
        <w:t>2</w:t>
      </w:r>
      <w:r w:rsidRPr="004D19FF">
        <w:rPr>
          <w:rFonts w:ascii="Times New Roman" w:hAnsi="Times New Roman" w:cs="Times New Roman"/>
          <w:sz w:val="20"/>
          <w:szCs w:val="20"/>
        </w:rPr>
        <w:t xml:space="preserve"> offsetting requirements. The sustainability criteria</w:t>
      </w:r>
      <w:r w:rsidR="00545EC8" w:rsidRPr="004D19FF">
        <w:rPr>
          <w:rFonts w:ascii="Times New Roman" w:hAnsi="Times New Roman" w:cs="Times New Roman"/>
          <w:sz w:val="20"/>
          <w:szCs w:val="20"/>
        </w:rPr>
        <w:t xml:space="preserve"> for </w:t>
      </w:r>
      <w:r w:rsidR="002F24A9">
        <w:rPr>
          <w:rFonts w:ascii="Times New Roman" w:hAnsi="Times New Roman" w:cs="Times New Roman"/>
          <w:sz w:val="20"/>
          <w:szCs w:val="20"/>
        </w:rPr>
        <w:t xml:space="preserve">alternative </w:t>
      </w:r>
      <w:r w:rsidR="00545EC8" w:rsidRPr="004D19FF">
        <w:rPr>
          <w:rFonts w:ascii="Times New Roman" w:hAnsi="Times New Roman" w:cs="Times New Roman"/>
          <w:sz w:val="20"/>
          <w:szCs w:val="20"/>
        </w:rPr>
        <w:t>aviation fuel</w:t>
      </w:r>
      <w:r w:rsidR="002F24A9">
        <w:rPr>
          <w:rFonts w:ascii="Times New Roman" w:hAnsi="Times New Roman" w:cs="Times New Roman"/>
          <w:sz w:val="20"/>
          <w:szCs w:val="20"/>
        </w:rPr>
        <w:t>s</w:t>
      </w:r>
      <w:r w:rsidR="00545EC8" w:rsidRPr="004D19FF">
        <w:rPr>
          <w:rFonts w:ascii="Times New Roman" w:hAnsi="Times New Roman" w:cs="Times New Roman"/>
          <w:sz w:val="20"/>
          <w:szCs w:val="20"/>
        </w:rPr>
        <w:t xml:space="preserve"> </w:t>
      </w:r>
      <w:r w:rsidRPr="004D19FF">
        <w:rPr>
          <w:rFonts w:ascii="Times New Roman" w:hAnsi="Times New Roman" w:cs="Times New Roman"/>
          <w:sz w:val="20"/>
          <w:szCs w:val="20"/>
        </w:rPr>
        <w:t>has been developed under CORSIA Eligible Fuels</w:t>
      </w:r>
      <w:r w:rsidR="00545EC8" w:rsidRPr="004D19FF">
        <w:rPr>
          <w:rFonts w:ascii="Times New Roman" w:hAnsi="Times New Roman" w:cs="Times New Roman"/>
          <w:sz w:val="20"/>
          <w:szCs w:val="20"/>
        </w:rPr>
        <w:t>, which will support</w:t>
      </w:r>
      <w:r w:rsidRPr="004D19FF">
        <w:rPr>
          <w:rFonts w:ascii="Times New Roman" w:hAnsi="Times New Roman" w:cs="Times New Roman"/>
          <w:sz w:val="20"/>
          <w:szCs w:val="20"/>
        </w:rPr>
        <w:t xml:space="preserve"> the maximum use of </w:t>
      </w:r>
      <w:r w:rsidR="00750F49">
        <w:rPr>
          <w:rFonts w:ascii="Times New Roman" w:hAnsi="Times New Roman" w:cs="Times New Roman"/>
          <w:sz w:val="20"/>
          <w:szCs w:val="20"/>
        </w:rPr>
        <w:t>biofuels</w:t>
      </w:r>
      <w:r w:rsidRPr="004D19FF">
        <w:rPr>
          <w:rFonts w:ascii="Times New Roman" w:hAnsi="Times New Roman" w:cs="Times New Roman"/>
          <w:sz w:val="20"/>
          <w:szCs w:val="20"/>
        </w:rPr>
        <w:t xml:space="preserve"> and long-term investment in their productions </w:t>
      </w:r>
      <w:r w:rsidR="002444FD"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OB2xwXBA","properties":{"formattedCitation":"[270]","plainCitation":"[270]","noteIndex":0},"citationItems":[{"id":"968HXJ10/MtVvz6q3","uris":["http://www.mendeley.com/documents/?uuid=87ee934b-7fd7-4ba8-b857-2431633aeb5a"],"uri":["http://www.mendeley.com/documents/?uuid=87ee934b-7fd7-4ba8-b857-2431633aeb5a"],"itemData":{"author":[{"dropping-particle":"","family":"ICAO","given":"","non-dropping-particle":"","parse-names":false,"suffix":""}],"id":"ITEM-1","issue":"June","issued":{"date-parts":[["2019"]]},"title":"ICAO document INTERNATIONAL CIVIL AVIATION ORGANIZATION CORSIA Sustainability Criteria for CORSIA Eligible Fuels C RSIA Carbon Offsetting and Reduction Scheme for International Aviation","type":"article-journal"}}],"schema":"https://github.com/citation-style-language/schema/raw/master/csl-citation.json"} </w:instrText>
      </w:r>
      <w:r w:rsidR="002444FD"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[270]</w:t>
      </w:r>
      <w:r w:rsidR="002444FD" w:rsidRPr="004D19FF">
        <w:rPr>
          <w:rFonts w:ascii="Times New Roman" w:hAnsi="Times New Roman" w:cs="Times New Roman"/>
          <w:sz w:val="20"/>
          <w:szCs w:val="20"/>
        </w:rPr>
        <w:fldChar w:fldCharType="end"/>
      </w:r>
      <w:r w:rsidRPr="004D19FF">
        <w:rPr>
          <w:rFonts w:ascii="Times New Roman" w:hAnsi="Times New Roman" w:cs="Times New Roman"/>
          <w:sz w:val="20"/>
          <w:szCs w:val="20"/>
        </w:rPr>
        <w:t xml:space="preserve">. </w:t>
      </w:r>
    </w:p>
    <w:p w14:paraId="17895190" w14:textId="071AEC06" w:rsidR="00233BF3" w:rsidRPr="004D19FF" w:rsidRDefault="00233BF3" w:rsidP="00BC4779">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t xml:space="preserve">ICAO’s CORSIA </w:t>
      </w:r>
      <w:r w:rsidR="00D452B5" w:rsidRPr="004D19FF">
        <w:rPr>
          <w:rFonts w:ascii="Times New Roman" w:hAnsi="Times New Roman" w:cs="Times New Roman"/>
          <w:sz w:val="20"/>
          <w:szCs w:val="20"/>
        </w:rPr>
        <w:t>is being implemented since 2019</w:t>
      </w:r>
      <w:r w:rsidR="00AD6775" w:rsidRPr="004D19FF">
        <w:rPr>
          <w:rFonts w:ascii="Times New Roman" w:hAnsi="Times New Roman" w:cs="Times New Roman"/>
          <w:sz w:val="20"/>
          <w:szCs w:val="20"/>
        </w:rPr>
        <w:t>, with</w:t>
      </w:r>
      <w:r w:rsidR="00BB7D5F" w:rsidRPr="004D19FF">
        <w:rPr>
          <w:rFonts w:ascii="Times New Roman" w:hAnsi="Times New Roman" w:cs="Times New Roman"/>
          <w:sz w:val="20"/>
          <w:szCs w:val="20"/>
        </w:rPr>
        <w:t xml:space="preserve"> 2019 </w:t>
      </w:r>
      <w:r w:rsidR="00D452B5" w:rsidRPr="004D19FF">
        <w:rPr>
          <w:rFonts w:ascii="Times New Roman" w:hAnsi="Times New Roman" w:cs="Times New Roman"/>
          <w:sz w:val="20"/>
          <w:szCs w:val="20"/>
        </w:rPr>
        <w:t xml:space="preserve">and 2020 </w:t>
      </w:r>
      <w:r w:rsidR="00BB7D5F" w:rsidRPr="004D19FF">
        <w:rPr>
          <w:rFonts w:ascii="Times New Roman" w:hAnsi="Times New Roman" w:cs="Times New Roman"/>
          <w:sz w:val="20"/>
          <w:szCs w:val="20"/>
        </w:rPr>
        <w:t>serving</w:t>
      </w:r>
      <w:r w:rsidR="00FC1829" w:rsidRPr="004D19FF">
        <w:rPr>
          <w:rFonts w:ascii="Times New Roman" w:hAnsi="Times New Roman" w:cs="Times New Roman"/>
          <w:sz w:val="20"/>
          <w:szCs w:val="20"/>
        </w:rPr>
        <w:t xml:space="preserve"> </w:t>
      </w:r>
      <w:r w:rsidR="00BB7D5F" w:rsidRPr="004D19FF">
        <w:rPr>
          <w:rFonts w:ascii="Times New Roman" w:hAnsi="Times New Roman" w:cs="Times New Roman"/>
          <w:sz w:val="20"/>
          <w:szCs w:val="20"/>
        </w:rPr>
        <w:t>as</w:t>
      </w:r>
      <w:r w:rsidR="00D452B5" w:rsidRPr="004D19FF">
        <w:rPr>
          <w:rFonts w:ascii="Times New Roman" w:hAnsi="Times New Roman" w:cs="Times New Roman"/>
          <w:sz w:val="20"/>
          <w:szCs w:val="20"/>
        </w:rPr>
        <w:t xml:space="preserve"> the em</w:t>
      </w:r>
      <w:r w:rsidR="003E6EFE" w:rsidRPr="004D19FF">
        <w:rPr>
          <w:rFonts w:ascii="Times New Roman" w:hAnsi="Times New Roman" w:cs="Times New Roman"/>
          <w:sz w:val="20"/>
          <w:szCs w:val="20"/>
        </w:rPr>
        <w:t>ission baseline for the scheme</w:t>
      </w:r>
      <w:r w:rsidR="00AD6775" w:rsidRPr="004D19FF">
        <w:rPr>
          <w:rFonts w:ascii="Times New Roman" w:hAnsi="Times New Roman" w:cs="Times New Roman"/>
          <w:sz w:val="20"/>
          <w:szCs w:val="20"/>
        </w:rPr>
        <w:t xml:space="preserve">. </w:t>
      </w:r>
      <w:r w:rsidR="003E6EFE" w:rsidRPr="004D19FF">
        <w:rPr>
          <w:rFonts w:ascii="Times New Roman" w:hAnsi="Times New Roman" w:cs="Times New Roman"/>
          <w:sz w:val="20"/>
          <w:szCs w:val="20"/>
        </w:rPr>
        <w:t xml:space="preserve"> </w:t>
      </w:r>
      <w:r w:rsidR="00AD6775" w:rsidRPr="004D19FF">
        <w:rPr>
          <w:rFonts w:ascii="Times New Roman" w:hAnsi="Times New Roman" w:cs="Times New Roman"/>
          <w:sz w:val="20"/>
          <w:szCs w:val="20"/>
        </w:rPr>
        <w:t xml:space="preserve">The </w:t>
      </w:r>
      <w:r w:rsidR="00D452B5" w:rsidRPr="004D19FF">
        <w:rPr>
          <w:rFonts w:ascii="Times New Roman" w:hAnsi="Times New Roman" w:cs="Times New Roman"/>
          <w:sz w:val="20"/>
          <w:szCs w:val="20"/>
        </w:rPr>
        <w:t xml:space="preserve">compensation phase </w:t>
      </w:r>
      <w:r w:rsidR="00AD6775" w:rsidRPr="004D19FF">
        <w:rPr>
          <w:rFonts w:ascii="Times New Roman" w:hAnsi="Times New Roman" w:cs="Times New Roman"/>
          <w:sz w:val="20"/>
          <w:szCs w:val="20"/>
        </w:rPr>
        <w:t xml:space="preserve">thus begins </w:t>
      </w:r>
      <w:r w:rsidR="00D452B5" w:rsidRPr="004D19FF">
        <w:rPr>
          <w:rFonts w:ascii="Times New Roman" w:hAnsi="Times New Roman" w:cs="Times New Roman"/>
          <w:sz w:val="20"/>
          <w:szCs w:val="20"/>
        </w:rPr>
        <w:t>in 202</w:t>
      </w:r>
      <w:r w:rsidR="00785BD1" w:rsidRPr="004D19FF">
        <w:rPr>
          <w:rFonts w:ascii="Times New Roman" w:hAnsi="Times New Roman" w:cs="Times New Roman"/>
          <w:sz w:val="20"/>
          <w:szCs w:val="20"/>
        </w:rPr>
        <w:t xml:space="preserve">1. </w:t>
      </w:r>
      <w:r w:rsidR="00AD6775" w:rsidRPr="004D19FF">
        <w:rPr>
          <w:rFonts w:ascii="Times New Roman" w:hAnsi="Times New Roman" w:cs="Times New Roman"/>
          <w:sz w:val="20"/>
          <w:szCs w:val="20"/>
        </w:rPr>
        <w:t xml:space="preserve">This market-based measure </w:t>
      </w:r>
      <w:r w:rsidR="00545EC8" w:rsidRPr="004D19FF">
        <w:rPr>
          <w:rFonts w:ascii="Times New Roman" w:hAnsi="Times New Roman" w:cs="Times New Roman"/>
          <w:sz w:val="20"/>
          <w:szCs w:val="20"/>
        </w:rPr>
        <w:t>encouraged</w:t>
      </w:r>
      <w:r w:rsidR="00AD6775" w:rsidRPr="004D19FF">
        <w:rPr>
          <w:rFonts w:ascii="Times New Roman" w:hAnsi="Times New Roman" w:cs="Times New Roman"/>
          <w:sz w:val="20"/>
          <w:szCs w:val="20"/>
        </w:rPr>
        <w:t xml:space="preserve"> </w:t>
      </w:r>
      <w:r w:rsidRPr="004D19FF">
        <w:rPr>
          <w:rFonts w:ascii="Times New Roman" w:hAnsi="Times New Roman" w:cs="Times New Roman"/>
          <w:sz w:val="20"/>
          <w:szCs w:val="20"/>
        </w:rPr>
        <w:t xml:space="preserve">the airlines and other aircraft operators </w:t>
      </w:r>
      <w:r w:rsidR="00545EC8" w:rsidRPr="004D19FF">
        <w:rPr>
          <w:rFonts w:ascii="Times New Roman" w:hAnsi="Times New Roman" w:cs="Times New Roman"/>
          <w:sz w:val="20"/>
          <w:szCs w:val="20"/>
        </w:rPr>
        <w:t>to use</w:t>
      </w:r>
      <w:r w:rsidRPr="004D19FF">
        <w:rPr>
          <w:rFonts w:ascii="Times New Roman" w:hAnsi="Times New Roman" w:cs="Times New Roman"/>
          <w:sz w:val="20"/>
          <w:szCs w:val="20"/>
        </w:rPr>
        <w:t xml:space="preserve"> </w:t>
      </w:r>
      <w:r w:rsidR="005C6083">
        <w:rPr>
          <w:rFonts w:ascii="Times New Roman" w:hAnsi="Times New Roman" w:cs="Times New Roman"/>
          <w:sz w:val="20"/>
          <w:szCs w:val="20"/>
        </w:rPr>
        <w:t>SAF (</w:t>
      </w:r>
      <w:r w:rsidR="00AE704F">
        <w:rPr>
          <w:rFonts w:ascii="Times New Roman" w:hAnsi="Times New Roman" w:cs="Times New Roman"/>
          <w:sz w:val="20"/>
          <w:szCs w:val="20"/>
        </w:rPr>
        <w:t>denoted as biofuels</w:t>
      </w:r>
      <w:r w:rsidR="005C6083">
        <w:rPr>
          <w:rFonts w:ascii="Times New Roman" w:hAnsi="Times New Roman" w:cs="Times New Roman"/>
          <w:sz w:val="20"/>
          <w:szCs w:val="20"/>
        </w:rPr>
        <w:t xml:space="preserve"> in this review)</w:t>
      </w:r>
      <w:r w:rsidRPr="004D19FF">
        <w:rPr>
          <w:rFonts w:ascii="Times New Roman" w:hAnsi="Times New Roman" w:cs="Times New Roman"/>
          <w:sz w:val="20"/>
          <w:szCs w:val="20"/>
        </w:rPr>
        <w:t xml:space="preserve"> as defined in CORSIA Eligible Fuels </w:t>
      </w:r>
      <w:r w:rsidR="00FD652F"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ESHhLk0n","properties":{"formattedCitation":"[271]","plainCitation":"[271]","noteIndex":0},"citationItems":[{"id":"968HXJ10/y9WaLF2v","uris":["http://www.mendeley.com/documents/?uuid=dcc4c9b8-a13d-4a98-958d-8de2db6025b0"],"uri":["http://www.mendeley.com/documents/?uuid=dcc4c9b8-a13d-4a98-958d-8de2db6025b0"],"itemData":{"author":[{"dropping-particle":"","family":"International Civil Aviation Organization (ICAO)","given":"","non-dropping-particle":"","parse-names":false,"suffix":""}],"id":"ITEM-1","issued":{"date-parts":[["2019"]]},"title":"ICAO document CORSIA methodology for calculating actual life cycle emissions values","type":"report"}}],"schema":"https://github.com/citation-style-language/schema/raw/master/csl-citation.json"} </w:instrText>
      </w:r>
      <w:r w:rsidR="00FD652F"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[271]</w:t>
      </w:r>
      <w:r w:rsidR="00FD652F" w:rsidRPr="004D19FF">
        <w:rPr>
          <w:rFonts w:ascii="Times New Roman" w:hAnsi="Times New Roman" w:cs="Times New Roman"/>
          <w:sz w:val="20"/>
          <w:szCs w:val="20"/>
        </w:rPr>
        <w:fldChar w:fldCharType="end"/>
      </w:r>
      <w:r w:rsidRPr="004D19FF">
        <w:rPr>
          <w:rFonts w:ascii="Times New Roman" w:hAnsi="Times New Roman" w:cs="Times New Roman"/>
          <w:sz w:val="20"/>
          <w:szCs w:val="20"/>
        </w:rPr>
        <w:t xml:space="preserve">. </w:t>
      </w:r>
      <w:r w:rsidR="008278C1" w:rsidRPr="004D19FF">
        <w:rPr>
          <w:rFonts w:ascii="Times New Roman" w:hAnsi="Times New Roman" w:cs="Times New Roman"/>
          <w:sz w:val="20"/>
          <w:szCs w:val="20"/>
        </w:rPr>
        <w:t xml:space="preserve">The objective of CORSIA is to reach </w:t>
      </w:r>
      <w:r w:rsidR="00CE6572" w:rsidRPr="004D19FF">
        <w:rPr>
          <w:rFonts w:ascii="Times New Roman" w:hAnsi="Times New Roman" w:cs="Times New Roman"/>
          <w:sz w:val="20"/>
          <w:szCs w:val="20"/>
        </w:rPr>
        <w:t>CNG</w:t>
      </w:r>
      <w:r w:rsidR="000A733F" w:rsidRPr="004D19FF">
        <w:rPr>
          <w:rFonts w:ascii="Times New Roman" w:hAnsi="Times New Roman" w:cs="Times New Roman"/>
          <w:sz w:val="20"/>
          <w:szCs w:val="20"/>
        </w:rPr>
        <w:t xml:space="preserve">2020 </w:t>
      </w:r>
      <w:r w:rsidR="008278C1" w:rsidRPr="004D19FF">
        <w:rPr>
          <w:rFonts w:ascii="Times New Roman" w:hAnsi="Times New Roman" w:cs="Times New Roman"/>
          <w:sz w:val="20"/>
          <w:szCs w:val="20"/>
        </w:rPr>
        <w:t>onwards in the aviation sector, in an endeavor to stabilize the net CO</w:t>
      </w:r>
      <w:r w:rsidR="008278C1" w:rsidRPr="004D19FF">
        <w:rPr>
          <w:rFonts w:ascii="Times New Roman" w:hAnsi="Times New Roman" w:cs="Times New Roman"/>
          <w:sz w:val="20"/>
          <w:szCs w:val="20"/>
          <w:vertAlign w:val="subscript"/>
        </w:rPr>
        <w:t>2</w:t>
      </w:r>
      <w:r w:rsidR="008278C1" w:rsidRPr="004D19FF">
        <w:rPr>
          <w:rFonts w:ascii="Times New Roman" w:hAnsi="Times New Roman" w:cs="Times New Roman"/>
          <w:sz w:val="20"/>
          <w:szCs w:val="20"/>
        </w:rPr>
        <w:t xml:space="preserve"> emissions from international aviation </w:t>
      </w:r>
      <w:r w:rsidR="008278C1"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02ql9DuJ","properties":{"formattedCitation":"[271]","plainCitation":"[271]","noteIndex":0},"citationItems":[{"id":"968HXJ10/y9WaLF2v","uris":["http://www.mendeley.com/documents/?uuid=dcc4c9b8-a13d-4a98-958d-8de2db6025b0"],"uri":["http://www.mendeley.com/documents/?uuid=dcc4c9b8-a13d-4a98-958d-8de2db6025b0"],"itemData":{"author":[{"dropping-particle":"","family":"International Civil Aviation Organization (ICAO)","given":"","non-dropping-particle":"","parse-names":false,"suffix":""}],"id":"ITEM-1","issued":{"date-parts":[["2019"]]},"title":"ICAO document CORSIA methodology for calculating actual life cycle emissions values","type":"report"}}],"schema":"https://github.com/citation-style-language/schema/raw/master/csl-citation.json"} </w:instrText>
      </w:r>
      <w:r w:rsidR="008278C1"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[271]</w:t>
      </w:r>
      <w:r w:rsidR="008278C1" w:rsidRPr="004D19FF">
        <w:rPr>
          <w:rFonts w:ascii="Times New Roman" w:hAnsi="Times New Roman" w:cs="Times New Roman"/>
          <w:sz w:val="20"/>
          <w:szCs w:val="20"/>
        </w:rPr>
        <w:fldChar w:fldCharType="end"/>
      </w:r>
      <w:r w:rsidR="008278C1" w:rsidRPr="004D19FF">
        <w:rPr>
          <w:rFonts w:ascii="Times New Roman" w:hAnsi="Times New Roman" w:cs="Times New Roman"/>
          <w:sz w:val="20"/>
          <w:szCs w:val="20"/>
        </w:rPr>
        <w:t xml:space="preserve">. </w:t>
      </w:r>
      <w:r w:rsidRPr="004D19FF">
        <w:rPr>
          <w:rFonts w:ascii="Times New Roman" w:hAnsi="Times New Roman" w:cs="Times New Roman"/>
          <w:sz w:val="20"/>
          <w:szCs w:val="20"/>
        </w:rPr>
        <w:t xml:space="preserve">CORSIA </w:t>
      </w:r>
      <w:r w:rsidR="008278C1" w:rsidRPr="004D19FF">
        <w:rPr>
          <w:rFonts w:ascii="Times New Roman" w:hAnsi="Times New Roman" w:cs="Times New Roman"/>
          <w:sz w:val="20"/>
          <w:szCs w:val="20"/>
        </w:rPr>
        <w:t>is composed</w:t>
      </w:r>
      <w:r w:rsidRPr="004D19FF">
        <w:rPr>
          <w:rFonts w:ascii="Times New Roman" w:hAnsi="Times New Roman" w:cs="Times New Roman"/>
          <w:sz w:val="20"/>
          <w:szCs w:val="20"/>
        </w:rPr>
        <w:t xml:space="preserve"> of thre</w:t>
      </w:r>
      <w:r w:rsidR="008278C1" w:rsidRPr="004D19FF">
        <w:rPr>
          <w:rFonts w:ascii="Times New Roman" w:hAnsi="Times New Roman" w:cs="Times New Roman"/>
          <w:sz w:val="20"/>
          <w:szCs w:val="20"/>
        </w:rPr>
        <w:t xml:space="preserve">e implementation phases: </w:t>
      </w:r>
      <w:r w:rsidRPr="004D19FF">
        <w:rPr>
          <w:rFonts w:ascii="Times New Roman" w:hAnsi="Times New Roman" w:cs="Times New Roman"/>
          <w:sz w:val="20"/>
          <w:szCs w:val="20"/>
        </w:rPr>
        <w:t>the pilot phase (2021-2023), a first phase (2024-2026) and a second phase (2027-2035). During the pilot and first phases, the offsetting requirements will be applicable for ICAO member states that have volunteered t</w:t>
      </w:r>
      <w:r w:rsidR="008278C1" w:rsidRPr="004D19FF">
        <w:rPr>
          <w:rFonts w:ascii="Times New Roman" w:hAnsi="Times New Roman" w:cs="Times New Roman"/>
          <w:sz w:val="20"/>
          <w:szCs w:val="20"/>
        </w:rPr>
        <w:t>o participate in the scheme. A total of</w:t>
      </w:r>
      <w:r w:rsidRPr="004D19FF">
        <w:rPr>
          <w:rFonts w:ascii="Times New Roman" w:hAnsi="Times New Roman" w:cs="Times New Roman"/>
          <w:sz w:val="20"/>
          <w:szCs w:val="20"/>
        </w:rPr>
        <w:t xml:space="preserve"> 81 states have officially participated in the </w:t>
      </w:r>
      <w:r w:rsidR="008278C1" w:rsidRPr="004D19FF">
        <w:rPr>
          <w:rFonts w:ascii="Times New Roman" w:hAnsi="Times New Roman" w:cs="Times New Roman"/>
          <w:sz w:val="20"/>
          <w:szCs w:val="20"/>
        </w:rPr>
        <w:t>pilot phase</w:t>
      </w:r>
      <w:r w:rsidR="00545EC8" w:rsidRPr="004D19FF">
        <w:rPr>
          <w:rFonts w:ascii="Times New Roman" w:hAnsi="Times New Roman" w:cs="Times New Roman"/>
          <w:sz w:val="20"/>
          <w:szCs w:val="20"/>
        </w:rPr>
        <w:t>,</w:t>
      </w:r>
      <w:r w:rsidR="008278C1" w:rsidRPr="004D19FF">
        <w:rPr>
          <w:rFonts w:ascii="Times New Roman" w:hAnsi="Times New Roman" w:cs="Times New Roman"/>
          <w:sz w:val="20"/>
          <w:szCs w:val="20"/>
        </w:rPr>
        <w:t xml:space="preserve"> represent</w:t>
      </w:r>
      <w:r w:rsidR="00545EC8" w:rsidRPr="004D19FF">
        <w:rPr>
          <w:rFonts w:ascii="Times New Roman" w:hAnsi="Times New Roman" w:cs="Times New Roman"/>
          <w:sz w:val="20"/>
          <w:szCs w:val="20"/>
        </w:rPr>
        <w:t>ing</w:t>
      </w:r>
      <w:r w:rsidRPr="004D19FF">
        <w:rPr>
          <w:rFonts w:ascii="Times New Roman" w:hAnsi="Times New Roman" w:cs="Times New Roman"/>
          <w:sz w:val="20"/>
          <w:szCs w:val="20"/>
        </w:rPr>
        <w:t xml:space="preserve"> approximately 76% of</w:t>
      </w:r>
      <w:r w:rsidR="008278C1" w:rsidRPr="004D19FF">
        <w:rPr>
          <w:rFonts w:ascii="Times New Roman" w:hAnsi="Times New Roman" w:cs="Times New Roman"/>
          <w:sz w:val="20"/>
          <w:szCs w:val="20"/>
        </w:rPr>
        <w:t xml:space="preserve"> international aviation activities</w:t>
      </w:r>
      <w:r w:rsidRPr="004D19FF">
        <w:rPr>
          <w:rFonts w:ascii="Times New Roman" w:hAnsi="Times New Roman" w:cs="Times New Roman"/>
          <w:sz w:val="20"/>
          <w:szCs w:val="20"/>
        </w:rPr>
        <w:t xml:space="preserve"> in term of </w:t>
      </w:r>
      <w:r w:rsidR="005C6083">
        <w:rPr>
          <w:rFonts w:ascii="Times New Roman" w:hAnsi="Times New Roman" w:cs="Times New Roman"/>
          <w:sz w:val="20"/>
          <w:szCs w:val="20"/>
        </w:rPr>
        <w:t>RTK</w:t>
      </w:r>
      <w:r w:rsidRPr="004D19FF">
        <w:rPr>
          <w:rFonts w:ascii="Times New Roman" w:hAnsi="Times New Roman" w:cs="Times New Roman"/>
          <w:sz w:val="20"/>
          <w:szCs w:val="20"/>
        </w:rPr>
        <w:t xml:space="preserve"> </w:t>
      </w:r>
      <w:r w:rsidR="00ED3836"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vNyeSL0Z","properties":{"formattedCitation":"[253]","plainCitation":"[253]","noteIndex":0},"citationItems":[{"id":"968HXJ10/IJ9p2IHh","uris":["http://www.mendeley.com/documents/?uuid=8dafbab9-dc84-405d-abb6-3916cd144ec1"],"uri":["http://www.mendeley.com/documents/?uuid=8dafbab9-dc84-405d-abb6-3916cd144ec1"],"itemData":{"DOI":"10.2822/309946","ISBN":"978-92-9210-214-2","author":[{"dropping-particle":"","family":"EEA","given":"","non-dropping-particle":"","parse-names":false,"suffix":""},{"dropping-particle":"","family":"EASA","given":"","non-dropping-particle":"","parse-names":false,"suffix":""},{"dropping-particle":"","family":"EUROCONTROL","given":"","non-dropping-particle":"","parse-names":false,"suffix":""}],"id":"ITEM-1","issued":{"date-parts":[["2019"]]},"number-of-pages":"1-109","title":"European Aviation Environmental Report 2019","type":"report"}}],"schema":"https://github.com/citation-style-language/schema/raw/master/csl-citation.json"} </w:instrText>
      </w:r>
      <w:r w:rsidR="00ED3836"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[253]</w:t>
      </w:r>
      <w:r w:rsidR="00ED3836" w:rsidRPr="004D19FF">
        <w:rPr>
          <w:rFonts w:ascii="Times New Roman" w:hAnsi="Times New Roman" w:cs="Times New Roman"/>
          <w:sz w:val="20"/>
          <w:szCs w:val="20"/>
        </w:rPr>
        <w:fldChar w:fldCharType="end"/>
      </w:r>
      <w:r w:rsidRPr="004D19FF">
        <w:rPr>
          <w:rFonts w:ascii="Times New Roman" w:hAnsi="Times New Roman" w:cs="Times New Roman"/>
          <w:sz w:val="20"/>
          <w:szCs w:val="20"/>
        </w:rPr>
        <w:t xml:space="preserve">. </w:t>
      </w:r>
      <w:r w:rsidR="008278C1" w:rsidRPr="004D19FF">
        <w:rPr>
          <w:rFonts w:ascii="Times New Roman" w:hAnsi="Times New Roman" w:cs="Times New Roman"/>
          <w:sz w:val="20"/>
          <w:szCs w:val="20"/>
        </w:rPr>
        <w:t>The</w:t>
      </w:r>
      <w:r w:rsidRPr="004D19FF">
        <w:rPr>
          <w:rFonts w:ascii="Times New Roman" w:hAnsi="Times New Roman" w:cs="Times New Roman"/>
          <w:sz w:val="20"/>
          <w:szCs w:val="20"/>
        </w:rPr>
        <w:t xml:space="preserve"> second </w:t>
      </w:r>
      <w:r w:rsidR="008278C1" w:rsidRPr="004D19FF">
        <w:rPr>
          <w:rFonts w:ascii="Times New Roman" w:hAnsi="Times New Roman" w:cs="Times New Roman"/>
          <w:sz w:val="20"/>
          <w:szCs w:val="20"/>
        </w:rPr>
        <w:t>phase is legally binding for all ICAO member states, with the exception of least developed countries and,</w:t>
      </w:r>
      <w:r w:rsidRPr="004D19FF">
        <w:rPr>
          <w:rFonts w:ascii="Times New Roman" w:hAnsi="Times New Roman" w:cs="Times New Roman"/>
          <w:sz w:val="20"/>
          <w:szCs w:val="20"/>
        </w:rPr>
        <w:t xml:space="preserve"> states with small share of international traffic (less than 0.5% of air traffic)</w:t>
      </w:r>
      <w:r w:rsidR="008278C1" w:rsidRPr="004D19FF">
        <w:rPr>
          <w:rFonts w:ascii="Times New Roman" w:hAnsi="Times New Roman" w:cs="Times New Roman"/>
          <w:sz w:val="20"/>
          <w:szCs w:val="20"/>
        </w:rPr>
        <w:t>,</w:t>
      </w:r>
      <w:r w:rsidRPr="004D19FF">
        <w:rPr>
          <w:rFonts w:ascii="Times New Roman" w:hAnsi="Times New Roman" w:cs="Times New Roman"/>
          <w:sz w:val="20"/>
          <w:szCs w:val="20"/>
        </w:rPr>
        <w:t xml:space="preserve"> unless they volunteer to participate. </w:t>
      </w:r>
    </w:p>
    <w:p w14:paraId="0A0ABFA8" w14:textId="747CDEA0" w:rsidR="00137573" w:rsidRDefault="008278C1" w:rsidP="00BC4779">
      <w:pPr>
        <w:spacing w:after="120" w:line="276" w:lineRule="auto"/>
        <w:jc w:val="thaiDistribute"/>
        <w:rPr>
          <w:rFonts w:ascii="Times New Roman" w:hAnsi="Times New Roman" w:cs="Times New Roman"/>
          <w:sz w:val="20"/>
          <w:szCs w:val="20"/>
        </w:rPr>
      </w:pPr>
      <w:r w:rsidRPr="004D19FF">
        <w:rPr>
          <w:rFonts w:ascii="Times New Roman" w:hAnsi="Times New Roman" w:cs="Times New Roman"/>
          <w:sz w:val="20"/>
          <w:szCs w:val="20"/>
        </w:rPr>
        <w:t>ICAO has launched a</w:t>
      </w:r>
      <w:r w:rsidR="00233BF3" w:rsidRPr="004D19FF">
        <w:rPr>
          <w:rFonts w:ascii="Times New Roman" w:hAnsi="Times New Roman" w:cs="Times New Roman"/>
          <w:sz w:val="20"/>
          <w:szCs w:val="20"/>
        </w:rPr>
        <w:t xml:space="preserve"> detailed requirement for the monitoring, reporting and verification (MRV) of emissions </w:t>
      </w:r>
      <w:r w:rsidRPr="004D19FF">
        <w:rPr>
          <w:rFonts w:ascii="Times New Roman" w:hAnsi="Times New Roman" w:cs="Times New Roman"/>
          <w:sz w:val="20"/>
          <w:szCs w:val="20"/>
        </w:rPr>
        <w:t xml:space="preserve">for the CORSIA scheme </w:t>
      </w:r>
      <w:r w:rsidR="00137573"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eHyGPClo","properties":{"formattedCitation":"[272]","plainCitation":"[272]","noteIndex":0},"citationItems":[{"id":"968HXJ10/ncR8aonf","uris":["http://www.mendeley.com/documents/?uuid=b5ff3d8a-e749-36c3-a1cc-5fac61bf14a8"],"uri":["http://www.mendeley.com/documents/?uuid=b5ff3d8a-e749-36c3-a1cc-5fac61bf14a8"],"itemData":{"author":[{"dropping-particle":"","family":"ICAO","given":"","non-dropping-particle":"","parse-names":false,"suffix":""}],"id":"ITEM-1","issued":{"date-parts":[["2019"]]},"number-of-pages":"7","title":"Carbon Offsetting and Reduction Scheme for International Aviation (CORSIA)","type":"report"}}],"schema":"https://github.com/citation-style-language/schema/raw/master/csl-citation.json"} </w:instrText>
      </w:r>
      <w:r w:rsidR="00137573"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[272]</w:t>
      </w:r>
      <w:r w:rsidR="00137573" w:rsidRPr="004D19FF">
        <w:rPr>
          <w:rFonts w:ascii="Times New Roman" w:hAnsi="Times New Roman" w:cs="Times New Roman"/>
          <w:sz w:val="20"/>
          <w:szCs w:val="20"/>
        </w:rPr>
        <w:fldChar w:fldCharType="end"/>
      </w:r>
      <w:r w:rsidR="00233BF3" w:rsidRPr="004D19FF">
        <w:rPr>
          <w:rFonts w:ascii="Times New Roman" w:hAnsi="Times New Roman" w:cs="Times New Roman"/>
          <w:sz w:val="20"/>
          <w:szCs w:val="20"/>
        </w:rPr>
        <w:t xml:space="preserve">. </w:t>
      </w:r>
      <w:r w:rsidR="00093AD0">
        <w:rPr>
          <w:rFonts w:ascii="Times New Roman" w:hAnsi="Times New Roman" w:cs="Times New Roman"/>
          <w:sz w:val="20"/>
          <w:szCs w:val="20"/>
        </w:rPr>
        <w:t>It proposes default life cycle a</w:t>
      </w:r>
      <w:r w:rsidR="0014563A">
        <w:rPr>
          <w:rFonts w:ascii="Times New Roman" w:hAnsi="Times New Roman" w:cs="Times New Roman"/>
          <w:sz w:val="20"/>
          <w:szCs w:val="20"/>
        </w:rPr>
        <w:t>ssessment (LCA) emission v</w:t>
      </w:r>
      <w:r w:rsidR="00137573" w:rsidRPr="004D19FF">
        <w:rPr>
          <w:rFonts w:ascii="Times New Roman" w:hAnsi="Times New Roman" w:cs="Times New Roman"/>
          <w:sz w:val="20"/>
          <w:szCs w:val="20"/>
        </w:rPr>
        <w:t xml:space="preserve">alues for five (biomass-based) </w:t>
      </w:r>
      <w:r w:rsidR="00093AD0">
        <w:rPr>
          <w:rFonts w:ascii="Times New Roman" w:hAnsi="Times New Roman" w:cs="Times New Roman"/>
          <w:sz w:val="20"/>
          <w:szCs w:val="20"/>
        </w:rPr>
        <w:t xml:space="preserve">certified </w:t>
      </w:r>
      <w:r w:rsidR="004F3CE1">
        <w:rPr>
          <w:rFonts w:ascii="Times New Roman" w:hAnsi="Times New Roman" w:cs="Times New Roman"/>
          <w:sz w:val="20"/>
          <w:szCs w:val="20"/>
        </w:rPr>
        <w:t>production pathways</w:t>
      </w:r>
      <w:r w:rsidR="00137573" w:rsidRPr="004D19FF">
        <w:rPr>
          <w:rFonts w:ascii="Times New Roman" w:hAnsi="Times New Roman" w:cs="Times New Roman"/>
          <w:sz w:val="20"/>
          <w:szCs w:val="20"/>
        </w:rPr>
        <w:t xml:space="preserve">, these being backed up by a detailed methodological study </w:t>
      </w:r>
      <w:r w:rsidR="00137573"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nM3lqwxv","properties":{"formattedCitation":"[273]","plainCitation":"[273]","noteIndex":0},"citationItems":[{"id":"968HXJ10/gR1aSHjB","uris":["http://www.mendeley.com/documents/?uuid=49543574-f201-41c5-be6d-edeb3bbea096"],"uri":["http://www.mendeley.com/documents/?uuid=49543574-f201-41c5-be6d-edeb3bbea096"],"itemData":{"author":[{"dropping-particle":"","family":"ICAO CAEP","given":"","non-dropping-particle":"","parse-names":false,"suffix":""}],"id":"ITEM-1","issue":"June","issued":{"date-parts":[["2019"]]},"title":"CORSIA Eligible Fuels – Life Cycle Assessment Methodology","type":"report"}}],"schema":"https://github.com/citation-style-language/schema/raw/master/csl-citation.json"} </w:instrText>
      </w:r>
      <w:r w:rsidR="00137573"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[273]</w:t>
      </w:r>
      <w:r w:rsidR="00137573" w:rsidRPr="004D19FF">
        <w:rPr>
          <w:rFonts w:ascii="Times New Roman" w:hAnsi="Times New Roman" w:cs="Times New Roman"/>
          <w:sz w:val="20"/>
          <w:szCs w:val="20"/>
        </w:rPr>
        <w:fldChar w:fldCharType="end"/>
      </w:r>
      <w:r w:rsidR="00137573" w:rsidRPr="004D19FF">
        <w:rPr>
          <w:rFonts w:ascii="Times New Roman" w:hAnsi="Times New Roman" w:cs="Times New Roman"/>
          <w:sz w:val="20"/>
          <w:szCs w:val="20"/>
        </w:rPr>
        <w:t>.</w:t>
      </w:r>
      <w:r w:rsidR="00283DAE" w:rsidRPr="004D19FF">
        <w:rPr>
          <w:rFonts w:ascii="Times New Roman" w:hAnsi="Times New Roman" w:cs="Times New Roman"/>
          <w:sz w:val="20"/>
          <w:szCs w:val="20"/>
        </w:rPr>
        <w:t xml:space="preserve"> However, the calculated default life cycle emiss</w:t>
      </w:r>
      <w:r w:rsidR="00093AD0">
        <w:rPr>
          <w:rFonts w:ascii="Times New Roman" w:hAnsi="Times New Roman" w:cs="Times New Roman"/>
          <w:sz w:val="20"/>
          <w:szCs w:val="20"/>
        </w:rPr>
        <w:t>ion for lower carbon aviation f</w:t>
      </w:r>
      <w:r w:rsidR="00283DAE" w:rsidRPr="004D19FF">
        <w:rPr>
          <w:rFonts w:ascii="Times New Roman" w:hAnsi="Times New Roman" w:cs="Times New Roman"/>
          <w:sz w:val="20"/>
          <w:szCs w:val="20"/>
        </w:rPr>
        <w:t xml:space="preserve">uels </w:t>
      </w:r>
      <w:r w:rsidR="008309E8">
        <w:rPr>
          <w:rFonts w:ascii="Times New Roman" w:hAnsi="Times New Roman" w:cs="Times New Roman"/>
          <w:sz w:val="20"/>
          <w:szCs w:val="20"/>
        </w:rPr>
        <w:t>(</w:t>
      </w:r>
      <w:r w:rsidR="00B11BB0">
        <w:rPr>
          <w:rFonts w:ascii="Times New Roman" w:hAnsi="Times New Roman" w:cs="Times New Roman"/>
          <w:sz w:val="20"/>
          <w:szCs w:val="20"/>
        </w:rPr>
        <w:t xml:space="preserve">here </w:t>
      </w:r>
      <w:r w:rsidR="008309E8">
        <w:rPr>
          <w:rFonts w:ascii="Times New Roman" w:hAnsi="Times New Roman" w:cs="Times New Roman"/>
          <w:sz w:val="20"/>
          <w:szCs w:val="20"/>
        </w:rPr>
        <w:t xml:space="preserve">referred as electrofuels) </w:t>
      </w:r>
      <w:r w:rsidR="0097717D" w:rsidRPr="004D19FF">
        <w:rPr>
          <w:rFonts w:ascii="Times New Roman" w:hAnsi="Times New Roman" w:cs="Times New Roman"/>
          <w:sz w:val="20"/>
          <w:szCs w:val="20"/>
        </w:rPr>
        <w:t xml:space="preserve">and the latest certified CHJ pathway </w:t>
      </w:r>
      <w:r w:rsidR="003C764F">
        <w:rPr>
          <w:rFonts w:ascii="Times New Roman" w:hAnsi="Times New Roman" w:cs="Times New Roman"/>
          <w:sz w:val="20"/>
          <w:szCs w:val="20"/>
        </w:rPr>
        <w:t>have</w:t>
      </w:r>
      <w:r w:rsidR="00283DAE" w:rsidRPr="004D19FF">
        <w:rPr>
          <w:rFonts w:ascii="Times New Roman" w:hAnsi="Times New Roman" w:cs="Times New Roman"/>
          <w:sz w:val="20"/>
          <w:szCs w:val="20"/>
        </w:rPr>
        <w:t xml:space="preserve"> not been announced at the time of writing. </w:t>
      </w:r>
    </w:p>
    <w:p w14:paraId="5967484D" w14:textId="020746B3" w:rsidR="00125DCB" w:rsidRPr="008364D8" w:rsidRDefault="00125DCB" w:rsidP="00125DCB">
      <w:pPr>
        <w:spacing w:after="120" w:line="276" w:lineRule="auto"/>
        <w:jc w:val="thaiDistribute"/>
        <w:rPr>
          <w:rFonts w:ascii="Times New Roman" w:hAnsi="Times New Roman" w:cs="Times New Roman"/>
          <w:b/>
          <w:sz w:val="20"/>
          <w:szCs w:val="20"/>
        </w:rPr>
      </w:pPr>
      <w:r w:rsidRPr="00936195">
        <w:rPr>
          <w:rFonts w:ascii="Times New Roman" w:hAnsi="Times New Roman" w:cs="Times New Roman"/>
          <w:b/>
          <w:sz w:val="20"/>
          <w:szCs w:val="20"/>
        </w:rPr>
        <w:t xml:space="preserve">7. </w:t>
      </w:r>
      <w:r w:rsidR="00134BDB">
        <w:rPr>
          <w:rFonts w:ascii="Times New Roman" w:hAnsi="Times New Roman" w:cs="Times New Roman"/>
          <w:b/>
          <w:sz w:val="20"/>
          <w:szCs w:val="20"/>
        </w:rPr>
        <w:t>Challenges for</w:t>
      </w:r>
      <w:r w:rsidR="0004107A">
        <w:rPr>
          <w:rFonts w:ascii="Times New Roman" w:hAnsi="Times New Roman" w:cs="Times New Roman"/>
          <w:b/>
          <w:sz w:val="20"/>
          <w:szCs w:val="20"/>
        </w:rPr>
        <w:t xml:space="preserve"> SESA </w:t>
      </w:r>
    </w:p>
    <w:p w14:paraId="4BD77C14" w14:textId="33BF986C" w:rsidR="00134BDB" w:rsidRPr="00134BDB" w:rsidRDefault="00134BDB" w:rsidP="00125DCB">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The SESA approaches detailed in this review are compared and contrasted in Fig. </w:t>
      </w:r>
      <w:r w:rsidRPr="0F1A7917">
        <w:rPr>
          <w:rFonts w:ascii="Times New Roman" w:hAnsi="Times New Roman" w:cs="Times New Roman"/>
          <w:sz w:val="20"/>
          <w:szCs w:val="20"/>
        </w:rPr>
        <w:t>1</w:t>
      </w:r>
      <w:r w:rsidR="671CC56A" w:rsidRPr="0F1A7917">
        <w:rPr>
          <w:rFonts w:ascii="Times New Roman" w:hAnsi="Times New Roman" w:cs="Times New Roman"/>
          <w:sz w:val="20"/>
          <w:szCs w:val="20"/>
        </w:rPr>
        <w:t>4</w:t>
      </w:r>
      <w:r>
        <w:rPr>
          <w:rFonts w:ascii="Times New Roman" w:hAnsi="Times New Roman" w:cs="Times New Roman"/>
          <w:sz w:val="20"/>
          <w:szCs w:val="20"/>
        </w:rPr>
        <w:t>. Below, additional challenges for SESA in the future low GHG economies are further elaborated.</w:t>
      </w:r>
    </w:p>
    <w:p w14:paraId="6A4D9B9F" w14:textId="77777777" w:rsidR="00125DCB" w:rsidRPr="00961CCE" w:rsidRDefault="00125DCB" w:rsidP="00125DCB">
      <w:pPr>
        <w:spacing w:after="120" w:line="276" w:lineRule="auto"/>
        <w:jc w:val="thaiDistribute"/>
        <w:rPr>
          <w:rFonts w:ascii="Times New Roman" w:hAnsi="Times New Roman" w:cs="Times New Roman"/>
          <w:i/>
          <w:sz w:val="20"/>
          <w:szCs w:val="20"/>
        </w:rPr>
      </w:pPr>
      <w:r w:rsidRPr="00961CCE">
        <w:rPr>
          <w:rFonts w:ascii="Times New Roman" w:hAnsi="Times New Roman" w:cs="Times New Roman"/>
          <w:i/>
          <w:sz w:val="20"/>
          <w:szCs w:val="20"/>
        </w:rPr>
        <w:t xml:space="preserve">7.1 </w:t>
      </w:r>
      <w:r>
        <w:rPr>
          <w:rFonts w:ascii="Times New Roman" w:hAnsi="Times New Roman" w:cs="Times New Roman"/>
          <w:i/>
          <w:sz w:val="20"/>
          <w:szCs w:val="20"/>
        </w:rPr>
        <w:t xml:space="preserve">Availability of sustainable </w:t>
      </w:r>
      <w:r w:rsidR="00352B4E">
        <w:rPr>
          <w:rFonts w:ascii="Times New Roman" w:hAnsi="Times New Roman" w:cs="Times New Roman"/>
          <w:i/>
          <w:sz w:val="20"/>
          <w:szCs w:val="20"/>
        </w:rPr>
        <w:t xml:space="preserve">biomass </w:t>
      </w:r>
      <w:r>
        <w:rPr>
          <w:rFonts w:ascii="Times New Roman" w:hAnsi="Times New Roman" w:cs="Times New Roman"/>
          <w:i/>
          <w:sz w:val="20"/>
          <w:szCs w:val="20"/>
        </w:rPr>
        <w:t>feedstock</w:t>
      </w:r>
      <w:r w:rsidR="00360306">
        <w:rPr>
          <w:rFonts w:ascii="Times New Roman" w:hAnsi="Times New Roman" w:cs="Times New Roman"/>
          <w:i/>
          <w:sz w:val="20"/>
          <w:szCs w:val="20"/>
        </w:rPr>
        <w:t xml:space="preserve"> </w:t>
      </w:r>
    </w:p>
    <w:p w14:paraId="3E5800F2" w14:textId="21D01981" w:rsidR="000A47C6" w:rsidRDefault="00BB1035" w:rsidP="007F3409">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In the perspective of a sustainable transition towards GHG neutral economies, </w:t>
      </w:r>
      <w:r w:rsidR="007F3409">
        <w:rPr>
          <w:rFonts w:ascii="Times New Roman" w:hAnsi="Times New Roman" w:cs="Times New Roman"/>
          <w:sz w:val="20"/>
          <w:szCs w:val="20"/>
        </w:rPr>
        <w:t xml:space="preserve">the </w:t>
      </w:r>
      <w:r w:rsidR="007F3409" w:rsidRPr="004D19FF">
        <w:rPr>
          <w:rFonts w:ascii="Times New Roman" w:hAnsi="Times New Roman" w:cs="Times New Roman"/>
          <w:sz w:val="20"/>
          <w:szCs w:val="20"/>
        </w:rPr>
        <w:t>procurement of sustainable feedstock not in</w:t>
      </w:r>
      <w:r w:rsidR="007F3409">
        <w:rPr>
          <w:rFonts w:ascii="Times New Roman" w:hAnsi="Times New Roman" w:cs="Times New Roman"/>
          <w:sz w:val="20"/>
          <w:szCs w:val="20"/>
        </w:rPr>
        <w:t>duc</w:t>
      </w:r>
      <w:r w:rsidR="007F3409" w:rsidRPr="004D19FF">
        <w:rPr>
          <w:rFonts w:ascii="Times New Roman" w:hAnsi="Times New Roman" w:cs="Times New Roman"/>
          <w:sz w:val="20"/>
          <w:szCs w:val="20"/>
        </w:rPr>
        <w:t>ing additional arable land demand</w:t>
      </w:r>
      <w:r w:rsidR="007F3409">
        <w:rPr>
          <w:rFonts w:ascii="Times New Roman" w:hAnsi="Times New Roman" w:cs="Times New Roman"/>
          <w:sz w:val="20"/>
          <w:szCs w:val="20"/>
        </w:rPr>
        <w:t xml:space="preserve"> is a key concern when it comes to </w:t>
      </w:r>
      <w:r w:rsidR="007F3409" w:rsidRPr="004D19FF">
        <w:rPr>
          <w:rFonts w:ascii="Times New Roman" w:hAnsi="Times New Roman" w:cs="Times New Roman"/>
          <w:sz w:val="20"/>
          <w:szCs w:val="20"/>
        </w:rPr>
        <w:t xml:space="preserve">biofuels </w:t>
      </w:r>
      <w:r w:rsidR="007F3409"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sGzSYtEf","properties":{"formattedCitation":"[274]","plainCitation":"[274]","noteIndex":0},"citationItems":[{"id":"968HXJ10/WjXvJa6V","uris":["http://www.mendeley.com/documents/?uuid=62599142-4129-450a-9426-39b75d8c5a44"],"uri":["http://www.mendeley.com/documents/?uuid=62599142-4129-450a-9426-39b75d8c5a44"],"itemData":{"ISBN":"9789292563110","abstract":"This paper assesses biofuels technology readiness and provides foresight to biofuels development in Southern Africa. Efficient conversion pathways, coupled with biomass from waste or high-yielding energy crops, reduces both the costs of biofuels production and the environmental impacts. Currently, most biofuels are more expensive than petroleum fuels and market uptake will be influenced by mandates and subsidies. Advanced biofuels promise greater efficiencies and carbon emission reductions at reduced cost, but will require further R&amp;D to reach commercialization. If developed appropriately, biofuels can reduce carbon emissions and improve energy security, while enabling sustainable agriculture and improved natural resource management.","author":[{"dropping-particle":"","family":"Stafford","given":"William","non-dropping-particle":"","parse-names":false,"suffix":""},{"dropping-particle":"","family":"Lotter","given":"Adrian","non-dropping-particle":"","parse-names":false,"suffix":""},{"dropping-particle":"","family":"Brent","given":"Alan","non-dropping-particle":"","parse-names":false,"suffix":""},{"dropping-particle":"von","family":"Maltitz","given":"Graham","non-dropping-particle":"","parse-names":false,"suffix":""}],"container-title":"WIDER Working Paper Series","id":"ITEM-1","issue":"April","issued":{"date-parts":[["2017"]]},"title":"Biofuels technology: A look forward","type":"report"}}],"schema":"https://github.com/citation-style-language/schema/raw/master/csl-citation.json"} </w:instrText>
      </w:r>
      <w:r w:rsidR="007F3409"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[274]</w:t>
      </w:r>
      <w:r w:rsidR="007F3409" w:rsidRPr="004D19FF">
        <w:rPr>
          <w:rFonts w:ascii="Times New Roman" w:hAnsi="Times New Roman" w:cs="Times New Roman"/>
          <w:sz w:val="20"/>
          <w:szCs w:val="20"/>
        </w:rPr>
        <w:fldChar w:fldCharType="end"/>
      </w:r>
      <w:r w:rsidR="007F3409" w:rsidRPr="004D19FF">
        <w:rPr>
          <w:rFonts w:ascii="Times New Roman" w:hAnsi="Times New Roman" w:cs="Times New Roman"/>
          <w:sz w:val="20"/>
          <w:szCs w:val="20"/>
        </w:rPr>
        <w:t xml:space="preserve">, including for aviation biofuels </w:t>
      </w:r>
      <w:r w:rsidR="007F3409" w:rsidRPr="004D19F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ycBG699t","properties":{"formattedCitation":"[253,275]","plainCitation":"[253,275]","noteIndex":0},"citationItems":[{"id":"968HXJ10/Dot4sxDB","uris":["http://www.mendeley.com/documents/?uuid=ecedca51-64ec-42d0-8fa9-0e39cb0caa12"],"uri":["http://www.mendeley.com/documents/?uuid=ecedca51-64ec-42d0-8fa9-0e39cb0caa12"],"itemData":{"ISBN":"9789292527044","author":[{"dropping-particle":"","family":"IATA","given":"","non-dropping-particle":"","parse-names":false,"suffix":""}],"id":"ITEM-1","issued":{"date-parts":[["2015"]]},"title":"IATA Sustainable aviation fuel roadmap","type":"report"}},{"id":"968HXJ10/IJ9p2IHh","uris":["http://www.mendeley.com/documents/?uuid=8dafbab9-dc84-405d-abb6-3916cd144ec1"],"uri":["http://www.mendeley.com/documents/?uuid=8dafbab9-dc84-405d-abb6-3916cd144ec1"],"itemData":{"DOI":"10.2822/309946","ISBN":"978-92-9210-214-2","author":[{"dropping-particle":"","family":"EEA","given":"","non-dropping-particle":"","parse-names":false,"suffix":""},{"dropping-particle":"","family":"EASA","given":"","non-dropping-particle":"","parse-names":false,"suffix":""},{"dropping-particle":"","family":"EUROCONTROL","given":"","non-dropping-particle":"","parse-names":false,"suffix":""}],"id":"ITEM-2","issued":{"date-parts":[["2019"]]},"number-of-pages":"1-109","title":"European Aviation Environmental Report 2019","type":"report"}}],"schema":"https://github.com/citation-style-language/schema/raw/master/csl-citation.json"} </w:instrText>
      </w:r>
      <w:r w:rsidR="007F3409" w:rsidRPr="004D19FF">
        <w:rPr>
          <w:rFonts w:ascii="Times New Roman" w:hAnsi="Times New Roman" w:cs="Times New Roman"/>
          <w:sz w:val="20"/>
          <w:szCs w:val="20"/>
        </w:rPr>
        <w:fldChar w:fldCharType="separate"/>
      </w:r>
      <w:r w:rsidR="00196B5E" w:rsidRPr="00196B5E">
        <w:rPr>
          <w:rFonts w:ascii="Times New Roman" w:hAnsi="Times New Roman" w:cs="Times New Roman"/>
          <w:sz w:val="20"/>
        </w:rPr>
        <w:t>[253,275]</w:t>
      </w:r>
      <w:r w:rsidR="007F3409" w:rsidRPr="004D19FF">
        <w:rPr>
          <w:rFonts w:ascii="Times New Roman" w:hAnsi="Times New Roman" w:cs="Times New Roman"/>
          <w:sz w:val="20"/>
          <w:szCs w:val="20"/>
        </w:rPr>
        <w:fldChar w:fldCharType="end"/>
      </w:r>
      <w:r w:rsidR="007F3409" w:rsidRPr="004D19FF">
        <w:rPr>
          <w:rFonts w:ascii="Times New Roman" w:hAnsi="Times New Roman" w:cs="Times New Roman"/>
          <w:sz w:val="20"/>
          <w:szCs w:val="20"/>
        </w:rPr>
        <w:t>.</w:t>
      </w:r>
      <w:r w:rsidR="007F3409">
        <w:rPr>
          <w:rFonts w:ascii="Times New Roman" w:hAnsi="Times New Roman" w:cs="Times New Roman"/>
          <w:sz w:val="20"/>
          <w:szCs w:val="20"/>
        </w:rPr>
        <w:t xml:space="preserve"> In this context, </w:t>
      </w:r>
      <w:r>
        <w:rPr>
          <w:rFonts w:ascii="Times New Roman" w:hAnsi="Times New Roman" w:cs="Times New Roman"/>
          <w:sz w:val="20"/>
          <w:szCs w:val="20"/>
        </w:rPr>
        <w:t xml:space="preserve">residual biomasses generated increased attention as they can be decoupled from the need for additional arable land (e.g. </w:t>
      </w:r>
      <w:r>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v63KklT8","properties":{"formattedCitation":"[72,276,277]","plainCitation":"[72,276,277]","noteIndex":0},"citationItems":[{"id":"968HXJ10/UcplDMo9","uris":["http://www.mendeley.com/documents/?uuid=b0bb62a4-b4c7-4562-afdc-99ac99325a2c"],"uri":["http://www.mendeley.com/documents/?uuid=b0bb62a4-b4c7-4562-afdc-99ac99325a2c"],"itemData":{"DOI":"10.1016/j.rser.2018.10.017","ISSN":"18790690","abstract":"Bioeconomy is seen as a key strategic innovation pillar in the European Union, and this involves, among other things, mobilizing biomass resources. This study presents a geo-localized methodology in order to quantify the overall (theoretical) residual biomass potential for each NUTS-3 region of the EU-27 + Switzerland (NUTS-3 is the smallest regional division in Eurostat's Nomenclature of Territorial Units for Statistics). Estimates were made for biomass residues stemming from 4 main activities: i) agriculture (straw, manure, residues from pruning permanent plantations); ii) forestry (forestry residues); iii) urban greenery management (residues from managing urban green areas and roadside vegetation); and iv) food waste (agri-industrial food process waste and municipal biodegradable waste). A review of earlier assessments using a variety of spatial coverages is also presented. Our results reveal the importance of residual biomass as a key feedstock for the European bioeconomy: we found that 8500 PJ y−1 are available for these streams (theoretical potential), which corresponds to the whole annual (2015) primary energy consumption of Italy and Belgium combined. Straw (3800 PJ y−1) and forestry residues (3200 PJ y−1) were shown as the top-two contributors. Our geo-localized approach uncovered outliers in terms of regional trends, revealing very specific opportunities for these regions. This includes the NUTS-3 region of Paris (France) where the highest biomass density was found with ca. 25 TJ km−2 (essentially food waste), and the NUTS-3 of Jaen (Spain), the main region of olive oil in the world, with great opportunities stemming from the olive oil industry.","author":[{"dropping-particle":"","family":"Hamelin","given":"Lorie","non-dropping-particle":"","parse-names":false,"suffix":""},{"dropping-particle":"","family":"Borzęcka","given":"Magdalena","non-dropping-particle":"","parse-names":false,"suffix":""},{"dropping-particle":"","family":"Kozak","given":"Małgorzata","non-dropping-particle":"","parse-names":false,"suffix":""},{"dropping-particle":"","family":"Pudełko","given":"Rafał","non-dropping-particle":"","parse-names":false,"suffix":""}],"container-title":"Renewable and Sustainable Energy Reviews","id":"b1cZl8eI/mUTkjAiU","issue":"October 2018","issued":{"date-parts":[["2019"]]},"page":"127-142","title":"A spatial approach to bioeconomy: Quantifying the residual biomass potential in the EU-27","type":"article-journal","volume":"100"}},{"id":"968HXJ10/CKuVZzy3","uris":["http://www.mendeley.com/documents/?uuid=430c90fe-d01f-4c29-89ad-4395c9c896e6"],"uri":["http://www.mendeley.com/documents/?uuid=430c90fe-d01f-4c29-89ad-4395c9c896e6"],"itemData":{"DOI":"10.1016/j.resconrec.2019.05.003","ISSN":"18790658","abstract":"Processing of food is linked to unavoidable and inedible food waste that, despite efforts to minimize waste, will persevere. It nevertheless represents a stable feedstock for the future bioeconomy value chains and products. This study presents a systematic review of 149 examples from the scientific literature using inedible, unavoidable food residues and wastes for the production of value-added bio-based compounds that could substitute synthetic chemicals production. The main high-value products investigated are organic acids, bioplastics, colorants, enzymes and other platform chemicals. We found 44 examples of acid production with high variability in output (from 43 to 640 g kg−1waste), 9 examples of bioplastics (from 0.28 to 49 g L−1), 26 examples related to colorants (from 0.04 to more than 400 mg per 100 g), 22 cases of enzyme production (from 6000 Ug−1), 4 examples of protein (23.6 to 38.5 %wt. DM) and 44 cases of other high-value molecules such as pectin and single cell oils. Our findings highlight fermentation as a key technology for the valorization of the studied feedstock, with 76 examples out of the 149 reviewed. The review process also uncovered important limitations related to the lack of standardized food waste definitions, a barrier that is discussed and for which solutions are proposed. At the light of our findings, we further proposed guiding criteria towards the sustainable development of future biorefineries based on food waste. This work touches upon several Sustainable Development Goals, in particular goals 8.2, 9.5, and 12.3.","author":[{"dropping-particle":"","family":"Teigiserova","given":"Dominika Alexa","non-dropping-particle":"","parse-names":false,"suffix":""},{"dropping-particle":"","family":"Hamelin","given":"Lorie","non-dropping-particle":"","parse-names":false,"suffix":""},{"dropping-particle":"","family":"Thomsen","given":"Marianne","non-dropping-particle":"","parse-names":false,"suffix":""}],"container-title":"Resources, Conservation and Recycling","id":"b1cZl8eI/KYEBRJtN","issue":"November 2018","issued":{"date-parts":[["2019"]]},"page":"413-426","publisher":"Elsevier","title":"Review of high-value food waste and food residues biorefineries with focus on unavoidable wastes from processing","type":"article-journal","volume":"149"}},{"id":"968HXJ10/mHmwvtEz","uris":["http://zotero.org/users/4447665/items/BM5ZUUQQ"],"uri":["http://zotero.org/users/4447665/items/BM5ZUUQQ"],"itemData":{"id":227,"type":"article-journal","abstract":"© 2015 The Authors. Global Change Biology Bioenergy Published by John Wiley &amp; Sons Ltd. Biorefining agro-industrial biomass residues for bioenergy production represents an opportunity for both sustainable energy supply and greenhouse gas (GHG) emissions mitigation. Yet, is bioenergy the most sustainable use for these residues? To assess the importance of the alternative use of these residues, a consequential life cycle assessment (LCA) of 32 energy-focused biorefinery scenarios was performed based on eight selected agro-industrial residues and four conversion pathways (two involving bioethanol and two biogas). To specifically address indirect land-use changes (iLUC) induced by the competing feed/food sector, a deterministic iLUC model, addressing global impacts, was developed. A dedicated biochemical model was developed to establish detailed mass, energy, and substance balances for each biomass conversion pathway, as input to the LCA. Th e results demonstrated that, even for residual biomass, environmental savings from fossil fuel displacement can be completely outbalanced by iLUC, depending on the feed value of the biomass residue. This was the case of industrial residues (e.g. whey and beet molasses) in most of the scenarios assessed. Overall, the GHGs from iLUC impacts were quantified to 4.1 t CO 2 -eq.ha −1 demanded yr −1 corresponding to 1.2–1.4 t CO 2 -eq. t −1 dry biomass diverted from feed to energy market. Only, bioenergy from straw and wild grass was shown to perform better than the alternative use, as no competition with the feed sector was involved. Biogas for heat and power production was the best performing pathway, in a short-term context. Focusing on transport fuels, bioethanol was generally preferable to biomethane considering conventional biogas upgrading technologies. Based on the results, agro-industrial residues cannot be considered burden-free simply because they are a residual biomass and careful accounting of alternative utilization is a prerequisite to assess the sustainability of a given use. In this endeavor, the iLUC factors and biochemical model proposed herein can be used as templates and directly applied to any bioenergy consequential study involving demand for arable land.","container-title":"GCB Bioenergy","DOI":"10.1111/gcbb.12290","issue":"4","page":"690-706","title":"Environmental implications of the use of agro-industrial residues for biorefineries: application of a deterministic model for indirect land-use changes","volume":"8","author":[{"family":"Tonini","given":"D."},{"family":"Hamelin","given":"L."},{"family":"Astrup","given":"T.F."}],"issued":{"date-parts":[["2016"]]}}}],"schema":"https://github.com/citation-style-language/schema/raw/master/csl-citation.json"} </w:instrText>
      </w:r>
      <w:r>
        <w:rPr>
          <w:rFonts w:ascii="Times New Roman" w:hAnsi="Times New Roman" w:cs="Times New Roman"/>
          <w:sz w:val="20"/>
          <w:szCs w:val="20"/>
        </w:rPr>
        <w:fldChar w:fldCharType="separate"/>
      </w:r>
      <w:r w:rsidR="00196B5E" w:rsidRPr="00196B5E">
        <w:rPr>
          <w:rFonts w:ascii="Times New Roman" w:hAnsi="Times New Roman" w:cs="Times New Roman"/>
          <w:sz w:val="20"/>
        </w:rPr>
        <w:t>[72,276,277]</w:t>
      </w:r>
      <w:r>
        <w:rPr>
          <w:rFonts w:ascii="Times New Roman" w:hAnsi="Times New Roman" w:cs="Times New Roman"/>
          <w:sz w:val="20"/>
          <w:szCs w:val="20"/>
        </w:rPr>
        <w:fldChar w:fldCharType="end"/>
      </w:r>
      <w:r>
        <w:rPr>
          <w:rFonts w:ascii="Times New Roman" w:hAnsi="Times New Roman" w:cs="Times New Roman"/>
          <w:sz w:val="20"/>
          <w:szCs w:val="20"/>
        </w:rPr>
        <w:t>). Residual biomass</w:t>
      </w:r>
      <w:r w:rsidR="000A47C6">
        <w:rPr>
          <w:rFonts w:ascii="Times New Roman" w:hAnsi="Times New Roman" w:cs="Times New Roman"/>
          <w:sz w:val="20"/>
          <w:szCs w:val="20"/>
        </w:rPr>
        <w:t>es</w:t>
      </w:r>
      <w:r w:rsidR="00CA240D">
        <w:rPr>
          <w:rFonts w:ascii="Times New Roman" w:hAnsi="Times New Roman" w:cs="Times New Roman"/>
          <w:sz w:val="20"/>
          <w:szCs w:val="20"/>
        </w:rPr>
        <w:t xml:space="preserve"> ha</w:t>
      </w:r>
      <w:r w:rsidR="00352B4E">
        <w:rPr>
          <w:rFonts w:ascii="Times New Roman" w:hAnsi="Times New Roman" w:cs="Times New Roman"/>
          <w:sz w:val="20"/>
          <w:szCs w:val="20"/>
        </w:rPr>
        <w:t>ve</w:t>
      </w:r>
      <w:r w:rsidR="00CA240D">
        <w:rPr>
          <w:rFonts w:ascii="Times New Roman" w:hAnsi="Times New Roman" w:cs="Times New Roman"/>
          <w:sz w:val="20"/>
          <w:szCs w:val="20"/>
        </w:rPr>
        <w:t xml:space="preserve"> the potential to feed the future low fossil carbon aviation</w:t>
      </w:r>
      <w:r w:rsidR="00352B4E">
        <w:rPr>
          <w:rFonts w:ascii="Times New Roman" w:hAnsi="Times New Roman" w:cs="Times New Roman"/>
          <w:sz w:val="20"/>
          <w:szCs w:val="20"/>
        </w:rPr>
        <w:t xml:space="preserve">, </w:t>
      </w:r>
      <w:r w:rsidR="000A47C6">
        <w:rPr>
          <w:rFonts w:ascii="Times New Roman" w:hAnsi="Times New Roman" w:cs="Times New Roman"/>
          <w:sz w:val="20"/>
          <w:szCs w:val="20"/>
        </w:rPr>
        <w:t xml:space="preserve">and several examples have been documented and even show-cased (Table </w:t>
      </w:r>
      <w:r w:rsidR="00B70D99">
        <w:rPr>
          <w:rFonts w:ascii="Times New Roman" w:hAnsi="Times New Roman" w:cs="Times New Roman"/>
          <w:sz w:val="20"/>
          <w:szCs w:val="20"/>
        </w:rPr>
        <w:t>3</w:t>
      </w:r>
      <w:r w:rsidR="000A47C6">
        <w:rPr>
          <w:rFonts w:ascii="Times New Roman" w:hAnsi="Times New Roman" w:cs="Times New Roman"/>
          <w:sz w:val="20"/>
          <w:szCs w:val="20"/>
        </w:rPr>
        <w:t>)</w:t>
      </w:r>
      <w:r w:rsidR="007D5698">
        <w:rPr>
          <w:rFonts w:ascii="Times New Roman" w:hAnsi="Times New Roman" w:cs="Times New Roman"/>
          <w:sz w:val="20"/>
          <w:szCs w:val="20"/>
        </w:rPr>
        <w:t>.</w:t>
      </w:r>
      <w:r w:rsidR="07871957" w:rsidRPr="38A2E776">
        <w:rPr>
          <w:rFonts w:ascii="Times New Roman" w:hAnsi="Times New Roman" w:cs="Times New Roman"/>
          <w:sz w:val="20"/>
          <w:szCs w:val="20"/>
        </w:rPr>
        <w:t xml:space="preserve"> Numerous aviation biof</w:t>
      </w:r>
      <w:r w:rsidR="007D12C5">
        <w:rPr>
          <w:rFonts w:ascii="Times New Roman" w:hAnsi="Times New Roman" w:cs="Times New Roman"/>
          <w:sz w:val="20"/>
          <w:szCs w:val="20"/>
        </w:rPr>
        <w:t>uel producers such as LanzaTech or</w:t>
      </w:r>
      <w:r w:rsidR="07871957" w:rsidRPr="38A2E776">
        <w:rPr>
          <w:rFonts w:ascii="Times New Roman" w:hAnsi="Times New Roman" w:cs="Times New Roman"/>
          <w:sz w:val="20"/>
          <w:szCs w:val="20"/>
        </w:rPr>
        <w:t xml:space="preserve"> Neste have adapted their technologies to flexibly incorporate residual biomasses (Table S2).</w:t>
      </w:r>
    </w:p>
    <w:p w14:paraId="51292A1E" w14:textId="346ECD03" w:rsidR="007D5698" w:rsidRPr="004D19FF" w:rsidRDefault="00B70D99" w:rsidP="007D5698">
      <w:pPr>
        <w:spacing w:after="0" w:line="240" w:lineRule="auto"/>
        <w:jc w:val="both"/>
        <w:rPr>
          <w:rFonts w:ascii="Times New Roman" w:hAnsi="Times New Roman" w:cs="Times New Roman"/>
          <w:sz w:val="20"/>
        </w:rPr>
      </w:pPr>
      <w:r>
        <w:rPr>
          <w:rFonts w:ascii="Times New Roman" w:hAnsi="Times New Roman" w:cs="Times New Roman"/>
          <w:b/>
          <w:sz w:val="20"/>
        </w:rPr>
        <w:t>Table 3</w:t>
      </w:r>
      <w:r w:rsidR="007D5698" w:rsidRPr="004D19FF">
        <w:rPr>
          <w:rFonts w:ascii="Times New Roman" w:hAnsi="Times New Roman" w:cs="Times New Roman"/>
          <w:sz w:val="20"/>
        </w:rPr>
        <w:t xml:space="preserve"> Documented examples of residual biomasses used in the production of aviation fuels</w:t>
      </w:r>
    </w:p>
    <w:tbl>
      <w:tblPr>
        <w:tblpPr w:leftFromText="180" w:rightFromText="180" w:vertAnchor="text" w:horzAnchor="margin" w:tblpY="355"/>
        <w:tblW w:w="9307" w:type="dxa"/>
        <w:tblLook w:val="04A0" w:firstRow="1" w:lastRow="0" w:firstColumn="1" w:lastColumn="0" w:noHBand="0" w:noVBand="1"/>
      </w:tblPr>
      <w:tblGrid>
        <w:gridCol w:w="1286"/>
        <w:gridCol w:w="1519"/>
        <w:gridCol w:w="1097"/>
        <w:gridCol w:w="4169"/>
        <w:gridCol w:w="1236"/>
      </w:tblGrid>
      <w:tr w:rsidR="007D5698" w:rsidRPr="004D19FF" w14:paraId="04EF0379" w14:textId="77777777" w:rsidTr="00117E75">
        <w:trPr>
          <w:trHeight w:val="424"/>
        </w:trPr>
        <w:tc>
          <w:tcPr>
            <w:tcW w:w="1286" w:type="dxa"/>
            <w:tcBorders>
              <w:top w:val="single" w:sz="4" w:space="0" w:color="auto"/>
              <w:left w:val="nil"/>
              <w:bottom w:val="single" w:sz="4" w:space="0" w:color="auto"/>
              <w:right w:val="nil"/>
            </w:tcBorders>
            <w:shd w:val="clear" w:color="auto" w:fill="auto"/>
            <w:noWrap/>
            <w:hideMark/>
          </w:tcPr>
          <w:p w14:paraId="33419173" w14:textId="77777777" w:rsidR="007D5698" w:rsidRPr="004D19FF" w:rsidRDefault="007D5698" w:rsidP="0087276E">
            <w:pPr>
              <w:spacing w:after="0" w:line="240" w:lineRule="auto"/>
              <w:ind w:left="-14"/>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Feedstock</w:t>
            </w:r>
          </w:p>
        </w:tc>
        <w:tc>
          <w:tcPr>
            <w:tcW w:w="1519" w:type="dxa"/>
            <w:tcBorders>
              <w:top w:val="single" w:sz="4" w:space="0" w:color="auto"/>
              <w:left w:val="nil"/>
              <w:bottom w:val="single" w:sz="4" w:space="0" w:color="auto"/>
              <w:right w:val="nil"/>
            </w:tcBorders>
            <w:shd w:val="clear" w:color="auto" w:fill="auto"/>
            <w:noWrap/>
            <w:hideMark/>
          </w:tcPr>
          <w:p w14:paraId="7575A65E" w14:textId="77777777" w:rsidR="007D5698" w:rsidRPr="004D19FF" w:rsidRDefault="007D5698" w:rsidP="00117E75">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Residues/wastes</w:t>
            </w:r>
          </w:p>
        </w:tc>
        <w:tc>
          <w:tcPr>
            <w:tcW w:w="1097" w:type="dxa"/>
            <w:tcBorders>
              <w:top w:val="single" w:sz="4" w:space="0" w:color="auto"/>
              <w:left w:val="nil"/>
              <w:bottom w:val="single" w:sz="4" w:space="0" w:color="auto"/>
              <w:right w:val="nil"/>
            </w:tcBorders>
            <w:shd w:val="clear" w:color="auto" w:fill="auto"/>
            <w:hideMark/>
          </w:tcPr>
          <w:p w14:paraId="3D7C49D4" w14:textId="77777777" w:rsidR="007D5698" w:rsidRPr="004D19FF" w:rsidRDefault="007D5698" w:rsidP="00117E75">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Conversion pathway</w:t>
            </w:r>
          </w:p>
        </w:tc>
        <w:tc>
          <w:tcPr>
            <w:tcW w:w="4169" w:type="dxa"/>
            <w:tcBorders>
              <w:top w:val="single" w:sz="4" w:space="0" w:color="auto"/>
              <w:left w:val="nil"/>
              <w:bottom w:val="single" w:sz="4" w:space="0" w:color="auto"/>
              <w:right w:val="nil"/>
            </w:tcBorders>
            <w:shd w:val="clear" w:color="auto" w:fill="auto"/>
            <w:noWrap/>
            <w:hideMark/>
          </w:tcPr>
          <w:p w14:paraId="64291039" w14:textId="77777777" w:rsidR="007D5698" w:rsidRPr="004D19FF" w:rsidRDefault="007D5698" w:rsidP="00117E75">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Comments</w:t>
            </w:r>
          </w:p>
        </w:tc>
        <w:tc>
          <w:tcPr>
            <w:tcW w:w="1236" w:type="dxa"/>
            <w:tcBorders>
              <w:top w:val="single" w:sz="4" w:space="0" w:color="auto"/>
              <w:left w:val="nil"/>
              <w:bottom w:val="single" w:sz="4" w:space="0" w:color="auto"/>
              <w:right w:val="nil"/>
            </w:tcBorders>
            <w:shd w:val="clear" w:color="auto" w:fill="auto"/>
            <w:noWrap/>
            <w:hideMark/>
          </w:tcPr>
          <w:p w14:paraId="16603C1E" w14:textId="77777777" w:rsidR="007D5698" w:rsidRPr="004D19FF" w:rsidRDefault="007D5698" w:rsidP="00117E75">
            <w:pPr>
              <w:spacing w:after="0" w:line="240" w:lineRule="auto"/>
              <w:rPr>
                <w:rFonts w:ascii="Times New Roman" w:eastAsia="Times New Roman" w:hAnsi="Times New Roman" w:cs="Times New Roman"/>
                <w:b/>
                <w:bCs/>
                <w:color w:val="000000"/>
                <w:sz w:val="18"/>
                <w:szCs w:val="18"/>
              </w:rPr>
            </w:pPr>
            <w:r w:rsidRPr="004D19FF">
              <w:rPr>
                <w:rFonts w:ascii="Times New Roman" w:eastAsia="Times New Roman" w:hAnsi="Times New Roman" w:cs="Times New Roman"/>
                <w:b/>
                <w:bCs/>
                <w:color w:val="000000"/>
                <w:sz w:val="18"/>
                <w:szCs w:val="18"/>
              </w:rPr>
              <w:t>References</w:t>
            </w:r>
          </w:p>
        </w:tc>
      </w:tr>
      <w:tr w:rsidR="007D5698" w:rsidRPr="004D19FF" w14:paraId="2F3AEA20" w14:textId="77777777" w:rsidTr="00117E75">
        <w:trPr>
          <w:trHeight w:val="304"/>
        </w:trPr>
        <w:tc>
          <w:tcPr>
            <w:tcW w:w="1286" w:type="dxa"/>
            <w:tcBorders>
              <w:top w:val="nil"/>
              <w:left w:val="nil"/>
              <w:bottom w:val="nil"/>
              <w:right w:val="nil"/>
            </w:tcBorders>
            <w:shd w:val="clear" w:color="auto" w:fill="auto"/>
            <w:hideMark/>
          </w:tcPr>
          <w:p w14:paraId="6064F1C0"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Carbohydrate</w:t>
            </w:r>
          </w:p>
        </w:tc>
        <w:tc>
          <w:tcPr>
            <w:tcW w:w="1519" w:type="dxa"/>
            <w:tcBorders>
              <w:top w:val="nil"/>
              <w:left w:val="nil"/>
              <w:bottom w:val="nil"/>
              <w:right w:val="nil"/>
            </w:tcBorders>
            <w:shd w:val="clear" w:color="auto" w:fill="auto"/>
            <w:noWrap/>
            <w:hideMark/>
          </w:tcPr>
          <w:p w14:paraId="1B9B46D1"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Molasses</w:t>
            </w:r>
          </w:p>
        </w:tc>
        <w:tc>
          <w:tcPr>
            <w:tcW w:w="1097" w:type="dxa"/>
            <w:tcBorders>
              <w:top w:val="nil"/>
              <w:left w:val="nil"/>
              <w:bottom w:val="nil"/>
              <w:right w:val="nil"/>
            </w:tcBorders>
            <w:shd w:val="clear" w:color="auto" w:fill="auto"/>
            <w:noWrap/>
            <w:hideMark/>
          </w:tcPr>
          <w:p w14:paraId="2EF88144"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AF</w:t>
            </w:r>
          </w:p>
        </w:tc>
        <w:tc>
          <w:tcPr>
            <w:tcW w:w="4169" w:type="dxa"/>
            <w:tcBorders>
              <w:top w:val="nil"/>
              <w:left w:val="nil"/>
              <w:bottom w:val="nil"/>
              <w:right w:val="nil"/>
            </w:tcBorders>
            <w:shd w:val="clear" w:color="auto" w:fill="auto"/>
            <w:hideMark/>
          </w:tcPr>
          <w:p w14:paraId="0E83D02B" w14:textId="4B045389" w:rsidR="007D5698" w:rsidRPr="004D19FF" w:rsidRDefault="007D5698" w:rsidP="007D5698">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Co-product</w:t>
            </w:r>
            <w:r w:rsidRPr="004D19FF">
              <w:rPr>
                <w:rFonts w:ascii="Times New Roman" w:eastAsia="Times New Roman" w:hAnsi="Times New Roman" w:cs="Times New Roman"/>
                <w:color w:val="000000"/>
                <w:sz w:val="18"/>
                <w:szCs w:val="18"/>
              </w:rPr>
              <w:t xml:space="preserve"> from </w:t>
            </w:r>
            <w:r>
              <w:rPr>
                <w:rFonts w:ascii="Times New Roman" w:eastAsia="Times New Roman" w:hAnsi="Times New Roman" w:cs="Times New Roman"/>
                <w:color w:val="000000"/>
                <w:sz w:val="18"/>
                <w:szCs w:val="18"/>
              </w:rPr>
              <w:t>sugar production</w:t>
            </w:r>
            <w:r w:rsidR="00F464A2">
              <w:rPr>
                <w:rFonts w:ascii="Times New Roman" w:eastAsia="Times New Roman" w:hAnsi="Times New Roman" w:cs="Times New Roman"/>
                <w:color w:val="000000"/>
                <w:sz w:val="18"/>
                <w:szCs w:val="18"/>
              </w:rPr>
              <w:t>, albeit alrea</w:t>
            </w:r>
            <w:r w:rsidR="006A0D2C">
              <w:rPr>
                <w:rFonts w:ascii="Times New Roman" w:eastAsia="Times New Roman" w:hAnsi="Times New Roman" w:cs="Times New Roman"/>
                <w:color w:val="000000"/>
                <w:sz w:val="18"/>
                <w:szCs w:val="18"/>
              </w:rPr>
              <w:t>dy sold as an ingredient for the feed industry</w:t>
            </w:r>
          </w:p>
        </w:tc>
        <w:tc>
          <w:tcPr>
            <w:tcW w:w="1236" w:type="dxa"/>
            <w:tcBorders>
              <w:top w:val="nil"/>
              <w:left w:val="nil"/>
              <w:bottom w:val="nil"/>
              <w:right w:val="nil"/>
            </w:tcBorders>
            <w:shd w:val="clear" w:color="auto" w:fill="auto"/>
            <w:noWrap/>
            <w:hideMark/>
          </w:tcPr>
          <w:p w14:paraId="71D5B984" w14:textId="50B4B844"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6RTTCCGG","properties":{"formattedCitation":"[56]","plainCitation":"[56]","noteIndex":0},"citationItems":[{"id":"968HXJ10/oCdrXDRI","uris":["http://www.mendeley.com/documents/?uuid=6374449c-9717-4c47-88d5-db2c2324debe"],"uri":["http://www.mendeley.com/documents/?uuid=6374449c-9717-4c47-88d5-db2c2324debe"],"itemData":{"DOI":"10.1038/sj.jim.7000131","ISSN":"13675435","abstract":"Spray-dried soy molasses (SDSM) contains the sugars dextrose, sucrose, fructose, pinitol, raffinose, verbascose, melibiose, and stachyose. Of the 746 g kg-1 total sugars in SDSM, 434 g kg-1 is fermentable using Clostridium beijerinckii BA101. SDSM was used to produce acetone, butanol, and ethanol (ABE) by C. beijerinckii BA101 in batch cultures. Using 80 g l-1 SDSM, 10.7 g l-1 ABE was produced in P2 medium. Higher concentrations of SDSM resulted in poor solvent production due to the presence of excessive salt and inhibitory components. C. beijerinckii BA101 in SDSM at 80 g l-1 concentration produced 22.8 g l-1 ABE when supplemented with 25.3 g l-1 glucose. SDSM contains 57.4 g kg-1 mineral ash and 2% tri-calcium phosphate. Tri-calcium phosphate up to 43.1 g l-1 was not inhibitory and at a tri-calcium phosphate concentration of 28.8 g l-1, the culture produced more solvents (30.1 g l-1) than the control experiment (23.8 g l-1). In contrast, sodium chloride was a strong inhibitor of C. beijerinckii BA101 cell growth. At a concentration of 10 g l-1 sodium chloride, a maximum cell concentration of 0.6 g l-1 was achieved compared to 1.7 g l-1 in the control experiment. The effects of two salts on specific growth rate constant (μ) and specific rate of ABE production (ν) for C. beijerinckii BA101 were examined.","author":[{"dropping-particle":"","family":"Qureshi","given":"N.","non-dropping-particle":"","parse-names":false,"suffix":""},{"dropping-particle":"","family":"Lolas","given":"A.","non-dropping-particle":"","parse-names":false,"suffix":""},{"dropping-particle":"","family":"Blaschek","given":"H. P.","non-dropping-particle":"","parse-names":false,"suffix":""}],"container-title":"Journal of Industrial Microbiology and Biotechnology","id":"ITEM-1","issue":"5","issued":{"date-parts":[["2001"]]},"page":"290-295","title":"Soy molasses as fermentation substrate for production of butanol using Clostridium beijerinckii BA101","type":"article-journal","volume":"26"}}],"schema":"https://github.com/citation-style-language/schema/raw/master/csl-citation.json"}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Pr="00CA240D">
              <w:rPr>
                <w:rFonts w:ascii="Times New Roman" w:hAnsi="Times New Roman" w:cs="Times New Roman"/>
                <w:sz w:val="18"/>
              </w:rPr>
              <w:t>[56]</w:t>
            </w:r>
            <w:r w:rsidRPr="004D19FF">
              <w:rPr>
                <w:rFonts w:ascii="Times New Roman" w:eastAsia="Times New Roman" w:hAnsi="Times New Roman" w:cs="Times New Roman"/>
                <w:color w:val="000000"/>
                <w:sz w:val="18"/>
                <w:szCs w:val="18"/>
              </w:rPr>
              <w:fldChar w:fldCharType="end"/>
            </w:r>
          </w:p>
        </w:tc>
      </w:tr>
      <w:tr w:rsidR="007D5698" w:rsidRPr="004D19FF" w14:paraId="6F23F628" w14:textId="77777777" w:rsidTr="00F464A2">
        <w:trPr>
          <w:trHeight w:val="384"/>
        </w:trPr>
        <w:tc>
          <w:tcPr>
            <w:tcW w:w="1286" w:type="dxa"/>
            <w:tcBorders>
              <w:top w:val="nil"/>
              <w:left w:val="nil"/>
              <w:bottom w:val="nil"/>
              <w:right w:val="nil"/>
            </w:tcBorders>
            <w:shd w:val="clear" w:color="auto" w:fill="auto"/>
            <w:noWrap/>
            <w:hideMark/>
          </w:tcPr>
          <w:p w14:paraId="5FF1A59F"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hideMark/>
          </w:tcPr>
          <w:p w14:paraId="546BAD23"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Food waste</w:t>
            </w:r>
          </w:p>
        </w:tc>
        <w:tc>
          <w:tcPr>
            <w:tcW w:w="1097" w:type="dxa"/>
            <w:tcBorders>
              <w:top w:val="nil"/>
              <w:left w:val="nil"/>
              <w:bottom w:val="nil"/>
              <w:right w:val="nil"/>
            </w:tcBorders>
            <w:shd w:val="clear" w:color="auto" w:fill="auto"/>
            <w:noWrap/>
            <w:hideMark/>
          </w:tcPr>
          <w:p w14:paraId="41DDF287"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AF</w:t>
            </w:r>
          </w:p>
        </w:tc>
        <w:tc>
          <w:tcPr>
            <w:tcW w:w="4169" w:type="dxa"/>
            <w:tcBorders>
              <w:top w:val="nil"/>
              <w:left w:val="nil"/>
              <w:bottom w:val="nil"/>
              <w:right w:val="nil"/>
            </w:tcBorders>
            <w:shd w:val="clear" w:color="auto" w:fill="auto"/>
            <w:noWrap/>
            <w:hideMark/>
          </w:tcPr>
          <w:p w14:paraId="7AAE0493" w14:textId="585BEB22" w:rsidR="007D5698" w:rsidRPr="004D19FF" w:rsidRDefault="007D5698" w:rsidP="006A0D2C">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6A0D2C">
              <w:rPr>
                <w:rFonts w:ascii="Times New Roman" w:eastAsia="Times New Roman" w:hAnsi="Times New Roman" w:cs="Times New Roman"/>
                <w:color w:val="000000"/>
                <w:sz w:val="18"/>
                <w:szCs w:val="18"/>
              </w:rPr>
              <w:t>Organic waste from food processing industries, restaurants and household</w:t>
            </w:r>
          </w:p>
        </w:tc>
        <w:tc>
          <w:tcPr>
            <w:tcW w:w="1236" w:type="dxa"/>
            <w:tcBorders>
              <w:top w:val="nil"/>
              <w:left w:val="nil"/>
              <w:bottom w:val="nil"/>
              <w:right w:val="nil"/>
            </w:tcBorders>
            <w:shd w:val="clear" w:color="auto" w:fill="auto"/>
            <w:hideMark/>
          </w:tcPr>
          <w:p w14:paraId="00F26BF3" w14:textId="49DCC7E6"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3e74jTe1","properties":{"formattedCitation":"[58,61]","plainCitation":"[58,61]","noteIndex":0},"citationItems":[{"id":"968HXJ10/WiOfZrza","uris":["http://www.mendeley.com/documents/?uuid=bb80c9c9-e808-44c7-bef8-d53b9d10bf88"],"uri":["http://www.mendeley.com/documents/?uuid=bb80c9c9-e808-44c7-bef8-d53b9d10bf88"],"itemData":{"DOI":"10.1016/j.biortech.2015.12.054","ISSN":"18732976","abstract":"The aim of present study was to develop a process for open ethanol fermentation from food waste using an acid-tolerant mutant of Zymomonas mobilis (ZMA7-2). The mutant showed strong tolerance to acid condition of food waste hydrolysate and high ethanol production performance. By optimizing fermentation parameters, ethanol fermentation with initial glucose concentration of 200. g/L, pH value around 4.0, inoculum size of 10% and without nutrient addition was considered as best conditions. Moreover, the potential of bench scales fermentation and cell reusability was also examined. The fermentation in bench scales (44. h) was faster than flask scale (48. h), and the maximum ethanol concentration and ethanol yield (99.78. g/L, 0.50. g/g) higher than that of flask scale (98.31. g/L, 0.49. g/g). In addition, the stable cell growth and ethanol production profile in five cycles successive fermentation was observed, indicating the mutant was suitable for industrial ethanol production.","author":[{"dropping-particle":"","family":"Ma","given":"Kedong","non-dropping-particle":"","parse-names":false,"suffix":""},{"dropping-particle":"","family":"Ruan","given":"Zhiyong","non-dropping-particle":"","parse-names":false,"suffix":""},{"dropping-particle":"","family":"Shui","given":"Zongxia","non-dropping-particle":"","parse-names":false,"suffix":""},{"dropping-particle":"","family":"Wang","given":"Yanwei","non-dropping-particle":"","parse-names":false,"suffix":""},{"dropping-particle":"","family":"Hu","given":"Guoquan","non-dropping-particle":"","parse-names":false,"suffix":""},{"dropping-particle":"","family":"He","given":"Mingxiong","non-dropping-particle":"","parse-names":false,"suffix":""}],"container-title":"Bioresource Technology","id":"ITEM-1","issued":{"date-parts":[["2016"]]},"page":"295-302","publisher":"Elsevier Ltd","title":"Open fermentative production of fuel ethanol from food waste by an acid-tolerant mutant strain of Zymomonas mobilis","type":"article-journal","volume":"203"}},{"id":"968HXJ10/PyEEA0yX","uris":["http://www.mendeley.com/documents/?uuid=f383686c-f930-3ad3-a48d-e76a71dd466a"],"uri":["http://www.mendeley.com/documents/?uuid=f383686c-f930-3ad3-a48d-e76a71dd466a"],"itemData":{"URL":"https://gevo.com/biofuels-reduce-greenhouse-gas-emissions/","accessed":{"date-parts":[["2019","11","17"]]},"author":[{"dropping-particle":"","family":"Gevo","given":"","non-dropping-particle":"","parse-names":false,"suffix":""}],"id":"ITEM-2","issued":{"date-parts":[["2019"]]},"title":"Gevo's Biofuels","type":"webpage"}}],"schema":"https://github.com/citation-style-language/schema/raw/master/csl-citation.json"}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Pr="00CA240D">
              <w:rPr>
                <w:rFonts w:ascii="Times New Roman" w:hAnsi="Times New Roman" w:cs="Times New Roman"/>
                <w:sz w:val="18"/>
              </w:rPr>
              <w:t>[58,61]</w:t>
            </w:r>
            <w:r w:rsidRPr="004D19FF">
              <w:rPr>
                <w:rFonts w:ascii="Times New Roman" w:eastAsia="Times New Roman" w:hAnsi="Times New Roman" w:cs="Times New Roman"/>
                <w:color w:val="000000"/>
                <w:sz w:val="18"/>
                <w:szCs w:val="18"/>
              </w:rPr>
              <w:fldChar w:fldCharType="end"/>
            </w:r>
          </w:p>
        </w:tc>
      </w:tr>
      <w:tr w:rsidR="007D5698" w:rsidRPr="004D19FF" w14:paraId="0D980854" w14:textId="77777777" w:rsidTr="00117E75">
        <w:trPr>
          <w:trHeight w:val="447"/>
        </w:trPr>
        <w:tc>
          <w:tcPr>
            <w:tcW w:w="1286" w:type="dxa"/>
            <w:tcBorders>
              <w:top w:val="nil"/>
              <w:left w:val="nil"/>
              <w:bottom w:val="nil"/>
              <w:right w:val="nil"/>
            </w:tcBorders>
            <w:shd w:val="clear" w:color="auto" w:fill="auto"/>
            <w:noWrap/>
            <w:hideMark/>
          </w:tcPr>
          <w:p w14:paraId="51A7552B"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hideMark/>
          </w:tcPr>
          <w:p w14:paraId="1B7B2292" w14:textId="77777777" w:rsidR="007D5698" w:rsidRPr="007D5698" w:rsidRDefault="007D5698" w:rsidP="00117E75">
            <w:pPr>
              <w:spacing w:after="0" w:line="240" w:lineRule="auto"/>
              <w:rPr>
                <w:rFonts w:ascii="Times New Roman" w:eastAsia="Times New Roman" w:hAnsi="Times New Roman" w:cs="Times New Roman"/>
                <w:color w:val="000000"/>
                <w:sz w:val="18"/>
                <w:szCs w:val="18"/>
                <w:vertAlign w:val="superscript"/>
              </w:rPr>
            </w:pPr>
            <w:r>
              <w:rPr>
                <w:rFonts w:ascii="Times New Roman" w:eastAsia="Times New Roman" w:hAnsi="Times New Roman" w:cs="Times New Roman"/>
                <w:color w:val="000000"/>
                <w:sz w:val="18"/>
                <w:szCs w:val="18"/>
              </w:rPr>
              <w:t>MSW</w:t>
            </w:r>
            <w:r>
              <w:rPr>
                <w:rFonts w:ascii="Times New Roman" w:eastAsia="Times New Roman" w:hAnsi="Times New Roman" w:cs="Times New Roman"/>
                <w:color w:val="000000"/>
                <w:sz w:val="18"/>
                <w:szCs w:val="18"/>
                <w:vertAlign w:val="superscript"/>
              </w:rPr>
              <w:t>1</w:t>
            </w:r>
          </w:p>
        </w:tc>
        <w:tc>
          <w:tcPr>
            <w:tcW w:w="1097" w:type="dxa"/>
            <w:tcBorders>
              <w:top w:val="nil"/>
              <w:left w:val="nil"/>
              <w:bottom w:val="nil"/>
              <w:right w:val="nil"/>
            </w:tcBorders>
            <w:shd w:val="clear" w:color="auto" w:fill="auto"/>
            <w:noWrap/>
            <w:hideMark/>
          </w:tcPr>
          <w:p w14:paraId="5DEA0D9C"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FT</w:t>
            </w:r>
          </w:p>
        </w:tc>
        <w:tc>
          <w:tcPr>
            <w:tcW w:w="4169" w:type="dxa"/>
            <w:tcBorders>
              <w:top w:val="nil"/>
              <w:left w:val="nil"/>
              <w:bottom w:val="nil"/>
              <w:right w:val="nil"/>
            </w:tcBorders>
            <w:shd w:val="clear" w:color="auto" w:fill="auto"/>
            <w:hideMark/>
          </w:tcPr>
          <w:p w14:paraId="7718F9F4" w14:textId="5E549EA8" w:rsidR="007D5698" w:rsidRPr="004D19FF" w:rsidRDefault="007D5698" w:rsidP="007D5698">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w:t>
            </w:r>
            <w:r w:rsidR="006A0D2C">
              <w:rPr>
                <w:rFonts w:ascii="Times New Roman" w:eastAsia="Times New Roman" w:hAnsi="Times New Roman" w:cs="Times New Roman"/>
                <w:color w:val="000000"/>
                <w:sz w:val="18"/>
                <w:szCs w:val="18"/>
              </w:rPr>
              <w:t>O</w:t>
            </w:r>
            <w:r>
              <w:rPr>
                <w:rFonts w:ascii="Times New Roman" w:eastAsia="Times New Roman" w:hAnsi="Times New Roman" w:cs="Times New Roman"/>
                <w:color w:val="000000"/>
                <w:sz w:val="18"/>
                <w:szCs w:val="18"/>
              </w:rPr>
              <w:t>rganic</w:t>
            </w:r>
            <w:r w:rsidRPr="004D19FF">
              <w:rPr>
                <w:rFonts w:ascii="Times New Roman" w:eastAsia="Times New Roman" w:hAnsi="Times New Roman" w:cs="Times New Roman"/>
                <w:color w:val="000000"/>
                <w:sz w:val="18"/>
                <w:szCs w:val="18"/>
              </w:rPr>
              <w:t xml:space="preserve"> portion </w:t>
            </w:r>
            <w:r>
              <w:rPr>
                <w:rFonts w:ascii="Times New Roman" w:eastAsia="Times New Roman" w:hAnsi="Times New Roman" w:cs="Times New Roman"/>
                <w:color w:val="000000"/>
                <w:sz w:val="18"/>
                <w:szCs w:val="18"/>
              </w:rPr>
              <w:t>of</w:t>
            </w:r>
            <w:r w:rsidRPr="004D19FF">
              <w:rPr>
                <w:rFonts w:ascii="Times New Roman" w:eastAsia="Times New Roman" w:hAnsi="Times New Roman" w:cs="Times New Roman"/>
                <w:color w:val="000000"/>
                <w:sz w:val="18"/>
                <w:szCs w:val="18"/>
              </w:rPr>
              <w:t xml:space="preserve"> household waste</w:t>
            </w:r>
          </w:p>
        </w:tc>
        <w:tc>
          <w:tcPr>
            <w:tcW w:w="1236" w:type="dxa"/>
            <w:tcBorders>
              <w:top w:val="nil"/>
              <w:left w:val="nil"/>
              <w:bottom w:val="nil"/>
              <w:right w:val="nil"/>
            </w:tcBorders>
            <w:shd w:val="clear" w:color="auto" w:fill="auto"/>
            <w:noWrap/>
            <w:hideMark/>
          </w:tcPr>
          <w:p w14:paraId="1439EF25" w14:textId="6EFB5CC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tC9Itn4I","properties":{"formattedCitation":"[108]","plainCitation":"[108]","noteIndex":0},"citationItems":[{"id":"968HXJ10/0H6RFoEd","uris":["http://www.mendeley.com/documents/?uuid=0ffbfa4c-bc3d-363b-828d-0e2c3b6a45df"],"uri":["http://www.mendeley.com/documents/?uuid=0ffbfa4c-bc3d-363b-828d-0e2c3b6a45df"],"itemData":{"URL":"http://fulcrum-bioenergy.com/","accessed":{"date-parts":[["2020","3","4"]]},"author":[{"dropping-particle":"","family":"Fulcrum Bioenergy","given":"","non-dropping-particle":"","parse-names":false,"suffix":""}],"container-title":"2020","id":"ITEM-1","issued":{"date-parts":[["2015"]]},"title":"Fulcrum BioEnergy","type":"webpage"}}],"schema":"https://github.com/citation-style-language/schema/raw/master/csl-citation.json"}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[108]</w:t>
            </w:r>
            <w:r w:rsidRPr="004D19FF">
              <w:rPr>
                <w:rFonts w:ascii="Times New Roman" w:eastAsia="Times New Roman" w:hAnsi="Times New Roman" w:cs="Times New Roman"/>
                <w:color w:val="000000"/>
                <w:sz w:val="18"/>
                <w:szCs w:val="18"/>
              </w:rPr>
              <w:fldChar w:fldCharType="end"/>
            </w:r>
          </w:p>
        </w:tc>
      </w:tr>
      <w:tr w:rsidR="007D5698" w:rsidRPr="004D19FF" w14:paraId="16F2A46D" w14:textId="77777777" w:rsidTr="00117E75">
        <w:trPr>
          <w:trHeight w:val="447"/>
        </w:trPr>
        <w:tc>
          <w:tcPr>
            <w:tcW w:w="1286" w:type="dxa"/>
            <w:tcBorders>
              <w:top w:val="nil"/>
              <w:left w:val="nil"/>
              <w:bottom w:val="nil"/>
              <w:right w:val="nil"/>
            </w:tcBorders>
            <w:shd w:val="clear" w:color="auto" w:fill="auto"/>
            <w:noWrap/>
            <w:hideMark/>
          </w:tcPr>
          <w:p w14:paraId="1C844699"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hideMark/>
          </w:tcPr>
          <w:p w14:paraId="19952B62" w14:textId="53551E8E"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Anaerobic sludge</w:t>
            </w:r>
            <w:r w:rsidR="004A193C">
              <w:rPr>
                <w:rFonts w:ascii="Times New Roman" w:eastAsia="Times New Roman" w:hAnsi="Times New Roman" w:cs="Times New Roman"/>
                <w:color w:val="000000"/>
                <w:sz w:val="18"/>
                <w:szCs w:val="18"/>
              </w:rPr>
              <w:t xml:space="preserve"> (digestate)</w:t>
            </w:r>
          </w:p>
        </w:tc>
        <w:tc>
          <w:tcPr>
            <w:tcW w:w="1097" w:type="dxa"/>
            <w:tcBorders>
              <w:top w:val="nil"/>
              <w:left w:val="nil"/>
              <w:bottom w:val="nil"/>
              <w:right w:val="nil"/>
            </w:tcBorders>
            <w:shd w:val="clear" w:color="auto" w:fill="auto"/>
            <w:noWrap/>
            <w:hideMark/>
          </w:tcPr>
          <w:p w14:paraId="0AAE133D"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HDCJ</w:t>
            </w:r>
          </w:p>
        </w:tc>
        <w:tc>
          <w:tcPr>
            <w:tcW w:w="4169" w:type="dxa"/>
            <w:tcBorders>
              <w:top w:val="nil"/>
              <w:left w:val="nil"/>
              <w:bottom w:val="nil"/>
              <w:right w:val="nil"/>
            </w:tcBorders>
            <w:shd w:val="clear" w:color="auto" w:fill="auto"/>
            <w:hideMark/>
          </w:tcPr>
          <w:p w14:paraId="5324CD52" w14:textId="6E4B8A60" w:rsidR="007D5698" w:rsidRPr="00981330" w:rsidRDefault="007D5698" w:rsidP="006A0D2C">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D</w:t>
            </w:r>
            <w:r w:rsidR="006A0D2C" w:rsidRPr="00981330">
              <w:rPr>
                <w:rFonts w:ascii="Times New Roman" w:eastAsia="Times New Roman" w:hAnsi="Times New Roman" w:cs="Times New Roman"/>
                <w:color w:val="000000"/>
                <w:sz w:val="18"/>
                <w:szCs w:val="18"/>
              </w:rPr>
              <w:t>igestate</w:t>
            </w:r>
            <w:r w:rsidRPr="00981330">
              <w:rPr>
                <w:rFonts w:ascii="Times New Roman" w:eastAsia="Times New Roman" w:hAnsi="Times New Roman" w:cs="Times New Roman"/>
                <w:color w:val="000000"/>
                <w:sz w:val="18"/>
                <w:szCs w:val="18"/>
              </w:rPr>
              <w:t xml:space="preserve"> from anaerobic digesters</w:t>
            </w:r>
            <w:r w:rsidRPr="00981330">
              <w:rPr>
                <w:rFonts w:ascii="Times New Roman" w:eastAsia="Times New Roman" w:hAnsi="Times New Roman" w:cs="Times New Roman"/>
                <w:color w:val="000000"/>
                <w:sz w:val="18"/>
                <w:szCs w:val="18"/>
              </w:rPr>
              <w:br/>
              <w:t xml:space="preserve">• </w:t>
            </w:r>
            <w:r w:rsidR="006A0D2C" w:rsidRPr="00981330">
              <w:rPr>
                <w:rFonts w:ascii="Times New Roman" w:eastAsia="Times New Roman" w:hAnsi="Times New Roman" w:cs="Times New Roman"/>
                <w:color w:val="000000"/>
                <w:sz w:val="18"/>
                <w:szCs w:val="18"/>
              </w:rPr>
              <w:t xml:space="preserve">The digestate is used as an input for </w:t>
            </w:r>
            <w:r w:rsidRPr="00981330">
              <w:rPr>
                <w:rFonts w:ascii="Times New Roman" w:eastAsia="Times New Roman" w:hAnsi="Times New Roman" w:cs="Times New Roman"/>
                <w:color w:val="000000"/>
                <w:sz w:val="18"/>
                <w:szCs w:val="18"/>
              </w:rPr>
              <w:t xml:space="preserve">bio-crude oil </w:t>
            </w:r>
            <w:r w:rsidRPr="00981330">
              <w:rPr>
                <w:rFonts w:ascii="Times New Roman" w:eastAsia="Times New Roman" w:hAnsi="Times New Roman" w:cs="Times New Roman"/>
                <w:color w:val="000000"/>
                <w:sz w:val="18"/>
                <w:szCs w:val="18"/>
              </w:rPr>
              <w:lastRenderedPageBreak/>
              <w:t>production by HTL</w:t>
            </w:r>
            <w:r w:rsidRPr="00981330">
              <w:rPr>
                <w:rFonts w:ascii="Times New Roman" w:eastAsia="Times New Roman" w:hAnsi="Times New Roman" w:cs="Times New Roman"/>
                <w:color w:val="000000"/>
                <w:sz w:val="18"/>
                <w:szCs w:val="18"/>
                <w:vertAlign w:val="superscript"/>
              </w:rPr>
              <w:t>1</w:t>
            </w:r>
            <w:r w:rsidR="006A0D2C" w:rsidRPr="00981330">
              <w:rPr>
                <w:rFonts w:ascii="Times New Roman" w:eastAsia="Times New Roman" w:hAnsi="Times New Roman" w:cs="Times New Roman"/>
                <w:color w:val="000000"/>
                <w:sz w:val="18"/>
                <w:szCs w:val="18"/>
              </w:rPr>
              <w:t>, subsequently upgraded to kerosene</w:t>
            </w:r>
          </w:p>
        </w:tc>
        <w:tc>
          <w:tcPr>
            <w:tcW w:w="1236" w:type="dxa"/>
            <w:tcBorders>
              <w:top w:val="nil"/>
              <w:left w:val="nil"/>
              <w:bottom w:val="nil"/>
              <w:right w:val="nil"/>
            </w:tcBorders>
            <w:shd w:val="clear" w:color="auto" w:fill="auto"/>
            <w:noWrap/>
            <w:hideMark/>
          </w:tcPr>
          <w:p w14:paraId="45E5AB8A" w14:textId="0C279ABA"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lastRenderedPageBreak/>
              <w:fldChar w:fldCharType="begin" w:fldLock="1"/>
            </w:r>
            <w:r w:rsidR="00752A1E">
              <w:rPr>
                <w:rFonts w:ascii="Times New Roman" w:eastAsia="Times New Roman" w:hAnsi="Times New Roman" w:cs="Times New Roman"/>
                <w:color w:val="000000"/>
                <w:sz w:val="18"/>
                <w:szCs w:val="18"/>
              </w:rPr>
              <w:instrText xml:space="preserve"> ADDIN ZOTERO_ITEM CSL_CITATION {"citationID":"j8EVe0QL","properties":{"formattedCitation":"[118]","plainCitation":"[118]","noteIndex":0},"citationItems":[{"id":"968HXJ10/3ViP4BJ9","uris":["http://www.mendeley.com/documents/?uuid=f3ece2c2-0fa4-40a5-a7bf-bf558e2f56ed"],"uri":["http://www.mendeley.com/documents/?uuid=f3ece2c2-0fa4-40a5-a7bf-bf558e2f56ed"],"itemData":{"DOI":"10.1016/j.biortech.2011.06.041","ISSN":"09608524","abstract":"This study explores the influence of wastewater feedstock composition on hydrothermal liquefaction (HTL) biocrude oil properties and physico-chemical characteristics. Spirulina algae, swine manure, and digested sludge were converted under HTL conditions (300°C, 10-12. MPa, and 30. min reaction time). Biocrude yields ranged from 9.4% (digested sludge) to 32.6% (Spirulina). Although similar higher heating values (32.0-34.7. MJ/kg) were estimated for all product oils, more detailed characterization revealed significant differences in biocrude chemistry. Feedstock composition influenced the individual compounds identified as well as the biocrude functional group chemistry. Molecular weights tracked with obdurate carbohydrate content and followed the order of Spirulina&lt;. swine manure. &lt;. digested sludge. A similar trend was observed in boiling point distributions and the long branched aliphatic contents. These findings show the importance of HTL feedstock composition and highlight the need for better understanding of biocrude chemistries when considering bio-oil uses and upgrading requirements. © 2011 Elsevier Ltd.","author":[{"dropping-particle":"","family":"Vardon","given":"Derek R.","non-dropping-particle":"","parse-names":false,"suffix":""},{"dropping-particle":"","family":"Sharma","given":"B. K.","non-dropping-particle":"","parse-names":false,"suffix":""},{"dropping-particle":"","family":"Scott","given":"John","non-dropping-particle":"","parse-names":false,"suffix":""},{"dropping-particle":"","family":"Yu","given":"Guo","non-dropping-particle":"","parse-names":false,"suffix":""},{"dropping-particle":"","family":"Wang","given":"Zhichao","non-dropping-particle":"","parse-names":false,"suffix":""},{"dropping-particle":"","family":"Schideman","given":"Lance","non-dropping-particle":"","parse-names":false,"suffix":""},{"dropping-particle":"","family":"Zhang","given":"Yuanhui","non-dropping-particle":"","parse-names":false,"suffix":""},{"dropping-particle":"","family":"Strathmann","given":"Timothy J.","non-dropping-particle":"","parse-names":false,"suffix":""}],"container-title":"Bioresource Technology","id":"ITEM-1","issue":"17","issued":{"date-parts":[["2011"]]},"page":"8295-8303","publisher":"Elsevier Ltd","title":"Chemical properties of biocrude oil from the hydrothermal liquefaction of Spirulina algae, swine manure, and digested anaerobic sludge","type":"article-journal","volume":"102"}}],"schema":"https://github.com/citation-style-language/schema/raw/master/csl-citation.json"}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[118]</w:t>
            </w:r>
            <w:r w:rsidRPr="004D19FF">
              <w:rPr>
                <w:rFonts w:ascii="Times New Roman" w:eastAsia="Times New Roman" w:hAnsi="Times New Roman" w:cs="Times New Roman"/>
                <w:color w:val="000000"/>
                <w:sz w:val="18"/>
                <w:szCs w:val="18"/>
              </w:rPr>
              <w:fldChar w:fldCharType="end"/>
            </w:r>
          </w:p>
        </w:tc>
      </w:tr>
      <w:tr w:rsidR="007D5698" w:rsidRPr="004D19FF" w14:paraId="67177183" w14:textId="77777777" w:rsidTr="00117E75">
        <w:trPr>
          <w:trHeight w:val="447"/>
        </w:trPr>
        <w:tc>
          <w:tcPr>
            <w:tcW w:w="1286" w:type="dxa"/>
            <w:tcBorders>
              <w:top w:val="nil"/>
              <w:left w:val="nil"/>
              <w:bottom w:val="nil"/>
              <w:right w:val="nil"/>
            </w:tcBorders>
            <w:shd w:val="clear" w:color="auto" w:fill="auto"/>
            <w:noWrap/>
            <w:hideMark/>
          </w:tcPr>
          <w:p w14:paraId="759AB486"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hideMark/>
          </w:tcPr>
          <w:p w14:paraId="4B0C6B18" w14:textId="4669CAD3"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Algae biomass</w:t>
            </w:r>
            <w:r w:rsidR="004A193C">
              <w:rPr>
                <w:rFonts w:ascii="Times New Roman" w:eastAsia="Times New Roman" w:hAnsi="Times New Roman" w:cs="Times New Roman"/>
                <w:color w:val="000000"/>
                <w:sz w:val="18"/>
                <w:szCs w:val="18"/>
              </w:rPr>
              <w:t xml:space="preserve"> </w:t>
            </w:r>
          </w:p>
        </w:tc>
        <w:tc>
          <w:tcPr>
            <w:tcW w:w="1097" w:type="dxa"/>
            <w:tcBorders>
              <w:top w:val="nil"/>
              <w:left w:val="nil"/>
              <w:bottom w:val="nil"/>
              <w:right w:val="nil"/>
            </w:tcBorders>
            <w:shd w:val="clear" w:color="auto" w:fill="auto"/>
            <w:noWrap/>
            <w:hideMark/>
          </w:tcPr>
          <w:p w14:paraId="36755FA5"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HDCJ</w:t>
            </w:r>
          </w:p>
        </w:tc>
        <w:tc>
          <w:tcPr>
            <w:tcW w:w="4169" w:type="dxa"/>
            <w:tcBorders>
              <w:top w:val="nil"/>
              <w:left w:val="nil"/>
              <w:bottom w:val="nil"/>
              <w:right w:val="nil"/>
            </w:tcBorders>
            <w:shd w:val="clear" w:color="auto" w:fill="auto"/>
            <w:hideMark/>
          </w:tcPr>
          <w:p w14:paraId="4FE3144F" w14:textId="4B3F61D5" w:rsidR="007D5698" w:rsidRPr="00981330" w:rsidRDefault="007D5698" w:rsidP="004A193C">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xml:space="preserve">• Grown in wastewater </w:t>
            </w:r>
            <w:r w:rsidRPr="00981330">
              <w:rPr>
                <w:rFonts w:ascii="Times New Roman" w:eastAsia="Times New Roman" w:hAnsi="Times New Roman" w:cs="Times New Roman"/>
                <w:color w:val="000000"/>
                <w:sz w:val="18"/>
                <w:szCs w:val="18"/>
              </w:rPr>
              <w:br/>
              <w:t>• For bio-crude oil production by HTL</w:t>
            </w:r>
            <w:r w:rsidR="004A193C" w:rsidRPr="00981330">
              <w:rPr>
                <w:rFonts w:ascii="Times New Roman" w:eastAsia="Times New Roman" w:hAnsi="Times New Roman" w:cs="Times New Roman"/>
                <w:color w:val="000000"/>
                <w:sz w:val="18"/>
                <w:szCs w:val="18"/>
              </w:rPr>
              <w:t>,  subsequently upgraded to kerosene</w:t>
            </w:r>
          </w:p>
        </w:tc>
        <w:tc>
          <w:tcPr>
            <w:tcW w:w="1236" w:type="dxa"/>
            <w:tcBorders>
              <w:top w:val="nil"/>
              <w:left w:val="nil"/>
              <w:bottom w:val="nil"/>
              <w:right w:val="nil"/>
            </w:tcBorders>
            <w:shd w:val="clear" w:color="auto" w:fill="auto"/>
            <w:noWrap/>
            <w:hideMark/>
          </w:tcPr>
          <w:p w14:paraId="558EEC98" w14:textId="17BB1550" w:rsidR="007D5698" w:rsidRPr="004D19FF" w:rsidRDefault="007D5698" w:rsidP="00117E75">
            <w:pPr>
              <w:spacing w:after="0" w:line="240" w:lineRule="auto"/>
              <w:rPr>
                <w:rFonts w:ascii="Times New Roman" w:eastAsia="Times New Roman" w:hAnsi="Times New Roman" w:cs="Times New Roman"/>
                <w:sz w:val="18"/>
                <w:szCs w:val="18"/>
              </w:rPr>
            </w:pPr>
            <w:r w:rsidRPr="004D19FF">
              <w:rPr>
                <w:rFonts w:ascii="Times New Roman" w:eastAsia="Times New Roman" w:hAnsi="Times New Roman" w:cs="Times New Roman"/>
                <w:sz w:val="18"/>
                <w:szCs w:val="18"/>
              </w:rPr>
              <w:fldChar w:fldCharType="begin" w:fldLock="1"/>
            </w:r>
            <w:r w:rsidR="00752A1E">
              <w:rPr>
                <w:rFonts w:ascii="Times New Roman" w:eastAsia="Times New Roman" w:hAnsi="Times New Roman" w:cs="Times New Roman"/>
                <w:sz w:val="18"/>
                <w:szCs w:val="18"/>
              </w:rPr>
              <w:instrText xml:space="preserve"> ADDIN ZOTERO_ITEM CSL_CITATION {"citationID":"x4tWMP23","properties":{"formattedCitation":"[278]","plainCitation":"[278]","noteIndex":0},"citationItems":[{"id":"968HXJ10/B3N9vLFm","uris":["http://www.mendeley.com/documents/?uuid=e11d9500-90c9-4127-b31e-c08b1d7f2892"],"uri":["http://www.mendeley.com/documents/?uuid=e11d9500-90c9-4127-b31e-c08b1d7f2892"],"itemData":{"DOI":"10.1016/j.biortech.2013.10.111","ISSN":"18732976","abstract":"In this study, a mixed-culture algal biomass harvested from a functioning wastewater treatment system (AW) was hydrothermally converted into bio-crude oils. The highest bio-crude oil yield (49% of volatile matter) and the highest energy recovery were obtained at 300. °C with 1. h retention time. The highest heating value of the bio-crude oil was 33.3. MJ/kg, produced at 320. °C and 1. h retention time. Thermogravimetric analysis showed approximately 60% of the bio-crude oils were distilled in the range of 200-550. °C; and the solid residue might be suitable for use in asphalt. GC-MS results indicated that the bio-crude oil contained hydrocarbons and fatty acids, while the aqueous product was rich in organic acids and cyclic amines. The nitrogen recovery (NR) in the bio-crude oil ranged from 8.41% to 16.8%, which was lower than the typical range of 25%-53% from previous studies. © 2013 Elsevier Ltd.","author":[{"dropping-particle":"","family":"Chen","given":"Wan Ting","non-dropping-particle":"","parse-names":false,"suffix":""},{"dropping-particle":"","family":"Zhang","given":"Yuanhui","non-dropping-particle":"","parse-names":false,"suffix":""},{"dropping-particle":"","family":"Zhang","given":"Jixiang","non-dropping-particle":"","parse-names":false,"suffix":""},{"dropping-particle":"","family":"Yu","given":"Guo","non-dropping-particle":"","parse-names":false,"suffix":""},{"dropping-particle":"","family":"Schideman","given":"Lance C.","non-dropping-particle":"","parse-names":false,"suffix":""},{"dropping-particle":"","family":"Zhang","given":"Peng","non-dropping-particle":"","parse-names":false,"suffix":""},{"dropping-particle":"","family":"Minarick","given":"Mitchell","non-dropping-particle":"","parse-names":false,"suffix":""}],"container-title":"Bioresource Technology","id":"ITEM-1","issued":{"date-parts":[["2014"]]},"page":"130-139","publisher":"Elsevier Ltd","title":"Hydrothermal liquefaction of mixed-culture algal biomass from wastewater treatment system into bio-crude oil","type":"article-journal","volume":"152"}}],"schema":"https://github.com/citation-style-language/schema/raw/master/csl-citation.json"} </w:instrText>
            </w:r>
            <w:r w:rsidRPr="004D19FF">
              <w:rPr>
                <w:rFonts w:ascii="Times New Roman" w:eastAsia="Times New Roman" w:hAnsi="Times New Roman" w:cs="Times New Roman"/>
                <w:sz w:val="18"/>
                <w:szCs w:val="18"/>
              </w:rPr>
              <w:fldChar w:fldCharType="separate"/>
            </w:r>
            <w:r w:rsidR="00196B5E" w:rsidRPr="00196B5E">
              <w:rPr>
                <w:rFonts w:ascii="Times New Roman" w:hAnsi="Times New Roman" w:cs="Times New Roman"/>
                <w:sz w:val="18"/>
              </w:rPr>
              <w:t>[278]</w:t>
            </w:r>
            <w:r w:rsidRPr="004D19FF">
              <w:rPr>
                <w:rFonts w:ascii="Times New Roman" w:eastAsia="Times New Roman" w:hAnsi="Times New Roman" w:cs="Times New Roman"/>
                <w:sz w:val="18"/>
                <w:szCs w:val="18"/>
              </w:rPr>
              <w:fldChar w:fldCharType="end"/>
            </w:r>
          </w:p>
        </w:tc>
      </w:tr>
      <w:tr w:rsidR="007D5698" w:rsidRPr="004D19FF" w14:paraId="46A338E1" w14:textId="77777777" w:rsidTr="00117E75">
        <w:trPr>
          <w:trHeight w:val="267"/>
        </w:trPr>
        <w:tc>
          <w:tcPr>
            <w:tcW w:w="1286" w:type="dxa"/>
            <w:tcBorders>
              <w:top w:val="nil"/>
              <w:left w:val="nil"/>
              <w:bottom w:val="single" w:sz="4" w:space="0" w:color="auto"/>
              <w:right w:val="nil"/>
            </w:tcBorders>
            <w:shd w:val="clear" w:color="auto" w:fill="auto"/>
            <w:noWrap/>
            <w:hideMark/>
          </w:tcPr>
          <w:p w14:paraId="096A96D2"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w:t>
            </w:r>
          </w:p>
        </w:tc>
        <w:tc>
          <w:tcPr>
            <w:tcW w:w="1519" w:type="dxa"/>
            <w:tcBorders>
              <w:top w:val="nil"/>
              <w:left w:val="nil"/>
              <w:bottom w:val="single" w:sz="4" w:space="0" w:color="auto"/>
              <w:right w:val="nil"/>
            </w:tcBorders>
            <w:shd w:val="clear" w:color="auto" w:fill="auto"/>
            <w:noWrap/>
            <w:hideMark/>
          </w:tcPr>
          <w:p w14:paraId="59289CCD"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Swine manure</w:t>
            </w:r>
          </w:p>
        </w:tc>
        <w:tc>
          <w:tcPr>
            <w:tcW w:w="1097" w:type="dxa"/>
            <w:tcBorders>
              <w:top w:val="nil"/>
              <w:left w:val="nil"/>
              <w:bottom w:val="single" w:sz="4" w:space="0" w:color="auto"/>
              <w:right w:val="nil"/>
            </w:tcBorders>
            <w:shd w:val="clear" w:color="auto" w:fill="auto"/>
            <w:noWrap/>
            <w:hideMark/>
          </w:tcPr>
          <w:p w14:paraId="06144C41"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HDCJ</w:t>
            </w:r>
          </w:p>
        </w:tc>
        <w:tc>
          <w:tcPr>
            <w:tcW w:w="4169" w:type="dxa"/>
            <w:tcBorders>
              <w:top w:val="nil"/>
              <w:left w:val="nil"/>
              <w:bottom w:val="single" w:sz="4" w:space="0" w:color="auto"/>
              <w:right w:val="nil"/>
            </w:tcBorders>
            <w:shd w:val="clear" w:color="auto" w:fill="auto"/>
            <w:noWrap/>
            <w:hideMark/>
          </w:tcPr>
          <w:p w14:paraId="53BDFCAE" w14:textId="4285CD53" w:rsidR="007D5698" w:rsidRPr="00981330" w:rsidRDefault="007D5698" w:rsidP="007D5698">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For bio-crude oil production by fast pyrolysis</w:t>
            </w:r>
            <w:r w:rsidR="004A193C" w:rsidRPr="00981330">
              <w:rPr>
                <w:rFonts w:ascii="Times New Roman" w:eastAsia="Times New Roman" w:hAnsi="Times New Roman" w:cs="Times New Roman"/>
                <w:color w:val="000000"/>
                <w:sz w:val="18"/>
                <w:szCs w:val="18"/>
              </w:rPr>
              <w:t>,  subsequently upgraded to kerosene</w:t>
            </w:r>
          </w:p>
        </w:tc>
        <w:tc>
          <w:tcPr>
            <w:tcW w:w="1236" w:type="dxa"/>
            <w:tcBorders>
              <w:top w:val="nil"/>
              <w:left w:val="nil"/>
              <w:bottom w:val="single" w:sz="4" w:space="0" w:color="auto"/>
              <w:right w:val="nil"/>
            </w:tcBorders>
            <w:shd w:val="clear" w:color="auto" w:fill="auto"/>
            <w:noWrap/>
            <w:hideMark/>
          </w:tcPr>
          <w:p w14:paraId="3A93795A" w14:textId="18C7704E"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t7IfPu0y","properties":{"formattedCitation":"[112]","plainCitation":"[112]","noteIndex":0},"citationItems":[{"id":"968HXJ10/DYfdzxZx","uris":["http://www.mendeley.com/documents/?uuid=1bac2c7e-955f-44c3-98fa-77855d77b59c"],"uri":["http://www.mendeley.com/documents/?uuid=1bac2c7e-955f-44c3-98fa-77855d77b59c"],"itemData":{"DOI":"10.1016/j.renene.2014.08.041","ISSN":"18790682","abstract":"All around the world research is being conducted in the field of renewable energy due to the depletion of fossil fuels and the problem of global warming. Fast pyrolysis, an optimal technology for converting biomass to liquid fuel, enables lignocellulosic raw materials such as wood, switch grass and rice straw to be converted to biocrude-oil. Even though many studies on these materials have already been conducted, the high production costs and unstable supply thereof have frequently been pointed out as significant problems. Thus, this study considers the use of another feedstock to solve such disadvantages and to raise the recycling rate of organic wastes simultaneously. Swine manure was selected as an alternative feedstock due to the existence of a stable supply from the livestock farming industry. A bubbling-fluidized-bed reactor was used in the present study for fast pyrolysis. The yield and characteristics of biocrude-oil were investigated at various reaction temperatures. The optimum temperature for maximum biocruce-oil yield was found to be 600°C with the highest yield of 18.48wt% and HHV of 13.59MJ/kg. Due to its low yield and high water content, swine manure is suggested to be blended with other types of biomass as a means of higher yield and quality of biocrude-oil.","author":[{"dropping-particle":"","family":"Jeong","given":"Yeon Woo","non-dropping-particle":"","parse-names":false,"suffix":""},{"dropping-particle":"","family":"Choi","given":"Sang Kyu","non-dropping-particle":"","parse-names":false,"suffix":""},{"dropping-particle":"","family":"Choi","given":"Yeon Seok","non-dropping-particle":"","parse-names":false,"suffix":""},{"dropping-particle":"","family":"Kim","given":"Seock Joon","non-dropping-particle":"","parse-names":false,"suffix":""}],"container-title":"Renewable Energy","id":"ITEM-1","issue":"1","issued":{"date-parts":[["2015"]]},"page":"14-19","publisher":"Elsevier Ltd","title":"Production of biocrude-oil from swine manure by fast pyrolysis and analysis of its characteristics","type":"article-journal","volume":"79"}}],"schema":"https://github.com/citation-style-language/schema/raw/master/csl-citation.json"}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[112]</w:t>
            </w:r>
            <w:r w:rsidRPr="004D19FF">
              <w:rPr>
                <w:rFonts w:ascii="Times New Roman" w:eastAsia="Times New Roman" w:hAnsi="Times New Roman" w:cs="Times New Roman"/>
                <w:color w:val="000000"/>
                <w:sz w:val="18"/>
                <w:szCs w:val="18"/>
              </w:rPr>
              <w:fldChar w:fldCharType="end"/>
            </w:r>
          </w:p>
        </w:tc>
      </w:tr>
      <w:tr w:rsidR="007D5698" w:rsidRPr="004D19FF" w14:paraId="7222D229" w14:textId="77777777" w:rsidTr="00117E75">
        <w:trPr>
          <w:trHeight w:val="447"/>
        </w:trPr>
        <w:tc>
          <w:tcPr>
            <w:tcW w:w="1286" w:type="dxa"/>
            <w:tcBorders>
              <w:top w:val="nil"/>
              <w:left w:val="nil"/>
              <w:bottom w:val="nil"/>
              <w:right w:val="nil"/>
            </w:tcBorders>
            <w:shd w:val="clear" w:color="auto" w:fill="auto"/>
            <w:hideMark/>
          </w:tcPr>
          <w:p w14:paraId="7EC9D8A4"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Lignocellulose</w:t>
            </w:r>
          </w:p>
        </w:tc>
        <w:tc>
          <w:tcPr>
            <w:tcW w:w="1519" w:type="dxa"/>
            <w:tcBorders>
              <w:top w:val="nil"/>
              <w:left w:val="nil"/>
              <w:bottom w:val="nil"/>
              <w:right w:val="nil"/>
            </w:tcBorders>
            <w:shd w:val="clear" w:color="auto" w:fill="auto"/>
            <w:noWrap/>
            <w:hideMark/>
          </w:tcPr>
          <w:p w14:paraId="208901AB"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Forestry waste</w:t>
            </w:r>
          </w:p>
        </w:tc>
        <w:tc>
          <w:tcPr>
            <w:tcW w:w="1097" w:type="dxa"/>
            <w:tcBorders>
              <w:top w:val="nil"/>
              <w:left w:val="nil"/>
              <w:bottom w:val="nil"/>
              <w:right w:val="nil"/>
            </w:tcBorders>
            <w:shd w:val="clear" w:color="auto" w:fill="auto"/>
            <w:hideMark/>
          </w:tcPr>
          <w:p w14:paraId="4311BACA"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AF</w:t>
            </w:r>
            <w:r w:rsidRPr="004D19FF">
              <w:rPr>
                <w:rFonts w:ascii="Times New Roman" w:eastAsia="Times New Roman" w:hAnsi="Times New Roman" w:cs="Times New Roman"/>
                <w:color w:val="000000"/>
                <w:sz w:val="18"/>
                <w:szCs w:val="18"/>
              </w:rPr>
              <w:br/>
              <w:t>FT</w:t>
            </w:r>
          </w:p>
        </w:tc>
        <w:tc>
          <w:tcPr>
            <w:tcW w:w="4169" w:type="dxa"/>
            <w:tcBorders>
              <w:top w:val="nil"/>
              <w:left w:val="nil"/>
              <w:bottom w:val="nil"/>
              <w:right w:val="nil"/>
            </w:tcBorders>
            <w:shd w:val="clear" w:color="auto" w:fill="auto"/>
            <w:hideMark/>
          </w:tcPr>
          <w:p w14:paraId="1A379DAB" w14:textId="77777777" w:rsidR="007D5698" w:rsidRPr="00981330" w:rsidRDefault="007D5698" w:rsidP="00117E75">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xml:space="preserve">• Pretreatment requirement </w:t>
            </w:r>
            <w:r w:rsidRPr="00981330">
              <w:rPr>
                <w:rFonts w:ascii="Times New Roman" w:eastAsia="Times New Roman" w:hAnsi="Times New Roman" w:cs="Times New Roman"/>
                <w:color w:val="000000"/>
                <w:sz w:val="18"/>
                <w:szCs w:val="18"/>
              </w:rPr>
              <w:br/>
              <w:t>• Gasification and syngas conditioning requirements</w:t>
            </w:r>
          </w:p>
        </w:tc>
        <w:tc>
          <w:tcPr>
            <w:tcW w:w="1236" w:type="dxa"/>
            <w:tcBorders>
              <w:top w:val="nil"/>
              <w:left w:val="nil"/>
              <w:bottom w:val="nil"/>
              <w:right w:val="nil"/>
            </w:tcBorders>
            <w:shd w:val="clear" w:color="auto" w:fill="auto"/>
            <w:hideMark/>
          </w:tcPr>
          <w:p w14:paraId="62A86B22" w14:textId="46F8EADF"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wMs5f1Zd","properties":{"formattedCitation":"[57,61,110]","plainCitation":"[57,61,110]","noteIndex":0},"citationItems":[{"id":"968HXJ10/4ogmcdeq","uris":["http://www.mendeley.com/documents/?uuid=71a3dbf7-49ab-48cf-8942-c5a2054a09bb"],"uri":["http://www.mendeley.com/documents/?uuid=71a3dbf7-49ab-48cf-8942-c5a2054a09bb"],"itemData":{"abstract":"The present invention in its various embodiments is directed to methods for preparing a renewable jet fuel blendstock, and blendstocks prepared by Such methods, comprising ferment ing a biomass-derived feedstock to form one or more C-C, alcohols such as isobutanol, catalytically dehydrate and oli gomerize the alcohols to form higher molecular weight ole fins (e.g., Cs-Colefins), hydrogenating at least a portion of the higher molecular weight olefins to form a renewable jet fuel blendstock comprising C2 and C alkanes which meet or exceed the requirements of ASTM D7566-10a for hydro processed synthesized paraffinic kerosene (SPK).","author":[{"dropping-particle":"","family":"Peters","given":"Matthew W.","non-dropping-particle":"","parse-names":false,"suffix":""},{"dropping-particle":"","family":"Taylor","given":"Joshua D.","non-dropping-particle":"","parse-names":false,"suffix":""}],"id":"ITEM-1","issued":{"date-parts":[["2015"]]},"number":"US8,975,461 B2","page":"1-26","title":"Renewable jet fuel blendstock from isobutanol","type":"patent"}},{"id":"968HXJ10/7ie9pNNG","uris":["http://www.mendeley.com/documents/?uuid=a17f19c7-4595-38db-ba5e-f1fbba614725"],"uri":["http://www.mendeley.com/documents/?uuid=a17f19c7-4595-38db-ba5e-f1fbba614725"],"itemData":{"URL":"https://www.redrockbio.com/","accessed":{"date-parts":[["2020","3","4"]]},"author":[{"dropping-particle":"","family":"Red Rock Biofuels","given":"","non-dropping-particle":"","parse-names":false,"suffix":""}],"id":"ITEM-2","issued":{"date-parts":[["2018"]]},"title":"Red Rock Biofuels","type":"webpage"}},{"id":"968HXJ10/PyEEA0yX","uris":["http://www.mendeley.com/documents/?uuid=f383686c-f930-3ad3-a48d-e76a71dd466a"],"uri":["http://www.mendeley.com/documents/?uuid=f383686c-f930-3ad3-a48d-e76a71dd466a"],"itemData":{"URL":"https://gevo.com/biofuels-reduce-greenhouse-gas-emissions/","accessed":{"date-parts":[["2019","11","17"]]},"author":[{"dropping-particle":"","family":"Gevo","given":"","non-dropping-particle":"","parse-names":false,"suffix":""}],"id":"ITEM-3","issued":{"date-parts":[["2019"]]},"title":"Gevo's Biofuels","type":"webpage"}}],"schema":"https://github.com/citation-style-language/schema/raw/master/csl-citation.json"}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[57,61,110]</w:t>
            </w:r>
            <w:r w:rsidRPr="004D19FF">
              <w:rPr>
                <w:rFonts w:ascii="Times New Roman" w:eastAsia="Times New Roman" w:hAnsi="Times New Roman" w:cs="Times New Roman"/>
                <w:color w:val="000000"/>
                <w:sz w:val="18"/>
                <w:szCs w:val="18"/>
              </w:rPr>
              <w:fldChar w:fldCharType="end"/>
            </w:r>
          </w:p>
        </w:tc>
      </w:tr>
      <w:tr w:rsidR="007D5698" w:rsidRPr="004D19FF" w14:paraId="1C54DF69" w14:textId="77777777" w:rsidTr="00117E75">
        <w:trPr>
          <w:trHeight w:val="447"/>
        </w:trPr>
        <w:tc>
          <w:tcPr>
            <w:tcW w:w="1286" w:type="dxa"/>
            <w:tcBorders>
              <w:top w:val="nil"/>
              <w:left w:val="nil"/>
              <w:bottom w:val="nil"/>
              <w:right w:val="nil"/>
            </w:tcBorders>
            <w:shd w:val="clear" w:color="auto" w:fill="auto"/>
            <w:noWrap/>
            <w:hideMark/>
          </w:tcPr>
          <w:p w14:paraId="3CE574CB"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noWrap/>
            <w:hideMark/>
          </w:tcPr>
          <w:p w14:paraId="49BE5A00"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Wheat/rice straw</w:t>
            </w:r>
          </w:p>
        </w:tc>
        <w:tc>
          <w:tcPr>
            <w:tcW w:w="1097" w:type="dxa"/>
            <w:tcBorders>
              <w:top w:val="nil"/>
              <w:left w:val="nil"/>
              <w:bottom w:val="nil"/>
              <w:right w:val="nil"/>
            </w:tcBorders>
            <w:shd w:val="clear" w:color="auto" w:fill="auto"/>
            <w:hideMark/>
          </w:tcPr>
          <w:p w14:paraId="268F8C11"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AF</w:t>
            </w:r>
            <w:r w:rsidRPr="004D19FF">
              <w:rPr>
                <w:rFonts w:ascii="Times New Roman" w:eastAsia="Times New Roman" w:hAnsi="Times New Roman" w:cs="Times New Roman"/>
                <w:color w:val="000000"/>
                <w:sz w:val="18"/>
                <w:szCs w:val="18"/>
              </w:rPr>
              <w:br/>
              <w:t>DSHC</w:t>
            </w:r>
          </w:p>
        </w:tc>
        <w:tc>
          <w:tcPr>
            <w:tcW w:w="4169" w:type="dxa"/>
            <w:tcBorders>
              <w:top w:val="nil"/>
              <w:left w:val="nil"/>
              <w:bottom w:val="nil"/>
              <w:right w:val="nil"/>
            </w:tcBorders>
            <w:shd w:val="clear" w:color="auto" w:fill="auto"/>
            <w:hideMark/>
          </w:tcPr>
          <w:p w14:paraId="6BFD2863" w14:textId="77777777" w:rsidR="007D5698" w:rsidRPr="00981330" w:rsidRDefault="007D5698" w:rsidP="00117E75">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Pretreatment requirement</w:t>
            </w:r>
            <w:r w:rsidRPr="00981330">
              <w:rPr>
                <w:rFonts w:ascii="Times New Roman" w:eastAsia="Times New Roman" w:hAnsi="Times New Roman" w:cs="Times New Roman"/>
                <w:color w:val="000000"/>
                <w:sz w:val="18"/>
                <w:szCs w:val="18"/>
              </w:rPr>
              <w:br/>
              <w:t>• Pretreatment and hydrolysis requirements</w:t>
            </w:r>
          </w:p>
        </w:tc>
        <w:tc>
          <w:tcPr>
            <w:tcW w:w="1236" w:type="dxa"/>
            <w:tcBorders>
              <w:top w:val="nil"/>
              <w:left w:val="nil"/>
              <w:bottom w:val="nil"/>
              <w:right w:val="nil"/>
            </w:tcBorders>
            <w:shd w:val="clear" w:color="auto" w:fill="auto"/>
            <w:hideMark/>
          </w:tcPr>
          <w:p w14:paraId="6A03515A" w14:textId="01AF668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2eW9Rj5h","properties":{"formattedCitation":"[61,279]","plainCitation":"[61,279]","noteIndex":0},"citationItems":[{"id":"968HXJ10/aGrNapcC","uris":["http://www.mendeley.com/documents/?uuid=8bc80fbd-26ee-367b-ade1-f3a2f9ec976b"],"uri":["http://www.mendeley.com/documents/?uuid=8bc80fbd-26ee-367b-ade1-f3a2f9ec976b"],"itemData":{"author":[{"dropping-particle":"","family":"Energy","given":"Continuous Lower","non-dropping-particle":"","parse-names":false,"suffix":""}],"id":"ITEM-1","issued":{"date-parts":[["2014"]]},"title":"Evaluation of Amyris Direct Sugar to Hydrocarbon (DSHC) Fuel","type":"article-journal"}},{"id":"968HXJ10/PyEEA0yX","uris":["http://www.mendeley.com/documents/?uuid=f383686c-f930-3ad3-a48d-e76a71dd466a"],"uri":["http://www.mendeley.com/documents/?uuid=f383686c-f930-3ad3-a48d-e76a71dd466a"],"itemData":{"URL":"https://gevo.com/biofuels-reduce-greenhouse-gas-emissions/","accessed":{"date-parts":[["2019","11","17"]]},"author":[{"dropping-particle":"","family":"Gevo","given":"","non-dropping-particle":"","parse-names":false,"suffix":""}],"id":"ITEM-2","issued":{"date-parts":[["2019"]]},"title":"Gevo's Biofuels","type":"webpage"}}],"schema":"https://github.com/citation-style-language/schema/raw/master/csl-citation.json"}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196B5E" w:rsidRPr="00196B5E">
              <w:rPr>
                <w:rFonts w:ascii="Times New Roman" w:hAnsi="Times New Roman" w:cs="Times New Roman"/>
                <w:sz w:val="18"/>
              </w:rPr>
              <w:t>[61,279]</w:t>
            </w:r>
            <w:r w:rsidRPr="004D19FF">
              <w:rPr>
                <w:rFonts w:ascii="Times New Roman" w:eastAsia="Times New Roman" w:hAnsi="Times New Roman" w:cs="Times New Roman"/>
                <w:color w:val="000000"/>
                <w:sz w:val="18"/>
                <w:szCs w:val="18"/>
              </w:rPr>
              <w:fldChar w:fldCharType="end"/>
            </w:r>
          </w:p>
        </w:tc>
      </w:tr>
      <w:tr w:rsidR="007D5698" w:rsidRPr="004D19FF" w14:paraId="5CE3440C" w14:textId="77777777" w:rsidTr="00117E75">
        <w:trPr>
          <w:trHeight w:val="670"/>
        </w:trPr>
        <w:tc>
          <w:tcPr>
            <w:tcW w:w="1286" w:type="dxa"/>
            <w:tcBorders>
              <w:top w:val="nil"/>
              <w:left w:val="nil"/>
              <w:bottom w:val="nil"/>
              <w:right w:val="nil"/>
            </w:tcBorders>
            <w:shd w:val="clear" w:color="auto" w:fill="auto"/>
            <w:noWrap/>
            <w:hideMark/>
          </w:tcPr>
          <w:p w14:paraId="7F0B8054"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hideMark/>
          </w:tcPr>
          <w:p w14:paraId="774717C4"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Maize stover </w:t>
            </w:r>
          </w:p>
        </w:tc>
        <w:tc>
          <w:tcPr>
            <w:tcW w:w="1097" w:type="dxa"/>
            <w:tcBorders>
              <w:top w:val="nil"/>
              <w:left w:val="nil"/>
              <w:bottom w:val="nil"/>
              <w:right w:val="nil"/>
            </w:tcBorders>
            <w:shd w:val="clear" w:color="auto" w:fill="auto"/>
            <w:hideMark/>
          </w:tcPr>
          <w:p w14:paraId="7D67A0C7"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SF, FT</w:t>
            </w:r>
            <w:r w:rsidRPr="004D19FF">
              <w:rPr>
                <w:rFonts w:ascii="Times New Roman" w:eastAsia="Times New Roman" w:hAnsi="Times New Roman" w:cs="Times New Roman"/>
                <w:color w:val="000000"/>
                <w:sz w:val="18"/>
                <w:szCs w:val="18"/>
              </w:rPr>
              <w:br/>
              <w:t>DSHC</w:t>
            </w:r>
            <w:r w:rsidRPr="004D19FF">
              <w:rPr>
                <w:rFonts w:ascii="Times New Roman" w:eastAsia="Times New Roman" w:hAnsi="Times New Roman" w:cs="Times New Roman"/>
                <w:color w:val="000000"/>
                <w:sz w:val="18"/>
                <w:szCs w:val="18"/>
              </w:rPr>
              <w:br/>
              <w:t>APR</w:t>
            </w:r>
          </w:p>
        </w:tc>
        <w:tc>
          <w:tcPr>
            <w:tcW w:w="4169" w:type="dxa"/>
            <w:tcBorders>
              <w:top w:val="nil"/>
              <w:left w:val="nil"/>
              <w:bottom w:val="nil"/>
              <w:right w:val="nil"/>
            </w:tcBorders>
            <w:shd w:val="clear" w:color="auto" w:fill="auto"/>
            <w:hideMark/>
          </w:tcPr>
          <w:p w14:paraId="0B8FE5C3" w14:textId="77777777" w:rsidR="007D5698" w:rsidRPr="00981330" w:rsidRDefault="007D5698" w:rsidP="00117E75">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Gasification and syngas conditioning requirements</w:t>
            </w:r>
            <w:r w:rsidRPr="00981330">
              <w:rPr>
                <w:rFonts w:ascii="Times New Roman" w:eastAsia="Times New Roman" w:hAnsi="Times New Roman" w:cs="Times New Roman"/>
                <w:color w:val="000000"/>
                <w:sz w:val="18"/>
                <w:szCs w:val="18"/>
              </w:rPr>
              <w:br/>
              <w:t>• Pretreatment and hydrolysis requirements</w:t>
            </w:r>
            <w:r w:rsidRPr="00981330">
              <w:rPr>
                <w:rFonts w:ascii="Times New Roman" w:eastAsia="Times New Roman" w:hAnsi="Times New Roman" w:cs="Times New Roman"/>
                <w:color w:val="000000"/>
                <w:sz w:val="18"/>
                <w:szCs w:val="18"/>
              </w:rPr>
              <w:br/>
              <w:t>• Pretreatment and hydrolysis requirement</w:t>
            </w:r>
          </w:p>
        </w:tc>
        <w:tc>
          <w:tcPr>
            <w:tcW w:w="1236" w:type="dxa"/>
            <w:tcBorders>
              <w:top w:val="nil"/>
              <w:left w:val="nil"/>
              <w:bottom w:val="nil"/>
              <w:right w:val="nil"/>
            </w:tcBorders>
            <w:shd w:val="clear" w:color="auto" w:fill="auto"/>
            <w:hideMark/>
          </w:tcPr>
          <w:p w14:paraId="2A6E19DF" w14:textId="589E82D0"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oEvY7sSA","properties":{"formattedCitation":"[45,50,85]","plainCitation":"[45,50,85]","noteIndex":0},"citationItems":[{"id":"968HXJ10/NXAZ6PgL","uris":["http://www.mendeley.com/documents/?uuid=48bf1403-7fb1-417d-9ddc-53898bc53b10"],"uri":["http://www.mendeley.com/documents/?uuid=48bf1403-7fb1-417d-9ddc-53898bc53b10"],"itemData":{"author":[{"dropping-particle":"","family":"Davis","given":"Ryan","non-dropping-particle":"","parse-names":false,"suffix":""},{"dropping-particle":"","family":"Biddy","given":"Mary","non-dropping-particle":"","parse-names":false,"suffix":""},{"dropping-particle":"","family":"Tan","given":"Eric","non-dropping-particle":"","parse-names":false,"suffix":""},{"dropping-particle":"","family":"Tao","given":"Ling","non-dropping-particle":"","parse-names":false,"suffix":""},{"dropping-particle":"","family":"Jones","given":"Susanne","non-dropping-particle":"","parse-names":false,"suffix":""}],"container-title":"National Renewable Energy Laboratory","id":"ITEM-1","issue":"March 2013","issued":{"date-parts":[["2013"]]},"page":"14","title":"Biological conversion of sugars to hydrocarbons technology pathway","type":"article-journal"}},{"id":"968HXJ10/0Fyba9wd","uris":["http://www.mendeley.com/documents/?uuid=21c5b9bd-fbda-39b5-820a-39bc3cb41184"],"uri":["http://www.mendeley.com/documents/?uuid=21c5b9bd-fbda-39b5-820a-39bc3cb41184"],"itemData":{"URL":"https://www.virent.com/","accessed":{"date-parts":[["2020","1","28"]]},"author":[{"dropping-particle":"","family":"Virent","given":"","non-dropping-particle":"","parse-names":false,"suffix":""}],"id":"ITEM-2","issued":{"date-parts":[["2019"]]},"title":"Virent, Inc.","type":"webpage"}},{"id":"968HXJ10/AGxgjWkW","uris":["http://www.mendeley.com/documents/?uuid=0299021d-b724-4843-ab63-ced947fc1c8b"],"uri":["http://www.mendeley.com/documents/?uuid=0299021d-b724-4843-ab63-ced947fc1c8b"],"itemData":{"DOI":"10.7868/s0002337x14020092","ISSN":"0002-337X","abstract":"Methods and systems for the production of hydrocarbon products, including providing a substrate comprising CO o to a bioreactor containing a culture of one or more micro-organisms; and fermenting the culture in the bioreactor to produce one or more hydrocarbon products. The substrate comprising CO is derived from a C02 reforming process","author":[{"dropping-particle":"","family":"Schultz","given":"M.","non-dropping-particle":"","parse-names":false,"suffix":""},{"dropping-particle":"","family":"Obern","given":"J.","non-dropping-particle":"","parse-names":false,"suffix":""}],"id":"ITEM-3","issued":{"date-parts":[["2012"]]},"number":"WO 2010/058508 A2","publisher-place":"Auckland, New Zealand","title":"Methods and systems for the production of hydrocarbon products","type":"patent"}}],"schema":"https://github.com/citation-style-language/schema/raw/master/csl-citation.json"}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[45,50,85]</w:t>
            </w:r>
            <w:r w:rsidRPr="004D19FF">
              <w:rPr>
                <w:rFonts w:ascii="Times New Roman" w:eastAsia="Times New Roman" w:hAnsi="Times New Roman" w:cs="Times New Roman"/>
                <w:color w:val="000000"/>
                <w:sz w:val="18"/>
                <w:szCs w:val="18"/>
              </w:rPr>
              <w:fldChar w:fldCharType="end"/>
            </w:r>
          </w:p>
        </w:tc>
      </w:tr>
      <w:tr w:rsidR="007D5698" w:rsidRPr="004D19FF" w14:paraId="74B381A9" w14:textId="77777777" w:rsidTr="00117E75">
        <w:trPr>
          <w:trHeight w:val="670"/>
        </w:trPr>
        <w:tc>
          <w:tcPr>
            <w:tcW w:w="1286" w:type="dxa"/>
            <w:tcBorders>
              <w:top w:val="nil"/>
              <w:left w:val="nil"/>
              <w:bottom w:val="nil"/>
              <w:right w:val="nil"/>
            </w:tcBorders>
            <w:shd w:val="clear" w:color="auto" w:fill="auto"/>
            <w:noWrap/>
            <w:hideMark/>
          </w:tcPr>
          <w:p w14:paraId="15B65781"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noWrap/>
            <w:hideMark/>
          </w:tcPr>
          <w:p w14:paraId="0F47ACDC"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Woody chips</w:t>
            </w:r>
          </w:p>
        </w:tc>
        <w:tc>
          <w:tcPr>
            <w:tcW w:w="1097" w:type="dxa"/>
            <w:tcBorders>
              <w:top w:val="nil"/>
              <w:left w:val="nil"/>
              <w:bottom w:val="nil"/>
              <w:right w:val="nil"/>
            </w:tcBorders>
            <w:shd w:val="clear" w:color="auto" w:fill="auto"/>
            <w:hideMark/>
          </w:tcPr>
          <w:p w14:paraId="4BBF21DA"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SF, FT</w:t>
            </w:r>
            <w:r w:rsidRPr="004D19FF">
              <w:rPr>
                <w:rFonts w:ascii="Times New Roman" w:eastAsia="Times New Roman" w:hAnsi="Times New Roman" w:cs="Times New Roman"/>
                <w:color w:val="000000"/>
                <w:sz w:val="18"/>
                <w:szCs w:val="18"/>
              </w:rPr>
              <w:br/>
              <w:t>DSHC</w:t>
            </w:r>
            <w:r w:rsidRPr="004D19FF">
              <w:rPr>
                <w:rFonts w:ascii="Times New Roman" w:eastAsia="Times New Roman" w:hAnsi="Times New Roman" w:cs="Times New Roman"/>
                <w:color w:val="000000"/>
                <w:sz w:val="18"/>
                <w:szCs w:val="18"/>
              </w:rPr>
              <w:br/>
              <w:t>APR</w:t>
            </w:r>
          </w:p>
        </w:tc>
        <w:tc>
          <w:tcPr>
            <w:tcW w:w="4169" w:type="dxa"/>
            <w:tcBorders>
              <w:top w:val="nil"/>
              <w:left w:val="nil"/>
              <w:bottom w:val="nil"/>
              <w:right w:val="nil"/>
            </w:tcBorders>
            <w:shd w:val="clear" w:color="auto" w:fill="auto"/>
            <w:hideMark/>
          </w:tcPr>
          <w:p w14:paraId="7E828F4B" w14:textId="77777777" w:rsidR="007D5698" w:rsidRPr="00981330" w:rsidRDefault="007D5698" w:rsidP="00117E75">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Gasification and syngas conditioning requirements</w:t>
            </w:r>
            <w:r w:rsidRPr="00981330">
              <w:rPr>
                <w:rFonts w:ascii="Times New Roman" w:eastAsia="Times New Roman" w:hAnsi="Times New Roman" w:cs="Times New Roman"/>
                <w:color w:val="000000"/>
                <w:sz w:val="18"/>
                <w:szCs w:val="18"/>
              </w:rPr>
              <w:br/>
              <w:t>• Pretreatment and hydrolysis requirement</w:t>
            </w:r>
            <w:r w:rsidRPr="00981330">
              <w:rPr>
                <w:rFonts w:ascii="Times New Roman" w:eastAsia="Times New Roman" w:hAnsi="Times New Roman" w:cs="Times New Roman"/>
                <w:color w:val="000000"/>
                <w:sz w:val="18"/>
                <w:szCs w:val="18"/>
              </w:rPr>
              <w:br/>
              <w:t>• Pretreatment and hydrolysis requirement</w:t>
            </w:r>
          </w:p>
        </w:tc>
        <w:tc>
          <w:tcPr>
            <w:tcW w:w="1236" w:type="dxa"/>
            <w:tcBorders>
              <w:top w:val="nil"/>
              <w:left w:val="nil"/>
              <w:bottom w:val="nil"/>
              <w:right w:val="nil"/>
            </w:tcBorders>
            <w:shd w:val="clear" w:color="auto" w:fill="auto"/>
            <w:hideMark/>
          </w:tcPr>
          <w:p w14:paraId="71C02E0C" w14:textId="01D5ECA8"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ijClsuvs","properties":{"formattedCitation":"[54,85,280]","plainCitation":"[54,85,280]","noteIndex":0},"citationItems":[{"id":"968HXJ10/NqCczknU","uris":["http://www.mendeley.com/documents/?uuid=af504de3-2ed8-4fff-87ab-db5bb672f89d"],"uri":["http://www.mendeley.com/documents/?uuid=af504de3-2ed8-4fff-87ab-db5bb672f89d"],"itemData":{"DOI":"10.1039/c0gc00263a","ISSN":"14639262","abstract":"In this paper we report a novel four-step process for the production of jet and diesel fuel range alkanes from hemicellulose extracts derived from northeastern hardwood trees. The extract is representative of a byproduct that could be produced by wood-processing industries such as biomass boilers or pulp mills in the northeastern U.S. The hemicellulose extract tested in this study contained mainly xylose oligomers (21.2 g/l xylose after the acid hydrolysis) as well as 0.31 g/l glucose, 0.91 g/l arabinose, 0.2 g/l lactic acid, 2.39 g/l acetic acid, 0.31 g/l formic acid, and other minor products. The first step in this process is an acid-catalyzed biphasic dehydration to produce furfural in yields up to 87%. The furfural is extracted from the aqueous solution into a tetrahydrofuran (THF) phase which is then fed into an aldol condensation step. The furfural-acetone-furfural (F-Ac-F) dimer is produced in this step by reaction of furfural with acetone in yields up to 96% for the F-Ac-F dimer. The F-Ac-F dimer is then subject to a low-temperature hydrogenation to form the hydrogenated dimer (H-FAF) at 110-130 °C and 800 psig with a 5 wt% Ru/C catalyst. Finally the H-FAF undergoes hydrodeoxygenation to make jet and diesel fuel range alkanes, primarily C13 and C12, in yields up to 91%. The theoretical yield for this process is 0.61 kg of alkane per kg of dry xylose derived from the hemicellulose extract. Experimentally we were able to obtain 76% of the theoretical yield for the overall process. We estimate that jet and diesel fuel range alkanes can be produced from between $2.06/gal to $4.39/gal depending on the feed xylose concentration, the size of the biorefinery, and the overall yield. Sensitivity analysis shows that the prices of raw materials, the organic-to-aqueous mass ratio in the biphasic dehydration, and the feed xylose concentration in the hemicellulose extract significantly affect the product cost. © The Royal Society of Chemistry 2010.","author":[{"dropping-particle":"","family":"Xing","given":"Rong","non-dropping-particle":"","parse-names":false,"suffix":""},{"dropping-particle":"V.","family":"Subrahmanyam","given":"Ayyagari","non-dropping-particle":"","parse-names":false,"suffix":""},{"dropping-particle":"","family":"Olcay","given":"Hakan","non-dropping-particle":"","parse-names":false,"suffix":""},{"dropping-particle":"","family":"Qi","given":"Wei","non-dropping-particle":"","parse-names":false,"suffix":""},{"dropping-particle":"","family":"Walsum","given":"G. Peter","non-dropping-particle":"Van","parse-names":false,"suffix":""},{"dropping-particle":"","family":"Pendse","given":"Hemant","non-dropping-particle":"","parse-names":false,"suffix":""},{"dropping-particle":"","family":"Huber","given":"George W.","non-dropping-particle":"","parse-names":false,"suffix":""}],"container-title":"Green Chemistry","id":"ITEM-1","issue":"11","issued":{"date-parts":[["2010"]]},"page":"1933-1946","title":"Production of jet and diesel fuel range alkanes from waste hemicellulose-derived aqueous solutions","type":"article-journal","volume":"12"}},{"id":"968HXJ10/66PcLVrq","uris":["http://www.mendeley.com/documents/?uuid=1d012405-d793-4c37-ad74-91ef78db0155"],"uri":["http://www.mendeley.com/documents/?uuid=1d012405-d793-4c37-ad74-91ef78db0155"],"itemData":{"author":[{"dropping-particle":"","family":"Amyris","given":"","non-dropping-particle":"","parse-names":false,"suffix":""}],"id":"ITEM-2","issued":{"date-parts":[["2013"]]},"title":"Integrated Biorefinery Project Summary","type":"report"}},{"id":"968HXJ10/AGxgjWkW","uris":["http://www.mendeley.com/documents/?uuid=0299021d-b724-4843-ab63-ced947fc1c8b"],"uri":["http://www.mendeley.com/documents/?uuid=0299021d-b724-4843-ab63-ced947fc1c8b"],"itemData":{"DOI":"10.7868/s0002337x14020092","ISSN":"0002-337X","abstract":"Methods and systems for the production of hydrocarbon products, including providing a substrate comprising CO o to a bioreactor containing a culture of one or more micro-organisms; and fermenting the culture in the bioreactor to produce one or more hydrocarbon products. The substrate comprising CO is derived from a C02 reforming process","author":[{"dropping-particle":"","family":"Schultz","given":"M.","non-dropping-particle":"","parse-names":false,"suffix":""},{"dropping-particle":"","family":"Obern","given":"J.","non-dropping-particle":"","parse-names":false,"suffix":""}],"id":"ITEM-3","issued":{"date-parts":[["2012"]]},"number":"WO 2010/058508 A2","publisher-place":"Auckland, New Zealand","title":"Methods and systems for the production of hydrocarbon products","type":"patent"}}],"schema":"https://github.com/citation-style-language/schema/raw/master/csl-citation.json"}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196B5E" w:rsidRPr="00196B5E">
              <w:rPr>
                <w:rFonts w:ascii="Times New Roman" w:hAnsi="Times New Roman" w:cs="Times New Roman"/>
                <w:sz w:val="18"/>
              </w:rPr>
              <w:t>[54,85,280]</w:t>
            </w:r>
            <w:r w:rsidRPr="004D19FF">
              <w:rPr>
                <w:rFonts w:ascii="Times New Roman" w:eastAsia="Times New Roman" w:hAnsi="Times New Roman" w:cs="Times New Roman"/>
                <w:color w:val="000000"/>
                <w:sz w:val="18"/>
                <w:szCs w:val="18"/>
              </w:rPr>
              <w:fldChar w:fldCharType="end"/>
            </w:r>
          </w:p>
        </w:tc>
      </w:tr>
      <w:tr w:rsidR="007D5698" w:rsidRPr="004D19FF" w14:paraId="0A50C09B" w14:textId="77777777" w:rsidTr="00117E75">
        <w:trPr>
          <w:trHeight w:val="435"/>
        </w:trPr>
        <w:tc>
          <w:tcPr>
            <w:tcW w:w="1286" w:type="dxa"/>
            <w:tcBorders>
              <w:top w:val="nil"/>
              <w:left w:val="nil"/>
              <w:bottom w:val="nil"/>
              <w:right w:val="nil"/>
            </w:tcBorders>
            <w:shd w:val="clear" w:color="auto" w:fill="auto"/>
            <w:noWrap/>
            <w:hideMark/>
          </w:tcPr>
          <w:p w14:paraId="2582219D"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noWrap/>
            <w:hideMark/>
          </w:tcPr>
          <w:p w14:paraId="0C504933"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Bagasse</w:t>
            </w:r>
          </w:p>
        </w:tc>
        <w:tc>
          <w:tcPr>
            <w:tcW w:w="1097" w:type="dxa"/>
            <w:tcBorders>
              <w:top w:val="nil"/>
              <w:left w:val="nil"/>
              <w:bottom w:val="nil"/>
              <w:right w:val="nil"/>
            </w:tcBorders>
            <w:shd w:val="clear" w:color="auto" w:fill="auto"/>
            <w:hideMark/>
          </w:tcPr>
          <w:p w14:paraId="7F14CFBD"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SF</w:t>
            </w:r>
            <w:r w:rsidRPr="004D19FF">
              <w:rPr>
                <w:rFonts w:ascii="Times New Roman" w:eastAsia="Times New Roman" w:hAnsi="Times New Roman" w:cs="Times New Roman"/>
                <w:color w:val="000000"/>
                <w:sz w:val="18"/>
                <w:szCs w:val="18"/>
              </w:rPr>
              <w:br/>
              <w:t>DSHC</w:t>
            </w:r>
          </w:p>
        </w:tc>
        <w:tc>
          <w:tcPr>
            <w:tcW w:w="4169" w:type="dxa"/>
            <w:tcBorders>
              <w:top w:val="nil"/>
              <w:left w:val="nil"/>
              <w:bottom w:val="nil"/>
              <w:right w:val="nil"/>
            </w:tcBorders>
            <w:shd w:val="clear" w:color="auto" w:fill="auto"/>
            <w:hideMark/>
          </w:tcPr>
          <w:p w14:paraId="5C7277ED" w14:textId="77777777" w:rsidR="007D5698" w:rsidRPr="00981330" w:rsidRDefault="007D5698" w:rsidP="00117E75">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Gasification and syngas conditioning requirements</w:t>
            </w:r>
            <w:r w:rsidRPr="00981330">
              <w:rPr>
                <w:rFonts w:ascii="Times New Roman" w:eastAsia="Times New Roman" w:hAnsi="Times New Roman" w:cs="Times New Roman"/>
                <w:color w:val="000000"/>
                <w:sz w:val="18"/>
                <w:szCs w:val="18"/>
              </w:rPr>
              <w:br/>
              <w:t>• Pretreatment and hydrolysis requirements</w:t>
            </w:r>
          </w:p>
        </w:tc>
        <w:tc>
          <w:tcPr>
            <w:tcW w:w="1236" w:type="dxa"/>
            <w:tcBorders>
              <w:top w:val="nil"/>
              <w:left w:val="nil"/>
              <w:bottom w:val="nil"/>
              <w:right w:val="nil"/>
            </w:tcBorders>
            <w:shd w:val="clear" w:color="auto" w:fill="auto"/>
            <w:hideMark/>
          </w:tcPr>
          <w:p w14:paraId="2E6F9917" w14:textId="153FBF1E"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fuqoh2UY","properties":{"formattedCitation":"[54,83]","plainCitation":"[54,83]","noteIndex":0},"citationItems":[{"id":"968HXJ10/66PcLVrq","uris":["http://www.mendeley.com/documents/?uuid=1d012405-d793-4c37-ad74-91ef78db0155"],"uri":["http://www.mendeley.com/documents/?uuid=1d012405-d793-4c37-ad74-91ef78db0155"],"itemData":{"author":[{"dropping-particle":"","family":"Amyris","given":"","non-dropping-particle":"","parse-names":false,"suffix":""}],"id":"ITEM-1","issued":{"date-parts":[["2013"]]},"title":"Integrated Biorefinery Project Summary","type":"report"}},{"id":"968HXJ10/DUfwVv3U","uris":["http://www.mendeley.com/documents/?uuid=de6b0d57-2dc5-4f01-ae2d-0cb5b469df62"],"uri":["http://www.mendeley.com/documents/?uuid=de6b0d57-2dc5-4f01-ae2d-0cb5b469df62"],"itemData":{"DOI":"10.1021/acs.iecr.5b03215","ISSN":"15205045","abstract":"LanzaTech has developed novel microbial bioreactor systems capable of direct gas fermentation to produce ethanol from carbon-containing gases. In this study, a life-cycle assessment method is used to quantify the global warming potential of several scenarios for producing renewable ethanol with the LanzaTech process. Scenarios considering ethanol produced from steel mill waste gases or biomass (corn stover, forest residue, or switchgrass, via gasification) have been considered, using input data from peer-reviewed literature, government reports, life cycle inventory databases, and LanzaTech process engineering estimates. Using standardized life-cycle assessment methods, ethanol produced via LanzaTech fermentation appears to result in greenhouse gas emissions that are at least 60% lower than that of conventional fossil gasoline, with biomass-based ethanol achieving close to 90% emission reductions. Results indicate that the LanzaTech gas fermentation technology can be a viable alternative for producing next-generation biofuels that satisfy United States Renewable Fuels Standard policies concerning fuels with a reduced greenhouse gas emissions footprint.","author":[{"dropping-particle":"","family":"Handler","given":"Robert M.","non-dropping-particle":"","parse-names":false,"suffix":""},{"dropping-particle":"","family":"Shonnard","given":"David R.","non-dropping-particle":"","parse-names":false,"suffix":""},{"dropping-particle":"","family":"Griffing","given":"Evan M.","non-dropping-particle":"","parse-names":false,"suffix":""},{"dropping-particle":"","family":"Lai","given":"Andrea","non-dropping-particle":"","parse-names":false,"suffix":""},{"dropping-particle":"","family":"Palou-Rivera","given":"Ignasi","non-dropping-particle":"","parse-names":false,"suffix":""}],"container-title":"Industrial and Engineering Chemistry Research","id":"ITEM-2","issue":"12","issued":{"date-parts":[["2016"]]},"page":"3253-3261","title":"Life Cycle Assessments of Ethanol Production via Gas Fermentation: Anticipated Greenhouse Gas Emissions for Cellulosic and Waste Gas Feedstocks","type":"article-journal","volume":"55"}}],"schema":"https://github.com/citation-style-language/schema/raw/master/csl-citation.json"}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[54,83]</w:t>
            </w:r>
            <w:r w:rsidRPr="004D19FF">
              <w:rPr>
                <w:rFonts w:ascii="Times New Roman" w:eastAsia="Times New Roman" w:hAnsi="Times New Roman" w:cs="Times New Roman"/>
                <w:color w:val="000000"/>
                <w:sz w:val="18"/>
                <w:szCs w:val="18"/>
              </w:rPr>
              <w:fldChar w:fldCharType="end"/>
            </w:r>
          </w:p>
        </w:tc>
      </w:tr>
      <w:tr w:rsidR="007D5698" w:rsidRPr="004D19FF" w14:paraId="176922F1" w14:textId="77777777" w:rsidTr="00117E75">
        <w:trPr>
          <w:trHeight w:val="267"/>
        </w:trPr>
        <w:tc>
          <w:tcPr>
            <w:tcW w:w="1286" w:type="dxa"/>
            <w:tcBorders>
              <w:top w:val="nil"/>
              <w:left w:val="nil"/>
              <w:bottom w:val="nil"/>
              <w:right w:val="nil"/>
            </w:tcBorders>
            <w:shd w:val="clear" w:color="auto" w:fill="auto"/>
            <w:noWrap/>
            <w:hideMark/>
          </w:tcPr>
          <w:p w14:paraId="56F9A517"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noWrap/>
            <w:hideMark/>
          </w:tcPr>
          <w:p w14:paraId="423F58B2"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Eucalyptus tips</w:t>
            </w:r>
          </w:p>
        </w:tc>
        <w:tc>
          <w:tcPr>
            <w:tcW w:w="1097" w:type="dxa"/>
            <w:tcBorders>
              <w:top w:val="nil"/>
              <w:left w:val="nil"/>
              <w:bottom w:val="nil"/>
              <w:right w:val="nil"/>
            </w:tcBorders>
            <w:shd w:val="clear" w:color="auto" w:fill="auto"/>
            <w:hideMark/>
          </w:tcPr>
          <w:p w14:paraId="133A6960"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FT</w:t>
            </w:r>
          </w:p>
        </w:tc>
        <w:tc>
          <w:tcPr>
            <w:tcW w:w="4169" w:type="dxa"/>
            <w:tcBorders>
              <w:top w:val="nil"/>
              <w:left w:val="nil"/>
              <w:bottom w:val="nil"/>
              <w:right w:val="nil"/>
            </w:tcBorders>
            <w:shd w:val="clear" w:color="auto" w:fill="auto"/>
            <w:hideMark/>
          </w:tcPr>
          <w:p w14:paraId="42E95101" w14:textId="77777777" w:rsidR="007D5698" w:rsidRPr="00981330" w:rsidRDefault="007D5698" w:rsidP="00117E75">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Gasification and syngas conditioning requirements</w:t>
            </w:r>
          </w:p>
        </w:tc>
        <w:tc>
          <w:tcPr>
            <w:tcW w:w="1236" w:type="dxa"/>
            <w:tcBorders>
              <w:top w:val="nil"/>
              <w:left w:val="nil"/>
              <w:bottom w:val="nil"/>
              <w:right w:val="nil"/>
            </w:tcBorders>
            <w:shd w:val="clear" w:color="auto" w:fill="auto"/>
            <w:noWrap/>
            <w:hideMark/>
          </w:tcPr>
          <w:p w14:paraId="0BD577FF" w14:textId="41F5C352"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jDjo4M7v","properties":{"formattedCitation":"[98]","plainCitation":"[98]","noteIndex":0},"citationItems":[{"id":"968HXJ10/B21N3oOK","uris":["http://www.mendeley.com/documents/?uuid=2b9bee8b-4c6a-4d61-8319-dba74372a417"],"uri":["http://www.mendeley.com/documents/?uuid=2b9bee8b-4c6a-4d61-8319-dba74372a417"],"itemData":{"DOI":"10.1016/j.cej.2014.11.042","ISSN":"13858947","abstract":"The development of effective Pt-loaded catalysts for high jet fuel yield was investigated in hydrocracking step in the proposed conversion process from biomass to jet fuel. Screening studies of Pt-loaded catalyst supports were performed using an autoclave in hydrocracking of n-C28H58 and n-C36H74 as model compounds over ten different supports loaded with Pt (Pt content: 0.5wt%). The Pt-loaded β-type zeolite catalyst exhibited a high corresponding jet fuel yield using both feedstocks. The effect of the reaction temperature, reaction pressure, and Pt content on the hydrocracking behavior was studied in hydrocracking of n-C36H74 over Pt-loaded β-type zeolite catalyst. The corresponding jet fuel yield was maximized at 250-350°C, and 0.9-1.4MPa, and 0.1-1.0wt% Pt content. The liquid product with carbon numbers 5-68 was obtained as Fischer-Tropsch (FT) product through the operation of a bench-scale biomass-to-liquid (BTL) plant. The effect of the reaction temperature and reaction pressure on the hydrocracking behavior was investigated in hydrocracking of the FT product over Pt-loaded β-type zeolite catalyst (Pt content: 0.1wt%). The corresponding jet fuel yield was the maximum value (21.5%) at 250°C and 1.5MPa.","author":[{"dropping-particle":"","family":"Hanaoka","given":"Toshiaki","non-dropping-particle":"","parse-names":false,"suffix":""},{"dropping-particle":"","family":"Miyazawa","given":"Tomohisa","non-dropping-particle":"","parse-names":false,"suffix":""},{"dropping-particle":"","family":"Shimura","given":"Katsuya","non-dropping-particle":"","parse-names":false,"suffix":""},{"dropping-particle":"","family":"Hirata","given":"Satoshi","non-dropping-particle":"","parse-names":false,"suffix":""}],"container-title":"Chemical Engineering Journal","id":"ITEM-1","issued":{"date-parts":[["2015"]]},"page":"178-185","publisher":"Elsevier B.V.","title":"Jet fuel synthesis from Fischer-Tropsch product under mild hydrocracking conditions using Pt-loaded catalysts","type":"article-journal","volume":"263"}}],"schema":"https://github.com/citation-style-language/schema/raw/master/csl-citation.json"}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[98]</w:t>
            </w:r>
            <w:r w:rsidRPr="004D19FF">
              <w:rPr>
                <w:rFonts w:ascii="Times New Roman" w:eastAsia="Times New Roman" w:hAnsi="Times New Roman" w:cs="Times New Roman"/>
                <w:color w:val="000000"/>
                <w:sz w:val="18"/>
                <w:szCs w:val="18"/>
              </w:rPr>
              <w:fldChar w:fldCharType="end"/>
            </w:r>
          </w:p>
        </w:tc>
      </w:tr>
      <w:tr w:rsidR="007D5698" w:rsidRPr="004D19FF" w14:paraId="7FFF1EC1" w14:textId="77777777" w:rsidTr="00117E75">
        <w:trPr>
          <w:trHeight w:val="267"/>
        </w:trPr>
        <w:tc>
          <w:tcPr>
            <w:tcW w:w="1286" w:type="dxa"/>
            <w:tcBorders>
              <w:top w:val="nil"/>
              <w:left w:val="nil"/>
              <w:bottom w:val="nil"/>
              <w:right w:val="nil"/>
            </w:tcBorders>
            <w:shd w:val="clear" w:color="auto" w:fill="auto"/>
            <w:noWrap/>
            <w:hideMark/>
          </w:tcPr>
          <w:p w14:paraId="6ABD9503"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noWrap/>
            <w:hideMark/>
          </w:tcPr>
          <w:p w14:paraId="060A8B88"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Wood sawdust</w:t>
            </w:r>
          </w:p>
        </w:tc>
        <w:tc>
          <w:tcPr>
            <w:tcW w:w="1097" w:type="dxa"/>
            <w:tcBorders>
              <w:top w:val="nil"/>
              <w:left w:val="nil"/>
              <w:bottom w:val="nil"/>
              <w:right w:val="nil"/>
            </w:tcBorders>
            <w:shd w:val="clear" w:color="auto" w:fill="auto"/>
            <w:noWrap/>
            <w:hideMark/>
          </w:tcPr>
          <w:p w14:paraId="5D97820C"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HDCJ</w:t>
            </w:r>
          </w:p>
        </w:tc>
        <w:tc>
          <w:tcPr>
            <w:tcW w:w="4169" w:type="dxa"/>
            <w:tcBorders>
              <w:top w:val="nil"/>
              <w:left w:val="nil"/>
              <w:bottom w:val="nil"/>
              <w:right w:val="nil"/>
            </w:tcBorders>
            <w:shd w:val="clear" w:color="auto" w:fill="auto"/>
            <w:hideMark/>
          </w:tcPr>
          <w:p w14:paraId="1864F58E" w14:textId="2B56C53C" w:rsidR="007D5698" w:rsidRPr="00981330" w:rsidRDefault="007D5698" w:rsidP="007D5698">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For bio-crude oil production by HTL</w:t>
            </w:r>
            <w:r w:rsidR="004A193C" w:rsidRPr="00981330">
              <w:rPr>
                <w:rFonts w:ascii="Times New Roman" w:eastAsia="Times New Roman" w:hAnsi="Times New Roman" w:cs="Times New Roman"/>
                <w:color w:val="000000"/>
                <w:sz w:val="18"/>
                <w:szCs w:val="18"/>
              </w:rPr>
              <w:t>,  subsequently upgraded to kerosene</w:t>
            </w:r>
          </w:p>
        </w:tc>
        <w:tc>
          <w:tcPr>
            <w:tcW w:w="1236" w:type="dxa"/>
            <w:tcBorders>
              <w:top w:val="nil"/>
              <w:left w:val="nil"/>
              <w:bottom w:val="nil"/>
              <w:right w:val="nil"/>
            </w:tcBorders>
            <w:shd w:val="clear" w:color="auto" w:fill="auto"/>
            <w:noWrap/>
            <w:hideMark/>
          </w:tcPr>
          <w:p w14:paraId="742D1157" w14:textId="34EC6BD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d0oiwLVT","properties":{"formattedCitation":"[121]","plainCitation":"[121]","noteIndex":0},"citationItems":[{"id":"968HXJ10/aZOLIlih","uris":["http://www.mendeley.com/documents/?uuid=18d919ee-711b-4eed-aa87-f642782f22f9"],"uri":["http://www.mendeley.com/documents/?uuid=18d919ee-711b-4eed-aa87-f642782f22f9"],"itemData":{"DOI":"10.1016/j.fuel.2015.08.055","ISSN":"00162361","abstract":"Hydrothermal liquefaction of woody biomass (birchwood sawdust) with and without catalyst was investigated at 300 °C for 30 min. The activities of KOH, FeSO&lt;inf&gt;4&lt;/inf&gt;·7H&lt;inf&gt;2&lt;/inf&gt;O, K&lt;inf&gt;2&lt;/inf&gt;CO&lt;inf&gt;3&lt;/inf&gt;, MgO, synthetic hydrotalcite (HT), and ground colemanite (calcium borate mineral) as catalysts were compared. The alkaline catalysts (KOH, K&lt;inf&gt;2&lt;/inf&gt;CO&lt;inf&gt;3&lt;/inf&gt; and colemanite) showed the best performance considering the oil yield and solid residue yield. The bio-crude oil yield with KOH was increased to around 40 wt%, more than double the yield of the un-catalyzed operation (</w:instrText>
            </w:r>
            <w:r w:rsidR="00752A1E">
              <w:rPr>
                <w:rFonts w:ascii="Cambria Math" w:eastAsia="Times New Roman" w:hAnsi="Cambria Math" w:cs="Cambria Math"/>
                <w:color w:val="000000"/>
                <w:sz w:val="18"/>
                <w:szCs w:val="18"/>
              </w:rPr>
              <w:instrText>∼</w:instrText>
            </w:r>
            <w:r w:rsidR="00752A1E">
              <w:rPr>
                <w:rFonts w:ascii="Times New Roman" w:eastAsia="Times New Roman" w:hAnsi="Times New Roman" w:cs="Times New Roman"/>
                <w:color w:val="000000"/>
                <w:sz w:val="18"/>
                <w:szCs w:val="18"/>
              </w:rPr>
              <w:instrText xml:space="preserve">18 wt%). It also reduced the solid residue yield from approx. 33 to 12 wt%. Among all catalysts tested, the least active catalysts for bio-crude oil production are FeSO&lt;inf&gt;4&lt;/inf&gt; and MgO. The bio-crude oil products were comprehensively characterized using an elemental analyzer, GC-MS, FT-IR, GPC and TGA. Occurrence of phenol derivatives (mainly 2-methoxy-phenol) and aliphatic compounds increased significantly in presence of catalysts, especially the alkaline ones such as HT and KOH. The GPC results indicate that the oils produced in the presence of catalysts have very similar molecular weights and distribution, which are slightly greater than the oil produced in absence of any catalyst, suggesting that the presence of a catalyst promoted certain condensation/polymerization of the reaction intermediates during the HTL process. The TGA results show that all bio-crude oils are similar with respect to thermal stability, irrespective of the presence or type of catalyst.","author":[{"dropping-particle":"","family":"Nazari","given":"Laleh","non-dropping-particle":"","parse-names":false,"suffix":""},{"dropping-particle":"","family":"Yuan","given":"Zhongshun","non-dropping-particle":"","parse-names":false,"suffix":""},{"dropping-particle":"","family":"Souzanchi","given":"Sadra","non-dropping-particle":"","parse-names":false,"suffix":""},{"dropping-particle":"","family":"Ray","given":"Madhumita B.","non-dropping-particle":"","parse-names":false,"suffix":""},{"dropping-particle":"","family":"Xu","given":"Chunbao","non-dropping-particle":"","parse-names":false,"suffix":""}],"container-title":"Fuel","id":"ITEM-1","issued":{"date-parts":[["2015"]]},"page":"74-83","publisher":"Elsevier Ltd","title":"Hydrothermal liquefaction of woody biomass in hot-compressed water: Catalyst screening and comprehensive characterization of bio-crude oils","type":"article-journal","volume":"162"}}],"schema":"https://github.com/citation-style-language/schema/raw/master/csl-citation.json"}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[121]</w:t>
            </w:r>
            <w:r w:rsidRPr="004D19FF">
              <w:rPr>
                <w:rFonts w:ascii="Times New Roman" w:eastAsia="Times New Roman" w:hAnsi="Times New Roman" w:cs="Times New Roman"/>
                <w:color w:val="000000"/>
                <w:sz w:val="18"/>
                <w:szCs w:val="18"/>
              </w:rPr>
              <w:fldChar w:fldCharType="end"/>
            </w:r>
          </w:p>
        </w:tc>
      </w:tr>
      <w:tr w:rsidR="007D5698" w:rsidRPr="004D19FF" w14:paraId="3B874E44" w14:textId="77777777" w:rsidTr="00117E75">
        <w:trPr>
          <w:trHeight w:val="447"/>
        </w:trPr>
        <w:tc>
          <w:tcPr>
            <w:tcW w:w="1286" w:type="dxa"/>
            <w:tcBorders>
              <w:top w:val="nil"/>
              <w:left w:val="nil"/>
              <w:bottom w:val="nil"/>
              <w:right w:val="nil"/>
            </w:tcBorders>
            <w:shd w:val="clear" w:color="auto" w:fill="auto"/>
            <w:noWrap/>
            <w:hideMark/>
          </w:tcPr>
          <w:p w14:paraId="794BBE88"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noWrap/>
            <w:hideMark/>
          </w:tcPr>
          <w:p w14:paraId="69D96150"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Maize stalk</w:t>
            </w:r>
          </w:p>
        </w:tc>
        <w:tc>
          <w:tcPr>
            <w:tcW w:w="1097" w:type="dxa"/>
            <w:tcBorders>
              <w:top w:val="nil"/>
              <w:left w:val="nil"/>
              <w:bottom w:val="nil"/>
              <w:right w:val="nil"/>
            </w:tcBorders>
            <w:shd w:val="clear" w:color="auto" w:fill="auto"/>
            <w:noWrap/>
            <w:hideMark/>
          </w:tcPr>
          <w:p w14:paraId="53772848"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HDCJ</w:t>
            </w:r>
          </w:p>
        </w:tc>
        <w:tc>
          <w:tcPr>
            <w:tcW w:w="4169" w:type="dxa"/>
            <w:tcBorders>
              <w:top w:val="nil"/>
              <w:left w:val="nil"/>
              <w:bottom w:val="nil"/>
              <w:right w:val="nil"/>
            </w:tcBorders>
            <w:shd w:val="clear" w:color="auto" w:fill="auto"/>
            <w:hideMark/>
          </w:tcPr>
          <w:p w14:paraId="1D51336A" w14:textId="0F5E17D6" w:rsidR="007D5698" w:rsidRPr="00981330" w:rsidRDefault="007D5698" w:rsidP="007D5698">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Pretreatment requirement</w:t>
            </w:r>
            <w:r w:rsidRPr="00981330">
              <w:rPr>
                <w:rFonts w:ascii="Times New Roman" w:eastAsia="Times New Roman" w:hAnsi="Times New Roman" w:cs="Times New Roman"/>
                <w:color w:val="000000"/>
                <w:sz w:val="18"/>
                <w:szCs w:val="18"/>
              </w:rPr>
              <w:br/>
              <w:t>• For bio-crude oil production by HTL</w:t>
            </w:r>
            <w:r w:rsidR="004A193C" w:rsidRPr="00981330">
              <w:rPr>
                <w:rFonts w:ascii="Times New Roman" w:eastAsia="Times New Roman" w:hAnsi="Times New Roman" w:cs="Times New Roman"/>
                <w:color w:val="000000"/>
                <w:sz w:val="18"/>
                <w:szCs w:val="18"/>
              </w:rPr>
              <w:t>,  subsequently upgraded to kerosene</w:t>
            </w:r>
          </w:p>
        </w:tc>
        <w:tc>
          <w:tcPr>
            <w:tcW w:w="1236" w:type="dxa"/>
            <w:tcBorders>
              <w:top w:val="nil"/>
              <w:left w:val="nil"/>
              <w:bottom w:val="nil"/>
              <w:right w:val="nil"/>
            </w:tcBorders>
            <w:shd w:val="clear" w:color="auto" w:fill="auto"/>
            <w:noWrap/>
            <w:hideMark/>
          </w:tcPr>
          <w:p w14:paraId="4F2E3A81" w14:textId="67F21AF0"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ySLQxKsd","properties":{"formattedCitation":"[119]","plainCitation":"[119]","noteIndex":0},"citationItems":[{"id":"968HXJ10/VVNacZML","uris":["http://www.mendeley.com/documents/?uuid=5675a1b9-8bb8-4958-a2ca-f52805d78b09"],"uri":["http://www.mendeley.com/documents/?uuid=5675a1b9-8bb8-4958-a2ca-f52805d78b09"],"itemData":{"DOI":"10.1021/ie501682r","ISSN":"15205045","abstract":"This study demonstrates a new route for converting bio-oil, prepared from the hydrothermal liquefaction of cornstalks, to diesel- and jet-fuel-range hydrocarbons over Ni/ZrO2 in supercritical cyclohexane. Under relatively mild conditions (573 K, 5 MPa H2), we obtained a high yield (81.6 C%) of hydrocarbons with an excellent quality (90% of diesel- and jet-fuel-range hydrocarbons and 7% of gasoline-range hydrocarbons). Ni/ZrO 2 efficiently and stably catalyzed all types of compounds in the bio-oil to the corresponding alkanes via hydrogenation, dehydration, hydrogenolysis, decarbonylation, and isomerization, without polymerizations among the different reactive compounds in bio-oil. The activity and selectivity for diesel- and jet-fuel-range hydrocarbons of Ni/ZrO2 showed no obvious changes after three cycles. Ni/ZrO2 was fairly stable in supercritical cyclohexane after 72 h of reaction time. This strategy provides a novel high-efficiency pathway for the preparation of high-quality hydrocarbons from bio-oil. © 2014 American Chemical Society.","author":[{"dropping-particle":"","family":"Shi","given":"Wen","non-dropping-particle":"","parse-names":false,"suffix":""},{"dropping-particle":"","family":"Gao","given":"Yahui","non-dropping-particle":"","parse-names":false,"suffix":""},{"dropping-particle":"","family":"Song","given":"Shaodi","non-dropping-particle":"","parse-names":false,"suffix":""},{"dropping-particle":"","family":"Zhao","given":"Yaping","non-dropping-particle":"","parse-names":false,"suffix":""}],"container-title":"Industrial and Engineering Chemistry Research","id":"ITEM-1","issue":"28","issued":{"date-parts":[["2014"]]},"page":"11557-11565","title":"One-pot conversion of bio-oil to diesel- and jet-fuel-range hydrocarbons in supercritical cyclohexane","type":"article-journal","volume":"53"}}],"schema":"https://github.com/citation-style-language/schema/raw/master/csl-citation.json"}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[119]</w:t>
            </w:r>
            <w:r w:rsidRPr="004D19FF">
              <w:rPr>
                <w:rFonts w:ascii="Times New Roman" w:eastAsia="Times New Roman" w:hAnsi="Times New Roman" w:cs="Times New Roman"/>
                <w:color w:val="000000"/>
                <w:sz w:val="18"/>
                <w:szCs w:val="18"/>
              </w:rPr>
              <w:fldChar w:fldCharType="end"/>
            </w:r>
          </w:p>
        </w:tc>
      </w:tr>
      <w:tr w:rsidR="007D5698" w:rsidRPr="004D19FF" w14:paraId="73CA75C7" w14:textId="77777777" w:rsidTr="005821DC">
        <w:trPr>
          <w:trHeight w:val="267"/>
        </w:trPr>
        <w:tc>
          <w:tcPr>
            <w:tcW w:w="1286" w:type="dxa"/>
            <w:tcBorders>
              <w:top w:val="nil"/>
              <w:left w:val="nil"/>
              <w:bottom w:val="single" w:sz="4" w:space="0" w:color="auto"/>
              <w:right w:val="nil"/>
            </w:tcBorders>
            <w:shd w:val="clear" w:color="auto" w:fill="auto"/>
            <w:noWrap/>
            <w:hideMark/>
          </w:tcPr>
          <w:p w14:paraId="50D253A7"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w:t>
            </w:r>
          </w:p>
        </w:tc>
        <w:tc>
          <w:tcPr>
            <w:tcW w:w="1519" w:type="dxa"/>
            <w:tcBorders>
              <w:top w:val="nil"/>
              <w:left w:val="nil"/>
              <w:bottom w:val="single" w:sz="4" w:space="0" w:color="auto"/>
              <w:right w:val="nil"/>
            </w:tcBorders>
            <w:shd w:val="clear" w:color="auto" w:fill="auto"/>
            <w:noWrap/>
            <w:hideMark/>
          </w:tcPr>
          <w:p w14:paraId="2FE01C6A"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Straw stalk</w:t>
            </w:r>
          </w:p>
        </w:tc>
        <w:tc>
          <w:tcPr>
            <w:tcW w:w="1097" w:type="dxa"/>
            <w:tcBorders>
              <w:top w:val="nil"/>
              <w:left w:val="nil"/>
              <w:bottom w:val="single" w:sz="4" w:space="0" w:color="auto"/>
              <w:right w:val="nil"/>
            </w:tcBorders>
            <w:shd w:val="clear" w:color="auto" w:fill="auto"/>
            <w:noWrap/>
            <w:hideMark/>
          </w:tcPr>
          <w:p w14:paraId="43AED3D1"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HDCJ</w:t>
            </w:r>
          </w:p>
        </w:tc>
        <w:tc>
          <w:tcPr>
            <w:tcW w:w="4169" w:type="dxa"/>
            <w:tcBorders>
              <w:top w:val="nil"/>
              <w:left w:val="nil"/>
              <w:bottom w:val="single" w:sz="4" w:space="0" w:color="auto"/>
              <w:right w:val="nil"/>
            </w:tcBorders>
            <w:shd w:val="clear" w:color="auto" w:fill="auto"/>
            <w:hideMark/>
          </w:tcPr>
          <w:p w14:paraId="2500D371" w14:textId="0FD710A3" w:rsidR="007D5698" w:rsidRPr="00981330" w:rsidRDefault="007D5698" w:rsidP="007D5698">
            <w:pPr>
              <w:spacing w:after="0" w:line="240" w:lineRule="auto"/>
              <w:rPr>
                <w:rFonts w:ascii="Times New Roman" w:eastAsia="Times New Roman" w:hAnsi="Times New Roman" w:cs="Times New Roman"/>
                <w:color w:val="000000"/>
                <w:sz w:val="18"/>
                <w:szCs w:val="18"/>
              </w:rPr>
            </w:pPr>
            <w:r w:rsidRPr="00981330">
              <w:rPr>
                <w:rFonts w:ascii="Times New Roman" w:eastAsia="Times New Roman" w:hAnsi="Times New Roman" w:cs="Times New Roman"/>
                <w:color w:val="000000"/>
                <w:sz w:val="18"/>
                <w:szCs w:val="18"/>
              </w:rPr>
              <w:t>• For bio-crude oil production by fast pyrolysis</w:t>
            </w:r>
            <w:r w:rsidR="004A193C" w:rsidRPr="00981330">
              <w:rPr>
                <w:rFonts w:ascii="Times New Roman" w:eastAsia="Times New Roman" w:hAnsi="Times New Roman" w:cs="Times New Roman"/>
                <w:color w:val="000000"/>
                <w:sz w:val="18"/>
                <w:szCs w:val="18"/>
              </w:rPr>
              <w:t>,  subsequently upgraded to kerosene</w:t>
            </w:r>
          </w:p>
        </w:tc>
        <w:tc>
          <w:tcPr>
            <w:tcW w:w="1236" w:type="dxa"/>
            <w:tcBorders>
              <w:top w:val="nil"/>
              <w:left w:val="nil"/>
              <w:bottom w:val="single" w:sz="4" w:space="0" w:color="auto"/>
              <w:right w:val="nil"/>
            </w:tcBorders>
            <w:shd w:val="clear" w:color="auto" w:fill="auto"/>
            <w:noWrap/>
            <w:hideMark/>
          </w:tcPr>
          <w:p w14:paraId="2BBC59B6" w14:textId="1743A0EF"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q0O2OiNW","properties":{"formattedCitation":"[281]","plainCitation":"[281]","noteIndex":0},"citationItems":[{"id":"968HXJ10/SxdnAtd1","uris":["http://www.mendeley.com/documents/?uuid=00128203-5d15-4b60-8d55-0075a1cfa341"],"uri":["http://www.mendeley.com/documents/?uuid=00128203-5d15-4b60-8d55-0075a1cfa341"],"itemData":{"DOI":"10.3390/catal5042147","ISSN":"20734344","abstract":"Aromatics and cyclic-hydrocarbons are the significant components of jet fuel with high energy-density. However, conventional technologies for bio-fuel production cannot produce these products without further aromatization and isomerization. In this work, renewable liquid fuel with high content of aromatics and cyclic-hydrocarbons was obtained through aqueous catalytic conversion of biomass sorbitol over Ni-HZSM-5/SBA-15 catalyst. Texture characteristics of the catalyst were determined by physisorption of N2, which indicated its bimodal pore structures were microporous (HZSM-5, pore width: 0.56 nm) and mesoporous (SBA-15, pore width: 8 nm). The surface acidity included weak and strong acid sites, predominantly Lewis type, and was further confirmed by the NH3-TPD and Py-IR analysis. The catalytic performances were tested in a fixed-bed reactor under the conditions of 593 K, WHSV of 0.75 h−1, GHSV of 2500 h−1 and 4.0 MPa of hydrogen pressure, whereby oil yield of 40.4 wt. % with aromatics and cyclic-hydrocarbons content of 80.0% was obtained.","author":[{"dropping-particle":"","family":"Weng","given":"Yujing","non-dropping-particle":"","parse-names":false,"suffix":""},{"dropping-particle":"","family":"Qiu","given":"Songbai","non-dropping-particle":"","parse-names":false,"suffix":""},{"dropping-particle":"","family":"Ma","given":"Longlong","non-dropping-particle":"","parse-names":false,"suffix":""},{"dropping-particle":"","family":"Liu","given":"Qiying","non-dropping-particle":"","parse-names":false,"suffix":""},{"dropping-particle":"","family":"Ding","given":"Mingyue","non-dropping-particle":"","parse-names":false,"suffix":""},{"dropping-particle":"","family":"Zhang","given":"Qian","non-dropping-particle":"","parse-names":false,"suffix":""},{"dropping-particle":"","family":"Zhang","given":"Qi","non-dropping-particle":"","parse-names":false,"suffix":""},{"dropping-particle":"","family":"Wang","given":"Tiejun","non-dropping-particle":"","parse-names":false,"suffix":""}],"container-title":"Catalysts","id":"ITEM-1","issue":"4","issued":{"date-parts":[["2015"]]},"page":"2147-2160","title":"Jet-Fuel range hydrocarbons from biomass-derived sorbitol over Ni-HZSM-5/SBA-15 catalyst","type":"article-journal","volume":"5"}}],"schema":"https://github.com/citation-style-language/schema/raw/master/csl-citation.json"}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196B5E" w:rsidRPr="00196B5E">
              <w:rPr>
                <w:rFonts w:ascii="Times New Roman" w:hAnsi="Times New Roman" w:cs="Times New Roman"/>
                <w:sz w:val="18"/>
              </w:rPr>
              <w:t>[281]</w:t>
            </w:r>
            <w:r w:rsidRPr="004D19FF">
              <w:rPr>
                <w:rFonts w:ascii="Times New Roman" w:eastAsia="Times New Roman" w:hAnsi="Times New Roman" w:cs="Times New Roman"/>
                <w:color w:val="000000"/>
                <w:sz w:val="18"/>
                <w:szCs w:val="18"/>
              </w:rPr>
              <w:fldChar w:fldCharType="end"/>
            </w:r>
          </w:p>
        </w:tc>
      </w:tr>
      <w:tr w:rsidR="007D5698" w:rsidRPr="004D19FF" w14:paraId="4B256974" w14:textId="77777777" w:rsidTr="005821DC">
        <w:trPr>
          <w:trHeight w:val="447"/>
        </w:trPr>
        <w:tc>
          <w:tcPr>
            <w:tcW w:w="1286" w:type="dxa"/>
            <w:tcBorders>
              <w:top w:val="single" w:sz="4" w:space="0" w:color="auto"/>
              <w:left w:val="nil"/>
              <w:bottom w:val="nil"/>
              <w:right w:val="nil"/>
            </w:tcBorders>
            <w:shd w:val="clear" w:color="auto" w:fill="auto"/>
            <w:hideMark/>
          </w:tcPr>
          <w:p w14:paraId="39154B41"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Oil/Fat</w:t>
            </w:r>
          </w:p>
        </w:tc>
        <w:tc>
          <w:tcPr>
            <w:tcW w:w="1519" w:type="dxa"/>
            <w:tcBorders>
              <w:top w:val="single" w:sz="4" w:space="0" w:color="auto"/>
              <w:left w:val="nil"/>
              <w:bottom w:val="nil"/>
              <w:right w:val="nil"/>
            </w:tcBorders>
            <w:shd w:val="clear" w:color="auto" w:fill="auto"/>
            <w:noWrap/>
            <w:hideMark/>
          </w:tcPr>
          <w:p w14:paraId="00F4CF1D"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Waste cooking oil (WCO)</w:t>
            </w:r>
          </w:p>
        </w:tc>
        <w:tc>
          <w:tcPr>
            <w:tcW w:w="1097" w:type="dxa"/>
            <w:tcBorders>
              <w:top w:val="single" w:sz="4" w:space="0" w:color="auto"/>
              <w:left w:val="nil"/>
              <w:bottom w:val="nil"/>
              <w:right w:val="nil"/>
            </w:tcBorders>
            <w:shd w:val="clear" w:color="auto" w:fill="auto"/>
            <w:hideMark/>
          </w:tcPr>
          <w:p w14:paraId="4ABA3E7C"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HRJ/HEFA</w:t>
            </w:r>
            <w:r w:rsidRPr="004D19FF">
              <w:rPr>
                <w:rFonts w:ascii="Times New Roman" w:eastAsia="Times New Roman" w:hAnsi="Times New Roman" w:cs="Times New Roman"/>
                <w:color w:val="000000"/>
                <w:sz w:val="18"/>
                <w:szCs w:val="18"/>
              </w:rPr>
              <w:br/>
              <w:t>CHJ</w:t>
            </w:r>
          </w:p>
        </w:tc>
        <w:tc>
          <w:tcPr>
            <w:tcW w:w="4169" w:type="dxa"/>
            <w:tcBorders>
              <w:top w:val="single" w:sz="4" w:space="0" w:color="auto"/>
              <w:left w:val="nil"/>
              <w:bottom w:val="nil"/>
              <w:right w:val="nil"/>
            </w:tcBorders>
            <w:shd w:val="clear" w:color="auto" w:fill="auto"/>
            <w:hideMark/>
          </w:tcPr>
          <w:p w14:paraId="65FC08AB"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Collected from restaurants, food processing industries</w:t>
            </w:r>
          </w:p>
        </w:tc>
        <w:tc>
          <w:tcPr>
            <w:tcW w:w="1236" w:type="dxa"/>
            <w:tcBorders>
              <w:top w:val="single" w:sz="4" w:space="0" w:color="auto"/>
              <w:left w:val="nil"/>
              <w:bottom w:val="nil"/>
              <w:right w:val="nil"/>
            </w:tcBorders>
            <w:shd w:val="clear" w:color="auto" w:fill="auto"/>
            <w:hideMark/>
          </w:tcPr>
          <w:p w14:paraId="10E56376" w14:textId="240D0375"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CMNbDzRH","properties":{"formattedCitation":"[136,282,283]","plainCitation":"[136,282,283]","noteIndex":0},"citationItems":[{"id":"968HXJ10/Gqp0QUYM","uris":["http://www.mendeley.com/documents/?uuid=eea669e2-c8bf-4b40-b948-28bd3ef6a2bd"],"uri":["http://www.mendeley.com/documents/?uuid=eea669e2-c8bf-4b40-b948-28bd3ef6a2bd"],"itemData":{"DOI":"10.1016/j.biortech.2015.08.115","ISSN":"18732976","abstract":"Three types of zeolites (Meso-Y, SAPO-34, and HY) loaded with nickel were used to convert waste cooking oil to jet biofuel. Mesoporous zeolite Y exhibited a high jet range alkane selectivity of 53% and a proper jet range aromatic hydrocarbon selectivity of 13.4% in liquid fuel products. Reaction temperature was optimized to produce quality jet biofuel. Zeolite Meso-Y exhibited a high jet range alkane yield of 40.5% and a low jet range aromatic hydrocarbon yield of 11.3% from waste cooking oil at 400°C. The reaction pathway for converting waste cooking oil to jet biofuel was proposed. Experimental results showed that waste cooking oil mainly deoxygenated to heptadecane (C17H36) and pentadecane (C15H30) through the decarbonylation pathway for the first 3h. Long chain alkanes cracked into jet range alkanes (C8-C16). Cycloalkanes and aromatic hydrocarbons were produced through cyclization and dehydrogenation pathways.","author":[{"dropping-particle":"","family":"Li","given":"Tao","non-dropping-particle":"","parse-names":false,"suffix":""},{"dropping-particle":"","family":"Cheng","given":"Jun","non-dropping-particle":"","parse-names":false,"suffix":""},{"dropping-particle":"","family":"Huang","given":"Rui","non-dropping-particle":"","parse-names":false,"suffix":""},{"dropping-particle":"","family":"Zhou","given":"Junhu","non-dropping-particle":"","parse-names":false,"suffix":""},{"dropping-particle":"","family":"Cen","given":"Kefa","non-dropping-particle":"","parse-names":false,"suffix":""}],"container-title":"Bioresource Technology","id":"ITEM-1","issued":{"date-parts":[["2015"]]},"page":"289-294","title":"Conversion of waste cooking oil to jet biofuel with nickel-based mesoporous zeolite Y catalyst","type":"article-journal","volume":"197"}},{"id":"968HXJ10/8c3pm6WA","uris":["http://www.mendeley.com/documents/?uuid=6a5b2f38-c6ef-492b-bdbe-03ce3cb05735"],"uri":["http://www.mendeley.com/documents/?uuid=6a5b2f38-c6ef-492b-bdbe-03ce3cb05735"],"itemData":{"DOI":"10.1002/bbb.1863","ISSN":"19321031","abstract":"This study analyzed the financial feasibility of catalytic hydrothermolysis (CH) aviation biofuel technology. Three feedstocks were assessed: brown grease (rendered from grease trap waste), yellow grease (rendered from used cooking oil), and carinata oil. Since the technology carries risk, a stochastic analysis was conducted, which resulted in a distribution of net present values (NPVs) and breakeven prices. The breakeven price was the price of jet fuel per gallon that made the NPV equal to zero. A scenario where fuel price grew over time and a scenario where fuel price did not grow were both analyzed. Four plant scenarios were analyzed: 1. pioneer brownfield, 2. Nth brownfield, 3. pioneer greenfield, 4. Nth greenfield. Brown grease was the most promising feedstock scenario, in terms of financial feasibility. Breakeven prices in each feedstock scenario were lowest in the brownfield nth plant scenario, and highest in the greenfield pioneer plant scenario. Across the four plant scenarios and two fuel price growth scenarios, mean breakeven prices ranged from $2.02 to $2.83/gal in the brown grease scenario, $2.82 to $3.81/gal in the yellow grease scenario, and $3.90 to $5.66/gal in the carinata oil scenario. With the addition of RINs and LCFS credits, the probability of loss was as low as 0.0%, 18.9%, and 74.6% in the brown grease, yellow grease, and carinata oil scenarios, respectively. However, without RIN or LCFS credits, the process was not found to be financially viable. © 2018 Society of Chemical Industry and John Wiley &amp; Sons, Ltd.","author":[{"dropping-particle":"","family":"McGarvey","given":"Elspeth","non-dropping-particle":"","parse-names":false,"suffix":""},{"dropping-particle":"","family":"Tyner","given":"Wallace E.","non-dropping-particle":"","parse-names":false,"suffix":""}],"container-title":"Biofuels, Bioproducts and Biorefining","id":"ITEM-2","issue":"3","issued":{"date-parts":[["2018"]]},"page":"474-484","title":"A stochastic techno-economic analysis of the catalytic hydrothermolysis aviation biofuel technology","type":"article-journal","volume":"12"}},{"id":"968HXJ10/VukxktE1","uris":["http://www.mendeley.com/documents/?uuid=03464a6c-1431-4e80-8a0a-b081150eca63"],"uri":["http://www.mendeley.com/documents/?uuid=03464a6c-1431-4e80-8a0a-b081150eca63"],"itemData":{"author":[{"dropping-particle":"","family":"Xu","given":"Jumming Nanjing Forestry University","non-dropping-particle":"","parse-names":false,"suffix":""}],"id":"ITEM-3","issued":{"date-parts":[["0"]]},"title":"Xu_2019 Integrated catalytic conversion of waste triglycerides to liquid hydrocarbons for aviation biofuels.pdf","type":"article-journal"}}],"schema":"https://github.com/citation-style-language/schema/raw/master/csl-citation.json"}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196B5E" w:rsidRPr="00196B5E">
              <w:rPr>
                <w:rFonts w:ascii="Times New Roman" w:hAnsi="Times New Roman" w:cs="Times New Roman"/>
                <w:sz w:val="18"/>
              </w:rPr>
              <w:t>[136,282,283]</w:t>
            </w:r>
            <w:r w:rsidRPr="004D19FF">
              <w:rPr>
                <w:rFonts w:ascii="Times New Roman" w:eastAsia="Times New Roman" w:hAnsi="Times New Roman" w:cs="Times New Roman"/>
                <w:color w:val="000000"/>
                <w:sz w:val="18"/>
                <w:szCs w:val="18"/>
              </w:rPr>
              <w:fldChar w:fldCharType="end"/>
            </w:r>
          </w:p>
        </w:tc>
      </w:tr>
      <w:tr w:rsidR="007D5698" w:rsidRPr="004D19FF" w14:paraId="4435A30C" w14:textId="77777777" w:rsidTr="00117E75">
        <w:trPr>
          <w:trHeight w:val="447"/>
        </w:trPr>
        <w:tc>
          <w:tcPr>
            <w:tcW w:w="1286" w:type="dxa"/>
            <w:tcBorders>
              <w:top w:val="nil"/>
              <w:left w:val="nil"/>
              <w:bottom w:val="nil"/>
              <w:right w:val="nil"/>
            </w:tcBorders>
            <w:shd w:val="clear" w:color="auto" w:fill="auto"/>
            <w:noWrap/>
            <w:hideMark/>
          </w:tcPr>
          <w:p w14:paraId="754B5AD5"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hideMark/>
          </w:tcPr>
          <w:p w14:paraId="66E89975"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Non-edible sunflower oil</w:t>
            </w:r>
          </w:p>
        </w:tc>
        <w:tc>
          <w:tcPr>
            <w:tcW w:w="1097" w:type="dxa"/>
            <w:tcBorders>
              <w:top w:val="nil"/>
              <w:left w:val="nil"/>
              <w:bottom w:val="nil"/>
              <w:right w:val="nil"/>
            </w:tcBorders>
            <w:shd w:val="clear" w:color="auto" w:fill="auto"/>
            <w:noWrap/>
            <w:hideMark/>
          </w:tcPr>
          <w:p w14:paraId="045415EB"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HRJ/HEFA</w:t>
            </w:r>
          </w:p>
        </w:tc>
        <w:tc>
          <w:tcPr>
            <w:tcW w:w="4169" w:type="dxa"/>
            <w:tcBorders>
              <w:top w:val="nil"/>
              <w:left w:val="nil"/>
              <w:bottom w:val="nil"/>
              <w:right w:val="nil"/>
            </w:tcBorders>
            <w:shd w:val="clear" w:color="auto" w:fill="auto"/>
            <w:hideMark/>
          </w:tcPr>
          <w:p w14:paraId="28D987E1"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Extracted from sunflower residual wastes</w:t>
            </w:r>
          </w:p>
        </w:tc>
        <w:tc>
          <w:tcPr>
            <w:tcW w:w="1236" w:type="dxa"/>
            <w:tcBorders>
              <w:top w:val="nil"/>
              <w:left w:val="nil"/>
              <w:bottom w:val="nil"/>
              <w:right w:val="nil"/>
            </w:tcBorders>
            <w:shd w:val="clear" w:color="auto" w:fill="auto"/>
            <w:noWrap/>
            <w:hideMark/>
          </w:tcPr>
          <w:p w14:paraId="3C3E7C5C" w14:textId="7A14F730"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UvnUj37P","properties":{"formattedCitation":"[133]","plainCitation":"[133]","noteIndex":0},"citationItems":[{"id":"968HXJ10/2vJJka7w","uris":["http://www.mendeley.com/documents/?uuid=1ffbe4db-d794-411a-95b5-1e44106da554"],"uri":["http://www.mendeley.com/documents/?uuid=1ffbe4db-d794-411a-95b5-1e44106da554"],"itemData":{"DOI":"10.1016/j.nbt.2015.01.004","ISSN":"18764347","abstract":"Non-edible sunflower oils that were extracted from sunflower residual wastes were catalytically cracked over a ZSM-5 catalyst in a fixed-bed reactor at three different reaction temperatures: 450°C, 500°C and 550°C. The catalyst was characterized using XRD, FT-IR, BET and SEM. Characterizations of the upgraded sunflower oils, hydrocarbon fuels, distillation residues and non-condensable gases were carried out. The effect of the reaction temperature on the yield and quality of liquid products was discussed. The results showed that the reaction temperature affected the hydrocarbon fuel yield but had a minor influence on its properties. The highest conversion efficiency from sunflower oils to hydrocarbon fuels was 30.1%, which was obtained at 550°C. The reaction temperature affected the component content of the non-condensable gases. The non-condensable gases generated at 550°C contained the highest content of light hydrocarbons (C1C5), CO, CO2 and H2. Compared to raw sunflower oils, the properties of hydrocarbon fuels including the dynamic viscosity, pH, moisture content, density, oxygen content and heating value were improved.","author":[{"dropping-particle":"","family":"Zhao","given":"Xianhui","non-dropping-particle":"","parse-names":false,"suffix":""},{"dropping-particle":"","family":"Wei","given":"Lin","non-dropping-particle":"","parse-names":false,"suffix":""},{"dropping-particle":"","family":"Julson","given":"James","non-dropping-particle":"","parse-names":false,"suffix":""},{"dropping-particle":"","family":"Qiao","given":"Qiquan","non-dropping-particle":"","parse-names":false,"suffix":""},{"dropping-particle":"","family":"Dubey","given":"Ashish","non-dropping-particle":"","parse-names":false,"suffix":""},{"dropping-particle":"","family":"Anderson","given":"Gary","non-dropping-particle":"","parse-names":false,"suffix":""}],"container-title":"New Biotechnology","id":"ITEM-1","issue":"2","issued":{"date-parts":[["2015"]]},"page":"300-312","publisher":"Elsevier B.V.","title":"Catalytic cracking of non-edible sunflower oil over ZSM-5 for hydrocarbon bio-jet fuel","type":"article-journal","volume":"32"}}],"schema":"https://github.com/citation-style-language/schema/raw/master/csl-citation.json"}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[133]</w:t>
            </w:r>
            <w:r w:rsidRPr="004D19FF">
              <w:rPr>
                <w:rFonts w:ascii="Times New Roman" w:eastAsia="Times New Roman" w:hAnsi="Times New Roman" w:cs="Times New Roman"/>
                <w:color w:val="000000"/>
                <w:sz w:val="18"/>
                <w:szCs w:val="18"/>
              </w:rPr>
              <w:fldChar w:fldCharType="end"/>
            </w:r>
          </w:p>
        </w:tc>
      </w:tr>
      <w:tr w:rsidR="007D5698" w:rsidRPr="004D19FF" w14:paraId="07103C9E" w14:textId="77777777" w:rsidTr="00117E75">
        <w:trPr>
          <w:trHeight w:val="267"/>
        </w:trPr>
        <w:tc>
          <w:tcPr>
            <w:tcW w:w="1286" w:type="dxa"/>
            <w:tcBorders>
              <w:top w:val="nil"/>
              <w:left w:val="nil"/>
              <w:bottom w:val="nil"/>
              <w:right w:val="nil"/>
            </w:tcBorders>
            <w:shd w:val="clear" w:color="auto" w:fill="auto"/>
            <w:noWrap/>
            <w:hideMark/>
          </w:tcPr>
          <w:p w14:paraId="58BCE417"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noWrap/>
            <w:hideMark/>
          </w:tcPr>
          <w:p w14:paraId="6187334D"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Tall oil pitch</w:t>
            </w:r>
          </w:p>
        </w:tc>
        <w:tc>
          <w:tcPr>
            <w:tcW w:w="1097" w:type="dxa"/>
            <w:tcBorders>
              <w:top w:val="nil"/>
              <w:left w:val="nil"/>
              <w:bottom w:val="nil"/>
              <w:right w:val="nil"/>
            </w:tcBorders>
            <w:shd w:val="clear" w:color="auto" w:fill="auto"/>
            <w:noWrap/>
            <w:hideMark/>
          </w:tcPr>
          <w:p w14:paraId="1AC7EEDC"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HRJ/HEFA</w:t>
            </w:r>
          </w:p>
        </w:tc>
        <w:tc>
          <w:tcPr>
            <w:tcW w:w="4169" w:type="dxa"/>
            <w:tcBorders>
              <w:top w:val="nil"/>
              <w:left w:val="nil"/>
              <w:bottom w:val="nil"/>
              <w:right w:val="nil"/>
            </w:tcBorders>
            <w:shd w:val="clear" w:color="auto" w:fill="auto"/>
            <w:noWrap/>
            <w:hideMark/>
          </w:tcPr>
          <w:p w14:paraId="03233841"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Residue from the distillation of tall oil</w:t>
            </w:r>
          </w:p>
        </w:tc>
        <w:tc>
          <w:tcPr>
            <w:tcW w:w="1236" w:type="dxa"/>
            <w:tcBorders>
              <w:top w:val="nil"/>
              <w:left w:val="nil"/>
              <w:bottom w:val="nil"/>
              <w:right w:val="nil"/>
            </w:tcBorders>
            <w:shd w:val="clear" w:color="auto" w:fill="auto"/>
            <w:noWrap/>
            <w:hideMark/>
          </w:tcPr>
          <w:p w14:paraId="7931D047" w14:textId="2C1DDE38"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ly7wpu2v","properties":{"formattedCitation":"[284]","plainCitation":"[284]","noteIndex":0},"citationItems":[{"id":"968HXJ10/LjpA4Pq2","uris":["http://www.mendeley.com/documents/?uuid=72552d24-2e1d-353e-a988-81e1ef726159"],"uri":["http://www.mendeley.com/documents/?uuid=72552d24-2e1d-353e-a988-81e1ef726159"],"itemData":{"URL":"https://www.neste.us/","accessed":{"date-parts":[["2020","1","29"]]},"author":[{"dropping-particle":"","family":"Neste","given":"","non-dropping-particle":"","parse-names":false,"suffix":""}],"container-title":"Neste","id":"ITEM-1","issued":{"date-parts":[["2019"]]},"title":"Neste","type":"webpage"}}],"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196B5E" w:rsidRPr="00196B5E">
              <w:rPr>
                <w:rFonts w:ascii="Times New Roman" w:hAnsi="Times New Roman" w:cs="Times New Roman"/>
                <w:sz w:val="18"/>
              </w:rPr>
              <w:t>[284]</w:t>
            </w:r>
            <w:r w:rsidRPr="004D19FF">
              <w:rPr>
                <w:rFonts w:ascii="Times New Roman" w:eastAsia="Times New Roman" w:hAnsi="Times New Roman" w:cs="Times New Roman"/>
                <w:color w:val="000000"/>
                <w:sz w:val="18"/>
                <w:szCs w:val="18"/>
              </w:rPr>
              <w:fldChar w:fldCharType="end"/>
            </w:r>
          </w:p>
        </w:tc>
      </w:tr>
      <w:tr w:rsidR="007D5698" w:rsidRPr="004D19FF" w14:paraId="237D1D19" w14:textId="77777777" w:rsidTr="00117E75">
        <w:trPr>
          <w:trHeight w:val="267"/>
        </w:trPr>
        <w:tc>
          <w:tcPr>
            <w:tcW w:w="1286" w:type="dxa"/>
            <w:tcBorders>
              <w:top w:val="nil"/>
              <w:left w:val="nil"/>
              <w:bottom w:val="nil"/>
              <w:right w:val="nil"/>
            </w:tcBorders>
            <w:shd w:val="clear" w:color="auto" w:fill="auto"/>
            <w:noWrap/>
            <w:hideMark/>
          </w:tcPr>
          <w:p w14:paraId="14F23784"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noWrap/>
            <w:hideMark/>
          </w:tcPr>
          <w:p w14:paraId="2B488CAF"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Animal fats</w:t>
            </w:r>
          </w:p>
        </w:tc>
        <w:tc>
          <w:tcPr>
            <w:tcW w:w="1097" w:type="dxa"/>
            <w:tcBorders>
              <w:top w:val="nil"/>
              <w:left w:val="nil"/>
              <w:bottom w:val="nil"/>
              <w:right w:val="nil"/>
            </w:tcBorders>
            <w:shd w:val="clear" w:color="auto" w:fill="auto"/>
            <w:noWrap/>
            <w:hideMark/>
          </w:tcPr>
          <w:p w14:paraId="1949E53A"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HRJ/HEFA</w:t>
            </w:r>
          </w:p>
        </w:tc>
        <w:tc>
          <w:tcPr>
            <w:tcW w:w="4169" w:type="dxa"/>
            <w:tcBorders>
              <w:top w:val="nil"/>
              <w:left w:val="nil"/>
              <w:bottom w:val="nil"/>
              <w:right w:val="nil"/>
            </w:tcBorders>
            <w:shd w:val="clear" w:color="auto" w:fill="auto"/>
            <w:hideMark/>
          </w:tcPr>
          <w:p w14:paraId="42EB98C5" w14:textId="2E899239" w:rsidR="007D5698" w:rsidRPr="004D19FF" w:rsidRDefault="007D5698" w:rsidP="004A193C">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w:t>
            </w:r>
            <w:r w:rsidR="004A193C">
              <w:rPr>
                <w:rFonts w:ascii="Times New Roman" w:eastAsia="Times New Roman" w:hAnsi="Times New Roman" w:cs="Times New Roman"/>
                <w:color w:val="000000"/>
                <w:sz w:val="18"/>
                <w:szCs w:val="18"/>
              </w:rPr>
              <w:t>Slaughterhouse waste</w:t>
            </w:r>
          </w:p>
        </w:tc>
        <w:tc>
          <w:tcPr>
            <w:tcW w:w="1236" w:type="dxa"/>
            <w:tcBorders>
              <w:top w:val="nil"/>
              <w:left w:val="nil"/>
              <w:bottom w:val="nil"/>
              <w:right w:val="nil"/>
            </w:tcBorders>
            <w:shd w:val="clear" w:color="auto" w:fill="auto"/>
            <w:noWrap/>
            <w:hideMark/>
          </w:tcPr>
          <w:p w14:paraId="635087F8" w14:textId="642C27A5"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aFVCCXwV","properties":{"formattedCitation":"[284]","plainCitation":"[284]","noteIndex":0},"citationItems":[{"id":"968HXJ10/LjpA4Pq2","uris":["http://www.mendeley.com/documents/?uuid=72552d24-2e1d-353e-a988-81e1ef726159"],"uri":["http://www.mendeley.com/documents/?uuid=72552d24-2e1d-353e-a988-81e1ef726159"],"itemData":{"URL":"https://www.neste.us/","accessed":{"date-parts":[["2020","1","29"]]},"author":[{"dropping-particle":"","family":"Neste","given":"","non-dropping-particle":"","parse-names":false,"suffix":""}],"container-title":"Neste","id":"ITEM-1","issued":{"date-parts":[["2019"]]},"title":"Neste","type":"webpage"}}],"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196B5E" w:rsidRPr="00196B5E">
              <w:rPr>
                <w:rFonts w:ascii="Times New Roman" w:hAnsi="Times New Roman" w:cs="Times New Roman"/>
                <w:sz w:val="18"/>
              </w:rPr>
              <w:t>[284]</w:t>
            </w:r>
            <w:r w:rsidRPr="004D19FF">
              <w:rPr>
                <w:rFonts w:ascii="Times New Roman" w:eastAsia="Times New Roman" w:hAnsi="Times New Roman" w:cs="Times New Roman"/>
                <w:color w:val="000000"/>
                <w:sz w:val="18"/>
                <w:szCs w:val="18"/>
              </w:rPr>
              <w:fldChar w:fldCharType="end"/>
            </w:r>
          </w:p>
        </w:tc>
      </w:tr>
      <w:tr w:rsidR="007D5698" w:rsidRPr="004D19FF" w14:paraId="53A88AC7" w14:textId="77777777" w:rsidTr="00117E75">
        <w:trPr>
          <w:trHeight w:val="267"/>
        </w:trPr>
        <w:tc>
          <w:tcPr>
            <w:tcW w:w="1286" w:type="dxa"/>
            <w:tcBorders>
              <w:top w:val="nil"/>
              <w:left w:val="nil"/>
              <w:bottom w:val="nil"/>
              <w:right w:val="nil"/>
            </w:tcBorders>
            <w:shd w:val="clear" w:color="auto" w:fill="auto"/>
            <w:noWrap/>
            <w:hideMark/>
          </w:tcPr>
          <w:p w14:paraId="11D2000E"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nil"/>
              <w:right w:val="nil"/>
            </w:tcBorders>
            <w:shd w:val="clear" w:color="auto" w:fill="auto"/>
            <w:noWrap/>
            <w:hideMark/>
          </w:tcPr>
          <w:p w14:paraId="4058E6DD"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Palm fatty acid distillate</w:t>
            </w:r>
          </w:p>
        </w:tc>
        <w:tc>
          <w:tcPr>
            <w:tcW w:w="1097" w:type="dxa"/>
            <w:tcBorders>
              <w:top w:val="nil"/>
              <w:left w:val="nil"/>
              <w:bottom w:val="nil"/>
              <w:right w:val="nil"/>
            </w:tcBorders>
            <w:shd w:val="clear" w:color="auto" w:fill="auto"/>
            <w:noWrap/>
            <w:hideMark/>
          </w:tcPr>
          <w:p w14:paraId="2D9D7498"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HRJ/HEFA</w:t>
            </w:r>
          </w:p>
        </w:tc>
        <w:tc>
          <w:tcPr>
            <w:tcW w:w="4169" w:type="dxa"/>
            <w:tcBorders>
              <w:top w:val="nil"/>
              <w:left w:val="nil"/>
              <w:bottom w:val="nil"/>
              <w:right w:val="nil"/>
            </w:tcBorders>
            <w:shd w:val="clear" w:color="auto" w:fill="auto"/>
            <w:noWrap/>
            <w:hideMark/>
          </w:tcPr>
          <w:p w14:paraId="0C8EA990" w14:textId="4B503A18" w:rsidR="007D5698" w:rsidRPr="004D19FF" w:rsidRDefault="007D5698" w:rsidP="004A193C">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xml:space="preserve">• </w:t>
            </w:r>
            <w:r w:rsidR="004A193C">
              <w:rPr>
                <w:rFonts w:ascii="Times New Roman" w:eastAsia="Times New Roman" w:hAnsi="Times New Roman" w:cs="Times New Roman"/>
                <w:color w:val="000000"/>
                <w:sz w:val="18"/>
                <w:szCs w:val="18"/>
              </w:rPr>
              <w:t>Co-product of palm oil production</w:t>
            </w:r>
          </w:p>
        </w:tc>
        <w:tc>
          <w:tcPr>
            <w:tcW w:w="1236" w:type="dxa"/>
            <w:tcBorders>
              <w:top w:val="nil"/>
              <w:left w:val="nil"/>
              <w:bottom w:val="nil"/>
              <w:right w:val="nil"/>
            </w:tcBorders>
            <w:shd w:val="clear" w:color="auto" w:fill="auto"/>
            <w:noWrap/>
            <w:hideMark/>
          </w:tcPr>
          <w:p w14:paraId="580BB195" w14:textId="423E7DFB"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ERzCAb2j","properties":{"formattedCitation":"[284]","plainCitation":"[284]","noteIndex":0},"citationItems":[{"id":"968HXJ10/LjpA4Pq2","uris":["http://www.mendeley.com/documents/?uuid=72552d24-2e1d-353e-a988-81e1ef726159"],"uri":["http://www.mendeley.com/documents/?uuid=72552d24-2e1d-353e-a988-81e1ef726159"],"itemData":{"URL":"https://www.neste.us/","accessed":{"date-parts":[["2020","1","29"]]},"author":[{"dropping-particle":"","family":"Neste","given":"","non-dropping-particle":"","parse-names":false,"suffix":""}],"container-title":"Neste","id":"ITEM-1","issued":{"date-parts":[["2019"]]},"title":"Neste","type":"webpage"}}],"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196B5E" w:rsidRPr="00196B5E">
              <w:rPr>
                <w:rFonts w:ascii="Times New Roman" w:hAnsi="Times New Roman" w:cs="Times New Roman"/>
                <w:sz w:val="18"/>
              </w:rPr>
              <w:t>[284]</w:t>
            </w:r>
            <w:r w:rsidRPr="004D19FF">
              <w:rPr>
                <w:rFonts w:ascii="Times New Roman" w:eastAsia="Times New Roman" w:hAnsi="Times New Roman" w:cs="Times New Roman"/>
                <w:color w:val="000000"/>
                <w:sz w:val="18"/>
                <w:szCs w:val="18"/>
              </w:rPr>
              <w:fldChar w:fldCharType="end"/>
            </w:r>
          </w:p>
        </w:tc>
      </w:tr>
      <w:tr w:rsidR="007D5698" w:rsidRPr="004D19FF" w14:paraId="3022EB0E" w14:textId="77777777" w:rsidTr="005821DC">
        <w:trPr>
          <w:trHeight w:val="267"/>
        </w:trPr>
        <w:tc>
          <w:tcPr>
            <w:tcW w:w="1286" w:type="dxa"/>
            <w:tcBorders>
              <w:top w:val="nil"/>
              <w:left w:val="nil"/>
              <w:bottom w:val="single" w:sz="4" w:space="0" w:color="auto"/>
              <w:right w:val="nil"/>
            </w:tcBorders>
            <w:shd w:val="clear" w:color="auto" w:fill="auto"/>
            <w:noWrap/>
            <w:hideMark/>
          </w:tcPr>
          <w:p w14:paraId="03E0D27B"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p>
        </w:tc>
        <w:tc>
          <w:tcPr>
            <w:tcW w:w="1519" w:type="dxa"/>
            <w:tcBorders>
              <w:top w:val="nil"/>
              <w:left w:val="nil"/>
              <w:bottom w:val="single" w:sz="4" w:space="0" w:color="auto"/>
              <w:right w:val="nil"/>
            </w:tcBorders>
            <w:shd w:val="clear" w:color="auto" w:fill="auto"/>
            <w:noWrap/>
            <w:hideMark/>
          </w:tcPr>
          <w:p w14:paraId="62F77885"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Brown grease</w:t>
            </w:r>
          </w:p>
        </w:tc>
        <w:tc>
          <w:tcPr>
            <w:tcW w:w="1097" w:type="dxa"/>
            <w:tcBorders>
              <w:top w:val="nil"/>
              <w:left w:val="nil"/>
              <w:bottom w:val="single" w:sz="4" w:space="0" w:color="auto"/>
              <w:right w:val="nil"/>
            </w:tcBorders>
            <w:shd w:val="clear" w:color="auto" w:fill="auto"/>
            <w:noWrap/>
            <w:hideMark/>
          </w:tcPr>
          <w:p w14:paraId="4AD77D3A"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CHJ</w:t>
            </w:r>
          </w:p>
        </w:tc>
        <w:tc>
          <w:tcPr>
            <w:tcW w:w="4169" w:type="dxa"/>
            <w:tcBorders>
              <w:top w:val="nil"/>
              <w:left w:val="nil"/>
              <w:bottom w:val="single" w:sz="4" w:space="0" w:color="auto"/>
              <w:right w:val="nil"/>
            </w:tcBorders>
            <w:shd w:val="clear" w:color="auto" w:fill="auto"/>
            <w:noWrap/>
            <w:hideMark/>
          </w:tcPr>
          <w:p w14:paraId="47EBFE06" w14:textId="77777777"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t>• Derived from grease trap waste</w:t>
            </w:r>
          </w:p>
        </w:tc>
        <w:tc>
          <w:tcPr>
            <w:tcW w:w="1236" w:type="dxa"/>
            <w:tcBorders>
              <w:top w:val="nil"/>
              <w:left w:val="nil"/>
              <w:bottom w:val="single" w:sz="4" w:space="0" w:color="auto"/>
              <w:right w:val="nil"/>
            </w:tcBorders>
            <w:shd w:val="clear" w:color="auto" w:fill="auto"/>
            <w:noWrap/>
            <w:hideMark/>
          </w:tcPr>
          <w:p w14:paraId="437D11DC" w14:textId="36E225D0" w:rsidR="007D5698" w:rsidRPr="004D19FF" w:rsidRDefault="007D5698" w:rsidP="00117E75">
            <w:pPr>
              <w:spacing w:after="0" w:line="240" w:lineRule="auto"/>
              <w:rPr>
                <w:rFonts w:ascii="Times New Roman" w:eastAsia="Times New Roman" w:hAnsi="Times New Roman" w:cs="Times New Roman"/>
                <w:color w:val="000000"/>
                <w:sz w:val="18"/>
                <w:szCs w:val="18"/>
              </w:rPr>
            </w:pPr>
            <w:r w:rsidRPr="004D19FF">
              <w:rPr>
                <w:rFonts w:ascii="Times New Roman" w:eastAsia="Times New Roman" w:hAnsi="Times New Roman" w:cs="Times New Roman"/>
                <w:color w:val="000000"/>
                <w:sz w:val="18"/>
                <w:szCs w:val="18"/>
              </w:rPr>
              <w:fldChar w:fldCharType="begin" w:fldLock="1"/>
            </w:r>
            <w:r w:rsidR="00752A1E">
              <w:rPr>
                <w:rFonts w:ascii="Times New Roman" w:eastAsia="Times New Roman" w:hAnsi="Times New Roman" w:cs="Times New Roman"/>
                <w:color w:val="000000"/>
                <w:sz w:val="18"/>
                <w:szCs w:val="18"/>
              </w:rPr>
              <w:instrText xml:space="preserve"> ADDIN ZOTERO_ITEM CSL_CITATION {"citationID":"Kto7x9yH","properties":{"formattedCitation":"[136]","plainCitation":"[136]","noteIndex":0},"citationItems":[{"id":"968HXJ10/8c3pm6WA","uris":["http://www.mendeley.com/documents/?uuid=6a5b2f38-c6ef-492b-bdbe-03ce3cb05735"],"uri":["http://www.mendeley.com/documents/?uuid=6a5b2f38-c6ef-492b-bdbe-03ce3cb05735"],"itemData":{"DOI":"10.1002/bbb.1863","ISSN":"19321031","abstract":"This study analyzed the financial feasibility of catalytic hydrothermolysis (CH) aviation biofuel technology. Three feedstocks were assessed: brown grease (rendered from grease trap waste), yellow grease (rendered from used cooking oil), and carinata oil. Since the technology carries risk, a stochastic analysis was conducted, which resulted in a distribution of net present values (NPVs) and breakeven prices. The breakeven price was the price of jet fuel per gallon that made the NPV equal to zero. A scenario where fuel price grew over time and a scenario where fuel price did not grow were both analyzed. Four plant scenarios were analyzed: 1. pioneer brownfield, 2. Nth brownfield, 3. pioneer greenfield, 4. Nth greenfield. Brown grease was the most promising feedstock scenario, in terms of financial feasibility. Breakeven prices in each feedstock scenario were lowest in the brownfield nth plant scenario, and highest in the greenfield pioneer plant scenario. Across the four plant scenarios and two fuel price growth scenarios, mean breakeven prices ranged from $2.02 to $2.83/gal in the brown grease scenario, $2.82 to $3.81/gal in the yellow grease scenario, and $3.90 to $5.66/gal in the carinata oil scenario. With the addition of RINs and LCFS credits, the probability of loss was as low as 0.0%, 18.9%, and 74.6% in the brown grease, yellow grease, and carinata oil scenarios, respectively. However, without RIN or LCFS credits, the process was not found to be financially viable. © 2018 Society of Chemical Industry and John Wiley &amp; Sons, Ltd.","author":[{"dropping-particle":"","family":"McGarvey","given":"Elspeth","non-dropping-particle":"","parse-names":false,"suffix":""},{"dropping-particle":"","family":"Tyner","given":"Wallace E.","non-dropping-particle":"","parse-names":false,"suffix":""}],"container-title":"Biofuels, Bioproducts and Biorefining","id":"ITEM-1","issue":"3","issued":{"date-parts":[["2018"]]},"page":"474-484","title":"A stochastic techno-economic analysis of the catalytic hydrothermolysis aviation biofuel technology","type":"article-journal","volume":"12"}}],"schema":"https://github.com/citation-style-language/schema/raw/master/csl-citation.json"} </w:instrText>
            </w:r>
            <w:r w:rsidRPr="004D19FF">
              <w:rPr>
                <w:rFonts w:ascii="Times New Roman" w:eastAsia="Times New Roman" w:hAnsi="Times New Roman" w:cs="Times New Roman"/>
                <w:color w:val="000000"/>
                <w:sz w:val="18"/>
                <w:szCs w:val="18"/>
              </w:rPr>
              <w:fldChar w:fldCharType="separate"/>
            </w:r>
            <w:r w:rsidR="00623E85" w:rsidRPr="00623E85">
              <w:rPr>
                <w:rFonts w:ascii="Times New Roman" w:hAnsi="Times New Roman" w:cs="Times New Roman"/>
                <w:sz w:val="18"/>
              </w:rPr>
              <w:t>[136]</w:t>
            </w:r>
            <w:r w:rsidRPr="004D19FF">
              <w:rPr>
                <w:rFonts w:ascii="Times New Roman" w:eastAsia="Times New Roman" w:hAnsi="Times New Roman" w:cs="Times New Roman"/>
                <w:color w:val="000000"/>
                <w:sz w:val="18"/>
                <w:szCs w:val="18"/>
              </w:rPr>
              <w:fldChar w:fldCharType="end"/>
            </w:r>
          </w:p>
        </w:tc>
      </w:tr>
    </w:tbl>
    <w:p w14:paraId="46A05286" w14:textId="77777777" w:rsidR="007D5698" w:rsidRPr="007D5698" w:rsidRDefault="007D5698" w:rsidP="007D5698">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xml:space="preserve"> MSW: Municipal Solid Waste; HTL: Hydrothermal liquefaction</w:t>
      </w:r>
    </w:p>
    <w:p w14:paraId="0F8AC1BD" w14:textId="298CE0AD" w:rsidR="000A47C6" w:rsidRDefault="005821DC" w:rsidP="007F3409">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Yet,</w:t>
      </w:r>
      <w:r w:rsidR="00352B4E">
        <w:rPr>
          <w:rFonts w:ascii="Times New Roman" w:hAnsi="Times New Roman" w:cs="Times New Roman"/>
          <w:sz w:val="20"/>
          <w:szCs w:val="20"/>
        </w:rPr>
        <w:t xml:space="preserve"> a key question remains whether the </w:t>
      </w:r>
      <w:r>
        <w:rPr>
          <w:rFonts w:ascii="Times New Roman" w:hAnsi="Times New Roman" w:cs="Times New Roman"/>
          <w:sz w:val="20"/>
          <w:szCs w:val="20"/>
        </w:rPr>
        <w:t xml:space="preserve">residual biomass </w:t>
      </w:r>
      <w:r w:rsidR="00352B4E">
        <w:rPr>
          <w:rFonts w:ascii="Times New Roman" w:hAnsi="Times New Roman" w:cs="Times New Roman"/>
          <w:sz w:val="20"/>
          <w:szCs w:val="20"/>
        </w:rPr>
        <w:t>potential is large enough to supply the demand</w:t>
      </w:r>
      <w:r w:rsidR="00CA240D">
        <w:rPr>
          <w:rFonts w:ascii="Times New Roman" w:hAnsi="Times New Roman" w:cs="Times New Roman"/>
          <w:sz w:val="20"/>
          <w:szCs w:val="20"/>
        </w:rPr>
        <w:t xml:space="preserve">. </w:t>
      </w:r>
      <w:r w:rsidR="000A47C6">
        <w:rPr>
          <w:rFonts w:ascii="Times New Roman" w:hAnsi="Times New Roman" w:cs="Times New Roman"/>
          <w:sz w:val="20"/>
          <w:szCs w:val="20"/>
        </w:rPr>
        <w:t>W</w:t>
      </w:r>
      <w:r w:rsidR="00C47D6C">
        <w:rPr>
          <w:rFonts w:ascii="Times New Roman" w:hAnsi="Times New Roman" w:cs="Times New Roman"/>
          <w:sz w:val="20"/>
          <w:szCs w:val="20"/>
        </w:rPr>
        <w:t xml:space="preserve">e estimated, on the basis of the ICAO projections for 2045 </w:t>
      </w:r>
      <w:r w:rsidR="006278EE">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COnPOBa9","properties":{"formattedCitation":"[285]","plainCitation":"[285]","noteIndex":0},"citationItems":[{"id":27,"uris":["http://zotero.org/groups/2763812/items/6TIPBLFU"],"uri":["http://zotero.org/groups/2763812/items/6TIPBLFU"],"itemData":{"id":27,"type":"report","note":"volume: April","publisher":"International Civil Aviation Organization (ICAO)","title":"ICAO Long-Term Traffic Forecasts: Passenger and Cargo","URL":"https://www.icao.int/sustainability/Documents/LTF_Charts-Results_2018edition.pdf","author":[{"literal":"International Civil Aviation Organization (ICAO)"}],"issued":{"date-parts":[["2018"]]}}}],"schema":"https://github.com/citation-style-language/schema/raw/master/csl-citation.json"} </w:instrText>
      </w:r>
      <w:r w:rsidR="006278EE">
        <w:rPr>
          <w:rFonts w:ascii="Times New Roman" w:hAnsi="Times New Roman" w:cs="Times New Roman"/>
          <w:sz w:val="20"/>
          <w:szCs w:val="20"/>
        </w:rPr>
        <w:fldChar w:fldCharType="separate"/>
      </w:r>
      <w:r w:rsidR="00196B5E" w:rsidRPr="00196B5E">
        <w:rPr>
          <w:rFonts w:ascii="Times New Roman" w:hAnsi="Times New Roman" w:cs="Times New Roman"/>
          <w:sz w:val="20"/>
        </w:rPr>
        <w:t>[285]</w:t>
      </w:r>
      <w:r w:rsidR="006278EE">
        <w:rPr>
          <w:rFonts w:ascii="Times New Roman" w:hAnsi="Times New Roman" w:cs="Times New Roman"/>
          <w:sz w:val="20"/>
          <w:szCs w:val="20"/>
        </w:rPr>
        <w:fldChar w:fldCharType="end"/>
      </w:r>
      <w:r w:rsidR="00C47D6C">
        <w:rPr>
          <w:rFonts w:ascii="Times New Roman" w:hAnsi="Times New Roman" w:cs="Times New Roman"/>
          <w:sz w:val="20"/>
          <w:szCs w:val="20"/>
        </w:rPr>
        <w:t>, a rough gl</w:t>
      </w:r>
      <w:r w:rsidR="00826239">
        <w:rPr>
          <w:rFonts w:ascii="Times New Roman" w:hAnsi="Times New Roman" w:cs="Times New Roman"/>
          <w:sz w:val="20"/>
          <w:szCs w:val="20"/>
        </w:rPr>
        <w:t>obal av</w:t>
      </w:r>
      <w:r w:rsidR="009D219F">
        <w:rPr>
          <w:rFonts w:ascii="Times New Roman" w:hAnsi="Times New Roman" w:cs="Times New Roman"/>
          <w:sz w:val="20"/>
          <w:szCs w:val="20"/>
        </w:rPr>
        <w:t xml:space="preserve">iation fuel demand of </w:t>
      </w:r>
      <w:r w:rsidR="00373EF6" w:rsidRPr="00B8335D">
        <w:rPr>
          <w:rFonts w:ascii="Times New Roman" w:hAnsi="Times New Roman" w:cs="Times New Roman"/>
          <w:sz w:val="20"/>
          <w:szCs w:val="20"/>
        </w:rPr>
        <w:t>16.73</w:t>
      </w:r>
      <w:r w:rsidR="00C47D6C" w:rsidRPr="00B8335D">
        <w:rPr>
          <w:rFonts w:ascii="Times New Roman" w:hAnsi="Times New Roman" w:cs="Times New Roman"/>
          <w:sz w:val="20"/>
          <w:szCs w:val="20"/>
        </w:rPr>
        <w:t xml:space="preserve"> EJ y</w:t>
      </w:r>
      <w:r w:rsidR="00C47D6C" w:rsidRPr="00B8335D">
        <w:rPr>
          <w:rFonts w:ascii="Times New Roman" w:hAnsi="Times New Roman" w:cs="Times New Roman"/>
          <w:sz w:val="20"/>
          <w:szCs w:val="20"/>
          <w:vertAlign w:val="superscript"/>
        </w:rPr>
        <w:t>-1</w:t>
      </w:r>
      <w:r w:rsidR="00C47D6C">
        <w:rPr>
          <w:rFonts w:ascii="Times New Roman" w:hAnsi="Times New Roman" w:cs="Times New Roman"/>
          <w:sz w:val="20"/>
          <w:szCs w:val="20"/>
        </w:rPr>
        <w:t xml:space="preserve"> (</w:t>
      </w:r>
      <w:r w:rsidR="009D219F">
        <w:rPr>
          <w:rFonts w:ascii="Times New Roman" w:hAnsi="Times New Roman" w:cs="Times New Roman"/>
          <w:sz w:val="20"/>
          <w:szCs w:val="20"/>
        </w:rPr>
        <w:t xml:space="preserve">compared to </w:t>
      </w:r>
      <w:r w:rsidR="00350540">
        <w:rPr>
          <w:rFonts w:ascii="Times New Roman" w:hAnsi="Times New Roman" w:cs="Times New Roman"/>
          <w:sz w:val="20"/>
          <w:szCs w:val="20"/>
        </w:rPr>
        <w:t>7.85</w:t>
      </w:r>
      <w:r w:rsidR="004B07B1" w:rsidRPr="00F87962">
        <w:rPr>
          <w:rFonts w:ascii="Times New Roman" w:hAnsi="Times New Roman" w:cs="Times New Roman"/>
          <w:sz w:val="20"/>
          <w:szCs w:val="20"/>
        </w:rPr>
        <w:t xml:space="preserve"> EJ y</w:t>
      </w:r>
      <w:r w:rsidR="004B07B1" w:rsidRPr="00F87962">
        <w:rPr>
          <w:rFonts w:ascii="Times New Roman" w:hAnsi="Times New Roman" w:cs="Times New Roman"/>
          <w:sz w:val="20"/>
          <w:szCs w:val="20"/>
          <w:vertAlign w:val="superscript"/>
        </w:rPr>
        <w:t>-1</w:t>
      </w:r>
      <w:r w:rsidR="004B07B1" w:rsidRPr="00F87962">
        <w:rPr>
          <w:rFonts w:ascii="Times New Roman" w:hAnsi="Times New Roman" w:cs="Times New Roman"/>
          <w:sz w:val="20"/>
          <w:szCs w:val="20"/>
        </w:rPr>
        <w:t xml:space="preserve"> in</w:t>
      </w:r>
      <w:r w:rsidR="00A116DC">
        <w:rPr>
          <w:rFonts w:ascii="Times New Roman" w:hAnsi="Times New Roman" w:cs="Times New Roman"/>
          <w:sz w:val="20"/>
          <w:szCs w:val="20"/>
        </w:rPr>
        <w:t xml:space="preserve"> 2019</w:t>
      </w:r>
      <w:r w:rsidR="004B07B1">
        <w:rPr>
          <w:rFonts w:ascii="Times New Roman" w:hAnsi="Times New Roman" w:cs="Times New Roman"/>
          <w:sz w:val="20"/>
          <w:szCs w:val="20"/>
        </w:rPr>
        <w:t xml:space="preserve">; </w:t>
      </w:r>
      <w:r w:rsidR="00C47D6C">
        <w:rPr>
          <w:rFonts w:ascii="Times New Roman" w:hAnsi="Times New Roman" w:cs="Times New Roman"/>
          <w:sz w:val="20"/>
          <w:szCs w:val="20"/>
        </w:rPr>
        <w:t>details in SM</w:t>
      </w:r>
      <w:r w:rsidR="00A116DC">
        <w:rPr>
          <w:rFonts w:ascii="Times New Roman" w:hAnsi="Times New Roman" w:cs="Times New Roman"/>
          <w:sz w:val="20"/>
          <w:szCs w:val="20"/>
        </w:rPr>
        <w:t>2</w:t>
      </w:r>
      <w:r w:rsidR="00C47D6C">
        <w:rPr>
          <w:rFonts w:ascii="Times New Roman" w:hAnsi="Times New Roman" w:cs="Times New Roman"/>
          <w:sz w:val="20"/>
          <w:szCs w:val="20"/>
        </w:rPr>
        <w:t>).</w:t>
      </w:r>
      <w:r w:rsidR="004B07B1">
        <w:rPr>
          <w:rFonts w:ascii="Times New Roman" w:hAnsi="Times New Roman" w:cs="Times New Roman"/>
          <w:sz w:val="20"/>
          <w:szCs w:val="20"/>
        </w:rPr>
        <w:t xml:space="preserve"> If this should be </w:t>
      </w:r>
      <w:r w:rsidR="00FE7572">
        <w:rPr>
          <w:rFonts w:ascii="Times New Roman" w:hAnsi="Times New Roman" w:cs="Times New Roman"/>
          <w:sz w:val="20"/>
          <w:szCs w:val="20"/>
        </w:rPr>
        <w:t xml:space="preserve">fully </w:t>
      </w:r>
      <w:r w:rsidR="004B07B1">
        <w:rPr>
          <w:rFonts w:ascii="Times New Roman" w:hAnsi="Times New Roman" w:cs="Times New Roman"/>
          <w:sz w:val="20"/>
          <w:szCs w:val="20"/>
        </w:rPr>
        <w:t>produced through a biofuel pathway</w:t>
      </w:r>
      <w:r w:rsidR="00FE7572">
        <w:rPr>
          <w:rFonts w:ascii="Times New Roman" w:hAnsi="Times New Roman" w:cs="Times New Roman"/>
          <w:sz w:val="20"/>
          <w:szCs w:val="20"/>
        </w:rPr>
        <w:t xml:space="preserve"> (i.e. disregarding the ASTM D7566 standard on aromatics)</w:t>
      </w:r>
      <w:r w:rsidR="004B07B1">
        <w:rPr>
          <w:rFonts w:ascii="Times New Roman" w:hAnsi="Times New Roman" w:cs="Times New Roman"/>
          <w:sz w:val="20"/>
          <w:szCs w:val="20"/>
        </w:rPr>
        <w:t>, we e</w:t>
      </w:r>
      <w:r w:rsidR="008E0A47">
        <w:rPr>
          <w:rFonts w:ascii="Times New Roman" w:hAnsi="Times New Roman" w:cs="Times New Roman"/>
          <w:sz w:val="20"/>
          <w:szCs w:val="20"/>
        </w:rPr>
        <w:t>valuated</w:t>
      </w:r>
      <w:r w:rsidR="004B07B1">
        <w:rPr>
          <w:rFonts w:ascii="Times New Roman" w:hAnsi="Times New Roman" w:cs="Times New Roman"/>
          <w:sz w:val="20"/>
          <w:szCs w:val="20"/>
        </w:rPr>
        <w:t xml:space="preserve">, </w:t>
      </w:r>
      <w:r w:rsidR="000A47C6">
        <w:rPr>
          <w:rFonts w:ascii="Times New Roman" w:hAnsi="Times New Roman" w:cs="Times New Roman"/>
          <w:sz w:val="20"/>
          <w:szCs w:val="20"/>
        </w:rPr>
        <w:t>considering</w:t>
      </w:r>
      <w:r w:rsidR="004B07B1">
        <w:rPr>
          <w:rFonts w:ascii="Times New Roman" w:hAnsi="Times New Roman" w:cs="Times New Roman"/>
          <w:sz w:val="20"/>
          <w:szCs w:val="20"/>
        </w:rPr>
        <w:t xml:space="preserve"> the </w:t>
      </w:r>
      <w:r w:rsidR="00826239">
        <w:rPr>
          <w:rFonts w:ascii="Times New Roman" w:hAnsi="Times New Roman" w:cs="Times New Roman"/>
          <w:sz w:val="20"/>
          <w:szCs w:val="20"/>
        </w:rPr>
        <w:t xml:space="preserve">FT-SPK pathway, that at least </w:t>
      </w:r>
      <w:r w:rsidR="00373EF6" w:rsidRPr="00331F6E">
        <w:rPr>
          <w:rFonts w:ascii="Times New Roman" w:hAnsi="Times New Roman" w:cs="Times New Roman"/>
          <w:sz w:val="20"/>
          <w:szCs w:val="20"/>
        </w:rPr>
        <w:t>53.29</w:t>
      </w:r>
      <w:r w:rsidR="004B07B1" w:rsidRPr="00331F6E">
        <w:rPr>
          <w:rFonts w:ascii="Times New Roman" w:hAnsi="Times New Roman" w:cs="Times New Roman"/>
          <w:sz w:val="20"/>
          <w:szCs w:val="20"/>
        </w:rPr>
        <w:t xml:space="preserve"> EJ y</w:t>
      </w:r>
      <w:r w:rsidR="004B07B1" w:rsidRPr="00331F6E">
        <w:rPr>
          <w:rFonts w:ascii="Times New Roman" w:hAnsi="Times New Roman" w:cs="Times New Roman"/>
          <w:sz w:val="20"/>
          <w:szCs w:val="20"/>
          <w:vertAlign w:val="superscript"/>
        </w:rPr>
        <w:t>-1</w:t>
      </w:r>
      <w:r w:rsidR="004B07B1">
        <w:rPr>
          <w:rFonts w:ascii="Times New Roman" w:hAnsi="Times New Roman" w:cs="Times New Roman"/>
          <w:sz w:val="20"/>
          <w:szCs w:val="20"/>
        </w:rPr>
        <w:t xml:space="preserve"> of biomass</w:t>
      </w:r>
      <w:r w:rsidR="000A47C6">
        <w:rPr>
          <w:rFonts w:ascii="Times New Roman" w:hAnsi="Times New Roman" w:cs="Times New Roman"/>
          <w:sz w:val="20"/>
          <w:szCs w:val="20"/>
        </w:rPr>
        <w:t xml:space="preserve"> feedstock</w:t>
      </w:r>
      <w:r w:rsidR="004B07B1">
        <w:rPr>
          <w:rFonts w:ascii="Times New Roman" w:hAnsi="Times New Roman" w:cs="Times New Roman"/>
          <w:sz w:val="20"/>
          <w:szCs w:val="20"/>
        </w:rPr>
        <w:t xml:space="preserve"> is required</w:t>
      </w:r>
      <w:r w:rsidR="009D219F">
        <w:rPr>
          <w:rFonts w:ascii="Times New Roman" w:hAnsi="Times New Roman" w:cs="Times New Roman"/>
          <w:sz w:val="20"/>
          <w:szCs w:val="20"/>
        </w:rPr>
        <w:t xml:space="preserve"> (details in </w:t>
      </w:r>
      <w:r w:rsidR="00577371">
        <w:rPr>
          <w:rFonts w:ascii="Times New Roman" w:hAnsi="Times New Roman" w:cs="Times New Roman"/>
          <w:sz w:val="20"/>
          <w:szCs w:val="20"/>
        </w:rPr>
        <w:t>SM</w:t>
      </w:r>
      <w:r w:rsidR="00A116DC">
        <w:rPr>
          <w:rFonts w:ascii="Times New Roman" w:hAnsi="Times New Roman" w:cs="Times New Roman"/>
          <w:sz w:val="20"/>
          <w:szCs w:val="20"/>
        </w:rPr>
        <w:t>2</w:t>
      </w:r>
      <w:r w:rsidR="008E0A47">
        <w:rPr>
          <w:rFonts w:ascii="Times New Roman" w:hAnsi="Times New Roman" w:cs="Times New Roman"/>
          <w:sz w:val="20"/>
          <w:szCs w:val="20"/>
        </w:rPr>
        <w:t>)</w:t>
      </w:r>
      <w:r w:rsidR="00FE7572">
        <w:rPr>
          <w:rFonts w:ascii="Times New Roman" w:hAnsi="Times New Roman" w:cs="Times New Roman"/>
          <w:sz w:val="20"/>
          <w:szCs w:val="20"/>
        </w:rPr>
        <w:t xml:space="preserve">. This </w:t>
      </w:r>
      <w:r w:rsidR="000A47C6">
        <w:rPr>
          <w:rFonts w:ascii="Times New Roman" w:hAnsi="Times New Roman" w:cs="Times New Roman"/>
          <w:sz w:val="20"/>
          <w:szCs w:val="20"/>
        </w:rPr>
        <w:t xml:space="preserve">alone </w:t>
      </w:r>
      <w:r w:rsidR="00FE7572" w:rsidRPr="00331F6E">
        <w:rPr>
          <w:rFonts w:ascii="Times New Roman" w:hAnsi="Times New Roman" w:cs="Times New Roman"/>
          <w:sz w:val="20"/>
          <w:szCs w:val="20"/>
        </w:rPr>
        <w:t>re</w:t>
      </w:r>
      <w:r w:rsidR="00826239" w:rsidRPr="00331F6E">
        <w:rPr>
          <w:rFonts w:ascii="Times New Roman" w:hAnsi="Times New Roman" w:cs="Times New Roman"/>
          <w:sz w:val="20"/>
          <w:szCs w:val="20"/>
        </w:rPr>
        <w:t xml:space="preserve">presents ca. </w:t>
      </w:r>
      <w:r w:rsidR="009D219F" w:rsidRPr="00331F6E">
        <w:rPr>
          <w:rFonts w:ascii="Times New Roman" w:hAnsi="Times New Roman" w:cs="Times New Roman"/>
          <w:sz w:val="20"/>
          <w:szCs w:val="20"/>
        </w:rPr>
        <w:t>27</w:t>
      </w:r>
      <w:r w:rsidR="00FE7572" w:rsidRPr="00331F6E">
        <w:rPr>
          <w:rFonts w:ascii="Times New Roman" w:hAnsi="Times New Roman" w:cs="Times New Roman"/>
          <w:sz w:val="20"/>
          <w:szCs w:val="20"/>
        </w:rPr>
        <w:t>% of</w:t>
      </w:r>
      <w:r w:rsidR="00FE7572">
        <w:rPr>
          <w:rFonts w:ascii="Times New Roman" w:hAnsi="Times New Roman" w:cs="Times New Roman"/>
          <w:sz w:val="20"/>
          <w:szCs w:val="20"/>
        </w:rPr>
        <w:t xml:space="preserve"> the global </w:t>
      </w:r>
      <w:r w:rsidR="008E0A47">
        <w:rPr>
          <w:rFonts w:ascii="Times New Roman" w:hAnsi="Times New Roman" w:cs="Times New Roman"/>
          <w:sz w:val="20"/>
          <w:szCs w:val="20"/>
        </w:rPr>
        <w:t xml:space="preserve">residual </w:t>
      </w:r>
      <w:r w:rsidR="00FE7572">
        <w:rPr>
          <w:rFonts w:ascii="Times New Roman" w:hAnsi="Times New Roman" w:cs="Times New Roman"/>
          <w:sz w:val="20"/>
          <w:szCs w:val="20"/>
        </w:rPr>
        <w:t>biomass potential (</w:t>
      </w:r>
      <w:r w:rsidR="008E0A47">
        <w:rPr>
          <w:rFonts w:ascii="Times New Roman" w:hAnsi="Times New Roman" w:cs="Times New Roman"/>
          <w:sz w:val="20"/>
          <w:szCs w:val="20"/>
        </w:rPr>
        <w:t xml:space="preserve">at maximum </w:t>
      </w:r>
      <w:r w:rsidR="00EB6A6C">
        <w:rPr>
          <w:rFonts w:ascii="Times New Roman" w:hAnsi="Times New Roman" w:cs="Times New Roman"/>
          <w:sz w:val="20"/>
          <w:szCs w:val="20"/>
        </w:rPr>
        <w:t>ca.</w:t>
      </w:r>
      <w:r w:rsidR="0B6BCFC7" w:rsidRPr="3CCA99EA">
        <w:rPr>
          <w:rFonts w:ascii="Times New Roman" w:hAnsi="Times New Roman" w:cs="Times New Roman"/>
          <w:sz w:val="20"/>
          <w:szCs w:val="20"/>
        </w:rPr>
        <w:t xml:space="preserve"> </w:t>
      </w:r>
      <w:r w:rsidR="008E0A47">
        <w:rPr>
          <w:rFonts w:ascii="Times New Roman" w:hAnsi="Times New Roman" w:cs="Times New Roman"/>
          <w:sz w:val="20"/>
          <w:szCs w:val="20"/>
        </w:rPr>
        <w:t>200</w:t>
      </w:r>
      <w:r w:rsidR="00FE7572">
        <w:rPr>
          <w:rFonts w:ascii="Times New Roman" w:hAnsi="Times New Roman" w:cs="Times New Roman"/>
          <w:sz w:val="20"/>
          <w:szCs w:val="20"/>
        </w:rPr>
        <w:t xml:space="preserve"> EJ y</w:t>
      </w:r>
      <w:r w:rsidR="00FE7572" w:rsidRPr="00EB6A6C">
        <w:rPr>
          <w:rFonts w:ascii="Times New Roman" w:hAnsi="Times New Roman" w:cs="Times New Roman"/>
          <w:sz w:val="20"/>
          <w:szCs w:val="20"/>
          <w:vertAlign w:val="superscript"/>
        </w:rPr>
        <w:t>-1</w:t>
      </w:r>
      <w:r w:rsidR="00FE7572">
        <w:rPr>
          <w:rFonts w:ascii="Times New Roman" w:hAnsi="Times New Roman" w:cs="Times New Roman"/>
          <w:sz w:val="20"/>
          <w:szCs w:val="20"/>
        </w:rPr>
        <w:t xml:space="preserve"> b</w:t>
      </w:r>
      <w:r w:rsidR="008E0A47">
        <w:rPr>
          <w:rFonts w:ascii="Times New Roman" w:hAnsi="Times New Roman" w:cs="Times New Roman"/>
          <w:sz w:val="20"/>
          <w:szCs w:val="20"/>
        </w:rPr>
        <w:t xml:space="preserve">ased on the meta-study of </w:t>
      </w:r>
      <w:r w:rsidR="00FE7572">
        <w:rPr>
          <w:rFonts w:ascii="Times New Roman" w:hAnsi="Times New Roman" w:cs="Times New Roman"/>
          <w:sz w:val="20"/>
          <w:szCs w:val="20"/>
        </w:rPr>
        <w:t xml:space="preserve"> </w:t>
      </w:r>
      <w:r w:rsidR="008E0A47">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CeQ90ogV","properties":{"formattedCitation":"[70]","plainCitation":"[70]","noteIndex":0},"citationItems":[{"id":"968HXJ10/xqZOD4Pe","uris":["http://zotero.org/users/4447665/items/P2M47WG4"],"uri":["http://zotero.org/users/4447665/items/P2M47WG4"],"itemData":{"id":5301,"type":"article-journal","container-title":"Nature Climate Change","DOI":"10.1038/nclimate2097","issue":"2","language":"en","page":"99-105","title":"Global bioenergy resources","volume":"4","author":[{"family":"Slade","given":"Raphael"},{"family":"Bauen","given":"Ausilio"},{"family":"Gross","given":"Robert"}],"issued":{"date-parts":[["2014",1]]}}}],"schema":"https://github.com/citation-style-language/schema/raw/master/csl-citation.json"} </w:instrText>
      </w:r>
      <w:r w:rsidR="008E0A47">
        <w:rPr>
          <w:rFonts w:ascii="Times New Roman" w:hAnsi="Times New Roman" w:cs="Times New Roman"/>
          <w:sz w:val="20"/>
          <w:szCs w:val="20"/>
        </w:rPr>
        <w:fldChar w:fldCharType="separate"/>
      </w:r>
      <w:r w:rsidR="00623E85" w:rsidRPr="3CCA99EA">
        <w:rPr>
          <w:rFonts w:ascii="Times New Roman" w:hAnsi="Times New Roman" w:cs="Times New Roman"/>
          <w:sz w:val="20"/>
          <w:szCs w:val="20"/>
        </w:rPr>
        <w:t>[70]</w:t>
      </w:r>
      <w:r w:rsidR="008E0A47">
        <w:rPr>
          <w:rFonts w:ascii="Times New Roman" w:hAnsi="Times New Roman" w:cs="Times New Roman"/>
          <w:sz w:val="20"/>
          <w:szCs w:val="20"/>
        </w:rPr>
        <w:fldChar w:fldCharType="end"/>
      </w:r>
      <w:r w:rsidR="008E0A47">
        <w:rPr>
          <w:rFonts w:ascii="Times New Roman" w:hAnsi="Times New Roman" w:cs="Times New Roman"/>
          <w:sz w:val="20"/>
          <w:szCs w:val="20"/>
        </w:rPr>
        <w:t xml:space="preserve">). Yet, the transition towards GHG neutral economies implies other demands for this limited potential. One example is the plastic sector; based on a forecast from </w:t>
      </w:r>
      <w:r w:rsidR="006278EE">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ujrC1PXn","properties":{"formattedCitation":"[286]","plainCitation":"[286]","noteIndex":0},"citationItems":[{"id":181,"uris":["http://zotero.org/groups/2763812/items/92S477IR"],"uri":["http://zotero.org/groups/2763812/items/92S477IR"],"itemData":{"id":181,"type":"report","abstract":"Plastics have become the ubiquitous workhorse material of the modern economy — combining unrivalled functional properties with low cost. Their use has increased twenty-fold in the past half-century and is expected to double again in the next 20 years. Today nearly everyone, everywhere, every day comes into contact with plastics — especially plastic packaging, the focus of this report. While delivering many benefits, the current plastics economy has drawbacks that are becoming more apparent by the day. After a short first-use cycle, 95% of plastic packaging material value, or USD 80–120 billion annually, is lost to the economy. A staggering 32% of plastic packaging escapes collection systems, generating significant economic costs by reducing the productivity of vital natural systems such as the ocean and clogging urban infrastructure. The cost of such after-use externalities for plastic packaging, plus the cost associated with greenhouse gas emissions from its production, is conservatively estimated at USD 40 billion annually — exceeding the plastic packaging industry's profit pool. In future, these costs will have to be covered. In overcoming these drawbacks, an opportunity beckons: enhancing system effectiveness to achieve better economic and environmental outcomes while continuing to harness the many benefits of plastic packaging. The ‘New Plastics Economy' offers a new vision, aligned with the principles of the circular economy, to capture these opportunities.","note":"container-title: Ellen Mac Arthur Foundation","title":"The new plastics economy: rethinking the future of plastics &amp; catalysing action","URL":"https://www.ellenmacarthurfoundation.org/publications/the-new-plastics-economy-rethinking-the-future-of-plastics-catalysing-action","author":[{"literal":"Ellen Mac Arthur Foundation"}],"issued":{"date-parts":[["2017"]]}}}],"schema":"https://github.com/citation-style-language/schema/raw/master/csl-citation.json"} </w:instrText>
      </w:r>
      <w:r w:rsidR="006278EE">
        <w:rPr>
          <w:rFonts w:ascii="Times New Roman" w:hAnsi="Times New Roman" w:cs="Times New Roman"/>
          <w:sz w:val="20"/>
          <w:szCs w:val="20"/>
        </w:rPr>
        <w:fldChar w:fldCharType="separate"/>
      </w:r>
      <w:r w:rsidR="00196B5E" w:rsidRPr="00196B5E">
        <w:rPr>
          <w:rFonts w:ascii="Times New Roman" w:hAnsi="Times New Roman" w:cs="Times New Roman"/>
          <w:sz w:val="20"/>
        </w:rPr>
        <w:t>[286]</w:t>
      </w:r>
      <w:r w:rsidR="006278EE">
        <w:rPr>
          <w:rFonts w:ascii="Times New Roman" w:hAnsi="Times New Roman" w:cs="Times New Roman"/>
          <w:sz w:val="20"/>
          <w:szCs w:val="20"/>
        </w:rPr>
        <w:fldChar w:fldCharType="end"/>
      </w:r>
      <w:r w:rsidR="008E0A47">
        <w:rPr>
          <w:rFonts w:ascii="Times New Roman" w:hAnsi="Times New Roman" w:cs="Times New Roman"/>
          <w:sz w:val="20"/>
          <w:szCs w:val="20"/>
        </w:rPr>
        <w:t xml:space="preserve">, supplying the future plastic demand without </w:t>
      </w:r>
      <w:r w:rsidR="00021234">
        <w:rPr>
          <w:rFonts w:ascii="Times New Roman" w:hAnsi="Times New Roman" w:cs="Times New Roman"/>
          <w:sz w:val="20"/>
          <w:szCs w:val="20"/>
        </w:rPr>
        <w:t>petrochemical</w:t>
      </w:r>
      <w:r w:rsidR="008E0A47">
        <w:rPr>
          <w:rFonts w:ascii="Times New Roman" w:hAnsi="Times New Roman" w:cs="Times New Roman"/>
          <w:sz w:val="20"/>
          <w:szCs w:val="20"/>
        </w:rPr>
        <w:t xml:space="preserve"> resources would also </w:t>
      </w:r>
      <w:r w:rsidR="00021234">
        <w:rPr>
          <w:rFonts w:ascii="Times New Roman" w:hAnsi="Times New Roman" w:cs="Times New Roman"/>
          <w:sz w:val="20"/>
          <w:szCs w:val="20"/>
        </w:rPr>
        <w:t xml:space="preserve">imply a rough biomass </w:t>
      </w:r>
      <w:r w:rsidR="008E0A47">
        <w:rPr>
          <w:rFonts w:ascii="Times New Roman" w:hAnsi="Times New Roman" w:cs="Times New Roman"/>
          <w:sz w:val="20"/>
          <w:szCs w:val="20"/>
        </w:rPr>
        <w:t xml:space="preserve">demand </w:t>
      </w:r>
      <w:r w:rsidR="00021234">
        <w:rPr>
          <w:rFonts w:ascii="Times New Roman" w:hAnsi="Times New Roman" w:cs="Times New Roman"/>
          <w:sz w:val="20"/>
          <w:szCs w:val="20"/>
        </w:rPr>
        <w:t xml:space="preserve">of </w:t>
      </w:r>
      <w:r w:rsidR="008E0A47">
        <w:rPr>
          <w:rFonts w:ascii="Times New Roman" w:hAnsi="Times New Roman" w:cs="Times New Roman"/>
          <w:sz w:val="20"/>
          <w:szCs w:val="20"/>
        </w:rPr>
        <w:t>ca. 20 EJ y</w:t>
      </w:r>
      <w:r w:rsidR="008E0A47" w:rsidRPr="00021234">
        <w:rPr>
          <w:rFonts w:ascii="Times New Roman" w:hAnsi="Times New Roman" w:cs="Times New Roman"/>
          <w:sz w:val="20"/>
          <w:szCs w:val="20"/>
          <w:vertAlign w:val="superscript"/>
        </w:rPr>
        <w:t>-1</w:t>
      </w:r>
      <w:r w:rsidR="00021234">
        <w:rPr>
          <w:rFonts w:ascii="Times New Roman" w:hAnsi="Times New Roman" w:cs="Times New Roman"/>
          <w:sz w:val="20"/>
          <w:szCs w:val="20"/>
        </w:rPr>
        <w:t xml:space="preserve"> (details in </w:t>
      </w:r>
      <w:r w:rsidR="00577371">
        <w:rPr>
          <w:rFonts w:ascii="Times New Roman" w:hAnsi="Times New Roman" w:cs="Times New Roman"/>
          <w:sz w:val="20"/>
          <w:szCs w:val="20"/>
        </w:rPr>
        <w:t>SM</w:t>
      </w:r>
      <w:r w:rsidR="00A116DC">
        <w:rPr>
          <w:rFonts w:ascii="Times New Roman" w:hAnsi="Times New Roman" w:cs="Times New Roman"/>
          <w:sz w:val="20"/>
          <w:szCs w:val="20"/>
        </w:rPr>
        <w:t>1</w:t>
      </w:r>
      <w:r w:rsidR="00021234">
        <w:rPr>
          <w:rFonts w:ascii="Times New Roman" w:hAnsi="Times New Roman" w:cs="Times New Roman"/>
          <w:sz w:val="20"/>
          <w:szCs w:val="20"/>
        </w:rPr>
        <w:t xml:space="preserve">). </w:t>
      </w:r>
    </w:p>
    <w:p w14:paraId="59372814" w14:textId="4C4D7AAF" w:rsidR="007F3409" w:rsidRDefault="00021234" w:rsidP="007F3409">
      <w:pPr>
        <w:spacing w:after="120" w:line="276" w:lineRule="auto"/>
        <w:jc w:val="thaiDistribute"/>
        <w:rPr>
          <w:rFonts w:ascii="Times New Roman" w:hAnsi="Times New Roman" w:cs="Times New Roman"/>
          <w:sz w:val="20"/>
          <w:szCs w:val="20"/>
        </w:rPr>
      </w:pPr>
      <w:r w:rsidRPr="7B2ACDF7">
        <w:rPr>
          <w:rFonts w:ascii="Times New Roman" w:hAnsi="Times New Roman" w:cs="Times New Roman"/>
          <w:sz w:val="20"/>
          <w:szCs w:val="20"/>
        </w:rPr>
        <w:t>Further, while some biofuel pathways such as the FT-SPK can use most types of residual biomasses, other pathways are less flexible</w:t>
      </w:r>
      <w:r w:rsidR="000A47C6" w:rsidRPr="7B2ACDF7">
        <w:rPr>
          <w:rFonts w:ascii="Times New Roman" w:hAnsi="Times New Roman" w:cs="Times New Roman"/>
          <w:sz w:val="20"/>
          <w:szCs w:val="20"/>
        </w:rPr>
        <w:t>, such as the HRJ/HEFA pathway requiring oil feedstock.</w:t>
      </w:r>
      <w:r w:rsidR="002D2865" w:rsidRPr="7B2ACDF7">
        <w:rPr>
          <w:rFonts w:ascii="Times New Roman" w:hAnsi="Times New Roman" w:cs="Times New Roman"/>
          <w:sz w:val="20"/>
          <w:szCs w:val="20"/>
        </w:rPr>
        <w:t xml:space="preserve"> </w:t>
      </w:r>
      <w:r w:rsidR="007F3409" w:rsidRPr="7B2ACDF7">
        <w:rPr>
          <w:rFonts w:ascii="Times New Roman" w:hAnsi="Times New Roman" w:cs="Times New Roman"/>
          <w:sz w:val="20"/>
          <w:szCs w:val="20"/>
        </w:rPr>
        <w:t>At present, aviation biofuels are mainly obtained from the HRJ/HEFA pathway</w:t>
      </w:r>
      <w:r w:rsidR="00F622CD">
        <w:rPr>
          <w:rFonts w:ascii="Times New Roman" w:hAnsi="Times New Roman" w:cs="Times New Roman"/>
          <w:sz w:val="20"/>
          <w:szCs w:val="20"/>
        </w:rPr>
        <w:t xml:space="preserve"> </w:t>
      </w:r>
      <w:r w:rsidR="00F622CD" w:rsidRPr="7B2ACDF7">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qJg2bSx3","properties":{"formattedCitation":"[284]","plainCitation":"[284]","noteIndex":0},"citationItems":[{"id":"968HXJ10/LjpA4Pq2","uris":["http://www.mendeley.com/documents/?uuid=72552d24-2e1d-353e-a988-81e1ef726159"],"uri":["http://www.mendeley.com/documents/?uuid=72552d24-2e1d-353e-a988-81e1ef726159"],"itemData":{"URL":"https://www.neste.us/","accessed":{"date-parts":[["2020","1","29"]]},"author":[{"dropping-particle":"","family":"Neste","given":"","non-dropping-particle":"","parse-names":false,"suffix":""}],"container-title":"Neste","id":"ITEM-1","issued":{"date-parts":[["2019"]]},"title":"Neste","type":"webpage"}}],"schema":"https://github.com/citation-style-language/schema/raw/master/csl-citation.json"} </w:instrText>
      </w:r>
      <w:r w:rsidR="00F622CD" w:rsidRPr="7B2ACDF7">
        <w:rPr>
          <w:rFonts w:ascii="Times New Roman" w:hAnsi="Times New Roman" w:cs="Times New Roman"/>
          <w:sz w:val="20"/>
          <w:szCs w:val="20"/>
        </w:rPr>
        <w:fldChar w:fldCharType="separate"/>
      </w:r>
      <w:r w:rsidR="00F622CD" w:rsidRPr="0F1A7917">
        <w:rPr>
          <w:rFonts w:ascii="Times New Roman" w:hAnsi="Times New Roman" w:cs="Times New Roman"/>
          <w:sz w:val="20"/>
          <w:szCs w:val="20"/>
        </w:rPr>
        <w:t>[284]</w:t>
      </w:r>
      <w:r w:rsidR="00F622CD" w:rsidRPr="7B2ACDF7">
        <w:rPr>
          <w:rFonts w:ascii="Times New Roman" w:hAnsi="Times New Roman" w:cs="Times New Roman"/>
          <w:sz w:val="20"/>
          <w:szCs w:val="20"/>
        </w:rPr>
        <w:fldChar w:fldCharType="end"/>
      </w:r>
      <w:r w:rsidR="00F622CD">
        <w:rPr>
          <w:rFonts w:ascii="Times New Roman" w:hAnsi="Times New Roman" w:cs="Times New Roman"/>
          <w:sz w:val="20"/>
          <w:szCs w:val="20"/>
        </w:rPr>
        <w:t>. This pathway has the advantage to have a greater yield, in terms of PJ of biomass converted into PJ of kerosene, than other biofuels pathways (</w:t>
      </w:r>
      <w:r w:rsidR="00300B25">
        <w:rPr>
          <w:rFonts w:ascii="Times New Roman" w:hAnsi="Times New Roman" w:cs="Times New Roman"/>
          <w:sz w:val="20"/>
          <w:szCs w:val="20"/>
        </w:rPr>
        <w:t xml:space="preserve">an </w:t>
      </w:r>
      <w:r w:rsidR="005A0EA7">
        <w:rPr>
          <w:rFonts w:ascii="Times New Roman" w:hAnsi="Times New Roman" w:cs="Times New Roman"/>
          <w:sz w:val="20"/>
          <w:szCs w:val="20"/>
        </w:rPr>
        <w:t xml:space="preserve">overall energy efficiency </w:t>
      </w:r>
      <w:r w:rsidR="00F622CD">
        <w:rPr>
          <w:rFonts w:ascii="Times New Roman" w:hAnsi="Times New Roman" w:cs="Times New Roman"/>
          <w:sz w:val="20"/>
          <w:szCs w:val="20"/>
        </w:rPr>
        <w:t xml:space="preserve">ca. 75% for HRJ/HEFA in comparison to 40% for FT-SPK; </w:t>
      </w:r>
      <w:r w:rsidR="00F622CD">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h6caDdoO","properties":{"formattedCitation":"[68,287]","plainCitation":"[68,287]","noteIndex":0},"citationItems":[{"id":"968HXJ10/c8vL3gv8","uris":["http://www.mendeley.com/documents/?uuid=d3170ee7-9a96-4de7-ac8e-4eb3e1417bdc"],"uri":["http://www.mendeley.com/documents/?uuid=d3170ee7-9a96-4de7-ac8e-4eb3e1417bdc"],"itemData":{"DOI":"10.1016/j.fuel.2019.06.007","ISSN":"00162361","abstract":"Due to excessive greenhouse gas emissions and high dependence on traditional petroleum jet fuel, the sustainable development of the aviation industry has drawn increasing attention worldwide. One of the most promising strategies is to develop and industrialize alternative aviation fuels produced from renewable resources, e.g. biomass. Renewable bio-jet fuel has the potential to reduce CO2 emissions over their life cycle, which make bio-jet fuels an attractive substitution for aviation fuels. This paper provided an overview on the conversion technologies, economic assessment, environmental influence and development status of bio-jet fuels. The results suggested that hydrogenated esters and fatty acids, and Fischer-Tropsch synthesis can be the most promising technologies for bio-jet fuels production in near term. Future works, such as searching for more suitable feedstock, improving competitiveness for alternative jet fuels, meeting emission reduction targets in large-scale production and making measures for the indirect impact are needed for further investigation. The large-scale deployment of bio-jet fuels could achieve significant potentials of both bio-jet fuels production and CO2 emissions reduction based on future available biomass feedstock.","author":[{"dropping-particle":"","family":"Wei","given":"Hongjian","non-dropping-particle":"","parse-names":false,"suffix":""},{"dropping-particle":"","family":"Liu","given":"Wenzhi","non-dropping-particle":"","parse-names":false,"suffix":""},{"dropping-particle":"","family":"Chen","given":"Xinyu","non-dropping-particle":"","parse-names":false,"suffix":""},{"dropping-particle":"","family":"Yang","given":"Qing","non-dropping-particle":"","parse-names":false,"suffix":""},{"dropping-particle":"","family":"Li","given":"Jiashuo","non-dropping-particle":"","parse-names":false,"suffix":""},{"dropping-particle":"","family":"Chen","given":"Hanping","non-dropping-particle":"","parse-names":false,"suffix":""}],"container-title":"Fuel","id":"vuwDj4zV/MrrTpvh5","issue":"June","issued":{"date-parts":[["2019"]]},"title":"Renewable bio-jet fuel production for aviation: A review","type":"article-journal","volume":"254"}},{"id":107,"uris":["http://zotero.org/groups/2763812/items/7DTL5ZDY"],"uri":["http://zotero.org/groups/2763812/items/7DTL5ZDY"],"itemData":{"id":107,"type":"article-journal","abstract":"This article presents results of a European Commission Joint Research Centre study to analyse the Greenhouse Gas (GHG) emissions and energy efficiency of various options for alternative aviation fuels. Interest in alternative aviation fuels is growing, as the sector seeks viable options to reduce increasing GHG emissions. For biofuels non-biogenic emissions arise from cultivation, harvesting and transport of the feedstock, as well as from their conversion into biofuel. It is important to consider whether any emissions reductions benefits are justified by the energy efficiency of each alternative. This article is focussed on American Society for Testing and Materials (ASTM) certifiable alternative drop-in biojet fuels [1], i.e. non-fossil hydrocarbon fuels which have (i) the same chemical structure and (ii) can be blended with conventional jet fuels, (iii) can use the same jet fuel supply infrastructure, and (iv) do not require modification of the aircraft. The results indicate that the biofuels studied tended to exhibit lower GHG than conventional jet fuels although indirect effects or existing uses of materials were not included in this study. Some biofuels performed better at reducing GHG than others (for example biofuels from wastes and residues). A large and important effect on emissions is seen due to land type used for cultivation and whether methane capture is used for certain pathways. GHG savings results vary due to the Life Cycle Analysis (LCA) methodology chosen for dealing with emissions and co-products. Certain pathways are notably more energy intensive than others and strong GHG reduction does not always coincide with high energy efficiency. An overview of industry initiatives and critical EU legislation relating to aviation biofuels is given. The insights from this work are expected to be of use for decision-makers considering investment options in this sector.","container-title":"Renewable and Sustainable Energy Reviews","DOI":"10.1016/j.rser.2018.11.033","ISSN":"18790690","issue":"November 2017","note":"publisher: Elsevier Ltd","page":"504–515","title":"Considerations on GHG emissions and energy balances of promising aviation biofuel pathways","volume":"101","author":[{"family":"O'Connell","given":"Adrian"},{"family":"Kousoulidou","given":"Marina"},{"family":"Lonza","given":"Laura"},{"family":"Weindorf","given":"Werner"}],"issued":{"date-parts":[["2019"]]}}}],"schema":"https://github.com/citation-style-language/schema/raw/master/csl-citation.json"} </w:instrText>
      </w:r>
      <w:r w:rsidR="00F622CD">
        <w:rPr>
          <w:rFonts w:ascii="Times New Roman" w:hAnsi="Times New Roman" w:cs="Times New Roman"/>
          <w:sz w:val="20"/>
          <w:szCs w:val="20"/>
        </w:rPr>
        <w:fldChar w:fldCharType="separate"/>
      </w:r>
      <w:r w:rsidR="00F622CD" w:rsidRPr="0F1A7917">
        <w:rPr>
          <w:rFonts w:ascii="Times New Roman" w:hAnsi="Times New Roman" w:cs="Times New Roman"/>
          <w:sz w:val="20"/>
          <w:szCs w:val="20"/>
        </w:rPr>
        <w:t>[68,287]</w:t>
      </w:r>
      <w:r w:rsidR="00F622CD">
        <w:rPr>
          <w:rFonts w:ascii="Times New Roman" w:hAnsi="Times New Roman" w:cs="Times New Roman"/>
          <w:sz w:val="20"/>
          <w:szCs w:val="20"/>
        </w:rPr>
        <w:fldChar w:fldCharType="end"/>
      </w:r>
      <w:r w:rsidR="00F622CD">
        <w:rPr>
          <w:rFonts w:ascii="Times New Roman" w:hAnsi="Times New Roman" w:cs="Times New Roman"/>
          <w:sz w:val="20"/>
          <w:szCs w:val="20"/>
        </w:rPr>
        <w:t xml:space="preserve">). The current production capacity of HRJ/HEFA is </w:t>
      </w:r>
      <w:r w:rsidR="000A47C6" w:rsidRPr="7B2ACDF7">
        <w:rPr>
          <w:rFonts w:ascii="Times New Roman" w:hAnsi="Times New Roman" w:cs="Times New Roman"/>
          <w:sz w:val="20"/>
          <w:szCs w:val="20"/>
        </w:rPr>
        <w:t>reaching ca.</w:t>
      </w:r>
      <w:r w:rsidR="007F3409" w:rsidRPr="7B2ACDF7">
        <w:rPr>
          <w:rFonts w:ascii="Times New Roman" w:hAnsi="Times New Roman" w:cs="Times New Roman"/>
          <w:sz w:val="20"/>
          <w:szCs w:val="20"/>
        </w:rPr>
        <w:t xml:space="preserve"> 100,000 tonnes SPK </w:t>
      </w:r>
      <w:r w:rsidR="098B37C5" w:rsidRPr="7B2ACDF7">
        <w:rPr>
          <w:rFonts w:ascii="Times New Roman" w:hAnsi="Times New Roman" w:cs="Times New Roman"/>
          <w:sz w:val="20"/>
          <w:szCs w:val="20"/>
        </w:rPr>
        <w:t>y</w:t>
      </w:r>
      <w:r w:rsidR="007F3409" w:rsidRPr="7B2ACDF7">
        <w:rPr>
          <w:rFonts w:ascii="Times New Roman" w:hAnsi="Times New Roman" w:cs="Times New Roman"/>
          <w:sz w:val="20"/>
          <w:szCs w:val="20"/>
          <w:vertAlign w:val="superscript"/>
        </w:rPr>
        <w:t>-1</w:t>
      </w:r>
      <w:r w:rsidR="007F3409" w:rsidRPr="7B2ACDF7">
        <w:rPr>
          <w:rFonts w:ascii="Times New Roman" w:hAnsi="Times New Roman" w:cs="Times New Roman"/>
          <w:sz w:val="20"/>
          <w:szCs w:val="20"/>
        </w:rPr>
        <w:t xml:space="preserve"> derived from </w:t>
      </w:r>
      <w:r w:rsidR="00E744EC">
        <w:rPr>
          <w:rFonts w:ascii="Times New Roman" w:hAnsi="Times New Roman" w:cs="Times New Roman"/>
          <w:sz w:val="20"/>
          <w:szCs w:val="20"/>
        </w:rPr>
        <w:t xml:space="preserve">dedicated oilseed crops and </w:t>
      </w:r>
      <w:r w:rsidR="000A47C6" w:rsidRPr="7B2ACDF7">
        <w:rPr>
          <w:rFonts w:ascii="Times New Roman" w:hAnsi="Times New Roman" w:cs="Times New Roman"/>
          <w:sz w:val="20"/>
          <w:szCs w:val="20"/>
        </w:rPr>
        <w:t xml:space="preserve">a </w:t>
      </w:r>
      <w:r w:rsidR="007F3409" w:rsidRPr="7B2ACDF7">
        <w:rPr>
          <w:rFonts w:ascii="Times New Roman" w:hAnsi="Times New Roman" w:cs="Times New Roman"/>
          <w:sz w:val="20"/>
          <w:szCs w:val="20"/>
        </w:rPr>
        <w:t>variet</w:t>
      </w:r>
      <w:r w:rsidR="000A47C6" w:rsidRPr="7B2ACDF7">
        <w:rPr>
          <w:rFonts w:ascii="Times New Roman" w:hAnsi="Times New Roman" w:cs="Times New Roman"/>
          <w:sz w:val="20"/>
          <w:szCs w:val="20"/>
        </w:rPr>
        <w:t>y</w:t>
      </w:r>
      <w:r w:rsidR="007F3409" w:rsidRPr="7B2ACDF7">
        <w:rPr>
          <w:rFonts w:ascii="Times New Roman" w:hAnsi="Times New Roman" w:cs="Times New Roman"/>
          <w:sz w:val="20"/>
          <w:szCs w:val="20"/>
        </w:rPr>
        <w:t xml:space="preserve"> of oil/fat residues </w:t>
      </w:r>
      <w:r w:rsidRPr="7B2ACDF7">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2nYs0tut","properties":{"formattedCitation":"[284]","plainCitation":"[284]","noteIndex":0},"citationItems":[{"id":"968HXJ10/LjpA4Pq2","uris":["http://www.mendeley.com/documents/?uuid=72552d24-2e1d-353e-a988-81e1ef726159"],"uri":["http://www.mendeley.com/documents/?uuid=72552d24-2e1d-353e-a988-81e1ef726159"],"itemData":{"URL":"https://www.neste.us/","accessed":{"date-parts":[["2020","1","29"]]},"author":[{"dropping-particle":"","family":"Neste","given":"","non-dropping-particle":"","parse-names":false,"suffix":""}],"container-title":"Neste","id":"ITEM-1","issued":{"date-parts":[["2019"]]},"title":"Neste","type":"webpage"}}],"schema":"https://github.com/citation-style-language/schema/raw/master/csl-citation.json"} </w:instrText>
      </w:r>
      <w:r w:rsidRPr="7B2ACDF7">
        <w:rPr>
          <w:rFonts w:ascii="Times New Roman" w:hAnsi="Times New Roman" w:cs="Times New Roman"/>
          <w:sz w:val="20"/>
          <w:szCs w:val="20"/>
        </w:rPr>
        <w:fldChar w:fldCharType="separate"/>
      </w:r>
      <w:r w:rsidR="00196B5E" w:rsidRPr="0F1A7917">
        <w:rPr>
          <w:rFonts w:ascii="Times New Roman" w:hAnsi="Times New Roman" w:cs="Times New Roman"/>
          <w:sz w:val="20"/>
          <w:szCs w:val="20"/>
        </w:rPr>
        <w:t>[284]</w:t>
      </w:r>
      <w:r w:rsidRPr="7B2ACDF7">
        <w:rPr>
          <w:rFonts w:ascii="Times New Roman" w:hAnsi="Times New Roman" w:cs="Times New Roman"/>
          <w:sz w:val="20"/>
          <w:szCs w:val="20"/>
        </w:rPr>
        <w:fldChar w:fldCharType="end"/>
      </w:r>
      <w:r w:rsidR="007F3409" w:rsidRPr="7B2ACDF7">
        <w:rPr>
          <w:rFonts w:ascii="Times New Roman" w:hAnsi="Times New Roman" w:cs="Times New Roman"/>
          <w:sz w:val="20"/>
          <w:szCs w:val="20"/>
        </w:rPr>
        <w:t xml:space="preserve">. According to recent forecasts </w:t>
      </w:r>
      <w:r w:rsidRPr="7B2ACDF7">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FLJ9zAZt","properties":{"formattedCitation":"[288]","plainCitation":"[288]","noteIndex":0},"citationItems":[{"id":"968HXJ10/mswA4MSB","uris":["http://www.mendeley.com/documents/?uuid=7bcb2214-dfa6-4551-aa2c-5542ddcde203"],"uri":["http://www.mendeley.com/documents/?uuid=7bcb2214-dfa6-4551-aa2c-5542ddcde203"],"itemData":{"ISBN":"978-1-78252-422-9","abstract":"The need to achieve net-zero greenhouse gas emissions from all human activities has never been clearer. One area requiring urgent action is the transition from the use of fossil fuels for transport. Whilst the decarbonisation of electricity is progressing and many transport modes can feasibly be electrified, some transport modes, such as heavy-duty vehicles, aircraft and shipping will require different technological options. Sustainable synthetic fuels offer one solution.\r\n\r\nWhat are sustainable synthetic fuels?\r\nThey are carbon based fuels made from non-fossil resources, with energy densities similar to fossil fuels. This means that they can be transported using existing infrastructure and used in existing engines with little or no modification.\r\n\r\nThe report considers two types of sustainable synthetic fuels: electro fuels (efuels) and synthetic biofuels. Efuels are made by combining hydrogen (from for example the electrolysis of water) with carbon dioxide (from direct air capture or a point source). Synthetic biofuels can be made from biological material (for example waste from forestry) or from further processing biofuels (for example ethanol).\r\n\r\nWhilst synthetic fuels can be “dropped in” to existing engines, they are currently more expensive than fossil fuels and, in the case of efuels, could be thought of as an inefficient use of renewable electricity. However, where renewable electricity is cheap and plentiful, the manufacture and export of bulk efuels might make economic sense. \r\n\r\nKey research challenges identified include improving the fundamental understanding of catalysis; the need to produce cheap low-carbon hydrogen at scale; and developing sources of competitively priced low carbon energy are key to the development of synthetic efuels and biofuels. The UK has the research skills and capacity to improve many of these process steps such as in catalysis and biotechnology, and to provide a further area of UK leadership in low-carbon energy.","author":[{"dropping-particle":"","family":"The Royal Society","given":"","non-dropping-particle":"","parse-names":false,"suffix":""}],"id":"ITEM-1","issued":{"date-parts":[["2019"]]},"title":"Sustainable synthetic carbon based fuels for transport POLICY BRIEFING Sustainable synthetic carbon based fuels for transport: Policy briefing","type":"book"}}],"schema":"https://github.com/citation-style-language/schema/raw/master/csl-citation.json"} </w:instrText>
      </w:r>
      <w:r w:rsidRPr="7B2ACDF7">
        <w:rPr>
          <w:rFonts w:ascii="Times New Roman" w:hAnsi="Times New Roman" w:cs="Times New Roman"/>
          <w:sz w:val="20"/>
          <w:szCs w:val="20"/>
        </w:rPr>
        <w:fldChar w:fldCharType="separate"/>
      </w:r>
      <w:r w:rsidR="00F622CD" w:rsidRPr="0F1A7917">
        <w:rPr>
          <w:rFonts w:ascii="Times New Roman" w:hAnsi="Times New Roman" w:cs="Times New Roman"/>
          <w:sz w:val="20"/>
          <w:szCs w:val="20"/>
        </w:rPr>
        <w:t>[288]</w:t>
      </w:r>
      <w:r w:rsidRPr="7B2ACDF7">
        <w:rPr>
          <w:rFonts w:ascii="Times New Roman" w:hAnsi="Times New Roman" w:cs="Times New Roman"/>
          <w:sz w:val="20"/>
          <w:szCs w:val="20"/>
        </w:rPr>
        <w:fldChar w:fldCharType="end"/>
      </w:r>
      <w:r w:rsidR="007F3409" w:rsidRPr="7B2ACDF7">
        <w:rPr>
          <w:rFonts w:ascii="Times New Roman" w:hAnsi="Times New Roman" w:cs="Times New Roman"/>
          <w:sz w:val="20"/>
          <w:szCs w:val="20"/>
        </w:rPr>
        <w:t xml:space="preserve">, </w:t>
      </w:r>
      <w:r w:rsidR="000A47C6" w:rsidRPr="7B2ACDF7">
        <w:rPr>
          <w:rFonts w:ascii="Times New Roman" w:hAnsi="Times New Roman" w:cs="Times New Roman"/>
          <w:sz w:val="20"/>
          <w:szCs w:val="20"/>
        </w:rPr>
        <w:t>this production capacity</w:t>
      </w:r>
      <w:r w:rsidR="007F3409" w:rsidRPr="7B2ACDF7">
        <w:rPr>
          <w:rFonts w:ascii="Times New Roman" w:hAnsi="Times New Roman" w:cs="Times New Roman"/>
          <w:sz w:val="20"/>
          <w:szCs w:val="20"/>
        </w:rPr>
        <w:t xml:space="preserve"> will be approximately 390 and nearly 430 </w:t>
      </w:r>
      <w:r w:rsidR="000B55FF">
        <w:rPr>
          <w:rFonts w:ascii="Times New Roman" w:hAnsi="Times New Roman" w:cs="Times New Roman"/>
          <w:sz w:val="20"/>
          <w:szCs w:val="20"/>
        </w:rPr>
        <w:t>Mt</w:t>
      </w:r>
      <w:r w:rsidR="007F3409" w:rsidRPr="7B2ACDF7">
        <w:rPr>
          <w:rFonts w:ascii="Times New Roman" w:hAnsi="Times New Roman" w:cs="Times New Roman"/>
          <w:sz w:val="20"/>
          <w:szCs w:val="20"/>
        </w:rPr>
        <w:t xml:space="preserve"> </w:t>
      </w:r>
      <w:r w:rsidR="098B37C5" w:rsidRPr="7B2ACDF7">
        <w:rPr>
          <w:rFonts w:ascii="Times New Roman" w:hAnsi="Times New Roman" w:cs="Times New Roman"/>
          <w:sz w:val="20"/>
          <w:szCs w:val="20"/>
        </w:rPr>
        <w:t>y</w:t>
      </w:r>
      <w:r w:rsidR="007F3409" w:rsidRPr="7B2ACDF7">
        <w:rPr>
          <w:rFonts w:ascii="Times New Roman" w:hAnsi="Times New Roman" w:cs="Times New Roman"/>
          <w:sz w:val="20"/>
          <w:szCs w:val="20"/>
          <w:vertAlign w:val="superscript"/>
        </w:rPr>
        <w:t>-1</w:t>
      </w:r>
      <w:r w:rsidR="007F3409" w:rsidRPr="7B2ACDF7">
        <w:rPr>
          <w:rFonts w:ascii="Times New Roman" w:hAnsi="Times New Roman" w:cs="Times New Roman"/>
          <w:sz w:val="20"/>
          <w:szCs w:val="20"/>
        </w:rPr>
        <w:t xml:space="preserve"> in 2030 and 2040, </w:t>
      </w:r>
      <w:r w:rsidR="007F3409" w:rsidRPr="7B2ACDF7">
        <w:rPr>
          <w:rFonts w:ascii="Times New Roman" w:hAnsi="Times New Roman" w:cs="Times New Roman"/>
          <w:sz w:val="20"/>
          <w:szCs w:val="20"/>
        </w:rPr>
        <w:lastRenderedPageBreak/>
        <w:t>respectively.</w:t>
      </w:r>
      <w:r w:rsidR="000E253B" w:rsidRPr="7B2ACDF7">
        <w:rPr>
          <w:rFonts w:ascii="Times New Roman" w:hAnsi="Times New Roman" w:cs="Times New Roman"/>
          <w:sz w:val="20"/>
          <w:szCs w:val="20"/>
        </w:rPr>
        <w:t xml:space="preserve"> </w:t>
      </w:r>
      <w:r w:rsidR="00013DA6">
        <w:rPr>
          <w:rFonts w:ascii="Times New Roman" w:hAnsi="Times New Roman" w:cs="Times New Roman"/>
          <w:sz w:val="20"/>
          <w:szCs w:val="20"/>
        </w:rPr>
        <w:t>One question is to which extent this new capacity will be based upon waste feedstock versus dedicated oilseed crops. Moreover</w:t>
      </w:r>
      <w:r w:rsidR="000E253B" w:rsidRPr="7B2ACDF7">
        <w:rPr>
          <w:rFonts w:ascii="Times New Roman" w:hAnsi="Times New Roman" w:cs="Times New Roman"/>
          <w:sz w:val="20"/>
          <w:szCs w:val="20"/>
        </w:rPr>
        <w:t>, basing new investment strategies upon food waste poses the risk of rebound effects encouraging whether the generation of waste, or inducing unforeseen additional demand for the most competitive oil feedstock</w:t>
      </w:r>
      <w:r w:rsidR="00137043" w:rsidRPr="7B2ACDF7">
        <w:rPr>
          <w:rFonts w:ascii="Times New Roman" w:hAnsi="Times New Roman" w:cs="Times New Roman"/>
          <w:sz w:val="20"/>
          <w:szCs w:val="20"/>
        </w:rPr>
        <w:t xml:space="preserve"> (often identified as palm oil, e.g. </w:t>
      </w:r>
      <w:r w:rsidRPr="7B2ACDF7">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PJ9GSsqS","properties":{"formattedCitation":"[277]","plainCitation":"[277]","noteIndex":0},"citationItems":[{"id":"968HXJ10/mHmwvtEz","uris":["http://zotero.org/users/4447665/items/BM5ZUUQQ"],"uri":["http://zotero.org/users/4447665/items/BM5ZUUQQ"],"itemData":{"id":227,"type":"article-journal","abstract":"© 2015 The Authors. Global Change Biology Bioenergy Published by John Wiley &amp; Sons Ltd. Biorefining agro-industrial biomass residues for bioenergy production represents an opportunity for both sustainable energy supply and greenhouse gas (GHG) emissions mitigation. Yet, is bioenergy the most sustainable use for these residues? To assess the importance of the alternative use of these residues, a consequential life cycle assessment (LCA) of 32 energy-focused biorefinery scenarios was performed based on eight selected agro-industrial residues and four conversion pathways (two involving bioethanol and two biogas). To specifically address indirect land-use changes (iLUC) induced by the competing feed/food sector, a deterministic iLUC model, addressing global impacts, was developed. A dedicated biochemical model was developed to establish detailed mass, energy, and substance balances for each biomass conversion pathway, as input to the LCA. Th e results demonstrated that, even for residual biomass, environmental savings from fossil fuel displacement can be completely outbalanced by iLUC, depending on the feed value of the biomass residue. This was the case of industrial residues (e.g. whey and beet molasses) in most of the scenarios assessed. Overall, the GHGs from iLUC impacts were quantified to 4.1 t CO 2 -eq.ha −1 demanded yr −1 corresponding to 1.2–1.4 t CO 2 -eq. t −1 dry biomass diverted from feed to energy market. Only, bioenergy from straw and wild grass was shown to perform better than the alternative use, as no competition with the feed sector was involved. Biogas for heat and power production was the best performing pathway, in a short-term context. Focusing on transport fuels, bioethanol was generally preferable to biomethane considering conventional biogas upgrading technologies. Based on the results, agro-industrial residues cannot be considered burden-free simply because they are a residual biomass and careful accounting of alternative utilization is a prerequisite to assess the sustainability of a given use. In this endeavor, the iLUC factors and biochemical model proposed herein can be used as templates and directly applied to any bioenergy consequential study involving demand for arable land.","container-title":"GCB Bioenergy","DOI":"10.1111/gcbb.12290","issue":"4","page":"690-706","title":"Environmental implications of the use of agro-industrial residues for biorefineries: application of a deterministic model for indirect land-use changes","volume":"8","author":[{"family":"Tonini","given":"D."},{"family":"Hamelin","given":"L."},{"family":"Astrup","given":"T.F."}],"issued":{"date-parts":[["2016"]]}}}],"schema":"https://github.com/citation-style-language/schema/raw/master/csl-citation.json"} </w:instrText>
      </w:r>
      <w:r w:rsidRPr="7B2ACDF7">
        <w:rPr>
          <w:rFonts w:ascii="Times New Roman" w:hAnsi="Times New Roman" w:cs="Times New Roman"/>
          <w:sz w:val="20"/>
          <w:szCs w:val="20"/>
        </w:rPr>
        <w:fldChar w:fldCharType="separate"/>
      </w:r>
      <w:r w:rsidR="00196B5E" w:rsidRPr="0F1A7917">
        <w:rPr>
          <w:rFonts w:ascii="Times New Roman" w:hAnsi="Times New Roman" w:cs="Times New Roman"/>
          <w:sz w:val="20"/>
          <w:szCs w:val="20"/>
        </w:rPr>
        <w:t>[277]</w:t>
      </w:r>
      <w:r w:rsidRPr="7B2ACDF7">
        <w:rPr>
          <w:rFonts w:ascii="Times New Roman" w:hAnsi="Times New Roman" w:cs="Times New Roman"/>
          <w:sz w:val="20"/>
          <w:szCs w:val="20"/>
        </w:rPr>
        <w:fldChar w:fldCharType="end"/>
      </w:r>
      <w:r w:rsidR="00137043" w:rsidRPr="7B2ACDF7">
        <w:rPr>
          <w:rFonts w:ascii="Times New Roman" w:hAnsi="Times New Roman" w:cs="Times New Roman"/>
          <w:sz w:val="20"/>
          <w:szCs w:val="20"/>
        </w:rPr>
        <w:t>)</w:t>
      </w:r>
      <w:r w:rsidR="000E253B" w:rsidRPr="7B2ACDF7">
        <w:rPr>
          <w:rFonts w:ascii="Times New Roman" w:hAnsi="Times New Roman" w:cs="Times New Roman"/>
          <w:sz w:val="20"/>
          <w:szCs w:val="20"/>
        </w:rPr>
        <w:t xml:space="preserve"> if no waste oil can be supplied.</w:t>
      </w:r>
      <w:r w:rsidR="00137043" w:rsidRPr="7B2ACDF7">
        <w:rPr>
          <w:rFonts w:ascii="Times New Roman" w:hAnsi="Times New Roman" w:cs="Times New Roman"/>
          <w:sz w:val="20"/>
          <w:szCs w:val="20"/>
        </w:rPr>
        <w:t xml:space="preserve"> </w:t>
      </w:r>
      <w:r w:rsidR="00F622CD">
        <w:rPr>
          <w:rFonts w:ascii="Times New Roman" w:hAnsi="Times New Roman" w:cs="Times New Roman"/>
          <w:sz w:val="20"/>
          <w:szCs w:val="20"/>
        </w:rPr>
        <w:t>Globally, the potential of waste</w:t>
      </w:r>
      <w:r w:rsidR="007321C3">
        <w:rPr>
          <w:rFonts w:ascii="Times New Roman" w:hAnsi="Times New Roman" w:cs="Times New Roman"/>
          <w:sz w:val="20"/>
          <w:szCs w:val="20"/>
        </w:rPr>
        <w:t xml:space="preserve"> fats, oils</w:t>
      </w:r>
      <w:r w:rsidR="00722B81">
        <w:rPr>
          <w:rFonts w:ascii="Times New Roman" w:hAnsi="Times New Roman" w:cs="Times New Roman"/>
          <w:sz w:val="20"/>
          <w:szCs w:val="20"/>
        </w:rPr>
        <w:t>,</w:t>
      </w:r>
      <w:r w:rsidR="007321C3">
        <w:rPr>
          <w:rFonts w:ascii="Times New Roman" w:hAnsi="Times New Roman" w:cs="Times New Roman"/>
          <w:sz w:val="20"/>
          <w:szCs w:val="20"/>
        </w:rPr>
        <w:t xml:space="preserve"> and greases</w:t>
      </w:r>
      <w:r w:rsidR="00F622CD">
        <w:rPr>
          <w:rFonts w:ascii="Times New Roman" w:hAnsi="Times New Roman" w:cs="Times New Roman"/>
          <w:sz w:val="20"/>
          <w:szCs w:val="20"/>
        </w:rPr>
        <w:t xml:space="preserve"> has been estimated to ca. 1 EJ y</w:t>
      </w:r>
      <w:r w:rsidR="00F622CD" w:rsidRPr="007321C3">
        <w:rPr>
          <w:rFonts w:ascii="Times New Roman" w:hAnsi="Times New Roman" w:cs="Times New Roman"/>
          <w:sz w:val="20"/>
          <w:szCs w:val="20"/>
          <w:vertAlign w:val="superscript"/>
        </w:rPr>
        <w:t>-1</w:t>
      </w:r>
      <w:r w:rsidR="007321C3">
        <w:rPr>
          <w:rFonts w:ascii="Times New Roman" w:hAnsi="Times New Roman" w:cs="Times New Roman"/>
          <w:sz w:val="20"/>
          <w:szCs w:val="20"/>
        </w:rPr>
        <w:t xml:space="preserve"> </w:t>
      </w:r>
      <w:r w:rsidR="007321C3">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QlTA6fS5","properties":{"formattedCitation":"[289]","plainCitation":"[289]","noteIndex":0},"citationItems":[{"id":4620,"uris":["http://zotero.org/groups/2763812/items/EIEMX8WB"],"uri":["http://zotero.org/groups/2763812/items/EIEMX8WB"],"itemData":{"id":4620,"type":"article-journal","abstract":"The size of the global bioenergy resource has been studied extensively; however, the corresponding life-cycle greenhouse gas benefit of bioenergy remains largely unexplored at the global scale. Here we quantify the optimal use of global bioenergy resources to offset fossil fuels in 2050. We find that bioenergy could reduce life-cycle emissions from fossil fuel-derived electricity and heat, and liquid fuels, by a maximum of 4.9–38.7 Gt CO2e, or 9–68%, and that offsetting electricity and heat with bioenergy is on average 1.6–3.9 times more effective for emissions mitigation than offsetting liquid fuels. At the same time, liquid fuels make up 18–49% of the optimal allocation of bioenergy in our results for 2050, indicating that a mix of bioenergy end-uses maximizes life-cycle emissions reductions. Finally, emissions reductions are maximized by limiting deployment of total available primary bioenergy to 29–91% in our analysis, demonstrating that life-cycle emissions are a constraint on the usefulness of bioenergy for mitigating global climate change.","container-title":"Nature Energy","DOI":"10.1038/nenergy.2016.202","ISSN":"2058-7546","issue":"2","language":"en","page":"1-8","source":"www.nature.com","title":"The limits of bioenergy for mitigating global life-cycle greenhouse gas emissions from fossil fuels","volume":"2","author":[{"family":"Staples","given":"Mark D."},{"family":"Malina","given":"Robert"},{"family":"Barrett","given":"Steven R. H."}],"issued":{"date-parts":[["2017",1,13]]}}}],"schema":"https://github.com/citation-style-language/schema/raw/master/csl-citation.json"} </w:instrText>
      </w:r>
      <w:r w:rsidR="007321C3">
        <w:rPr>
          <w:rFonts w:ascii="Times New Roman" w:hAnsi="Times New Roman" w:cs="Times New Roman"/>
          <w:sz w:val="20"/>
          <w:szCs w:val="20"/>
        </w:rPr>
        <w:fldChar w:fldCharType="separate"/>
      </w:r>
      <w:r w:rsidR="007321C3" w:rsidRPr="0F1A7917">
        <w:rPr>
          <w:rFonts w:ascii="Times New Roman" w:hAnsi="Times New Roman" w:cs="Times New Roman"/>
          <w:sz w:val="20"/>
          <w:szCs w:val="20"/>
        </w:rPr>
        <w:t>[289]</w:t>
      </w:r>
      <w:r w:rsidR="007321C3">
        <w:rPr>
          <w:rFonts w:ascii="Times New Roman" w:hAnsi="Times New Roman" w:cs="Times New Roman"/>
          <w:sz w:val="20"/>
          <w:szCs w:val="20"/>
        </w:rPr>
        <w:fldChar w:fldCharType="end"/>
      </w:r>
      <w:r w:rsidR="007321C3">
        <w:rPr>
          <w:rFonts w:ascii="Times New Roman" w:hAnsi="Times New Roman" w:cs="Times New Roman"/>
          <w:sz w:val="20"/>
          <w:szCs w:val="20"/>
        </w:rPr>
        <w:t xml:space="preserve">. </w:t>
      </w:r>
      <w:r w:rsidR="0041658E">
        <w:rPr>
          <w:rFonts w:ascii="Times New Roman" w:hAnsi="Times New Roman" w:cs="Times New Roman"/>
          <w:sz w:val="20"/>
          <w:szCs w:val="20"/>
        </w:rPr>
        <w:t>On the other hand</w:t>
      </w:r>
      <w:r w:rsidR="00137043" w:rsidRPr="7B2ACDF7">
        <w:rPr>
          <w:rFonts w:ascii="Times New Roman" w:hAnsi="Times New Roman" w:cs="Times New Roman"/>
          <w:sz w:val="20"/>
          <w:szCs w:val="20"/>
        </w:rPr>
        <w:t xml:space="preserve">, competing bioeconomy sectors (e.g. bio-based polypropylene; </w:t>
      </w:r>
      <w:r w:rsidRPr="7B2ACDF7">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I883WG5h","properties":{"formattedCitation":"[290]","plainCitation":"[290]","noteIndex":0},"citationItems":[{"id":3341,"uris":["http://zotero.org/groups/2763812/items/5TN5YGNV"],"uri":["http://zotero.org/groups/2763812/items/5TN5YGNV"],"itemData":{"id":3341,"type":"article-journal","abstract":"Used cooking oil (UCO) has received much attention as feedstock for the production of renewable fuels and bio-based materials. This study aims to assess the environmental impact of UCO-based polypropylene (PP) by a cradle-to-factory gate Life-Cycle Assessment (LCA). 16 impact categories were assessed. The results were interpreted with normalization and weighting steps. For several multi-output processes, different allocation procedures were scrutinized. On a normalized and weighted basis, the environmental impacts of UCO-based PP are dominated by climate change (28%), fossil resource use (23%) and water use (11%). The following environmental hotspots are identified: the polymerization process (38%), the production of hydrogen (21%), the production of LPG (18%) and the combustion of LPG (8%). Compared to petrochemical PP, cradle to factory gate impact reductions of 40–62% for climate change and 80–86% for fossil fuel resource use can be achieved by UCO-based PP, depending on the allocation approach chosen. For other impact categories, the environmental footprint of bio-based PP is strongly influenced by the choice of the allocation method.","container-title":"Resources, Conservation and Recycling","DOI":"10.1016/j.resconrec.2020.104750","ISSN":"0921-3449","journalAbbreviation":"Resources, Conservation and Recycling","language":"en","page":"104750","source":"ScienceDirect","title":"Environmental life cycle assessment of polypropylene made from used cooking oil","volume":"157","author":[{"family":"Moretti","given":"Christian"},{"family":"Junginger","given":"Martin"},{"family":"Shen","given":"Li"}],"issued":{"date-parts":[["2020",6,1]]}}}],"schema":"https://github.com/citation-style-language/schema/raw/master/csl-citation.json"} </w:instrText>
      </w:r>
      <w:r w:rsidRPr="7B2ACDF7">
        <w:rPr>
          <w:rFonts w:ascii="Times New Roman" w:hAnsi="Times New Roman" w:cs="Times New Roman"/>
          <w:sz w:val="20"/>
          <w:szCs w:val="20"/>
        </w:rPr>
        <w:fldChar w:fldCharType="separate"/>
      </w:r>
      <w:r w:rsidR="007321C3" w:rsidRPr="0F1A7917">
        <w:rPr>
          <w:rFonts w:ascii="Times New Roman" w:hAnsi="Times New Roman" w:cs="Times New Roman"/>
          <w:sz w:val="20"/>
          <w:szCs w:val="20"/>
        </w:rPr>
        <w:t>[290]</w:t>
      </w:r>
      <w:r w:rsidRPr="7B2ACDF7">
        <w:rPr>
          <w:rFonts w:ascii="Times New Roman" w:hAnsi="Times New Roman" w:cs="Times New Roman"/>
          <w:sz w:val="20"/>
          <w:szCs w:val="20"/>
        </w:rPr>
        <w:fldChar w:fldCharType="end"/>
      </w:r>
      <w:r w:rsidR="00137043" w:rsidRPr="7B2ACDF7">
        <w:rPr>
          <w:rFonts w:ascii="Times New Roman" w:hAnsi="Times New Roman" w:cs="Times New Roman"/>
          <w:sz w:val="20"/>
          <w:szCs w:val="20"/>
        </w:rPr>
        <w:t>) also aspire to use these fat waste resources.</w:t>
      </w:r>
      <w:r w:rsidR="009F3EC8">
        <w:rPr>
          <w:rFonts w:ascii="Times New Roman" w:hAnsi="Times New Roman" w:cs="Times New Roman"/>
          <w:sz w:val="20"/>
          <w:szCs w:val="20"/>
        </w:rPr>
        <w:t xml:space="preserve"> </w:t>
      </w:r>
    </w:p>
    <w:p w14:paraId="7557FF36" w14:textId="18D588EB" w:rsidR="00D23916" w:rsidRPr="00C0588D" w:rsidRDefault="00D23916" w:rsidP="00D23916">
      <w:pPr>
        <w:spacing w:after="120" w:line="276" w:lineRule="auto"/>
        <w:jc w:val="thaiDistribute"/>
        <w:rPr>
          <w:rFonts w:ascii="Times New Roman" w:hAnsi="Times New Roman" w:cs="Times New Roman"/>
          <w:i/>
          <w:sz w:val="20"/>
          <w:szCs w:val="20"/>
        </w:rPr>
      </w:pPr>
      <w:r w:rsidRPr="00C0588D">
        <w:rPr>
          <w:rFonts w:ascii="Times New Roman" w:hAnsi="Times New Roman" w:cs="Times New Roman"/>
          <w:i/>
          <w:sz w:val="20"/>
          <w:szCs w:val="20"/>
        </w:rPr>
        <w:t>7.2 Uncertain deployment of DAC</w:t>
      </w:r>
    </w:p>
    <w:p w14:paraId="4A656CFC" w14:textId="65462113" w:rsidR="008F48FB" w:rsidRDefault="008F48FB" w:rsidP="00A213D3">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Liquid fuel pathways (biofuels, electrofuels) have the advantage of not requiring heavy infrastructure changes in comparison to the other options discussed in this review. These imply two sources of carbon: biomass and captured-C, either from the atmosphere through DAC or from</w:t>
      </w:r>
      <w:r w:rsidR="007156C9">
        <w:rPr>
          <w:rFonts w:ascii="Times New Roman" w:hAnsi="Times New Roman" w:cs="Times New Roman"/>
          <w:sz w:val="20"/>
          <w:szCs w:val="20"/>
        </w:rPr>
        <w:t xml:space="preserve"> </w:t>
      </w:r>
      <w:r>
        <w:rPr>
          <w:rFonts w:ascii="Times New Roman" w:hAnsi="Times New Roman" w:cs="Times New Roman"/>
          <w:sz w:val="20"/>
          <w:szCs w:val="20"/>
        </w:rPr>
        <w:t xml:space="preserve">industrial point sources. </w:t>
      </w:r>
      <w:r w:rsidR="007156C9">
        <w:rPr>
          <w:rFonts w:ascii="Times New Roman" w:hAnsi="Times New Roman" w:cs="Times New Roman"/>
          <w:sz w:val="20"/>
          <w:szCs w:val="20"/>
        </w:rPr>
        <w:t>While the latter may, as sustainable biomass, be limited, the potential of DAC is theoretically very large, to the extent the technology is deployed.</w:t>
      </w:r>
      <w:r>
        <w:rPr>
          <w:rFonts w:ascii="Times New Roman" w:hAnsi="Times New Roman" w:cs="Times New Roman"/>
          <w:sz w:val="20"/>
          <w:szCs w:val="20"/>
        </w:rPr>
        <w:t xml:space="preserve"> </w:t>
      </w:r>
    </w:p>
    <w:p w14:paraId="5889A2BB" w14:textId="7E724240" w:rsidR="007E5D2D" w:rsidRPr="00C0588D" w:rsidRDefault="007E5D2D" w:rsidP="007E5D2D">
      <w:pPr>
        <w:spacing w:after="120" w:line="276" w:lineRule="auto"/>
        <w:jc w:val="thaiDistribute"/>
        <w:rPr>
          <w:rFonts w:ascii="Times New Roman" w:hAnsi="Times New Roman" w:cs="Times New Roman"/>
          <w:sz w:val="20"/>
          <w:szCs w:val="20"/>
        </w:rPr>
      </w:pPr>
      <w:r w:rsidRPr="009404B5">
        <w:rPr>
          <w:rFonts w:ascii="Times New Roman" w:hAnsi="Times New Roman" w:cs="Times New Roman"/>
          <w:sz w:val="20"/>
          <w:szCs w:val="20"/>
        </w:rPr>
        <w:t>There are currently 15 DAC plants operating worldwide, capturing more than 9,000 tonnes CO</w:t>
      </w:r>
      <w:r w:rsidRPr="009404B5">
        <w:rPr>
          <w:rFonts w:ascii="Times New Roman" w:hAnsi="Times New Roman" w:cs="Times New Roman"/>
          <w:sz w:val="20"/>
          <w:szCs w:val="20"/>
          <w:vertAlign w:val="subscript"/>
        </w:rPr>
        <w:t>2</w:t>
      </w:r>
      <w:r w:rsidRPr="009404B5">
        <w:rPr>
          <w:rFonts w:ascii="Times New Roman" w:hAnsi="Times New Roman" w:cs="Times New Roman"/>
          <w:sz w:val="20"/>
          <w:szCs w:val="20"/>
        </w:rPr>
        <w:t xml:space="preserve"> y</w:t>
      </w:r>
      <w:r w:rsidRPr="009404B5">
        <w:rPr>
          <w:rFonts w:ascii="Times New Roman" w:hAnsi="Times New Roman" w:cs="Times New Roman"/>
          <w:sz w:val="20"/>
          <w:szCs w:val="20"/>
          <w:vertAlign w:val="superscript"/>
        </w:rPr>
        <w:t>-1</w:t>
      </w:r>
      <w:r w:rsidRPr="009404B5">
        <w:rPr>
          <w:rFonts w:ascii="Times New Roman" w:hAnsi="Times New Roman" w:cs="Times New Roman"/>
          <w:sz w:val="20"/>
          <w:szCs w:val="20"/>
        </w:rPr>
        <w:t xml:space="preserve"> </w:t>
      </w:r>
      <w:r w:rsidRPr="009404B5">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PBVJ5E9E","properties":{"formattedCitation":"[19,291]","plainCitation":"[19,291]","noteIndex":0},"citationItems":[{"id":"968HXJ10/gIhmp4cZ","uris":["http://www.mendeley.com/documents/?uuid=a64b2f85-6546-4578-8de5-a632a12b39a6"],"uri":["http://www.mendeley.com/documents/?uuid=a64b2f85-6546-4578-8de5-a632a12b39a6"],"itemData":{"DOI":"10.1016/j.joule.2018.05.006","ISSN":"25424351","abstract":"We describe a process for capturing CO2 from the atmosphere in an industrial plant. The design captures </w:instrText>
      </w:r>
      <w:r w:rsidR="00752A1E">
        <w:rPr>
          <w:rFonts w:ascii="Cambria Math" w:hAnsi="Cambria Math" w:cs="Cambria Math"/>
          <w:sz w:val="20"/>
          <w:szCs w:val="20"/>
        </w:rPr>
        <w:instrText>∼</w:instrText>
      </w:r>
      <w:r w:rsidR="00752A1E">
        <w:rPr>
          <w:rFonts w:ascii="Times New Roman" w:hAnsi="Times New Roman" w:cs="Times New Roman"/>
          <w:sz w:val="20"/>
          <w:szCs w:val="20"/>
        </w:rPr>
        <w:instrText xml:space="preserve">1 Mt-CO2/year in a continuous process using an aqueous KOH sorbent coupled to a calcium caustic recovery loop. We describe the design rationale, summarize performance of the major unit operations, and provide a capital cost breakdown developed with an independent consulting engineering firm. We report results from a pilot plant that provides data on performance of the major unit operations. We summarize the energy and material balance computed using an Aspen process simulation. When CO2 is delivered at 15 MPa, the design requires either 8.81 GJ of natural gas, or 5.25 GJ of gas and 366 kWhr of electricity, per ton of CO2 captured. Depending on financial assumptions, energy costs, and the specific choice of inputs and outputs, the levelized cost per ton CO2 captured from the atmosphere ranges from 94 to 232 $/t-CO2. An industrial process for large-scale capture of atmospheric CO2 (DAC) serves two roles. First, as a source of CO2 for making carbon-neutral hydrocarbon fuels, enabling carbon-free energy to be converted into high-energy-density fuels. Solar fuels, for example, may be produced at high-insolation low-cost locations from DAC-CO2 and electrolytic hydrogen using gas-to-liquids technology enabling decarbonization of difficult-to-electrify sectors such as aviation. And second, DAC with CO2 sequestration allows carbon removal. The feasibility of DAC has been disputed, in part, because publications have not provided sufficient engineering detail to allow independent evaluation of costs. We provide an engineering cost basis for a commercial DAC system for which all major components are either drawn from well-established commercial heritage or described in sufficient detail to allow assessment by third parties. This design reflects roughly 100 person-years of development by Carbon Engineering. First direct air capture paper for which all major components are either drawn from well-established commercial heritage or described in sufficient detail to allow assessment by third parties. Includes energy and materials balances, commercial engineering cost breakdown, and pilot plant data. When CO2 is delivered at 15 MPa, the design requires either 8.81 GJ of natural gas, or 5.25 GJ of gas and 366 kWhr of electricity, per ton of CO2 captured. Levelized cost per t-CO2 from atmosphere ranges from 94 to 232 $/t-CO2.","author":[{"dropping-particle":"","family":"Keith","given":"David W.","non-dropping-particle":"","parse-names":false,"suffix":""},{"dropping-particle":"","family":"Holmes","given":"Geoffrey","non-dropping-particle":"","parse-names":false,"suffix":""},{"dropping-particle":"","family":"Angelo","given":"David","non-dropping-particle":"St.","parse-names":false,"suffix":""},{"dropping-particle":"","family":"Heidel","given":"Kenton","non-dropping-particle":"","parse-names":false,"suffix":""}],"container-title":"Joule","id":"gyBO1Ums/B9cgPsfI","issued":{"date-parts":[["2018"]]},"page":"1-22","publisher":"Elsevier Inc.","title":"A Process for Capturing CO2 from the Atmosphere","type":"article-journal"}},{"id":4773,"uris":["http://zotero.org/groups/2763812/items/ARKF6RW3"],"uri":["http://zotero.org/groups/2763812/items/ARKF6RW3"],"itemData":{"id":4773,"type":"personal_communication","note":"container-title: IEA","title":"Direct Air Capture","URL":"https://www.iea.org/reports/direct-air-capture","author":[{"literal":"International Energy Agency (IEA)"}],"issued":{"date-parts":[["2020"]]}}}],"schema":"https://github.com/citation-style-language/schema/raw/master/csl-citation.json"} </w:instrText>
      </w:r>
      <w:r w:rsidRPr="009404B5">
        <w:rPr>
          <w:rFonts w:ascii="Times New Roman" w:hAnsi="Times New Roman" w:cs="Times New Roman"/>
          <w:sz w:val="20"/>
          <w:szCs w:val="20"/>
        </w:rPr>
        <w:fldChar w:fldCharType="separate"/>
      </w:r>
      <w:r w:rsidR="0051129D" w:rsidRPr="0051129D">
        <w:rPr>
          <w:rFonts w:ascii="Times New Roman" w:hAnsi="Times New Roman" w:cs="Times New Roman"/>
          <w:sz w:val="20"/>
        </w:rPr>
        <w:t>[19,291]</w:t>
      </w:r>
      <w:r w:rsidRPr="009404B5">
        <w:rPr>
          <w:rFonts w:ascii="Times New Roman" w:hAnsi="Times New Roman" w:cs="Times New Roman"/>
          <w:sz w:val="20"/>
          <w:szCs w:val="20"/>
        </w:rPr>
        <w:fldChar w:fldCharType="end"/>
      </w:r>
      <w:r w:rsidRPr="009404B5">
        <w:rPr>
          <w:rFonts w:ascii="Times New Roman" w:hAnsi="Times New Roman" w:cs="Times New Roman"/>
          <w:sz w:val="20"/>
          <w:szCs w:val="20"/>
        </w:rPr>
        <w:t xml:space="preserve">. To </w:t>
      </w:r>
      <w:r w:rsidRPr="00866CA8">
        <w:rPr>
          <w:rFonts w:ascii="Times New Roman" w:hAnsi="Times New Roman" w:cs="Times New Roman"/>
          <w:sz w:val="20"/>
          <w:szCs w:val="20"/>
        </w:rPr>
        <w:t xml:space="preserve">produce </w:t>
      </w:r>
      <w:r w:rsidR="008A1223" w:rsidRPr="00866CA8">
        <w:rPr>
          <w:rFonts w:ascii="Times New Roman" w:hAnsi="Times New Roman" w:cs="Times New Roman"/>
          <w:sz w:val="20"/>
          <w:szCs w:val="20"/>
        </w:rPr>
        <w:t>16.73</w:t>
      </w:r>
      <w:r w:rsidRPr="00866CA8">
        <w:rPr>
          <w:rFonts w:ascii="Times New Roman" w:hAnsi="Times New Roman" w:cs="Times New Roman"/>
          <w:sz w:val="20"/>
          <w:szCs w:val="20"/>
        </w:rPr>
        <w:t xml:space="preserve"> EJ (2045 demand</w:t>
      </w:r>
      <w:r w:rsidR="00E566AC">
        <w:rPr>
          <w:rFonts w:ascii="Times New Roman" w:hAnsi="Times New Roman" w:cs="Times New Roman"/>
          <w:sz w:val="20"/>
          <w:szCs w:val="20"/>
        </w:rPr>
        <w:t>) of electrofuels (F</w:t>
      </w:r>
      <w:r w:rsidRPr="009404B5">
        <w:rPr>
          <w:rFonts w:ascii="Times New Roman" w:hAnsi="Times New Roman" w:cs="Times New Roman"/>
          <w:sz w:val="20"/>
          <w:szCs w:val="20"/>
        </w:rPr>
        <w:t xml:space="preserve">T pathway), </w:t>
      </w:r>
      <w:r w:rsidRPr="004078F9">
        <w:rPr>
          <w:rFonts w:ascii="Times New Roman" w:hAnsi="Times New Roman" w:cs="Times New Roman"/>
          <w:sz w:val="20"/>
          <w:szCs w:val="20"/>
        </w:rPr>
        <w:t xml:space="preserve">approximately </w:t>
      </w:r>
      <w:r w:rsidR="000162A7" w:rsidRPr="00866CA8">
        <w:rPr>
          <w:rFonts w:ascii="Times New Roman" w:hAnsi="Times New Roman" w:cs="Times New Roman"/>
          <w:sz w:val="20"/>
          <w:szCs w:val="20"/>
        </w:rPr>
        <w:t>2,030</w:t>
      </w:r>
      <w:r w:rsidRPr="00866CA8">
        <w:rPr>
          <w:rFonts w:ascii="Times New Roman" w:hAnsi="Times New Roman" w:cs="Times New Roman"/>
          <w:sz w:val="20"/>
          <w:szCs w:val="20"/>
        </w:rPr>
        <w:t xml:space="preserve"> Mt CO</w:t>
      </w:r>
      <w:r w:rsidRPr="00866CA8">
        <w:rPr>
          <w:rFonts w:ascii="Times New Roman" w:hAnsi="Times New Roman" w:cs="Times New Roman"/>
          <w:sz w:val="20"/>
          <w:szCs w:val="20"/>
          <w:vertAlign w:val="subscript"/>
        </w:rPr>
        <w:t>2</w:t>
      </w:r>
      <w:r w:rsidRPr="00866CA8">
        <w:rPr>
          <w:rFonts w:ascii="Times New Roman" w:hAnsi="Times New Roman" w:cs="Times New Roman"/>
          <w:sz w:val="20"/>
          <w:szCs w:val="20"/>
        </w:rPr>
        <w:t xml:space="preserve"> captured</w:t>
      </w:r>
      <w:r w:rsidR="00A217A1">
        <w:rPr>
          <w:rFonts w:ascii="Times New Roman" w:hAnsi="Times New Roman" w:cs="Times New Roman"/>
          <w:sz w:val="20"/>
          <w:szCs w:val="20"/>
        </w:rPr>
        <w:t xml:space="preserve"> would be needed (details</w:t>
      </w:r>
      <w:r w:rsidRPr="004078F9">
        <w:rPr>
          <w:rFonts w:ascii="Times New Roman" w:hAnsi="Times New Roman" w:cs="Times New Roman"/>
          <w:sz w:val="20"/>
          <w:szCs w:val="20"/>
        </w:rPr>
        <w:t xml:space="preserve"> in SM</w:t>
      </w:r>
      <w:r w:rsidR="00350540">
        <w:rPr>
          <w:rFonts w:ascii="Times New Roman" w:hAnsi="Times New Roman" w:cs="Times New Roman"/>
          <w:sz w:val="20"/>
          <w:szCs w:val="20"/>
        </w:rPr>
        <w:t>2</w:t>
      </w:r>
      <w:r w:rsidRPr="004078F9">
        <w:rPr>
          <w:rFonts w:ascii="Times New Roman" w:hAnsi="Times New Roman" w:cs="Times New Roman"/>
          <w:sz w:val="20"/>
          <w:szCs w:val="20"/>
        </w:rPr>
        <w:t>). Keith et al.</w:t>
      </w:r>
      <w:r w:rsidRPr="004078F9">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O4yI6IQn","properties":{"formattedCitation":"[19]","plainCitation":"[19]","noteIndex":0},"citationItems":[{"id":"968HXJ10/gIhmp4cZ","uris":["http://www.mendeley.com/documents/?uuid=a64b2f85-6546-4578-8de5-a632a12b39a6"],"uri":["http://www.mendeley.com/documents/?uuid=a64b2f85-6546-4578-8de5-a632a12b39a6"],"itemData":{"DOI":"10.1016/j.joule.2018.05.006","ISSN":"25424351","abstract":"We describe a process for capturing CO2 from the atmosphere in an industrial plant. The design captures </w:instrText>
      </w:r>
      <w:r w:rsidR="00752A1E">
        <w:rPr>
          <w:rFonts w:ascii="Cambria Math" w:hAnsi="Cambria Math" w:cs="Cambria Math"/>
          <w:sz w:val="20"/>
          <w:szCs w:val="20"/>
        </w:rPr>
        <w:instrText>∼</w:instrText>
      </w:r>
      <w:r w:rsidR="00752A1E">
        <w:rPr>
          <w:rFonts w:ascii="Times New Roman" w:hAnsi="Times New Roman" w:cs="Times New Roman"/>
          <w:sz w:val="20"/>
          <w:szCs w:val="20"/>
        </w:rPr>
        <w:instrText xml:space="preserve">1 Mt-CO2/year in a continuous process using an aqueous KOH sorbent coupled to a calcium caustic recovery loop. We describe the design rationale, summarize performance of the major unit operations, and provide a capital cost breakdown developed with an independent consulting engineering firm. We report results from a pilot plant that provides data on performance of the major unit operations. We summarize the energy and material balance computed using an Aspen process simulation. When CO2 is delivered at 15 MPa, the design requires either 8.81 GJ of natural gas, or 5.25 GJ of gas and 366 kWhr of electricity, per ton of CO2 captured. Depending on financial assumptions, energy costs, and the specific choice of inputs and outputs, the levelized cost per ton CO2 captured from the atmosphere ranges from 94 to 232 $/t-CO2. An industrial process for large-scale capture of atmospheric CO2 (DAC) serves two roles. First, as a source of CO2 for making carbon-neutral hydrocarbon fuels, enabling carbon-free energy to be converted into high-energy-density fuels. Solar fuels, for example, may be produced at high-insolation low-cost locations from DAC-CO2 and electrolytic hydrogen using gas-to-liquids technology enabling decarbonization of difficult-to-electrify sectors such as aviation. And second, DAC with CO2 sequestration allows carbon removal. The feasibility of DAC has been disputed, in part, because publications have not provided sufficient engineering detail to allow independent evaluation of costs. We provide an engineering cost basis for a commercial DAC system for which all major components are either drawn from well-established commercial heritage or described in sufficient detail to allow assessment by third parties. This design reflects roughly 100 person-years of development by Carbon Engineering. First direct air capture paper for which all major components are either drawn from well-established commercial heritage or described in sufficient detail to allow assessment by third parties. Includes energy and materials balances, commercial engineering cost breakdown, and pilot plant data. When CO2 is delivered at 15 MPa, the design requires either 8.81 GJ of natural gas, or 5.25 GJ of gas and 366 kWhr of electricity, per ton of CO2 captured. Levelized cost per t-CO2 from atmosphere ranges from 94 to 232 $/t-CO2.","author":[{"dropping-particle":"","family":"Keith","given":"David W.","non-dropping-particle":"","parse-names":false,"suffix":""},{"dropping-particle":"","family":"Holmes","given":"Geoffrey","non-dropping-particle":"","parse-names":false,"suffix":""},{"dropping-particle":"","family":"Angelo","given":"David","non-dropping-particle":"St.","parse-names":false,"suffix":""},{"dropping-particle":"","family":"Heidel","given":"Kenton","non-dropping-particle":"","parse-names":false,"suffix":""}],"container-title":"Joule","id":"4oCax8av/n0P0ylMl","issued":{"date-parts":[["2018"]]},"page":"1-22","publisher":"Elsevier Inc.","title":"A Process for Capturing CO2 from the Atmosphere","type":"article-journal"}}],"schema":"https://github.com/citation-style-language/schema/raw/master/csl-citation.json"} </w:instrText>
      </w:r>
      <w:r w:rsidRPr="004078F9">
        <w:rPr>
          <w:rFonts w:ascii="Times New Roman" w:hAnsi="Times New Roman" w:cs="Times New Roman"/>
          <w:sz w:val="20"/>
          <w:szCs w:val="20"/>
        </w:rPr>
        <w:fldChar w:fldCharType="separate"/>
      </w:r>
      <w:r w:rsidR="0051129D" w:rsidRPr="0051129D">
        <w:rPr>
          <w:rFonts w:ascii="Times New Roman" w:hAnsi="Times New Roman" w:cs="Times New Roman"/>
          <w:sz w:val="20"/>
        </w:rPr>
        <w:t>[19]</w:t>
      </w:r>
      <w:r w:rsidRPr="004078F9">
        <w:rPr>
          <w:rFonts w:ascii="Times New Roman" w:hAnsi="Times New Roman" w:cs="Times New Roman"/>
          <w:sz w:val="20"/>
          <w:szCs w:val="20"/>
        </w:rPr>
        <w:fldChar w:fldCharType="end"/>
      </w:r>
      <w:r w:rsidRPr="004078F9">
        <w:rPr>
          <w:rFonts w:ascii="Times New Roman" w:hAnsi="Times New Roman" w:cs="Times New Roman"/>
          <w:sz w:val="20"/>
          <w:szCs w:val="20"/>
        </w:rPr>
        <w:t xml:space="preserve"> provide the design and engineering costs for a plausible advanced DAC plant to be implemented at industrial scale, capturing 1 Mt CO</w:t>
      </w:r>
      <w:r w:rsidRPr="004078F9">
        <w:rPr>
          <w:rFonts w:ascii="Times New Roman" w:hAnsi="Times New Roman" w:cs="Times New Roman"/>
          <w:sz w:val="20"/>
          <w:szCs w:val="20"/>
          <w:vertAlign w:val="subscript"/>
        </w:rPr>
        <w:t>2</w:t>
      </w:r>
      <w:r w:rsidRPr="004078F9">
        <w:rPr>
          <w:rFonts w:ascii="Times New Roman" w:hAnsi="Times New Roman" w:cs="Times New Roman"/>
          <w:sz w:val="20"/>
          <w:szCs w:val="20"/>
        </w:rPr>
        <w:t xml:space="preserve"> y</w:t>
      </w:r>
      <w:r w:rsidRPr="004078F9">
        <w:rPr>
          <w:rFonts w:ascii="Times New Roman" w:hAnsi="Times New Roman" w:cs="Times New Roman"/>
          <w:sz w:val="20"/>
          <w:szCs w:val="20"/>
          <w:vertAlign w:val="superscript"/>
        </w:rPr>
        <w:t>-1</w:t>
      </w:r>
      <w:r w:rsidRPr="004078F9">
        <w:rPr>
          <w:rFonts w:ascii="Times New Roman" w:hAnsi="Times New Roman" w:cs="Times New Roman"/>
          <w:sz w:val="20"/>
          <w:szCs w:val="20"/>
        </w:rPr>
        <w:t xml:space="preserve"> when operated at full capacity. Taking the plant of Keith et al. as a basis, it implies that </w:t>
      </w:r>
      <w:r w:rsidRPr="00866CA8">
        <w:rPr>
          <w:rFonts w:ascii="Times New Roman" w:hAnsi="Times New Roman" w:cs="Times New Roman"/>
          <w:sz w:val="20"/>
          <w:szCs w:val="20"/>
        </w:rPr>
        <w:t xml:space="preserve">ca. </w:t>
      </w:r>
      <w:r w:rsidR="000162A7" w:rsidRPr="00866CA8">
        <w:rPr>
          <w:rFonts w:ascii="Times New Roman" w:hAnsi="Times New Roman" w:cs="Times New Roman"/>
          <w:sz w:val="20"/>
          <w:szCs w:val="20"/>
        </w:rPr>
        <w:t>2,030</w:t>
      </w:r>
      <w:r w:rsidRPr="00866CA8">
        <w:rPr>
          <w:rFonts w:ascii="Times New Roman" w:hAnsi="Times New Roman" w:cs="Times New Roman"/>
          <w:sz w:val="20"/>
          <w:szCs w:val="20"/>
        </w:rPr>
        <w:t xml:space="preserve"> DAC plants would</w:t>
      </w:r>
      <w:r>
        <w:rPr>
          <w:rFonts w:ascii="Times New Roman" w:hAnsi="Times New Roman" w:cs="Times New Roman"/>
          <w:sz w:val="20"/>
          <w:szCs w:val="20"/>
        </w:rPr>
        <w:t xml:space="preserve"> need to operate to supply the C needed for future av</w:t>
      </w:r>
      <w:r w:rsidR="00290334">
        <w:rPr>
          <w:rFonts w:ascii="Times New Roman" w:hAnsi="Times New Roman" w:cs="Times New Roman"/>
          <w:sz w:val="20"/>
          <w:szCs w:val="20"/>
        </w:rPr>
        <w:t>iation demand by biomass-free F</w:t>
      </w:r>
      <w:r>
        <w:rPr>
          <w:rFonts w:ascii="Times New Roman" w:hAnsi="Times New Roman" w:cs="Times New Roman"/>
          <w:sz w:val="20"/>
          <w:szCs w:val="20"/>
        </w:rPr>
        <w:t xml:space="preserve">T electrofuels. Yet, the costs of DAC </w:t>
      </w:r>
      <w:r>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d5rFSNzL","properties":{"formattedCitation":"[292]","plainCitation":"[292]","noteIndex":0},"citationItems":[{"id":"968HXJ10/NbbC8tGe","uris":["http://www.mendeley.com/documents/?uuid=72aa4fe6-37e4-41a1-860e-0bfb51219ed2"],"uri":["http://www.mendeley.com/documents/?uuid=72aa4fe6-37e4-41a1-860e-0bfb51219ed2"],"itemData":{"DOI":"10.1021/acs.chemrev.6b00173","ISSN":"15206890","abstract":"The increase in the global atmospheric CO2 concentration resulting from over a century of combustion of fossil fuels has been associated with significant global climate change. With the global population increase driving continued increases in fossil fuel use, humanity's primary reliance on fossil energy for the next several decades is assured. Traditional modes of carbon capture such as precombustion and postcombustion CO2 capture from large point sources can help slow the rate of increase of the atmospheric CO2 concentration, but only the direct removal of CO2 from the air, or \"direct air capture\" (DAC), can actually reduce the global atmospheric CO2 concentration. The past decade has seen a steep rise in the use of chemical sorbents that are cycled through sorption and desorption cycles for CO2 removal from ultradilute gases such as air. This Review provides a historical overview of the field of DAC, along with an exhaustive description of the use of chemical sorbents targeted at this application. Solvents and solid sorbents that interact strongly with CO2 are described, including basic solvents, supported amine and ammonium materials, and metal-organic frameworks (MOFs), as the primary classes of chemical sorbents. Hypothetical processes for the deployment of such sorbents are discussed, as well as the limited array of technoeconomic analyses published on DAC. Overall, it is concluded that there are many new materials that could play a role in emerging DAC technologies. However, these materials need to be further investigated and developed with a practical sorbent-air contacting process in mind if society is to make rapid progress in deploying DAC as a means of mitigating climate change.","author":[{"dropping-particle":"","family":"Sanz-Pérez","given":"Eloy S.","non-dropping-particle":"","parse-names":false,"suffix":""},{"dropping-particle":"","family":"Murdock","given":"Christopher R.","non-dropping-particle":"","parse-names":false,"suffix":""},{"dropping-particle":"","family":"Didas","given":"Stephanie A.","non-dropping-particle":"","parse-names":false,"suffix":""},{"dropping-particle":"","family":"Jones","given":"Christopher W.","non-dropping-particle":"","parse-names":false,"suffix":""}],"container-title":"Chemical Reviews","id":"4oCax8av/IMjbRClo","issue":"19","issued":{"date-parts":[["2016"]]},"page":"11840-11876","title":"Direct Capture of CO2 from Ambient Air","type":"article-journal","volume":"116"}}],"schema":"https://github.com/citation-style-language/schema/raw/master/csl-citation.json"} </w:instrText>
      </w:r>
      <w:r>
        <w:rPr>
          <w:rFonts w:ascii="Times New Roman" w:hAnsi="Times New Roman" w:cs="Times New Roman"/>
          <w:sz w:val="20"/>
          <w:szCs w:val="20"/>
        </w:rPr>
        <w:fldChar w:fldCharType="separate"/>
      </w:r>
      <w:r w:rsidRPr="00D47C39">
        <w:rPr>
          <w:rFonts w:ascii="Times New Roman" w:hAnsi="Times New Roman" w:cs="Times New Roman"/>
          <w:sz w:val="20"/>
        </w:rPr>
        <w:t>[292]</w:t>
      </w:r>
      <w:r>
        <w:rPr>
          <w:rFonts w:ascii="Times New Roman" w:hAnsi="Times New Roman" w:cs="Times New Roman"/>
          <w:sz w:val="20"/>
          <w:szCs w:val="20"/>
        </w:rPr>
        <w:fldChar w:fldCharType="end"/>
      </w:r>
      <w:r>
        <w:rPr>
          <w:rFonts w:ascii="Times New Roman" w:hAnsi="Times New Roman" w:cs="Times New Roman"/>
          <w:sz w:val="20"/>
          <w:szCs w:val="20"/>
        </w:rPr>
        <w:t xml:space="preserve"> are often pinpointed as a barrier for massive deployment </w:t>
      </w:r>
      <w:r>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RoKDIJo1","properties":{"formattedCitation":"[293,294]","plainCitation":"[293,294]","noteIndex":0},"citationItems":[{"id":5905,"uris":["http://zotero.org/groups/2763812/items/L4CU3FPN"],"uri":["http://zotero.org/groups/2763812/items/L4CU3FPN"],"itemData":{"id":5905,"type":"article-journal","abstract":"This paper examines the scale and costs of using direct air capture (DAC) with CO2 storage to reduce net CO2 emissions from the US electric sector by 70% in 2050 relative to 2010. Least-cost emission and technology trajectories are generated using an optimization-based stock-and-flow model of electricity generation to meet the 70% target. The analysis finds that the 30%–44% reduction in emissions projected under a least cost business-as-usual (BAU) scenario dominated by natural gas would fall well short of the 70% reduction target at 2050. Delaying reductions in BAU emissions beyond 2030 would require deployment of DAC to achieve the 70% target. Further delays to reduce BAU emissions until 2035 would require up to 1.4 Gt CO2 of DAC capacity to achieve the 70% target. Delaying reductions in BAU emissions beyond 2035 would require so much DAC deployment as to be implausible, placing the 70% target out of reach for most scenarios. Each year of delay in reducing CO2 emissions beyond BAU after 2020 increases costs to achieve the 70% target. A DAC-based emissions reduction future could cost an additional 580–2015 billion USD through 2050 compared to emissions mitigation starting immediately. This translates to approximately 100–345 million USD per day of delay starting in 2020. These costs arise not just from building DAC plants, but from replacing relatively young fossil fuel plants being built today with renewables as well as for the electric power needed for DAC. These results make clear that minimizing the costs of DAC deployment depend on reducing BAU emissions as early as possible, and if done quickly enough, DAC can be avoided altogether—which reduces costs the most. Hence there should be no delay in aggressively reducing emissions from the US electric sector.","container-title":"Environmental Research Letters","DOI":"10.1088/1748-9326/ab30aa","ISSN":"1748-9326","issue":"8","journalAbbreviation":"Environ. Res. Lett.","language":"en","page":"084013","source":"Institute of Physics","title":"Costs to achieve target net emissions reductions in the US electric sector using direct air capture","volume":"14","author":[{"family":"Supekar","given":"Sarang D."},{"family":"Lim","given":"Tae-Hwan"},{"family":"Skerlos","given":"Steven J."}],"issued":{"date-parts":[["2019",7]]}}},{"id":5897,"uris":["http://zotero.org/groups/2763812/items/XLVKBGAE"],"uri":["http://zotero.org/groups/2763812/items/XLVKBGAE"],"itemData":{"id":5897,"type":"article-journal","abstract":"Air capture has recently been advanced by several parties as a solution to the problem of constraining – and ultimately reducing – atmospheric CO2 in response to climate change. However, there are significant barriers pertaining to scale, energy needs and cost, which will hugely challenge the effectiveness and practicality of air capture. This paper examines the thermodynamics, energetics and economics and politics of air capture. These compare unfavourably with alternative approaches to atmospheric greenhouse gas reduction. An analysis is made of the energy cost of the one favoured DAC technology for which experimental results are available in the open literature – temperature/vacuum swing adsorption, and of one point source capture technology – oxyfiring of refinery FCCUs. We also examine the engineering effort required to implement atmospheric capture on a scale at which it could significantly reduce atmospheric levels of CO2; and questions are addressed regarding its practicability and appropriateness. The analysis demonstrates that air capture remains at best a peripheral activity, at worst a distraction, until point sources of greenhouse gas emissions such as power stations, industrial flue gases, shale gas wellheads, anaerobic digestion plants and landfill sites have been completely decarbonised. When these and so many other unaddressed factors are affecting our global climate, the pursuit air capture, the ultimate “end-of-pipe” solution, is inappropriate.","container-title":"Process Safety and Environmental Protection","DOI":"10.1016/j.psep.2014.06.011","ISSN":"0957-5820","journalAbbreviation":"Process Safety and Environmental Protection","language":"en","page":"188-195","source":"ScienceDirect","title":"Thermodynamics, economics and systems thinking: What role for air capture of CO2?","title-short":"Thermodynamics, economics and systems thinking","volume":"94","author":[{"family":"Pritchard","given":"C."},{"family":"Yang","given":"A."},{"family":"Holmes","given":"P."},{"family":"Wilkinson","given":"M."}],"issued":{"date-parts":[["2015",3,1]]}}}],"schema":"https://github.com/citation-style-language/schema/raw/master/csl-citation.json"} </w:instrText>
      </w:r>
      <w:r>
        <w:rPr>
          <w:rFonts w:ascii="Times New Roman" w:hAnsi="Times New Roman" w:cs="Times New Roman"/>
          <w:sz w:val="20"/>
          <w:szCs w:val="20"/>
        </w:rPr>
        <w:fldChar w:fldCharType="separate"/>
      </w:r>
      <w:r w:rsidRPr="009404B5">
        <w:rPr>
          <w:rFonts w:ascii="Times New Roman" w:hAnsi="Times New Roman" w:cs="Times New Roman"/>
          <w:sz w:val="20"/>
        </w:rPr>
        <w:t>[293,294]</w:t>
      </w:r>
      <w:r>
        <w:rPr>
          <w:rFonts w:ascii="Times New Roman" w:hAnsi="Times New Roman" w:cs="Times New Roman"/>
          <w:sz w:val="20"/>
          <w:szCs w:val="20"/>
        </w:rPr>
        <w:fldChar w:fldCharType="end"/>
      </w:r>
      <w:r>
        <w:rPr>
          <w:rFonts w:ascii="Times New Roman" w:hAnsi="Times New Roman" w:cs="Times New Roman"/>
          <w:sz w:val="20"/>
          <w:szCs w:val="20"/>
        </w:rPr>
        <w:t>, along with uncertainties on the markets for CO</w:t>
      </w:r>
      <w:r w:rsidRPr="00F76E73">
        <w:rPr>
          <w:rFonts w:ascii="Times New Roman" w:hAnsi="Times New Roman" w:cs="Times New Roman"/>
          <w:sz w:val="20"/>
          <w:szCs w:val="20"/>
          <w:vertAlign w:val="subscript"/>
        </w:rPr>
        <w:t>2</w:t>
      </w:r>
      <w:r>
        <w:rPr>
          <w:rFonts w:ascii="Times New Roman" w:hAnsi="Times New Roman" w:cs="Times New Roman"/>
          <w:sz w:val="20"/>
          <w:szCs w:val="20"/>
        </w:rPr>
        <w:t xml:space="preserve"> to ensure a revenue offsetting the costs of capture. Keith et al. </w:t>
      </w:r>
      <w:r>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rnkYBk67","properties":{"formattedCitation":"[19]","plainCitation":"[19]","noteIndex":0},"citationItems":[{"id":"968HXJ10/gIhmp4cZ","uris":["http://www.mendeley.com/documents/?uuid=a64b2f85-6546-4578-8de5-a632a12b39a6"],"uri":["http://www.mendeley.com/documents/?uuid=a64b2f85-6546-4578-8de5-a632a12b39a6"],"itemData":{"DOI":"10.1016/j.joule.2018.05.006","ISSN":"25424351","abstract":"We describe a process for capturing CO2 from the atmosphere in an industrial plant. The design captures </w:instrText>
      </w:r>
      <w:r w:rsidR="00752A1E">
        <w:rPr>
          <w:rFonts w:ascii="Cambria Math" w:hAnsi="Cambria Math" w:cs="Cambria Math"/>
          <w:sz w:val="20"/>
          <w:szCs w:val="20"/>
        </w:rPr>
        <w:instrText>∼</w:instrText>
      </w:r>
      <w:r w:rsidR="00752A1E">
        <w:rPr>
          <w:rFonts w:ascii="Times New Roman" w:hAnsi="Times New Roman" w:cs="Times New Roman"/>
          <w:sz w:val="20"/>
          <w:szCs w:val="20"/>
        </w:rPr>
        <w:instrText xml:space="preserve">1 Mt-CO2/year in a continuous process using an aqueous KOH sorbent coupled to a calcium caustic recovery loop. We describe the design rationale, summarize performance of the major unit operations, and provide a capital cost breakdown developed with an independent consulting engineering firm. We report results from a pilot plant that provides data on performance of the major unit operations. We summarize the energy and material balance computed using an Aspen process simulation. When CO2 is delivered at 15 MPa, the design requires either 8.81 GJ of natural gas, or 5.25 GJ of gas and 366 kWhr of electricity, per ton of CO2 captured. Depending on financial assumptions, energy costs, and the specific choice of inputs and outputs, the levelized cost per ton CO2 captured from the atmosphere ranges from 94 to 232 $/t-CO2. An industrial process for large-scale capture of atmospheric CO2 (DAC) serves two roles. First, as a source of CO2 for making carbon-neutral hydrocarbon fuels, enabling carbon-free energy to be converted into high-energy-density fuels. Solar fuels, for example, may be produced at high-insolation low-cost locations from DAC-CO2 and electrolytic hydrogen using gas-to-liquids technology enabling decarbonization of difficult-to-electrify sectors such as aviation. And second, DAC with CO2 sequestration allows carbon removal. The feasibility of DAC has been disputed, in part, because publications have not provided sufficient engineering detail to allow independent evaluation of costs. We provide an engineering cost basis for a commercial DAC system for which all major components are either drawn from well-established commercial heritage or described in sufficient detail to allow assessment by third parties. This design reflects roughly 100 person-years of development by Carbon Engineering. First direct air capture paper for which all major components are either drawn from well-established commercial heritage or described in sufficient detail to allow assessment by third parties. Includes energy and materials balances, commercial engineering cost breakdown, and pilot plant data. When CO2 is delivered at 15 MPa, the design requires either 8.81 GJ of natural gas, or 5.25 GJ of gas and 366 kWhr of electricity, per ton of CO2 captured. Levelized cost per t-CO2 from atmosphere ranges from 94 to 232 $/t-CO2.","author":[{"dropping-particle":"","family":"Keith","given":"David W.","non-dropping-particle":"","parse-names":false,"suffix":""},{"dropping-particle":"","family":"Holmes","given":"Geoffrey","non-dropping-particle":"","parse-names":false,"suffix":""},{"dropping-particle":"","family":"Angelo","given":"David","non-dropping-particle":"St.","parse-names":false,"suffix":""},{"dropping-particle":"","family":"Heidel","given":"Kenton","non-dropping-particle":"","parse-names":false,"suffix":""}],"container-title":"Joule","id":"4oCax8av/n0P0ylMl","issued":{"date-parts":[["2018"]]},"page":"1-22","publisher":"Elsevier Inc.","title":"A Process for Capturing CO2 from the Atmosphere","type":"article-journal"}}],"schema":"https://github.com/citation-style-language/schema/raw/master/csl-citation.json"} </w:instrText>
      </w:r>
      <w:r>
        <w:rPr>
          <w:rFonts w:ascii="Times New Roman" w:hAnsi="Times New Roman" w:cs="Times New Roman"/>
          <w:sz w:val="20"/>
          <w:szCs w:val="20"/>
        </w:rPr>
        <w:fldChar w:fldCharType="separate"/>
      </w:r>
      <w:r w:rsidR="0051129D" w:rsidRPr="0051129D">
        <w:rPr>
          <w:rFonts w:ascii="Times New Roman" w:hAnsi="Times New Roman" w:cs="Times New Roman"/>
          <w:sz w:val="20"/>
        </w:rPr>
        <w:t>[19]</w:t>
      </w:r>
      <w:r>
        <w:rPr>
          <w:rFonts w:ascii="Times New Roman" w:hAnsi="Times New Roman" w:cs="Times New Roman"/>
          <w:sz w:val="20"/>
          <w:szCs w:val="20"/>
        </w:rPr>
        <w:fldChar w:fldCharType="end"/>
      </w:r>
      <w:r>
        <w:rPr>
          <w:rFonts w:ascii="Times New Roman" w:hAnsi="Times New Roman" w:cs="Times New Roman"/>
          <w:sz w:val="20"/>
          <w:szCs w:val="20"/>
        </w:rPr>
        <w:t xml:space="preserve"> report, for the 1 Mt CO</w:t>
      </w:r>
      <w:r w:rsidRPr="00A32512">
        <w:rPr>
          <w:rFonts w:ascii="Times New Roman" w:hAnsi="Times New Roman" w:cs="Times New Roman"/>
          <w:sz w:val="20"/>
          <w:szCs w:val="20"/>
          <w:vertAlign w:val="subscript"/>
        </w:rPr>
        <w:t>2</w:t>
      </w:r>
      <w:r>
        <w:rPr>
          <w:rFonts w:ascii="Times New Roman" w:hAnsi="Times New Roman" w:cs="Times New Roman"/>
          <w:sz w:val="20"/>
          <w:szCs w:val="20"/>
        </w:rPr>
        <w:t xml:space="preserve"> y</w:t>
      </w:r>
      <w:r w:rsidRPr="00A32512">
        <w:rPr>
          <w:rFonts w:ascii="Times New Roman" w:hAnsi="Times New Roman" w:cs="Times New Roman"/>
          <w:sz w:val="20"/>
          <w:szCs w:val="20"/>
          <w:vertAlign w:val="superscript"/>
        </w:rPr>
        <w:t>-1</w:t>
      </w:r>
      <w:r>
        <w:rPr>
          <w:rFonts w:ascii="Times New Roman" w:hAnsi="Times New Roman" w:cs="Times New Roman"/>
          <w:sz w:val="20"/>
          <w:szCs w:val="20"/>
        </w:rPr>
        <w:t xml:space="preserve"> industrial plant they describe, current levelized costs ranging from US$ 94-232 t</w:t>
      </w:r>
      <w:r w:rsidRPr="00B813A4">
        <w:rPr>
          <w:rFonts w:ascii="Times New Roman" w:hAnsi="Times New Roman" w:cs="Times New Roman"/>
          <w:sz w:val="20"/>
          <w:szCs w:val="20"/>
          <w:vertAlign w:val="superscript"/>
        </w:rPr>
        <w:t>-1</w:t>
      </w:r>
      <w:r>
        <w:rPr>
          <w:rFonts w:ascii="Times New Roman" w:hAnsi="Times New Roman" w:cs="Times New Roman"/>
          <w:sz w:val="20"/>
          <w:szCs w:val="20"/>
        </w:rPr>
        <w:t xml:space="preserve"> CO</w:t>
      </w:r>
      <w:r w:rsidRPr="00B813A4">
        <w:rPr>
          <w:rFonts w:ascii="Times New Roman" w:hAnsi="Times New Roman" w:cs="Times New Roman"/>
          <w:sz w:val="20"/>
          <w:szCs w:val="20"/>
          <w:vertAlign w:val="subscript"/>
        </w:rPr>
        <w:t>2</w:t>
      </w:r>
      <w:r>
        <w:rPr>
          <w:rFonts w:ascii="Times New Roman" w:hAnsi="Times New Roman" w:cs="Times New Roman"/>
          <w:sz w:val="20"/>
          <w:szCs w:val="20"/>
        </w:rPr>
        <w:t xml:space="preserve"> (range reflecting different technology choices), while other studies report that levelized costs below €50 t</w:t>
      </w:r>
      <w:r w:rsidRPr="00B813A4">
        <w:rPr>
          <w:rFonts w:ascii="Times New Roman" w:hAnsi="Times New Roman" w:cs="Times New Roman"/>
          <w:sz w:val="20"/>
          <w:szCs w:val="20"/>
          <w:vertAlign w:val="superscript"/>
        </w:rPr>
        <w:t>-1</w:t>
      </w:r>
      <w:r>
        <w:rPr>
          <w:rFonts w:ascii="Times New Roman" w:hAnsi="Times New Roman" w:cs="Times New Roman"/>
          <w:sz w:val="20"/>
          <w:szCs w:val="20"/>
        </w:rPr>
        <w:t xml:space="preserve"> CO</w:t>
      </w:r>
      <w:r w:rsidRPr="00B813A4">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r>
        <w:rPr>
          <w:rFonts w:ascii="Times New Roman" w:hAnsi="Times New Roman" w:cs="Times New Roman"/>
          <w:sz w:val="20"/>
          <w:szCs w:val="20"/>
        </w:rPr>
        <w:t xml:space="preserve">are achievable by mid-century </w:t>
      </w:r>
      <w:r>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VyYD02PG","properties":{"formattedCitation":"[295,296]","plainCitation":"[295,296]","noteIndex":0},"citationItems":[{"id":5907,"uris":["http://zotero.org/groups/2763812/items/3SBEJX4S"],"uri":["http://zotero.org/groups/2763812/items/3SBEJX4S"],"itemData":{"id":5907,"type":"article-journal","abstract":"CO2 direct air capture (DAC) has been increasingly discussed as a climate change mitigation option. Despite technical advances in the past decade, there are still misconceptions about DAC's current and long-term costs as well as energy, water and area demands. This could undermine DAC's anticipated role in a neutral or negative greenhouse gas emission energy system, and influence policy makers. In this study, a literature review and techno-economic analyses of state-of-the-art DAC technologies are performed, wherein, DAC technologies are categorised as high temperature aqueous solutions (HT DAC) and low temperature solid sorbent (LT DAC) systems, from an energy system perspective. DAC capital expenditures, energy demands and costs have been estimated under two scenarios for DAC capacities and financial learning rates in the period 2020 to 2050. DAC system costs could be lowered significantly with commercialisation in the 2020s followed by massive implementation in the 2040s and 2050s, making them cost competitive with point source carbon capture and an affordable climate change mitigation solution. It is concluded that LT DAC systems are favourable due to lower heat supply costs and the possibility of using waste heat from other systems. CO2 capture costs of LT DAC systems powered by hybrid PV-Wind-battery systems for Moroccan conditions and based on a conservative scenario, without/with utilisation of free waste heat are calculated at 222/133, 105/60, 69/40 and 54/32 €/tCO2 in 2020, 2030, 2040 and 2050, respectively. These new findings could enhance DAC's role in a successful climate change mitigation strategy.","container-title":"Journal of Cleaner Production","DOI":"10.1016/j.jclepro.2019.03.086","ISSN":"0959-6526","journalAbbreviation":"Journal of Cleaner Production","language":"en","page":"957-980","source":"ScienceDirect","title":"Techno-economic assessment of CO2 direct air capture plants","volume":"224","author":[{"family":"Fasihi","given":"Mahdi"},{"family":"Efimova","given":"Olga"},{"family":"Breyer","given":"Christian"}],"issued":{"date-parts":[["2019",7,1]]}}},{"id":5906,"uris":["http://zotero.org/groups/2763812/items/EV35WXVL"],"uri":["http://zotero.org/groups/2763812/items/EV35WXVL"],"itemData":{"id":5906,"type":"article-journal","abstract":"Pathways for achieving the 1.5–2 °C global temperature moderation target imply a massive scaling of carbon dioxide (CO2) removal technologies, in particular in the 2040s and onwards. CO2 direct air capture (DAC) is among the most promising negative emission technologies (NETs). The energy demands for low-temperature solid-sorbent DAC are mainly heat at around 100 °C and electricity, which lead to sustainably operated DAC systems based on low-cost renewable electricity and heat pumps for the heat supply. This analysis is carried out for the case of the Maghreb region, which enjoys abundantly available low-cost renewable energy resources. The energy transition results for the Maghreb region lead to a solar photovoltaic (PV)-dominated energy supply with some wind energy contribution. DAC systems will need the same energy supply structure. The research investigates the levelised cost of CO2 DAC (LCOD) in high spatial resolution and is based on full hourly modelling for the Maghreb region. The key results are LCOD of about 55 €/tCO2 in 2050 with a further cost reduction potential of up to 50%. The area demand is considered and concluded to be negligible. Major conclusions for CO2 removal as a new energy sector are drawn. Key options for a global climate change mitigation strategy are first an energy transition towards renewable energy and second NETs for achieving the targets of the Paris Agreement.","container-title":"Mitigation and Adaptation Strategies for Global Change","DOI":"10.1007/s11027-019-9847-y","ISSN":"1573-1596","issue":"1","journalAbbreviation":"Mitig Adapt Strateg Glob Change","language":"en","page":"43-65","source":"Springer Link","title":"Carbon dioxide direct air capture for effective climate change mitigation based on renewable electricity: a new type of energy system sector coupling","title-short":"Carbon dioxide direct air capture for effective climate change mitigation based on renewable electricity","volume":"25","author":[{"family":"Breyer","given":"Christian"},{"family":"Fasihi","given":"Mahdi"},{"family":"Aghahosseini","given":"Arman"}],"issued":{"date-parts":[["2020",1,1]]}}}],"schema":"https://github.com/citation-style-language/schema/raw/master/csl-citation.json"} </w:instrText>
      </w:r>
      <w:r>
        <w:rPr>
          <w:rFonts w:ascii="Times New Roman" w:hAnsi="Times New Roman" w:cs="Times New Roman"/>
          <w:sz w:val="20"/>
          <w:szCs w:val="20"/>
        </w:rPr>
        <w:fldChar w:fldCharType="separate"/>
      </w:r>
      <w:r w:rsidRPr="009404B5">
        <w:rPr>
          <w:rFonts w:ascii="Times New Roman" w:hAnsi="Times New Roman" w:cs="Times New Roman"/>
          <w:sz w:val="20"/>
        </w:rPr>
        <w:t>[295,296]</w:t>
      </w:r>
      <w:r>
        <w:rPr>
          <w:rFonts w:ascii="Times New Roman" w:hAnsi="Times New Roman" w:cs="Times New Roman"/>
          <w:sz w:val="20"/>
          <w:szCs w:val="20"/>
        </w:rPr>
        <w:fldChar w:fldCharType="end"/>
      </w:r>
      <w:r>
        <w:rPr>
          <w:rFonts w:ascii="Times New Roman" w:hAnsi="Times New Roman" w:cs="Times New Roman"/>
          <w:sz w:val="20"/>
          <w:szCs w:val="20"/>
        </w:rPr>
        <w:t>. For comparison, the first commercial-scale DAC plant built in 2017 (with storage of the captured carbon) costed US$ 600 t</w:t>
      </w:r>
      <w:r w:rsidRPr="00B813A4">
        <w:rPr>
          <w:rFonts w:ascii="Times New Roman" w:hAnsi="Times New Roman" w:cs="Times New Roman"/>
          <w:sz w:val="20"/>
          <w:szCs w:val="20"/>
          <w:vertAlign w:val="superscript"/>
        </w:rPr>
        <w:t>-1</w:t>
      </w:r>
      <w:r>
        <w:rPr>
          <w:rFonts w:ascii="Times New Roman" w:hAnsi="Times New Roman" w:cs="Times New Roman"/>
          <w:sz w:val="20"/>
          <w:szCs w:val="20"/>
        </w:rPr>
        <w:t xml:space="preserve"> CO</w:t>
      </w:r>
      <w:r w:rsidRPr="00B813A4">
        <w:rPr>
          <w:rFonts w:ascii="Times New Roman" w:hAnsi="Times New Roman" w:cs="Times New Roman"/>
          <w:sz w:val="20"/>
          <w:szCs w:val="20"/>
          <w:vertAlign w:val="subscript"/>
        </w:rPr>
        <w:t>2</w:t>
      </w:r>
      <w:r>
        <w:rPr>
          <w:rFonts w:ascii="Times New Roman" w:hAnsi="Times New Roman" w:cs="Times New Roman"/>
          <w:sz w:val="20"/>
          <w:szCs w:val="20"/>
        </w:rPr>
        <w:t>, foreseen to decrease to US$ 200 t</w:t>
      </w:r>
      <w:r w:rsidRPr="00B813A4">
        <w:rPr>
          <w:rFonts w:ascii="Times New Roman" w:hAnsi="Times New Roman" w:cs="Times New Roman"/>
          <w:sz w:val="20"/>
          <w:szCs w:val="20"/>
          <w:vertAlign w:val="superscript"/>
        </w:rPr>
        <w:t>-1</w:t>
      </w:r>
      <w:r>
        <w:rPr>
          <w:rFonts w:ascii="Times New Roman" w:hAnsi="Times New Roman" w:cs="Times New Roman"/>
          <w:sz w:val="20"/>
          <w:szCs w:val="20"/>
        </w:rPr>
        <w:t xml:space="preserve"> CO</w:t>
      </w:r>
      <w:r w:rsidRPr="00B813A4">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r>
        <w:rPr>
          <w:rFonts w:ascii="Times New Roman" w:hAnsi="Times New Roman" w:cs="Times New Roman"/>
          <w:sz w:val="20"/>
          <w:szCs w:val="20"/>
        </w:rPr>
        <w:t xml:space="preserve">as additional plants are built </w:t>
      </w:r>
      <w:r>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pE3Tq56H","properties":{"formattedCitation":"[297]","plainCitation":"[297]","noteIndex":0},"citationItems":[{"id":5904,"uris":["http://zotero.org/groups/2763812/items/FTDSVCUB"],"uri":["http://zotero.org/groups/2763812/items/FTDSVCUB"],"itemData":{"id":5904,"type":"article-journal","abstract":"The most recent IPCC assessment has shown an important role for negative emissions technologies (NETs) in limiting global warming to 2 °C cost-effectively. However, a bottom-up, systematic, reproducible, and transparent literature assessment of the different options to remove CO2 from the atmosphere is currently missing. In part 1 of this three-part review on NETs, we assemble a comprehensive set of the relevant literature so far published, focusing on seven technologies: bioenergy with carbon capture and storage (BECCS), afforestation and reforestation, direct air carbon capture and storage (DACCS), enhanced weathering, ocean fertilisation, biochar, and soil carbon sequestration. In this part, part 2 of the review, we present estimates of costs, potentials, and side-effects for these technologies, and qualify them with the authors’ assessment. Part 3 reviews the innovation and scaling challenges that must be addressed to realise NETs deployment as a viable climate mitigation strategy. Based on a systematic review of the literature, our best estimates for sustainable global NET potentials in 2050 are 0.5–3.6 GtCO2 yr−1 for afforestation and reforestation, 0.5–5 GtCO2 yr−1 for BECCS, 0.5–2 GtCO2 yr−1 for biochar, 2–4 GtCO2 yr−1 for enhanced weathering, 0.5–5 GtCO2 yr−1 for DACCS, and up to 5 GtCO2 yr−1 for soil carbon sequestration. Costs vary widely across the technologies, as do their permanency and cumulative potentials beyond 2050. It is unlikely that a single NET will be able to sustainably meet the rates of carbon uptake described in integrated assessment pathways consistent with 1.5 °C of global warming.","container-title":"Environmental Research Letters","DOI":"10.1088/1748-9326/aabf9f","ISSN":"1748-9326","issue":"6","journalAbbreviation":"Environ. Res. Lett.","language":"en","page":"063002","source":"Institute of Physics","title":"Negative emissions—Part 2: Costs, potentials and side effects","title-short":"Negative emissions—Part 2","volume":"13","author":[{"family":"Fuss","given":"Sabine"},{"family":"Lamb","given":"William F."},{"family":"Callaghan","given":"Max W."},{"family":"Hilaire","given":"Jérôme"},{"family":"Creutzig","given":"Felix"},{"family":"Amann","given":"Thorben"},{"family":"Beringer","given":"Tim"},{"family":"Garcia","given":"Wagner de Oliveira"},{"family":"Hartmann","given":"Jens"},{"family":"Khanna","given":"Tarun"},{"family":"Luderer","given":"Gunnar"},{"family":"Nemet","given":"Gregory F."},{"family":"Rogelj","given":"Joeri"},{"family":"Smith","given":"Pete"},{"family":"Vicente","given":"José Luis Vicente"},{"family":"Wilcox","given":"Jennifer"},{"family":"Dominguez","given":"Maria del Mar Zamora"},{"family":"Minx","given":"Jan C."}],"issued":{"date-parts":[["2018",5]]}}}],"schema":"https://github.com/citation-style-language/schema/raw/master/csl-citation.json"} </w:instrText>
      </w:r>
      <w:r>
        <w:rPr>
          <w:rFonts w:ascii="Times New Roman" w:hAnsi="Times New Roman" w:cs="Times New Roman"/>
          <w:sz w:val="20"/>
          <w:szCs w:val="20"/>
        </w:rPr>
        <w:fldChar w:fldCharType="separate"/>
      </w:r>
      <w:r w:rsidRPr="009404B5">
        <w:rPr>
          <w:rFonts w:ascii="Times New Roman" w:hAnsi="Times New Roman" w:cs="Times New Roman"/>
          <w:sz w:val="20"/>
        </w:rPr>
        <w:t>[297]</w:t>
      </w:r>
      <w:r>
        <w:rPr>
          <w:rFonts w:ascii="Times New Roman" w:hAnsi="Times New Roman" w:cs="Times New Roman"/>
          <w:sz w:val="20"/>
          <w:szCs w:val="20"/>
        </w:rPr>
        <w:fldChar w:fldCharType="end"/>
      </w:r>
      <w:r>
        <w:rPr>
          <w:rFonts w:ascii="Times New Roman" w:hAnsi="Times New Roman" w:cs="Times New Roman"/>
          <w:sz w:val="20"/>
          <w:szCs w:val="20"/>
        </w:rPr>
        <w:t xml:space="preserve">. It is further argued that DAC costs are minor when reported to a country gross domestic product (GDP) </w:t>
      </w:r>
      <w:r>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tz6nGqCo","properties":{"formattedCitation":"[298]","plainCitation":"[298]","noteIndex":0},"citationItems":[{"id":5908,"uris":["http://zotero.org/groups/2763812/items/D8PSZKUB"],"uri":["http://zotero.org/groups/2763812/items/D8PSZKUB"],"itemData":{"id":5908,"type":"article-journal","abstract":"The aim of this study is to identify the technical solution space for future fully renewable energy systems that stays within a sustainable biomass demand. In the transition towards non-fossil energy and material systems, biomass is an attractive source of carbon for those demands that also in the non-fossil systems depend on high density, carbon containing fuels and feedstocks. However, extensive land use is already a sustainability challenge and an increase in future demands threat to exceed global sustainable biomass potentials which according to an international expert consensus is around 10 – 30 GJ/person/year in 2050. Our analytical review of 16 scenarios from 8 independent studies of fully renewable energy system designs, and synthesis of 9 generic system designs, reveals the significance of the role of electrification and hydrogen integration for building a fully renewable energy system which respects the global biomass limitations. The biomass demand of different fully renewable energy system designs was found to lie in the range of 0 GJ/person/year for highly integrated, electrified, pure electrofuel scenarios with up to 25 GJ/person/year of hydrogen to above 200 GJ/person/year for poorly integrated, full bioenergy scenarios with no electrification or hydrogen integration. It was found that a high degree of system electrification and hydrogen integration of at least 15 GJ/person/year is required to stay within sustainable biomass limits.","container-title":"Applied Energy","DOI":"10.1016/j.apenergy.2020.115331","ISSN":"0306-2619","journalAbbreviation":"Applied Energy","language":"en","page":"115331","source":"ScienceDirect","title":"The role of electrification and hydrogen in breaking the biomass bottleneck of the renewable energy system – A study on the Danish energy system","volume":"275","author":[{"family":"Mortensen","given":"Anders Winther"},{"family":"Mathiesen","given":"Brian Vad"},{"family":"Hansen","given":"Anders Bavnhøj"},{"family":"Pedersen","given":"Sigurd Lauge"},{"family":"Grandal","given":"Rune Duban"},{"family":"Wenzel","given":"Henrik"}],"issued":{"date-parts":[["2020",10,1]]}}}],"schema":"https://github.com/citation-style-language/schema/raw/master/csl-citation.json"} </w:instrText>
      </w:r>
      <w:r>
        <w:rPr>
          <w:rFonts w:ascii="Times New Roman" w:hAnsi="Times New Roman" w:cs="Times New Roman"/>
          <w:sz w:val="20"/>
          <w:szCs w:val="20"/>
        </w:rPr>
        <w:fldChar w:fldCharType="separate"/>
      </w:r>
      <w:r w:rsidRPr="009404B5">
        <w:rPr>
          <w:rFonts w:ascii="Times New Roman" w:hAnsi="Times New Roman" w:cs="Times New Roman"/>
          <w:sz w:val="20"/>
        </w:rPr>
        <w:t>[298]</w:t>
      </w:r>
      <w:r>
        <w:rPr>
          <w:rFonts w:ascii="Times New Roman" w:hAnsi="Times New Roman" w:cs="Times New Roman"/>
          <w:sz w:val="20"/>
          <w:szCs w:val="20"/>
        </w:rPr>
        <w:fldChar w:fldCharType="end"/>
      </w:r>
      <w:r>
        <w:rPr>
          <w:rFonts w:ascii="Times New Roman" w:hAnsi="Times New Roman" w:cs="Times New Roman"/>
          <w:sz w:val="20"/>
          <w:szCs w:val="20"/>
        </w:rPr>
        <w:t>, or to global GDP (an emergency massive DAC deployment would imply an investment of 1.2</w:t>
      </w:r>
      <w:r w:rsidR="001259BB">
        <w:rPr>
          <w:rFonts w:ascii="Times New Roman" w:hAnsi="Times New Roman" w:cs="Times New Roman"/>
          <w:sz w:val="20"/>
          <w:szCs w:val="20"/>
        </w:rPr>
        <w:t xml:space="preserve"> </w:t>
      </w:r>
      <w:r>
        <w:rPr>
          <w:rFonts w:ascii="Times New Roman" w:hAnsi="Times New Roman" w:cs="Times New Roman"/>
          <w:sz w:val="20"/>
          <w:szCs w:val="20"/>
        </w:rPr>
        <w:t>-</w:t>
      </w:r>
      <w:r w:rsidR="001259BB">
        <w:rPr>
          <w:rFonts w:ascii="Times New Roman" w:hAnsi="Times New Roman" w:cs="Times New Roman"/>
          <w:sz w:val="20"/>
          <w:szCs w:val="20"/>
        </w:rPr>
        <w:t xml:space="preserve"> </w:t>
      </w:r>
      <w:r>
        <w:rPr>
          <w:rFonts w:ascii="Times New Roman" w:hAnsi="Times New Roman" w:cs="Times New Roman"/>
          <w:sz w:val="20"/>
          <w:szCs w:val="20"/>
        </w:rPr>
        <w:t xml:space="preserve">1.9% global annual GDP; </w:t>
      </w:r>
      <w:r>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ObqcgHJc","properties":{"formattedCitation":"[299]","plainCitation":"[299]","noteIndex":0},"citationItems":[{"id":5902,"uris":["http://zotero.org/groups/2763812/items/C3AK493H"],"uri":["http://zotero.org/groups/2763812/items/C3AK493H"],"itemData":{"id":5902,"type":"article-journal","abstract":"Though highly motivated to slow the climate crisis, governments may struggle to impose costly polices on entrenched interest groups, resulting in a greater need for negative emissions. Here, we model wartime-like crash deployment of direct air capture (DAC) as a policy response to the climate crisis, calculating funding, net CO2 removal, and climate impacts. An emergency DAC program, with investment of 1.2–1.9% of global GDP annually, removes 2.2–2.3 GtCO2 yr–1 in 2050, 13–20 GtCO2 yr–1 in 2075, and 570–840 GtCO2 cumulatively over 2025–2100. Compared to a future in which policy efforts to control emissions follow current trends (SSP2-4.5), DAC substantially hastens the onset of net-zero CO2 emissions (to 2085–2095) and peak warming (to 2090–2095); yet warming still reaches 2.4–2.5 °C in 2100. Such massive CO2 removals hinge on near-term investment to boost the future capacity for upscaling. DAC is most cost-effective when using electricity sources already available today: hydropower and natural gas with renewables; fully renewable systems are more expensive because their low load factors do not allow efficient amortization of capital-intensive DAC plants.","container-title":"Nature Communications","DOI":"10.1038/s41467-020-20437-0","ISSN":"2041-1723","issue":"1","language":"en","page":"368","source":"www.nature.com","title":"Emergency deployment of direct air capture as a response to the climate crisis","volume":"12","author":[{"family":"Hanna","given":"Ryan"},{"family":"Abdulla","given":"Ahmed"},{"family":"Xu","given":"Yangyang"},{"family":"Victor","given":"David G."}],"issued":{"date-parts":[["2021",1,14]]}}}],"schema":"https://github.com/citation-style-language/schema/raw/master/csl-citation.json"} </w:instrText>
      </w:r>
      <w:r>
        <w:rPr>
          <w:rFonts w:ascii="Times New Roman" w:hAnsi="Times New Roman" w:cs="Times New Roman"/>
          <w:sz w:val="20"/>
          <w:szCs w:val="20"/>
        </w:rPr>
        <w:fldChar w:fldCharType="separate"/>
      </w:r>
      <w:r w:rsidRPr="009404B5">
        <w:rPr>
          <w:rFonts w:ascii="Times New Roman" w:hAnsi="Times New Roman" w:cs="Times New Roman"/>
          <w:sz w:val="20"/>
        </w:rPr>
        <w:t>[299]</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3334BF65" w14:textId="265E280B" w:rsidR="007E5D2D" w:rsidRDefault="007E5D2D" w:rsidP="007E5D2D">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Nevertheless, DAC technologies are improving and maturing, reflecting among others their vital role in stabilizing warming at 1.5°C above pre-industrial levels </w:t>
      </w:r>
      <w:r>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UkXGMotB","properties":{"formattedCitation":"[300\\uc0\\u8211{}302]","plainCitation":"[300–302]","noteIndex":0},"citationItems":[{"id":5896,"uris":["http://zotero.org/groups/2763812/items/W5UAYQA5"],"uri":["http://zotero.org/groups/2763812/items/W5UAYQA5"],"itemData":{"id":5896,"type":"article-journal","abstract":"A new analysis shows that global warming could be limited to 1.5 °C by 2100, but that the window for achieving this is small and rapidly closing.","container-title":"Nature Climate Change","DOI":"10.1038/nclimate2572","ISSN":"1758-6798","issue":"6","language":"en","page":"519-527","source":"www.nature.com","title":"Energy system transformations for limiting end-of-century warming to below 1.5 °C","volume":"5","author":[{"family":"Rogelj","given":"Joeri"},{"family":"Luderer","given":"Gunnar"},{"family":"Pietzcker","given":"Robert C."},{"family":"Kriegler","given":"Elmar"},{"family":"Schaeffer","given":"Michiel"},{"family":"Krey","given":"Volker"},{"family":"Riahi","given":"Keywan"}],"issued":{"date-parts":[["2015",6]]}}},{"id":5895,"uris":["http://zotero.org/groups/2763812/items/SIT5WPBD"],"uri":["http://zotero.org/groups/2763812/items/SIT5WPBD"],"itemData":{"id":5895,"type":"article-journal","abstract":"The Paris Agreement has opened debate on whether limiting warming to 1.5 °C is compatible with current emission pledges and warming of about 0.9 °C from the mid-nineteenth century to the present decade. We show that limiting cumulative post-2015 CO2 emissions to about 200 GtC would limit post-2015 warming to less than 0.6 °C in 66% of Earth system model members of the CMIP5 ensemble with no mitigation of other climate drivers. We combine a simple climate–carbon-cycle model with estimated ranges for key climate system properties from the IPCC Fifth Assessment Report. Assuming emissions peak and decline to below current levels by 2030, and continue thereafter on a much steeper decline, which would be historically unprecedented but consistent with a standard ambitious mitigation scenario (RCP2.6), results in a likely range of peak warming of 1.2–2.0 °C above the mid-nineteenth century. If CO2 emissions are continuously adjusted over time to limit 2100 warming to 1.5 °C, with ambitious non-CO2 mitigation, net future cumulative CO2 emissions are unlikely to prove less than 250 GtC and unlikely greater than 540 GtC. Hence, limiting warming to 1.5 °C is not yet a geophysical impossibility, but is likely to require delivery on strengthened pledges for 2030 followed by challengingly deep and rapid mitigation. Strengthening near-term emissions reductions would hedge against a high climate response or subsequent reduction rates proving economically, technically or politically unfeasible.","container-title":"Nature Geoscience","DOI":"10.1038/ngeo3031","ISSN":"1752-0908","issue":"10","language":"en","page":"741-747","source":"www.nature.com","title":"Emission budgets and pathways consistent with limiting warming to 1.5 °C","volume":"10","author":[{"family":"Millar","given":"Richard J."},{"family":"Fuglestvedt","given":"Jan S."},{"family":"Friedlingstein","given":"Pierre"},{"family":"Rogelj","given":"Joeri"},{"family":"Grubb","given":"Michael J."},{"family":"Matthews","given":"H. Damon"},{"family":"Skeie","given":"Ragnhild B."},{"family":"Forster","given":"Piers M."},{"family":"Frame","given":"David J."},{"family":"Allen","given":"Myles R."}],"issued":{"date-parts":[["2017",10]]}}},{"id":5894,"uris":["http://zotero.org/groups/2763812/items/PL2JE4KR"],"uri":["http://zotero.org/groups/2763812/items/PL2JE4KR"],"itemData":{"id":5894,"type":"article-journal","abstract":"The 2015 Paris Agreement calls for countries to pursue efforts to limit global-mean temperature rise to 1.5 °C. The transition pathways that can meet such a target have not, however, been extensively explored. Here we describe scenarios that limit end-of-century radiative forcing to 1.9 W m−2, and consequently restrict median warming in the year 2100 to below 1.5 °C. We use six integrated assessment models and a simple climate model, under different socio-economic, technological and resource assumptions from five Shared Socio-economic Pathways (SSPs). Some, but not all, SSPs are amenable to pathways to 1.5 °C. Successful 1.9 W m−2 scenarios are characterized by a rapid shift away from traditional fossil-fuel use towards large-scale low-carbon energy supplies, reduced energy use, and carbon-dioxide removal. However, 1.9 W m−2 scenarios could not be achieved in several models under SSPs with strong inequalities, high baseline fossil-fuel use, or scattered short-term climate policy. Further research can help policy-makers to understand the real-world implications of these scenarios.","container-title":"Nature Climate Change","DOI":"10.1038/s41558-018-0091-3","ISSN":"1758-6798","issue":"4","language":"en","page":"325-332","source":"www.nature.com","title":"Scenarios towards limiting global mean temperature increase below 1.5 °C","volume":"8","author":[{"family":"Rogelj","given":"Joeri"},{"family":"Popp","given":"Alexander"},{"family":"Calvin","given":"Katherine V."},{"family":"Luderer","given":"Gunnar"},{"family":"Emmerling","given":"Johannes"},{"family":"Gernaat","given":"David"},{"family":"Fujimori","given":"Shinichiro"},{"family":"Strefler","given":"Jessica"},{"family":"Hasegawa","given":"Tomoko"},{"family":"Marangoni","given":"Giacomo"},{"family":"Krey","given":"Volker"},{"family":"Kriegler","given":"Elmar"},{"family":"Riahi","given":"Keywan"},{"family":"Vuuren","given":"Detlef P.","non-dropping-particle":"van"},{"family":"Doelman","given":"Jonathan"},{"family":"Drouet","given":"Laurent"},{"family":"Edmonds","given":"Jae"},{"family":"Fricko","given":"Oliver"},{"family":"Harmsen","given":"Mathijs"},{"family":"Havlík","given":"Petr"},{"family":"Humpenöder","given":"Florian"},{"family":"Stehfest","given":"Elke"},{"family":"Tavoni","given":"Massimo"}],"issued":{"date-parts":[["2018",4]]}}}],"schema":"https://github.com/citation-style-language/schema/raw/master/csl-citation.json"} </w:instrText>
      </w:r>
      <w:r>
        <w:rPr>
          <w:rFonts w:ascii="Times New Roman" w:hAnsi="Times New Roman" w:cs="Times New Roman"/>
          <w:sz w:val="20"/>
          <w:szCs w:val="20"/>
        </w:rPr>
        <w:fldChar w:fldCharType="separate"/>
      </w:r>
      <w:r w:rsidRPr="00665C2D">
        <w:rPr>
          <w:rFonts w:ascii="Times New Roman" w:hAnsi="Times New Roman" w:cs="Times New Roman"/>
          <w:sz w:val="20"/>
          <w:szCs w:val="24"/>
        </w:rPr>
        <w:t>[300–302]</w:t>
      </w:r>
      <w:r>
        <w:rPr>
          <w:rFonts w:ascii="Times New Roman" w:hAnsi="Times New Roman" w:cs="Times New Roman"/>
          <w:sz w:val="20"/>
          <w:szCs w:val="20"/>
        </w:rPr>
        <w:fldChar w:fldCharType="end"/>
      </w:r>
      <w:r>
        <w:rPr>
          <w:rFonts w:ascii="Times New Roman" w:hAnsi="Times New Roman" w:cs="Times New Roman"/>
          <w:sz w:val="20"/>
          <w:szCs w:val="20"/>
        </w:rPr>
        <w:t>. On-going reported improvements include</w:t>
      </w:r>
      <w:r w:rsidRPr="00C0588D">
        <w:rPr>
          <w:rFonts w:ascii="Times New Roman" w:hAnsi="Times New Roman" w:cs="Times New Roman"/>
          <w:sz w:val="20"/>
          <w:szCs w:val="20"/>
        </w:rPr>
        <w:t xml:space="preserve"> new contactors and tower designs </w:t>
      </w:r>
      <w:r w:rsidRPr="00C0588D">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GzAT4yDB","properties":{"formattedCitation":"[292,303]","plainCitation":"[292,303]","noteIndex":0},"citationItems":[{"id":"968HXJ10/NbbC8tGe","uris":["http://www.mendeley.com/documents/?uuid=72aa4fe6-37e4-41a1-860e-0bfb51219ed2"],"uri":["http://www.mendeley.com/documents/?uuid=72aa4fe6-37e4-41a1-860e-0bfb51219ed2"],"itemData":{"DOI":"10.1021/acs.chemrev.6b00173","ISSN":"15206890","abstract":"The increase in the global atmospheric CO2 concentration resulting from over a century of combustion of fossil fuels has been associated with significant global climate change. With the global population increase driving continued increases in fossil fuel use, humanity's primary reliance on fossil energy for the next several decades is assured. Traditional modes of carbon capture such as precombustion and postcombustion CO2 capture from large point sources can help slow the rate of increase of the atmospheric CO2 concentration, but only the direct removal of CO2 from the air, or \"direct air capture\" (DAC), can actually reduce the global atmospheric CO2 concentration. The past decade has seen a steep rise in the use of chemical sorbents that are cycled through sorption and desorption cycles for CO2 removal from ultradilute gases such as air. This Review provides a historical overview of the field of DAC, along with an exhaustive description of the use of chemical sorbents targeted at this application. Solvents and solid sorbents that interact strongly with CO2 are described, including basic solvents, supported amine and ammonium materials, and metal-organic frameworks (MOFs), as the primary classes of chemical sorbents. Hypothetical processes for the deployment of such sorbents are discussed, as well as the limited array of technoeconomic analyses published on DAC. Overall, it is concluded that there are many new materials that could play a role in emerging DAC technologies. However, these materials need to be further investigated and developed with a practical sorbent-air contacting process in mind if society is to make rapid progress in deploying DAC as a means of mitigating climate change.","author":[{"dropping-particle":"","family":"Sanz-Pérez","given":"Eloy S.","non-dropping-particle":"","parse-names":false,"suffix":""},{"dropping-particle":"","family":"Murdock","given":"Christopher R.","non-dropping-particle":"","parse-names":false,"suffix":""},{"dropping-particle":"","family":"Didas","given":"Stephanie A.","non-dropping-particle":"","parse-names":false,"suffix":""},{"dropping-particle":"","family":"Jones","given":"Christopher W.","non-dropping-particle":"","parse-names":false,"suffix":""}],"container-title":"Chemical Reviews","id":"ITEM-1","issue":"19","issued":{"date-parts":[["2016"]]},"page":"11840-11876","title":"Direct Capture of CO2 from Ambient Air","type":"article-journal","volume":"116"}},{"id":"968HXJ10/J26TbeYH","uris":["http://www.mendeley.com/documents/?uuid=a0c69583-b599-49db-a9c2-8492ec826df6"],"uri":["http://www.mendeley.com/documents/?uuid=a0c69583-b599-49db-a9c2-8492ec826df6"],"itemData":{"DOI":"10.1146/annurev-chembioeng-061010-114252","ISSN":"19475438","PMID":"22432609","abstract":"The growing atmospheric CO2 concentration and its impact on climate have motivated widespread research and development aimed at slowing or stemming anthropogenic carbon emissions. Technologies for carbon capture and sequestration (CCS) employing mass separating agents that extract and purify CO2 from flue gas emanating from large point sources such as fossil fuel-fired electricity-generating power plants are under development. Recent advances in solvents, adsorbents, and membranes for postcombust- ion CO 2 capture are described here. Specifically, room-temperature ionic liquids, supported amine materials, mixed matrix and facilitated transport membranes, and metal-organic framework materials are highlighted. In addition, the concept of extracting CO2 directly from ambient air (air capture) as a means of reducing the global atmospheric CO2 concentration is reviewed. For both conventional CCS from large point sources and air capture, critical research needs are identified and discussed. © Copyright 2011 by Annual Reviews. All rights reserved.","author":[{"dropping-particle":"","family":"Jones","given":"Christopher W.","non-dropping-particle":"","parse-names":false,"suffix":""}],"container-title":"Annual Review of Chemical and Biomolecular Engineering","id":"ITEM-2","issued":{"date-parts":[["2011"]]},"page":"31-52","title":"CO2 capture from dilute gases as a component of modern global carbon management","type":"article-journal","volume":"2"}}],"schema":"https://github.com/citation-style-language/schema/raw/master/csl-citation.json"} </w:instrText>
      </w:r>
      <w:r w:rsidRPr="00C0588D">
        <w:rPr>
          <w:rFonts w:ascii="Times New Roman" w:hAnsi="Times New Roman" w:cs="Times New Roman"/>
          <w:sz w:val="20"/>
          <w:szCs w:val="20"/>
        </w:rPr>
        <w:fldChar w:fldCharType="separate"/>
      </w:r>
      <w:r w:rsidRPr="00665C2D">
        <w:rPr>
          <w:rFonts w:ascii="Times New Roman" w:hAnsi="Times New Roman" w:cs="Times New Roman"/>
          <w:sz w:val="20"/>
        </w:rPr>
        <w:t>[292,303]</w:t>
      </w:r>
      <w:r w:rsidRPr="00C0588D">
        <w:rPr>
          <w:rFonts w:ascii="Times New Roman" w:hAnsi="Times New Roman" w:cs="Times New Roman"/>
          <w:sz w:val="20"/>
          <w:szCs w:val="20"/>
        </w:rPr>
        <w:fldChar w:fldCharType="end"/>
      </w:r>
      <w:r w:rsidRPr="00C0588D">
        <w:rPr>
          <w:rFonts w:ascii="Times New Roman" w:hAnsi="Times New Roman" w:cs="Times New Roman"/>
          <w:sz w:val="20"/>
          <w:szCs w:val="20"/>
        </w:rPr>
        <w:t xml:space="preserve">, </w:t>
      </w:r>
      <w:r>
        <w:rPr>
          <w:rFonts w:ascii="Times New Roman" w:hAnsi="Times New Roman" w:cs="Times New Roman"/>
          <w:sz w:val="20"/>
          <w:szCs w:val="20"/>
        </w:rPr>
        <w:t xml:space="preserve">optimized </w:t>
      </w:r>
      <w:r w:rsidRPr="00C0588D">
        <w:rPr>
          <w:rFonts w:ascii="Times New Roman" w:hAnsi="Times New Roman" w:cs="Times New Roman"/>
          <w:sz w:val="20"/>
          <w:szCs w:val="20"/>
        </w:rPr>
        <w:t xml:space="preserve">operating conditions (e.g. kinetics stability, process stability; </w:t>
      </w:r>
      <w:r w:rsidRPr="00C0588D">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LwMI3zEK","properties":{"formattedCitation":"[303]","plainCitation":"[303]","noteIndex":0},"citationItems":[{"id":"968HXJ10/J26TbeYH","uris":["http://www.mendeley.com/documents/?uuid=a0c69583-b599-49db-a9c2-8492ec826df6"],"uri":["http://www.mendeley.com/documents/?uuid=a0c69583-b599-49db-a9c2-8492ec826df6"],"itemData":{"DOI":"10.1146/annurev-chembioeng-061010-114252","ISSN":"19475438","PMID":"22432609","abstract":"The growing atmospheric CO2 concentration and its impact on climate have motivated widespread research and development aimed at slowing or stemming anthropogenic carbon emissions. Technologies for carbon capture and sequestration (CCS) employing mass separating agents that extract and purify CO2 from flue gas emanating from large point sources such as fossil fuel-fired electricity-generating power plants are under development. Recent advances in solvents, adsorbents, and membranes for postcombust- ion CO 2 capture are described here. Specifically, room-temperature ionic liquids, supported amine materials, mixed matrix and facilitated transport membranes, and metal-organic framework materials are highlighted. In addition, the concept of extracting CO2 directly from ambient air (air capture) as a means of reducing the global atmospheric CO2 concentration is reviewed. For both conventional CCS from large point sources and air capture, critical research needs are identified and discussed. © Copyright 2011 by Annual Reviews. All rights reserved.","author":[{"dropping-particle":"","family":"Jones","given":"Christopher W.","non-dropping-particle":"","parse-names":false,"suffix":""}],"container-title":"Annual Review of Chemical and Biomolecular Engineering","id":"ITEM-1","issued":{"date-parts":[["2011"]]},"page":"31-52","title":"CO2 capture from dilute gases as a component of modern global carbon management","type":"article-journal","volume":"2"}}],"schema":"https://github.com/citation-style-language/schema/raw/master/csl-citation.json"} </w:instrText>
      </w:r>
      <w:r w:rsidRPr="00C0588D">
        <w:rPr>
          <w:rFonts w:ascii="Times New Roman" w:hAnsi="Times New Roman" w:cs="Times New Roman"/>
          <w:sz w:val="20"/>
          <w:szCs w:val="20"/>
        </w:rPr>
        <w:fldChar w:fldCharType="separate"/>
      </w:r>
      <w:r w:rsidRPr="00665C2D">
        <w:rPr>
          <w:rFonts w:ascii="Times New Roman" w:hAnsi="Times New Roman" w:cs="Times New Roman"/>
          <w:sz w:val="20"/>
        </w:rPr>
        <w:t>[303]</w:t>
      </w:r>
      <w:r w:rsidRPr="00C0588D">
        <w:rPr>
          <w:rFonts w:ascii="Times New Roman" w:hAnsi="Times New Roman" w:cs="Times New Roman"/>
          <w:sz w:val="20"/>
          <w:szCs w:val="20"/>
        </w:rPr>
        <w:fldChar w:fldCharType="end"/>
      </w:r>
      <w:r w:rsidRPr="00C0588D">
        <w:rPr>
          <w:rFonts w:ascii="Times New Roman" w:hAnsi="Times New Roman" w:cs="Times New Roman"/>
          <w:sz w:val="20"/>
          <w:szCs w:val="20"/>
        </w:rPr>
        <w:t xml:space="preserve">), </w:t>
      </w:r>
      <w:r>
        <w:rPr>
          <w:rFonts w:ascii="Times New Roman" w:hAnsi="Times New Roman" w:cs="Times New Roman"/>
          <w:sz w:val="20"/>
          <w:szCs w:val="20"/>
        </w:rPr>
        <w:t>new materials development</w:t>
      </w:r>
      <w:r w:rsidRPr="00C0588D">
        <w:rPr>
          <w:rFonts w:ascii="Times New Roman" w:hAnsi="Times New Roman" w:cs="Times New Roman"/>
          <w:sz w:val="20"/>
          <w:szCs w:val="20"/>
        </w:rPr>
        <w:t xml:space="preserve"> (e.g. composites of potassium carbonate and γ-Al</w:t>
      </w:r>
      <w:r w:rsidRPr="00C0588D">
        <w:rPr>
          <w:rFonts w:ascii="Times New Roman" w:hAnsi="Times New Roman" w:cs="Times New Roman"/>
          <w:sz w:val="20"/>
          <w:szCs w:val="20"/>
          <w:vertAlign w:val="subscript"/>
        </w:rPr>
        <w:t>2</w:t>
      </w:r>
      <w:r w:rsidRPr="00C0588D">
        <w:rPr>
          <w:rFonts w:ascii="Times New Roman" w:hAnsi="Times New Roman" w:cs="Times New Roman"/>
          <w:sz w:val="20"/>
          <w:szCs w:val="20"/>
        </w:rPr>
        <w:t>O</w:t>
      </w:r>
      <w:r w:rsidRPr="00C0588D">
        <w:rPr>
          <w:rFonts w:ascii="Times New Roman" w:hAnsi="Times New Roman" w:cs="Times New Roman"/>
          <w:sz w:val="20"/>
          <w:szCs w:val="20"/>
          <w:vertAlign w:val="subscript"/>
        </w:rPr>
        <w:t>3</w:t>
      </w:r>
      <w:r w:rsidRPr="00C0588D">
        <w:rPr>
          <w:rFonts w:ascii="Times New Roman" w:hAnsi="Times New Roman" w:cs="Times New Roman"/>
          <w:sz w:val="20"/>
          <w:szCs w:val="20"/>
        </w:rPr>
        <w:t xml:space="preserve">; </w:t>
      </w:r>
      <w:r w:rsidRPr="00C0588D">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iYq2rZdA","properties":{"formattedCitation":"[292]","plainCitation":"[292]","noteIndex":0},"citationItems":[{"id":"968HXJ10/NbbC8tGe","uris":["http://www.mendeley.com/documents/?uuid=72aa4fe6-37e4-41a1-860e-0bfb51219ed2"],"uri":["http://www.mendeley.com/documents/?uuid=72aa4fe6-37e4-41a1-860e-0bfb51219ed2"],"itemData":{"DOI":"10.1021/acs.chemrev.6b00173","ISSN":"15206890","abstract":"The increase in the global atmospheric CO2 concentration resulting from over a century of combustion of fossil fuels has been associated with significant global climate change. With the global population increase driving continued increases in fossil fuel use, humanity's primary reliance on fossil energy for the next several decades is assured. Traditional modes of carbon capture such as precombustion and postcombustion CO2 capture from large point sources can help slow the rate of increase of the atmospheric CO2 concentration, but only the direct removal of CO2 from the air, or \"direct air capture\" (DAC), can actually reduce the global atmospheric CO2 concentration. The past decade has seen a steep rise in the use of chemical sorbents that are cycled through sorption and desorption cycles for CO2 removal from ultradilute gases such as air. This Review provides a historical overview of the field of DAC, along with an exhaustive description of the use of chemical sorbents targeted at this application. Solvents and solid sorbents that interact strongly with CO2 are described, including basic solvents, supported amine and ammonium materials, and metal-organic frameworks (MOFs), as the primary classes of chemical sorbents. Hypothetical processes for the deployment of such sorbents are discussed, as well as the limited array of technoeconomic analyses published on DAC. Overall, it is concluded that there are many new materials that could play a role in emerging DAC technologies. However, these materials need to be further investigated and developed with a practical sorbent-air contacting process in mind if society is to make rapid progress in deploying DAC as a means of mitigating climate change.","author":[{"dropping-particle":"","family":"Sanz-Pérez","given":"Eloy S.","non-dropping-particle":"","parse-names":false,"suffix":""},{"dropping-particle":"","family":"Murdock","given":"Christopher R.","non-dropping-particle":"","parse-names":false,"suffix":""},{"dropping-particle":"","family":"Didas","given":"Stephanie A.","non-dropping-particle":"","parse-names":false,"suffix":""},{"dropping-particle":"","family":"Jones","given":"Christopher W.","non-dropping-particle":"","parse-names":false,"suffix":""}],"container-title":"Chemical Reviews","id":"ITEM-1","issue":"19","issued":{"date-parts":[["2016"]]},"page":"11840-11876","title":"Direct Capture of CO2 from Ambient Air","type":"article-journal","volume":"116"}}],"schema":"https://github.com/citation-style-language/schema/raw/master/csl-citation.json"} </w:instrText>
      </w:r>
      <w:r w:rsidRPr="00C0588D">
        <w:rPr>
          <w:rFonts w:ascii="Times New Roman" w:hAnsi="Times New Roman" w:cs="Times New Roman"/>
          <w:sz w:val="20"/>
          <w:szCs w:val="20"/>
        </w:rPr>
        <w:fldChar w:fldCharType="separate"/>
      </w:r>
      <w:r w:rsidRPr="00D47C39">
        <w:rPr>
          <w:rFonts w:ascii="Times New Roman" w:hAnsi="Times New Roman" w:cs="Times New Roman"/>
          <w:sz w:val="20"/>
        </w:rPr>
        <w:t>[292]</w:t>
      </w:r>
      <w:r w:rsidRPr="00C0588D">
        <w:rPr>
          <w:rFonts w:ascii="Times New Roman" w:hAnsi="Times New Roman" w:cs="Times New Roman"/>
          <w:sz w:val="20"/>
          <w:szCs w:val="20"/>
        </w:rPr>
        <w:fldChar w:fldCharType="end"/>
      </w:r>
      <w:r w:rsidRPr="00C0588D">
        <w:rPr>
          <w:rFonts w:ascii="Times New Roman" w:hAnsi="Times New Roman" w:cs="Times New Roman"/>
          <w:sz w:val="20"/>
          <w:szCs w:val="20"/>
        </w:rPr>
        <w:t xml:space="preserve">, amine-oxide hybrid materials; </w:t>
      </w:r>
      <w:r w:rsidRPr="00C0588D">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15zIDOZ6","properties":{"formattedCitation":"[304]","plainCitation":"[304]","noteIndex":0},"citationItems":[{"id":"968HXJ10/eJ5j6WKD","uris":["http://www.mendeley.com/documents/?uuid=7d6fcb87-ed4d-4598-b45e-1ade83189918"],"uri":["http://www.mendeley.com/documents/?uuid=7d6fcb87-ed4d-4598-b45e-1ade83189918"],"itemData":{"DOI":"10.1021/acs.accounts.5b00284","ISSN":"15204898","abstract":"Oxide supports functionalized with amine moieties have been used for decades as catalysts and chromatographic media. Owing to the recognized impact of atmospheric CO2 on global climate change, the study of the use of amine-oxide hybrid materials as CO2 sorbents has exploded in the past decade. While the majority of the work has concerned separation of CO2 from dilute mixtures such as flue gas from coal-fired power plants, it has been recognized by us and others that such supported amine materials are also perhaps uniquely suited to extract CO2 from ultradilute gas mixtures, such as ambient air. As unique, low temperature chemisorbents, they can operate under ambient conditions, spontaneously extracting CO2 from ambient air, while being regenerated under mild conditions using heat or the combination of heat and vacuum.This Account describes the evolution of our activities on the design of amine-functionalized silica materials for catalysis to the design, characterization, and utilization of these materials in CO2 separations. New materials developed in our laboratory, such as hyperbranched aminosilica materials, and previously known amine-oxide hybrid compositions, have been extensively studied for CO2 extraction from simulated ambient air (400 ppm of CO2). The role of amine type and structure (molecular, polymeric), support type and structure, the stability of the various compositions under simulated operating conditions, and the nature of the adsorbed CO2 have been investigated in detail. The requirements for an effective, practical air capture process have been outlined and the ability of amine-oxide hybrid materials to meet these needs has been discussed. Ultimately, the practicality of such a \"direct air capture\" process is predicated not only on the physicochemical properties of the sorbent, but also how the sorbent operates in a practical process that offers a scalable gas-solid contacting strategy. In this regard, the utility of low pressure drop monolith contactors is suggested to offer a practical mode of amine sorbent/air contacting for direct air capture.","author":[{"dropping-particle":"","family":"Didas","given":"Stephanie A.","non-dropping-particle":"","parse-names":false,"suffix":""},{"dropping-particle":"","family":"Choi","given":"Sunho","non-dropping-particle":"","parse-names":false,"suffix":""},{"dropping-particle":"","family":"Chaikittisilp","given":"Watcharop","non-dropping-particle":"","parse-names":false,"suffix":""},{"dropping-particle":"","family":"Jones","given":"Christopher W.","non-dropping-particle":"","parse-names":false,"suffix":""}],"container-title":"Accounts of Chemical Research","id":"ITEM-1","issue":"10","issued":{"date-parts":[["2015"]]},"page":"2680-2687","title":"Amine-Oxide Hybrid Materials for CO2 Capture from Ambient Air","type":"article-journal","volume":"48"}}],"schema":"https://github.com/citation-style-language/schema/raw/master/csl-citation.json"} </w:instrText>
      </w:r>
      <w:r w:rsidRPr="00C0588D">
        <w:rPr>
          <w:rFonts w:ascii="Times New Roman" w:hAnsi="Times New Roman" w:cs="Times New Roman"/>
          <w:sz w:val="20"/>
          <w:szCs w:val="20"/>
        </w:rPr>
        <w:fldChar w:fldCharType="separate"/>
      </w:r>
      <w:r w:rsidRPr="00665C2D">
        <w:rPr>
          <w:rFonts w:ascii="Times New Roman" w:hAnsi="Times New Roman" w:cs="Times New Roman"/>
          <w:sz w:val="20"/>
        </w:rPr>
        <w:t>[304]</w:t>
      </w:r>
      <w:r w:rsidRPr="00C0588D">
        <w:rPr>
          <w:rFonts w:ascii="Times New Roman" w:hAnsi="Times New Roman" w:cs="Times New Roman"/>
          <w:sz w:val="20"/>
          <w:szCs w:val="20"/>
        </w:rPr>
        <w:fldChar w:fldCharType="end"/>
      </w:r>
      <w:r w:rsidRPr="00C0588D">
        <w:rPr>
          <w:rFonts w:ascii="Times New Roman" w:hAnsi="Times New Roman" w:cs="Times New Roman"/>
          <w:sz w:val="20"/>
          <w:szCs w:val="20"/>
        </w:rPr>
        <w:t xml:space="preserve">), </w:t>
      </w:r>
      <w:r>
        <w:rPr>
          <w:rFonts w:ascii="Times New Roman" w:hAnsi="Times New Roman" w:cs="Times New Roman"/>
          <w:sz w:val="20"/>
          <w:szCs w:val="20"/>
        </w:rPr>
        <w:t xml:space="preserve">or </w:t>
      </w:r>
      <w:r w:rsidRPr="00C0588D">
        <w:rPr>
          <w:rFonts w:ascii="Times New Roman" w:hAnsi="Times New Roman" w:cs="Times New Roman"/>
          <w:sz w:val="20"/>
          <w:szCs w:val="20"/>
        </w:rPr>
        <w:t xml:space="preserve">alternative regeneration processes (e.g. electrochemistry; </w:t>
      </w:r>
      <w:r w:rsidRPr="00C0588D">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thAGQasW","properties":{"formattedCitation":"[305]","plainCitation":"[305]","noteIndex":0},"citationItems":[{"id":"968HXJ10/NZuCffHN","uris":["http://www.mendeley.com/documents/?uuid=1a00c6e9-d6f2-4757-8910-a20c902ebad2"],"uri":["http://www.mendeley.com/documents/?uuid=1a00c6e9-d6f2-4757-8910-a20c902ebad2"],"itemData":{"DOI":"10.1039/c3ee41165f","ISSN":"17545692","abstract":"Electrochemically mediated amine regeneration is a new post-combustion capture technology with the potential to exploit the excellent removal efficiencies of thermal amine scrubbers while reducing parasitic energy losses and capital costs. The improvements result from the use of an electrochemical stripping cycle, in lieu of the traditional thermal swing, to facilitate CO 2 desorption and amine regeneration; metal cations generated at an anode react with the amines, displacing the CO2, which is then flashed off, and the amines are regenerated by subsequent reduction of the metal cations in a cathode cell. The advantages of such a process include higher CO2 desorption pressures, smaller absorbers, and lower energy demands. Several example chemistries using different polyamines and copper are presented. Experimental results indicate an open-circuit efficiency of 54% (15 kJ per mole CO2) is achievable at the tested conditions and models predict that 69% efficiency is possible at higher temperatures and pressures. A bench scale system produced 1.6 mL min-1 CO2 while operating at 0.4 volts and 42% Faradaic efficiency; this corresponds to a work of less than 100 kJ per mole. © 2013 The Royal Society of Chemistry.","author":[{"dropping-particle":"","family":"Stern","given":"Michael C.","non-dropping-particle":"","parse-names":false,"suffix":""},{"dropping-particle":"","family":"Simeon","given":"Fritz","non-dropping-particle":"","parse-names":false,"suffix":""},{"dropping-particle":"","family":"Herzog","given":"Howard","non-dropping-particle":"","parse-names":false,"suffix":""},{"dropping-particle":"","family":"Hatton","given":"T. Alan","non-dropping-particle":"","parse-names":false,"suffix":""}],"container-title":"Energy and Environmental Science","id":"ITEM-1","issue":"8","issued":{"date-parts":[["2013"]]},"page":"2505-2517","title":"Post-combustion carbon dioxide capture using electrochemically mediated amine regeneration","type":"article-journal","volume":"6"}}],"schema":"https://github.com/citation-style-language/schema/raw/master/csl-citation.json"} </w:instrText>
      </w:r>
      <w:r w:rsidRPr="00C0588D">
        <w:rPr>
          <w:rFonts w:ascii="Times New Roman" w:hAnsi="Times New Roman" w:cs="Times New Roman"/>
          <w:sz w:val="20"/>
          <w:szCs w:val="20"/>
        </w:rPr>
        <w:fldChar w:fldCharType="separate"/>
      </w:r>
      <w:r w:rsidRPr="00665C2D">
        <w:rPr>
          <w:rFonts w:ascii="Times New Roman" w:hAnsi="Times New Roman" w:cs="Times New Roman"/>
          <w:sz w:val="20"/>
        </w:rPr>
        <w:t>[305]</w:t>
      </w:r>
      <w:r w:rsidRPr="00C0588D">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099F48E8" w14:textId="4576A73F" w:rsidR="007E5D2D" w:rsidRDefault="007E5D2D" w:rsidP="007E5D2D">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Assuming a favorable techno-economic environment, the potential of DAC is theoretically unlimited. Potentials up to 40 Gt CO</w:t>
      </w:r>
      <w:r w:rsidRPr="00C8746E">
        <w:rPr>
          <w:rFonts w:ascii="Times New Roman" w:hAnsi="Times New Roman" w:cs="Times New Roman"/>
          <w:sz w:val="20"/>
          <w:szCs w:val="20"/>
          <w:vertAlign w:val="subscript"/>
        </w:rPr>
        <w:t>2</w:t>
      </w:r>
      <w:r>
        <w:rPr>
          <w:rFonts w:ascii="Times New Roman" w:hAnsi="Times New Roman" w:cs="Times New Roman"/>
          <w:sz w:val="20"/>
          <w:szCs w:val="20"/>
        </w:rPr>
        <w:t xml:space="preserve"> y</w:t>
      </w:r>
      <w:r w:rsidRPr="00363335">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00E800AA">
        <w:rPr>
          <w:rFonts w:ascii="Times New Roman" w:hAnsi="Times New Roman" w:cs="Times New Roman"/>
          <w:sz w:val="20"/>
          <w:szCs w:val="20"/>
        </w:rPr>
        <w:t>(40,000 Mt CO</w:t>
      </w:r>
      <w:r w:rsidR="00E800AA" w:rsidRPr="00C8746E">
        <w:rPr>
          <w:rFonts w:ascii="Times New Roman" w:hAnsi="Times New Roman" w:cs="Times New Roman"/>
          <w:sz w:val="20"/>
          <w:szCs w:val="20"/>
          <w:vertAlign w:val="subscript"/>
        </w:rPr>
        <w:t>2</w:t>
      </w:r>
      <w:r w:rsidR="00E800AA">
        <w:rPr>
          <w:rFonts w:ascii="Times New Roman" w:hAnsi="Times New Roman" w:cs="Times New Roman"/>
          <w:sz w:val="20"/>
          <w:szCs w:val="20"/>
        </w:rPr>
        <w:t xml:space="preserve"> y</w:t>
      </w:r>
      <w:r w:rsidR="00E800AA" w:rsidRPr="00363335">
        <w:rPr>
          <w:rFonts w:ascii="Times New Roman" w:hAnsi="Times New Roman" w:cs="Times New Roman"/>
          <w:sz w:val="20"/>
          <w:szCs w:val="20"/>
          <w:vertAlign w:val="superscript"/>
        </w:rPr>
        <w:t>-1</w:t>
      </w:r>
      <w:r w:rsidR="00E800AA">
        <w:rPr>
          <w:rFonts w:ascii="Times New Roman" w:hAnsi="Times New Roman" w:cs="Times New Roman"/>
          <w:sz w:val="20"/>
          <w:szCs w:val="20"/>
        </w:rPr>
        <w:t xml:space="preserve">) </w:t>
      </w:r>
      <w:r>
        <w:rPr>
          <w:rFonts w:ascii="Times New Roman" w:hAnsi="Times New Roman" w:cs="Times New Roman"/>
          <w:sz w:val="20"/>
          <w:szCs w:val="20"/>
        </w:rPr>
        <w:t xml:space="preserve">by the end of the century have been reported </w:t>
      </w:r>
      <w:r>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Ja0sXAO1","properties":{"formattedCitation":"[306]","plainCitation":"[306]","noteIndex":0},"citationItems":[{"id":5899,"uris":["http://zotero.org/groups/2763812/items/PZE3C9FF"],"uri":["http://zotero.org/groups/2763812/items/PZE3C9FF"],"itemData":{"id":5899,"type":"article-journal","abstract":"This paper provides a novel assessment of the role of direct air capture of CO2 from ambient air (DAC) on the feasibility of achieving stringent climate stabilization. We use the WITCH energy-economy-climate model to investigate the long term prospects of DAC, implementing a technological specification based on recent estimates by the American Physical Society (APS 2011). Assuming global cooperation on a stringent climate policy we find that: (1) DAC is deployed only late in century, after other low carbon options, though at a very significant scale; (2) DAC has an impact on the marginal and total abatement costs (reducing them) and on the timing of mitigation (postponing it); (3) DAC also allows for a prolonged use of oil, with a positive welfare impact for energy exporting countries. Finally, we assess the role of DAC in a less than ideal climate policy by exploring its potential for engaging energy exporting countries in climate mitigation activities by means of a “clean oil” market in which oil exporters can sell oil decarbonized via DAC.","container-title":"Climatic Change","DOI":"10.1007/s10584-013-0714-7","ISSN":"1573-1480","issue":"1","journalAbbreviation":"Climatic Change","language":"en","page":"59-72","source":"Springer Link","title":"Direct air capture of CO2 and climate stabilization: A model based assessment","title-short":"Direct air capture of CO2 and climate stabilization","volume":"118","author":[{"family":"Chen","given":"Chen"},{"family":"Tavoni","given":"Massimo"}],"issued":{"date-parts":[["2013",5,1]]}}}],"schema":"https://github.com/citation-style-language/schema/raw/master/csl-citation.json"} </w:instrText>
      </w:r>
      <w:r>
        <w:rPr>
          <w:rFonts w:ascii="Times New Roman" w:hAnsi="Times New Roman" w:cs="Times New Roman"/>
          <w:sz w:val="20"/>
          <w:szCs w:val="20"/>
        </w:rPr>
        <w:fldChar w:fldCharType="separate"/>
      </w:r>
      <w:r w:rsidRPr="00665C2D">
        <w:rPr>
          <w:rFonts w:ascii="Times New Roman" w:hAnsi="Times New Roman" w:cs="Times New Roman"/>
          <w:sz w:val="20"/>
        </w:rPr>
        <w:t>[306]</w:t>
      </w:r>
      <w:r>
        <w:rPr>
          <w:rFonts w:ascii="Times New Roman" w:hAnsi="Times New Roman" w:cs="Times New Roman"/>
          <w:sz w:val="20"/>
          <w:szCs w:val="20"/>
        </w:rPr>
        <w:fldChar w:fldCharType="end"/>
      </w:r>
      <w:r>
        <w:rPr>
          <w:rFonts w:ascii="Times New Roman" w:hAnsi="Times New Roman" w:cs="Times New Roman"/>
          <w:sz w:val="20"/>
          <w:szCs w:val="20"/>
        </w:rPr>
        <w:t xml:space="preserve">, albeit the meta-study of Fuss et al. </w:t>
      </w:r>
      <w:r>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MmxdfKlf","properties":{"formattedCitation":"[297]","plainCitation":"[297]","noteIndex":0},"citationItems":[{"id":5904,"uris":["http://zotero.org/groups/2763812/items/FTDSVCUB"],"uri":["http://zotero.org/groups/2763812/items/FTDSVCUB"],"itemData":{"id":5904,"type":"article-journal","abstract":"The most recent IPCC assessment has shown an important role for negative emissions technologies (NETs) in limiting global warming to 2 °C cost-effectively. However, a bottom-up, systematic, reproducible, and transparent literature assessment of the different options to remove CO2 from the atmosphere is currently missing. In part 1 of this three-part review on NETs, we assemble a comprehensive set of the relevant literature so far published, focusing on seven technologies: bioenergy with carbon capture and storage (BECCS), afforestation and reforestation, direct air carbon capture and storage (DACCS), enhanced weathering, ocean fertilisation, biochar, and soil carbon sequestration. In this part, part 2 of the review, we present estimates of costs, potentials, and side-effects for these technologies, and qualify them with the authors’ assessment. Part 3 reviews the innovation and scaling challenges that must be addressed to realise NETs deployment as a viable climate mitigation strategy. Based on a systematic review of the literature, our best estimates for sustainable global NET potentials in 2050 are 0.5–3.6 GtCO2 yr−1 for afforestation and reforestation, 0.5–5 GtCO2 yr−1 for BECCS, 0.5–2 GtCO2 yr−1 for biochar, 2–4 GtCO2 yr−1 for enhanced weathering, 0.5–5 GtCO2 yr−1 for DACCS, and up to 5 GtCO2 yr−1 for soil carbon sequestration. Costs vary widely across the technologies, as do their permanency and cumulative potentials beyond 2050. It is unlikely that a single NET will be able to sustainably meet the rates of carbon uptake described in integrated assessment pathways consistent with 1.5 °C of global warming.","container-title":"Environmental Research Letters","DOI":"10.1088/1748-9326/aabf9f","ISSN":"1748-9326","issue":"6","journalAbbreviation":"Environ. Res. Lett.","language":"en","page":"063002","source":"Institute of Physics","title":"Negative emissions—Part 2: Costs, potentials and side effects","title-short":"Negative emissions—Part 2","volume":"13","author":[{"family":"Fuss","given":"Sabine"},{"family":"Lamb","given":"William F."},{"family":"Callaghan","given":"Max W."},{"family":"Hilaire","given":"Jérôme"},{"family":"Creutzig","given":"Felix"},{"family":"Amann","given":"Thorben"},{"family":"Beringer","given":"Tim"},{"family":"Garcia","given":"Wagner de Oliveira"},{"family":"Hartmann","given":"Jens"},{"family":"Khanna","given":"Tarun"},{"family":"Luderer","given":"Gunnar"},{"family":"Nemet","given":"Gregory F."},{"family":"Rogelj","given":"Joeri"},{"family":"Smith","given":"Pete"},{"family":"Vicente","given":"José Luis Vicente"},{"family":"Wilcox","given":"Jennifer"},{"family":"Dominguez","given":"Maria del Mar Zamora"},{"family":"Minx","given":"Jan C."}],"issued":{"date-parts":[["2018",5]]}}}],"schema":"https://github.com/citation-style-language/schema/raw/master/csl-citation.json"} </w:instrText>
      </w:r>
      <w:r>
        <w:rPr>
          <w:rFonts w:ascii="Times New Roman" w:hAnsi="Times New Roman" w:cs="Times New Roman"/>
          <w:sz w:val="20"/>
          <w:szCs w:val="20"/>
        </w:rPr>
        <w:fldChar w:fldCharType="separate"/>
      </w:r>
      <w:r w:rsidRPr="009404B5">
        <w:rPr>
          <w:rFonts w:ascii="Times New Roman" w:hAnsi="Times New Roman" w:cs="Times New Roman"/>
          <w:sz w:val="20"/>
        </w:rPr>
        <w:t>[297]</w:t>
      </w:r>
      <w:r>
        <w:rPr>
          <w:rFonts w:ascii="Times New Roman" w:hAnsi="Times New Roman" w:cs="Times New Roman"/>
          <w:sz w:val="20"/>
          <w:szCs w:val="20"/>
        </w:rPr>
        <w:fldChar w:fldCharType="end"/>
      </w:r>
      <w:r>
        <w:rPr>
          <w:rFonts w:ascii="Times New Roman" w:hAnsi="Times New Roman" w:cs="Times New Roman"/>
          <w:sz w:val="20"/>
          <w:szCs w:val="20"/>
        </w:rPr>
        <w:t xml:space="preserve"> sugge</w:t>
      </w:r>
      <w:r w:rsidR="001634A8">
        <w:rPr>
          <w:rFonts w:ascii="Times New Roman" w:hAnsi="Times New Roman" w:cs="Times New Roman"/>
          <w:sz w:val="20"/>
          <w:szCs w:val="20"/>
        </w:rPr>
        <w:t>sts a potential limited to 0.5 -</w:t>
      </w:r>
      <w:r>
        <w:rPr>
          <w:rFonts w:ascii="Times New Roman" w:hAnsi="Times New Roman" w:cs="Times New Roman"/>
          <w:sz w:val="20"/>
          <w:szCs w:val="20"/>
        </w:rPr>
        <w:t xml:space="preserve"> 5 Gt CO</w:t>
      </w:r>
      <w:r w:rsidRPr="00C8746E">
        <w:rPr>
          <w:rFonts w:ascii="Times New Roman" w:hAnsi="Times New Roman" w:cs="Times New Roman"/>
          <w:sz w:val="20"/>
          <w:szCs w:val="20"/>
          <w:vertAlign w:val="subscript"/>
        </w:rPr>
        <w:t>2</w:t>
      </w:r>
      <w:r>
        <w:rPr>
          <w:rFonts w:ascii="Times New Roman" w:hAnsi="Times New Roman" w:cs="Times New Roman"/>
          <w:sz w:val="20"/>
          <w:szCs w:val="20"/>
        </w:rPr>
        <w:t xml:space="preserve"> y</w:t>
      </w:r>
      <w:r w:rsidRPr="00363335">
        <w:rPr>
          <w:rFonts w:ascii="Times New Roman" w:hAnsi="Times New Roman" w:cs="Times New Roman"/>
          <w:sz w:val="20"/>
          <w:szCs w:val="20"/>
          <w:vertAlign w:val="superscript"/>
        </w:rPr>
        <w:t>-1</w:t>
      </w:r>
      <w:r w:rsidR="001634A8">
        <w:rPr>
          <w:rFonts w:ascii="Times New Roman" w:hAnsi="Times New Roman" w:cs="Times New Roman"/>
          <w:sz w:val="20"/>
          <w:szCs w:val="20"/>
        </w:rPr>
        <w:t xml:space="preserve"> (500 -</w:t>
      </w:r>
      <w:r w:rsidR="00E800AA">
        <w:rPr>
          <w:rFonts w:ascii="Times New Roman" w:hAnsi="Times New Roman" w:cs="Times New Roman"/>
          <w:sz w:val="20"/>
          <w:szCs w:val="20"/>
        </w:rPr>
        <w:t xml:space="preserve"> 5,000 Mt CO</w:t>
      </w:r>
      <w:r w:rsidR="00E800AA" w:rsidRPr="00C8746E">
        <w:rPr>
          <w:rFonts w:ascii="Times New Roman" w:hAnsi="Times New Roman" w:cs="Times New Roman"/>
          <w:sz w:val="20"/>
          <w:szCs w:val="20"/>
          <w:vertAlign w:val="subscript"/>
        </w:rPr>
        <w:t>2</w:t>
      </w:r>
      <w:r w:rsidR="00E800AA">
        <w:rPr>
          <w:rFonts w:ascii="Times New Roman" w:hAnsi="Times New Roman" w:cs="Times New Roman"/>
          <w:sz w:val="20"/>
          <w:szCs w:val="20"/>
        </w:rPr>
        <w:t xml:space="preserve"> y</w:t>
      </w:r>
      <w:r w:rsidR="00E800AA" w:rsidRPr="00363335">
        <w:rPr>
          <w:rFonts w:ascii="Times New Roman" w:hAnsi="Times New Roman" w:cs="Times New Roman"/>
          <w:sz w:val="20"/>
          <w:szCs w:val="20"/>
          <w:vertAlign w:val="superscript"/>
        </w:rPr>
        <w:t>-1</w:t>
      </w:r>
      <w:r w:rsidR="00E800AA">
        <w:rPr>
          <w:rFonts w:ascii="Times New Roman" w:hAnsi="Times New Roman" w:cs="Times New Roman"/>
          <w:sz w:val="20"/>
          <w:szCs w:val="20"/>
        </w:rPr>
        <w:t>)</w:t>
      </w:r>
      <w:r>
        <w:rPr>
          <w:rFonts w:ascii="Times New Roman" w:hAnsi="Times New Roman" w:cs="Times New Roman"/>
          <w:sz w:val="20"/>
          <w:szCs w:val="20"/>
        </w:rPr>
        <w:t>. For comparison, the global annual CO</w:t>
      </w:r>
      <w:r w:rsidRPr="001D703F">
        <w:rPr>
          <w:rFonts w:ascii="Times New Roman" w:hAnsi="Times New Roman" w:cs="Times New Roman"/>
          <w:sz w:val="20"/>
          <w:szCs w:val="20"/>
          <w:vertAlign w:val="subscript"/>
        </w:rPr>
        <w:t>2</w:t>
      </w:r>
      <w:r>
        <w:rPr>
          <w:rFonts w:ascii="Times New Roman" w:hAnsi="Times New Roman" w:cs="Times New Roman"/>
          <w:sz w:val="20"/>
          <w:szCs w:val="20"/>
        </w:rPr>
        <w:t xml:space="preserve"> fossil emissions were ca. 36 Gt CO</w:t>
      </w:r>
      <w:r w:rsidRPr="00C8746E">
        <w:rPr>
          <w:rFonts w:ascii="Times New Roman" w:hAnsi="Times New Roman" w:cs="Times New Roman"/>
          <w:sz w:val="20"/>
          <w:szCs w:val="20"/>
          <w:vertAlign w:val="subscript"/>
        </w:rPr>
        <w:t>2</w:t>
      </w:r>
      <w:r>
        <w:rPr>
          <w:rFonts w:ascii="Times New Roman" w:hAnsi="Times New Roman" w:cs="Times New Roman"/>
          <w:sz w:val="20"/>
          <w:szCs w:val="20"/>
        </w:rPr>
        <w:t xml:space="preserve"> in 2019 </w:t>
      </w:r>
      <w:r>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FtMgIfyf","properties":{"formattedCitation":"[307]","plainCitation":"[307]","noteIndex":0},"citationItems":[{"id":5901,"uris":["http://zotero.org/groups/2763812/items/MYYPJMPG"],"uri":["http://zotero.org/groups/2763812/items/MYYPJMPG"],"itemData":{"id":5901,"type":"article-journal","abstract":"&lt;p&gt;&lt;strong class=\"journal-contentHeaderColor\"&gt;Abstract.&lt;/strong&gt; Accurate assessment of anthropogenic carbon dioxide (CO&lt;span class=\"inline-formula\"&gt;&lt;sub&gt;2&lt;/sub&gt;&lt;/span&gt;) emissions and their redistribution among the atmosphere, ocean, and terrestrial biosphere in a changing climate – the “global carbon budget” – is important to better understand the global carbon cycle, support the development of climate policies, and project future climate change. Here we describe and synthesize data sets and methodology to quantify the five major components of the global carbon budget and their uncertainties. Fossil CO&lt;span class=\"inline-formula\"&gt;&lt;sub&gt;2&lt;/sub&gt;&lt;/span&gt; emissions (&lt;span class=\"inline-formula\"&gt;&lt;i&gt;E&lt;/i&gt;&lt;sub&gt;FOS&lt;/sub&gt;&lt;/span&gt;) are based on energy statistics and cement production data, while emissions from land-use change (&lt;span class=\"inline-formula\"&gt;&lt;i&gt;E&lt;/i&gt;&lt;sub&gt;LUC&lt;/sub&gt;&lt;/span&gt;), mainly deforestation, are based on land use and land-use change data and bookkeeping models. Atmospheric CO&lt;span class=\"inline-formula\"&gt;&lt;sub&gt;2&lt;/sub&gt;&lt;/span&gt; concentration is measured directly and its growth rate (&lt;span class=\"inline-formula\"&gt;&lt;i&gt;G&lt;/i&gt;&lt;sub&gt;ATM&lt;/sub&gt;&lt;/span&gt;) is computed from the annual changes in concentration. The ocean CO&lt;span class=\"inline-formula\"&gt;&lt;sub&gt;2&lt;/sub&gt;&lt;/span&gt; sink (&lt;span class=\"inline-formula\"&gt;&lt;i&gt;S&lt;/i&gt;&lt;sub&gt;OCEAN&lt;/sub&gt;&lt;/span&gt;) and terrestrial CO&lt;span class=\"inline-formula\"&gt;&lt;sub&gt;2&lt;/sub&gt;&lt;/span&gt; sink (&lt;span class=\"inline-formula\"&gt;&lt;i&gt;S&lt;/i&gt;&lt;sub&gt;LAND&lt;/sub&gt;&lt;/span&gt;) are estimated with global process models constrained by observations. The resulting carbon budget imbalance (&lt;span class=\"inline-formula\"&gt;&lt;i&gt;B&lt;/i&gt;&lt;sub&gt;IM&lt;/sub&gt;&lt;/span&gt;), the difference between the estimated total emissions and the estimated changes in the atmosphere, ocean, and terrestrial biosphere, is a measure of imperfect data and understanding of the contemporary carbon cycle. All uncertainties are reported as &lt;span class=\"inline-formula\"&gt;±1&lt;i&gt;σ&lt;/i&gt;&lt;/span&gt;. For the last decade available (2010–2019), &lt;span class=\"inline-formula\"&gt;&lt;i&gt;E&lt;/i&gt;&lt;sub&gt;FOS&lt;/sub&gt;&lt;/span&gt; was 9.6&amp;thinsp;&lt;span class=\"inline-formula\"&gt;±&lt;/span&gt;&amp;thinsp;0.5&amp;thinsp;GtC&amp;thinsp;yr&lt;span class=\"inline-formula\"&gt;&lt;sup&gt;−1&lt;/sup&gt;&lt;/span&gt; excluding the cement carbonation sink (9.4&amp;thinsp;&lt;span class=\"inline-formula\"&gt;±&lt;/span&gt;&amp;thinsp;0.5&amp;thinsp;GtC&amp;thinsp;yr&lt;span class=\"inline-formula\"&gt;&lt;sup&gt;−1&lt;/sup&gt;&lt;/span&gt; when the cement carbonation sink is included), and &lt;span class=\"inline-formula\"&gt;&lt;i&gt;E&lt;/i&gt;&lt;sub&gt;LUC&lt;/sub&gt;&lt;/span&gt; was 1.6&amp;thinsp;&lt;span class=\"inline-formula\"&gt;±&lt;/span&gt;&amp;thinsp;0.7&amp;thinsp;GtC&amp;thinsp;yr&lt;span class=\"inline-formula\"&gt;&lt;sup&gt;−1&lt;/sup&gt;&lt;/span&gt;. For the same decade, &lt;span class=\"inline-formula\"&gt;&lt;i&gt;G&lt;/i&gt;&lt;sub&gt;ATM&lt;/sub&gt;&lt;/span&gt; was 5.1&amp;thinsp;&lt;span class=\"inline-formula\"&gt;±&lt;/span&gt;&amp;thinsp;0.02&amp;thinsp;GtC&amp;thinsp;yr&lt;span class=\"inline-formula\"&gt;&lt;sup&gt;−1&lt;/sup&gt;&lt;/span&gt; (2.4&amp;thinsp;&lt;span class=\"inline-formula\"&gt;±&lt;/span&gt;&amp;thinsp;0.01&amp;thinsp;ppm&amp;thinsp;yr&lt;span class=\"inline-formula\"&gt;&lt;sup&gt;−1&lt;/sup&gt;&lt;/span&gt;), &lt;span class=\"inline-formula\"&gt;&lt;i&gt;S&lt;/i&gt;&lt;sub&gt;OCEAN&lt;/sub&gt;&lt;/span&gt; 2.5&amp;thinsp;&lt;span class=\"inline-formula\"&gt;±&lt;/span&gt;&amp;thinsp; 0.6&amp;thinsp;GtC&amp;thinsp;yr&lt;span class=\"inline-formula\"&gt;&lt;sup&gt;−1&lt;/sup&gt;&lt;/span&gt;, and &lt;span class=\"inline-formula\"&gt;&lt;i&gt;S&lt;/i&gt;&lt;sub&gt;LAND&lt;/sub&gt;&lt;/span&gt; 3.4&amp;thinsp;&lt;span class=\"inline-formula\"&gt;±&lt;/span&gt;&amp;thinsp;0.9&amp;thinsp;GtC&amp;thinsp;yr&lt;span class=\"inline-formula\"&gt;&lt;sup&gt;−1&lt;/sup&gt;&lt;/span&gt;, with a budget imbalance &lt;span class=\"inline-formula\"&gt;&lt;i&gt;B&lt;/i&gt;&lt;sub&gt;IM&lt;/sub&gt;&lt;/span&gt; of &lt;span class=\"inline-formula\"&gt;−&lt;/span&gt;0.1&amp;thinsp;GtC&amp;thinsp;yr&lt;span class=\"inline-formula\"&gt;&lt;sup&gt;−1&lt;/sup&gt;&lt;/span&gt; indicating a near balance between estimated sources and sinks over the last decade. For the year 2019 alone, the growth in &lt;span class=\"inline-formula\"&gt;&lt;i&gt;E&lt;/i&gt;&lt;sub&gt;FOS&lt;/sub&gt;&lt;/span&gt; was only about 0.1&amp;thinsp;% with fossil emissions increasing to 9.9&amp;thinsp;&lt;span class=\"inline-formula\"&gt;±&lt;/span&gt;&amp;thinsp;0.5&amp;thinsp;GtC&amp;thinsp;yr&lt;span class=\"inline-formula\"&gt;&lt;sup&gt;−1&lt;/sup&gt;&lt;/span&gt; excluding the cement carbonation sink (9.7&amp;thinsp;&lt;span class=\"inline-formula\"&gt;±&lt;/span&gt;&amp;thinsp;0.5&amp;thinsp;GtC&amp;thinsp;yr&lt;span class=\"inline-formula\"&gt;&lt;sup&gt;−1&lt;/sup&gt;&lt;/span&gt; when cement carbonation sink is included), and &lt;span class=\"inline-formula\"&gt;&lt;i&gt;E&lt;/i&gt;&lt;sub&gt;LUC&lt;/sub&gt;&lt;/span&gt; was 1.8&amp;thinsp;&lt;span class=\"inline-formula\"&gt;±&lt;/span&gt;&amp;thinsp;0.7&amp;thinsp;GtC&amp;thinsp;yr&lt;span class=\"inline-formula\"&gt;&lt;sup&gt;−1&lt;/sup&gt;&lt;/span&gt;, for total anthropogenic CO&lt;span class=\"inline-formula\"&gt;&lt;sub&gt;2&lt;/sub&gt;&lt;/span&gt; emissions of 11.5&amp;thinsp;&lt;span class=\"inline-formula\"&gt;±&lt;/span&gt;&amp;thinsp;0.9&amp;thinsp;GtC&amp;thinsp;yr&lt;span class=\"inline-formula\"&gt;&lt;sup&gt;−1&lt;/sup&gt;&lt;/span&gt; (42.2&amp;thinsp;&lt;span class=\"inline-formula\"&gt;±&lt;/span&gt;&amp;thinsp;3.3&amp;thinsp;GtCO&lt;span class=\"inline-formula\"&gt;&lt;sub&gt;2&lt;/sub&gt;&lt;/span&gt;). Also for 2019, &lt;span class=\"inline-formula\"&gt;&lt;i&gt;G&lt;/i&gt;&lt;sub&gt;ATM&lt;/sub&gt;&lt;/span&gt; was 5.4&amp;thinsp;&lt;span class=\"inline-formula\"&gt;±&lt;/span&gt;&amp;thinsp;0.2&amp;thinsp;GtC&amp;thinsp;yr&lt;span class=\"inline-formula\"&gt;&lt;sup&gt;−1&lt;/sup&gt;&lt;/span&gt; (2.5&amp;thinsp;&lt;span class=\"inline-formula\"&gt;±&lt;/span&gt;&amp;thinsp;0.1&amp;thinsp;ppm&amp;thinsp;yr&lt;span class=\"inline-formula\"&gt;&lt;sup&gt;−1&lt;/sup&gt;&lt;/span&gt;), &lt;span class=\"inline-formula\"&gt;&lt;i&gt;S&lt;/i&gt;&lt;sub&gt;OCEAN&lt;/sub&gt;&lt;/span&gt; was 2.6&amp;thinsp;&lt;span class=\"inline-formula\"&gt;±&lt;/span&gt;&amp;thinsp;0.6&amp;thinsp;GtC&amp;thinsp;yr&lt;span class=\"inline-formula\"&gt;&lt;sup&gt;−1&lt;/sup&gt;&lt;/span&gt;, and &lt;span class=\"inline-formula\"&gt;&lt;i&gt;S&lt;/i&gt;&lt;sub&gt;LAND&lt;/sub&gt;&lt;/span&gt; was 3.1&amp;thinsp;&lt;span class=\"inline-formula\"&gt;±&lt;/span&gt;&amp;thinsp;1.2&amp;thinsp;GtC&amp;thinsp;yr&lt;span class=\"inline-formula\"&gt;&lt;sup&gt;−1&lt;/sup&gt;&lt;/span&gt;, with a &lt;span class=\"inline-formula\"&gt;&lt;i&gt;B&lt;/i&gt;&lt;sub&gt;IM&lt;/sub&gt;&lt;/span&gt; of 0.3&amp;thinsp;GtC. The global atmospheric CO&lt;span class=\"inline-formula\"&gt;&lt;sub&gt;2&lt;/sub&gt;&lt;/span&gt; concentration reached 409.85&amp;thinsp;&lt;span class=\"inline-formula\"&gt;±&lt;/span&gt;&amp;thinsp;0.1&amp;thinsp;ppm averaged over 2019. Preliminary data for 2020, accounting for the COVID-19-induced changes in emissions, suggest a decrease in &lt;span class=\"inline-formula\"&gt;&lt;i&gt;E&lt;/i&gt;&lt;sub&gt;FOS&lt;/sub&gt;&lt;/span&gt; relative to 2019 of about &lt;span class=\"inline-formula\"&gt;−&lt;/span&gt;7&amp;thinsp;% (median estimate) based on individual estimates from four studies of &lt;span class=\"inline-formula\"&gt;−&lt;/span&gt;6&amp;thinsp;%, &lt;span class=\"inline-formula\"&gt;−&lt;/span&gt;7&amp;thinsp;%, &lt;span class=\"inline-formula\"&gt;−&lt;/span&gt;7&amp;thinsp;% (&lt;span class=\"inline-formula\"&gt;−&lt;/span&gt;3&amp;thinsp;% to &lt;span class=\"inline-formula\"&gt;−&lt;/span&gt;11&amp;thinsp;%), and &lt;span class=\"inline-formula\"&gt;−&lt;/span&gt;13&amp;thinsp;%. Overall, the mean and trend in the components of the global carbon budget are consistently estimated over the period 1959–2019, but discrepancies of up to 1&amp;thinsp;GtC&amp;thinsp;yr&lt;span class=\"inline-formula\"&gt;&lt;sup&gt;−1&lt;/sup&gt;&lt;/span&gt; persist for the representation of semi-decadal variability in CO&lt;span class=\"inline-formula\"&gt;&lt;sub&gt;2&lt;/sub&gt;&lt;/span&gt; fluxes. Comparison of estimates from diverse approaches and observations shows (1) no consensus in the mean and trend in land-use change emissions over the last decade, (2) a persistent low agreement between the different methods on the magnitude of the land CO&lt;span class=\"inline-formula\"&gt;&lt;sub&gt;2&lt;/sub&gt;&lt;/span&gt; flux in the northern extra-tropics, and (3) an apparent discrepancy between the different methods for the ocean sink outside the tropics, particularly in the Southern Ocean. This living data update documents changes in the methods and data sets used in this new global carbon budget and the progress in understanding of the global carbon cycle compared with previous publications&lt;span id=\"page3272\"/&gt; of this data set (Friedlingstein et al., 2019; Le Quéré et al., 2018b, a, 2016, 2015b, a, 2014, 2013). The data presented in this work are available at &lt;a href=\"https://doi.org/10.18160/gcp-2020\"&gt;https://doi.org/10.18160/gcp-2020&lt;/a&gt; (Friedlingstein et al., 2020).&lt;/p&gt;","container-title":"Earth System Science Data","DOI":"https://doi.org/10.5194/essd-12-3269-2020","ISSN":"1866-3508","issue":"4","language":"English","page":"3269-3340","source":"essd.copernicus.org","title":"Global Carbon Budget 2020","volume":"12","author":[{"family":"Friedlingstein","given":"Pierre"},{"family":"O'Sullivan","given":"Michael"},{"family":"Jones","given":"Matthew W."},{"family":"Andrew","given":"Robbie M."},{"family":"Hauck","given":"Judith"},{"family":"Olsen","given":"Are"},{"family":"Peters","given":"Glen P."},{"family":"Peters","given":"Wouter"},{"family":"Pongratz","given":"Julia"},{"family":"Sitch","given":"Stephen"},{"family":"Le Quéré","given":"Corinne"},{"family":"Canadell","given":"Josep G."},{"family":"Ciais","given":"Philippe"},{"family":"Jackson","given":"Robert B."},{"family":"Alin","given":"Simone"},{"family":"Aragão","given":"Luiz E. O. C."},{"family":"Arneth","given":"Almut"},{"family":"Arora","given":"Vivek"},{"family":"Bates","given":"Nicholas R."},{"family":"Becker","given":"Meike"},{"family":"Benoit-Cattin","given":"Alice"},{"family":"Bittig","given":"Henry C."},{"family":"Bopp","given":"Laurent"},{"family":"Bultan","given":"Selma"},{"family":"Chandra","given":"Naveen"},{"family":"Chevallier","given":"Frédéric"},{"family":"Chini","given":"Louise P."},{"family":"Evans","given":"Wiley"},{"family":"Florentie","given":"Liesbeth"},{"family":"Forster","given":"Piers M."},{"family":"Gasser","given":"Thomas"},{"family":"Gehlen","given":"Marion"},{"family":"Gilfillan","given":"Dennis"},{"family":"Gkritzalis","given":"Thanos"},{"family":"Gregor","given":"Luke"},{"family":"Gruber","given":"Nicolas"},{"family":"Harris","given":"Ian"},{"family":"Hartung","given":"Kerstin"},{"family":"Haverd","given":"Vanessa"},{"family":"Houghton","given":"Richard A."},{"family":"Ilyina","given":"Tatiana"},{"family":"Jain","given":"Atul K."},{"family":"Joetzjer","given":"Emilie"},{"family":"Kadono","given":"Koji"},{"family":"Kato","given":"Etsushi"},{"family":"Kitidis","given":"Vassilis"},{"family":"Korsbakken","given":"Jan Ivar"},{"family":"Landschützer","given":"Peter"},{"family":"Lefèvre","given":"Nathalie"},{"family":"Lenton","given":"Andrew"},{"family":"Lienert","given":"Sebastian"},{"family":"Liu","given":"Zhu"},{"family":"Lombardozzi","given":"Danica"},{"family":"Marland","given":"Gregg"},{"family":"Metzl","given":"Nicolas"},{"family":"Munro","given":"David R."},{"family":"Nabel","given":"Julia E. M. S."},{"family":"Nakaoka","given":"Shin-Ichiro"},{"family":"Niwa","given":"Yosuke"},{"family":"O'Brien","given":"Kevin"},{"family":"Ono","given":"Tsuneo"},{"family":"Palmer","given":"Paul I."},{"family":"Pierrot","given":"Denis"},{"family":"Poulter","given":"Benjamin"},{"family":"Resplandy","given":"Laure"},{"family":"Robertson","given":"Eddy"},{"family":"Rödenbeck","given":"Christian"},{"family":"Schwinger","given":"Jörg"},{"family":"Séférian","given":"Roland"},{"family":"Skjelvan","given":"Ingunn"},{"family":"Smith","given":"Adam J. P."},{"family":"Sutton","given":"Adrienne J."},{"family":"Tanhua","given":"Toste"},{"family":"Tans","given":"Pieter P."},{"family":"Tian","given":"Hanqin"},{"family":"Tilbrook","given":"Bronte"},{"family":"Werf","given":"Guido","non-dropping-particle":"van der"},{"family":"Vuichard","given":"Nicolas"},{"family":"Walker","given":"Anthony P."},{"family":"Wanninkhof","given":"Rik"},{"family":"Watson","given":"Andrew J."},{"family":"Willis","given":"David"},{"family":"Wiltshire","given":"Andrew J."},{"family":"Yuan","given":"Wenping"},{"family":"Yue","given":"Xu"},{"family":"Zaehle","given":"Sönke"}],"issued":{"date-parts":[["2020",12,11]]}}}],"schema":"https://github.com/citation-style-language/schema/raw/master/csl-citation.json"} </w:instrText>
      </w:r>
      <w:r>
        <w:rPr>
          <w:rFonts w:ascii="Times New Roman" w:hAnsi="Times New Roman" w:cs="Times New Roman"/>
          <w:sz w:val="20"/>
          <w:szCs w:val="20"/>
        </w:rPr>
        <w:fldChar w:fldCharType="separate"/>
      </w:r>
      <w:r w:rsidRPr="00665C2D">
        <w:rPr>
          <w:rFonts w:ascii="Times New Roman" w:hAnsi="Times New Roman" w:cs="Times New Roman"/>
          <w:sz w:val="20"/>
        </w:rPr>
        <w:t>[307]</w:t>
      </w:r>
      <w:r>
        <w:rPr>
          <w:rFonts w:ascii="Times New Roman" w:hAnsi="Times New Roman" w:cs="Times New Roman"/>
          <w:sz w:val="20"/>
          <w:szCs w:val="20"/>
        </w:rPr>
        <w:fldChar w:fldCharType="end"/>
      </w:r>
      <w:r>
        <w:rPr>
          <w:rFonts w:ascii="Times New Roman" w:hAnsi="Times New Roman" w:cs="Times New Roman"/>
          <w:sz w:val="20"/>
          <w:szCs w:val="20"/>
        </w:rPr>
        <w:t>.</w:t>
      </w:r>
    </w:p>
    <w:p w14:paraId="34FD2FEF" w14:textId="67823941" w:rsidR="00134BDB" w:rsidRPr="00C0588D" w:rsidRDefault="004078F9" w:rsidP="00A213D3">
      <w:pPr>
        <w:spacing w:after="120" w:line="276" w:lineRule="auto"/>
        <w:jc w:val="thaiDistribute"/>
        <w:rPr>
          <w:rFonts w:ascii="Times New Roman" w:hAnsi="Times New Roman" w:cs="Times New Roman"/>
          <w:i/>
          <w:sz w:val="20"/>
          <w:szCs w:val="20"/>
        </w:rPr>
      </w:pPr>
      <w:r>
        <w:rPr>
          <w:rFonts w:ascii="Times New Roman" w:hAnsi="Times New Roman" w:cs="Times New Roman"/>
          <w:i/>
          <w:sz w:val="20"/>
          <w:szCs w:val="20"/>
        </w:rPr>
        <w:t>7.3</w:t>
      </w:r>
      <w:r w:rsidR="00A213D3" w:rsidRPr="00C0588D">
        <w:rPr>
          <w:rFonts w:ascii="Times New Roman" w:hAnsi="Times New Roman" w:cs="Times New Roman"/>
          <w:i/>
          <w:sz w:val="20"/>
          <w:szCs w:val="20"/>
        </w:rPr>
        <w:t xml:space="preserve"> </w:t>
      </w:r>
      <w:r w:rsidR="00134BDB" w:rsidRPr="00C0588D">
        <w:rPr>
          <w:rFonts w:ascii="Times New Roman" w:hAnsi="Times New Roman" w:cs="Times New Roman"/>
          <w:i/>
          <w:sz w:val="20"/>
          <w:szCs w:val="20"/>
        </w:rPr>
        <w:t>Need for sustainable hydrogen</w:t>
      </w:r>
    </w:p>
    <w:p w14:paraId="074582BB" w14:textId="6E2B9012" w:rsidR="00537075" w:rsidRDefault="004078F9" w:rsidP="004078F9">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All pathways described herein involve hydrogen, </w:t>
      </w:r>
      <w:r w:rsidR="00D7039C">
        <w:rPr>
          <w:rFonts w:ascii="Times New Roman" w:hAnsi="Times New Roman" w:cs="Times New Roman"/>
          <w:sz w:val="20"/>
          <w:szCs w:val="20"/>
        </w:rPr>
        <w:t xml:space="preserve">with the exception of </w:t>
      </w:r>
      <w:r>
        <w:rPr>
          <w:rFonts w:ascii="Times New Roman" w:hAnsi="Times New Roman" w:cs="Times New Roman"/>
          <w:sz w:val="20"/>
          <w:szCs w:val="20"/>
        </w:rPr>
        <w:t>electric SESA</w:t>
      </w:r>
      <w:r w:rsidR="00D7039C">
        <w:rPr>
          <w:rFonts w:ascii="Times New Roman" w:hAnsi="Times New Roman" w:cs="Times New Roman"/>
          <w:sz w:val="20"/>
          <w:szCs w:val="20"/>
        </w:rPr>
        <w:t>, unless part of an hybridized system involving a share of liquid biofuels or electrofuels.</w:t>
      </w:r>
      <w:r>
        <w:rPr>
          <w:rFonts w:ascii="Times New Roman" w:hAnsi="Times New Roman" w:cs="Times New Roman"/>
          <w:sz w:val="20"/>
          <w:szCs w:val="20"/>
        </w:rPr>
        <w:t xml:space="preserve"> Hydrogen is used whether for </w:t>
      </w:r>
      <w:r w:rsidRPr="00A9127F">
        <w:rPr>
          <w:rFonts w:ascii="Times New Roman" w:hAnsi="Times New Roman" w:cs="Times New Roman"/>
          <w:sz w:val="20"/>
          <w:szCs w:val="20"/>
        </w:rPr>
        <w:t xml:space="preserve">hydrogenation of aviation biofuels </w:t>
      </w:r>
      <w:r w:rsidR="00166849">
        <w:rPr>
          <w:rFonts w:ascii="Times New Roman" w:hAnsi="Times New Roman" w:cs="Times New Roman"/>
          <w:sz w:val="20"/>
          <w:szCs w:val="20"/>
        </w:rPr>
        <w:t>(Figs. 2-9</w:t>
      </w:r>
      <w:r>
        <w:rPr>
          <w:rFonts w:ascii="Times New Roman" w:hAnsi="Times New Roman" w:cs="Times New Roman"/>
          <w:sz w:val="20"/>
          <w:szCs w:val="20"/>
        </w:rPr>
        <w:t>)</w:t>
      </w:r>
      <w:r w:rsidR="00166849">
        <w:rPr>
          <w:rFonts w:ascii="Times New Roman" w:hAnsi="Times New Roman" w:cs="Times New Roman"/>
          <w:sz w:val="20"/>
          <w:szCs w:val="20"/>
        </w:rPr>
        <w:t>, electrofuels (Fig. 10)</w:t>
      </w:r>
      <w:r w:rsidRPr="00A9127F">
        <w:rPr>
          <w:rFonts w:ascii="Times New Roman" w:hAnsi="Times New Roman" w:cs="Times New Roman"/>
          <w:sz w:val="20"/>
          <w:szCs w:val="20"/>
        </w:rPr>
        <w:t xml:space="preserve">, </w:t>
      </w:r>
      <w:r>
        <w:rPr>
          <w:rFonts w:ascii="Times New Roman" w:hAnsi="Times New Roman" w:cs="Times New Roman"/>
          <w:sz w:val="20"/>
          <w:szCs w:val="20"/>
        </w:rPr>
        <w:t xml:space="preserve">as well as for </w:t>
      </w:r>
      <w:r w:rsidRPr="00A9127F">
        <w:rPr>
          <w:rFonts w:ascii="Times New Roman" w:hAnsi="Times New Roman" w:cs="Times New Roman"/>
          <w:sz w:val="20"/>
          <w:szCs w:val="20"/>
        </w:rPr>
        <w:t>fossil-based kerosene</w:t>
      </w:r>
      <w:r w:rsidR="00537075">
        <w:rPr>
          <w:rFonts w:ascii="Times New Roman" w:hAnsi="Times New Roman" w:cs="Times New Roman"/>
          <w:sz w:val="20"/>
          <w:szCs w:val="20"/>
        </w:rPr>
        <w:t xml:space="preserve"> production</w:t>
      </w:r>
      <w:r w:rsidRPr="00A9127F">
        <w:rPr>
          <w:rFonts w:ascii="Times New Roman" w:hAnsi="Times New Roman" w:cs="Times New Roman"/>
          <w:sz w:val="20"/>
          <w:szCs w:val="20"/>
        </w:rPr>
        <w:t xml:space="preserve"> </w:t>
      </w:r>
      <w:r w:rsidRPr="00A9127F">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zT4mNLcC","properties":{"formattedCitation":"[308]","plainCitation":"[308]","noteIndex":0},"citationItems":[{"id":5856,"uris":["http://zotero.org/groups/2763812/items/Q8TCH4KU"],"uri":["http://zotero.org/groups/2763812/items/Q8TCH4KU"],"itemData":{"id":5856,"type":"patent","note":"issue: May\ncontainer-title: United States Patent Office\nDOI: 10.1145/178951.178972","page":"1-3","title":"Process and catalyst for hydrogenation of kerosene to remove color and fluorescence","author":[{"family":"Lanning","given":"William","suffix":"C."},{"family":"Okala","given":"Bartlesville"}],"issued":{"date-parts":[["1957"]]}}}],"schema":"https://github.com/citation-style-language/schema/raw/master/csl-citation.json"} </w:instrText>
      </w:r>
      <w:r w:rsidRPr="00A9127F">
        <w:rPr>
          <w:rFonts w:ascii="Times New Roman" w:hAnsi="Times New Roman" w:cs="Times New Roman"/>
          <w:sz w:val="20"/>
          <w:szCs w:val="20"/>
        </w:rPr>
        <w:fldChar w:fldCharType="separate"/>
      </w:r>
      <w:r w:rsidRPr="00665C2D">
        <w:rPr>
          <w:rFonts w:ascii="Times New Roman" w:hAnsi="Times New Roman" w:cs="Times New Roman"/>
          <w:sz w:val="20"/>
        </w:rPr>
        <w:t>[308]</w:t>
      </w:r>
      <w:r w:rsidRPr="00A9127F">
        <w:rPr>
          <w:rFonts w:ascii="Times New Roman" w:hAnsi="Times New Roman" w:cs="Times New Roman"/>
          <w:sz w:val="20"/>
          <w:szCs w:val="20"/>
        </w:rPr>
        <w:fldChar w:fldCharType="end"/>
      </w:r>
      <w:r>
        <w:rPr>
          <w:rFonts w:ascii="Times New Roman" w:hAnsi="Times New Roman" w:cs="Times New Roman"/>
          <w:sz w:val="20"/>
          <w:szCs w:val="20"/>
        </w:rPr>
        <w:t>, although more H</w:t>
      </w:r>
      <w:r w:rsidRPr="00883730">
        <w:rPr>
          <w:rFonts w:ascii="Times New Roman" w:hAnsi="Times New Roman" w:cs="Times New Roman"/>
          <w:sz w:val="20"/>
          <w:szCs w:val="20"/>
          <w:vertAlign w:val="subscript"/>
        </w:rPr>
        <w:t>2</w:t>
      </w:r>
      <w:r>
        <w:rPr>
          <w:rFonts w:ascii="Times New Roman" w:hAnsi="Times New Roman" w:cs="Times New Roman"/>
          <w:sz w:val="20"/>
          <w:szCs w:val="20"/>
        </w:rPr>
        <w:t xml:space="preserve"> is used for biofuels than fossil kerosene (3 to 75-fold more, </w:t>
      </w:r>
      <w:r w:rsidR="00D7039C">
        <w:rPr>
          <w:rFonts w:ascii="Times New Roman" w:hAnsi="Times New Roman" w:cs="Times New Roman"/>
          <w:sz w:val="20"/>
          <w:szCs w:val="20"/>
        </w:rPr>
        <w:t>depending on the pathway;</w:t>
      </w:r>
      <w:r>
        <w:rPr>
          <w:rFonts w:ascii="Times New Roman" w:hAnsi="Times New Roman" w:cs="Times New Roman"/>
          <w:sz w:val="20"/>
          <w:szCs w:val="20"/>
        </w:rPr>
        <w:t xml:space="preserve"> </w:t>
      </w:r>
      <w:r w:rsidRPr="00A9127F">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EYZw4XzX","properties":{"formattedCitation":"[242]","plainCitation":"[242]","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gyBO1Ums/OEz2GhBs","issued":{"date-parts":[["2020"]]},"title":"Opportunities for Hydrogen in Commercial Aviation","type":"article-journal"}}],"schema":"https://github.com/citation-style-language/schema/raw/master/csl-citation.json"} </w:instrText>
      </w:r>
      <w:r w:rsidRPr="00A9127F">
        <w:rPr>
          <w:rFonts w:ascii="Times New Roman" w:hAnsi="Times New Roman" w:cs="Times New Roman"/>
          <w:sz w:val="20"/>
          <w:szCs w:val="20"/>
        </w:rPr>
        <w:fldChar w:fldCharType="separate"/>
      </w:r>
      <w:r w:rsidRPr="00A9127F">
        <w:rPr>
          <w:rFonts w:ascii="Times New Roman" w:hAnsi="Times New Roman" w:cs="Times New Roman"/>
          <w:sz w:val="20"/>
        </w:rPr>
        <w:t>[242]</w:t>
      </w:r>
      <w:r w:rsidRPr="00A9127F">
        <w:rPr>
          <w:rFonts w:ascii="Times New Roman" w:hAnsi="Times New Roman" w:cs="Times New Roman"/>
          <w:sz w:val="20"/>
          <w:szCs w:val="20"/>
        </w:rPr>
        <w:fldChar w:fldCharType="end"/>
      </w:r>
      <w:r>
        <w:rPr>
          <w:rFonts w:ascii="Times New Roman" w:hAnsi="Times New Roman" w:cs="Times New Roman"/>
          <w:sz w:val="20"/>
          <w:szCs w:val="20"/>
        </w:rPr>
        <w:t>). Yet, some alternatives will require significantly more H</w:t>
      </w:r>
      <w:r w:rsidRPr="00665C2D">
        <w:rPr>
          <w:rFonts w:ascii="Times New Roman" w:hAnsi="Times New Roman" w:cs="Times New Roman"/>
          <w:sz w:val="20"/>
          <w:szCs w:val="20"/>
          <w:vertAlign w:val="subscript"/>
        </w:rPr>
        <w:t>2</w:t>
      </w:r>
      <w:r>
        <w:rPr>
          <w:rFonts w:ascii="Times New Roman" w:hAnsi="Times New Roman" w:cs="Times New Roman"/>
          <w:sz w:val="20"/>
          <w:szCs w:val="20"/>
        </w:rPr>
        <w:t>, namely electrofuels and LH</w:t>
      </w:r>
      <w:r w:rsidRPr="0042190C">
        <w:rPr>
          <w:rFonts w:ascii="Times New Roman" w:hAnsi="Times New Roman" w:cs="Times New Roman"/>
          <w:sz w:val="20"/>
          <w:szCs w:val="20"/>
          <w:vertAlign w:val="subscript"/>
        </w:rPr>
        <w:t>2</w:t>
      </w:r>
      <w:r>
        <w:rPr>
          <w:rFonts w:ascii="Times New Roman" w:hAnsi="Times New Roman" w:cs="Times New Roman"/>
          <w:sz w:val="20"/>
          <w:szCs w:val="20"/>
        </w:rPr>
        <w:t xml:space="preserve"> pathways.</w:t>
      </w:r>
    </w:p>
    <w:p w14:paraId="2996A0C2" w14:textId="145BD5FB" w:rsidR="00BC7876" w:rsidRDefault="00537075" w:rsidP="004078F9">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Electrofuels, in particular, require H</w:t>
      </w:r>
      <w:r w:rsidRPr="00883730">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r>
        <w:rPr>
          <w:rFonts w:ascii="Times New Roman" w:hAnsi="Times New Roman" w:cs="Times New Roman"/>
          <w:sz w:val="20"/>
          <w:szCs w:val="20"/>
        </w:rPr>
        <w:t xml:space="preserve">for the </w:t>
      </w:r>
      <w:r w:rsidR="00471DFD">
        <w:rPr>
          <w:rFonts w:ascii="Times New Roman" w:hAnsi="Times New Roman"/>
          <w:sz w:val="20"/>
          <w:szCs w:val="20"/>
        </w:rPr>
        <w:t xml:space="preserve">reverse water gas </w:t>
      </w:r>
      <w:r w:rsidR="00471DFD" w:rsidRPr="004D19FF">
        <w:rPr>
          <w:rFonts w:ascii="Times New Roman" w:hAnsi="Times New Roman"/>
          <w:sz w:val="20"/>
          <w:szCs w:val="20"/>
        </w:rPr>
        <w:t>shift</w:t>
      </w:r>
      <w:r>
        <w:rPr>
          <w:rFonts w:ascii="Times New Roman" w:hAnsi="Times New Roman" w:cs="Times New Roman"/>
          <w:sz w:val="20"/>
          <w:szCs w:val="20"/>
        </w:rPr>
        <w:t xml:space="preserve"> reaction (</w:t>
      </w:r>
      <w:r w:rsidR="00471DFD">
        <w:rPr>
          <w:rFonts w:ascii="Times New Roman" w:hAnsi="Times New Roman" w:cs="Times New Roman"/>
          <w:sz w:val="20"/>
          <w:szCs w:val="20"/>
        </w:rPr>
        <w:t>Eq. 6 and its adjustment in SM</w:t>
      </w:r>
      <w:r w:rsidR="00AD45BC">
        <w:rPr>
          <w:rFonts w:ascii="Times New Roman" w:hAnsi="Times New Roman" w:cs="Times New Roman"/>
          <w:sz w:val="20"/>
          <w:szCs w:val="20"/>
        </w:rPr>
        <w:t>1</w:t>
      </w:r>
      <w:r w:rsidR="00471DFD">
        <w:rPr>
          <w:rFonts w:ascii="Times New Roman" w:hAnsi="Times New Roman" w:cs="Times New Roman"/>
          <w:sz w:val="20"/>
          <w:szCs w:val="20"/>
        </w:rPr>
        <w:t xml:space="preserve">; </w:t>
      </w:r>
      <w:r>
        <w:rPr>
          <w:rFonts w:ascii="Times New Roman" w:hAnsi="Times New Roman" w:cs="Times New Roman"/>
          <w:sz w:val="20"/>
          <w:szCs w:val="20"/>
        </w:rPr>
        <w:t>1</w:t>
      </w:r>
      <w:r w:rsidR="00471DFD">
        <w:rPr>
          <w:rFonts w:ascii="Times New Roman" w:hAnsi="Times New Roman" w:cs="Times New Roman"/>
          <w:sz w:val="20"/>
          <w:szCs w:val="20"/>
        </w:rPr>
        <w:t>2</w:t>
      </w:r>
      <w:r>
        <w:rPr>
          <w:rFonts w:ascii="Times New Roman" w:hAnsi="Times New Roman" w:cs="Times New Roman"/>
          <w:sz w:val="20"/>
          <w:szCs w:val="20"/>
        </w:rPr>
        <w:t xml:space="preserve"> mol</w:t>
      </w:r>
      <w:r w:rsidR="00672090">
        <w:rPr>
          <w:rFonts w:ascii="Times New Roman" w:hAnsi="Times New Roman" w:cs="Times New Roman"/>
          <w:sz w:val="20"/>
          <w:szCs w:val="20"/>
        </w:rPr>
        <w:t>e</w:t>
      </w:r>
      <w:r>
        <w:rPr>
          <w:rFonts w:ascii="Times New Roman" w:hAnsi="Times New Roman" w:cs="Times New Roman"/>
          <w:sz w:val="20"/>
          <w:szCs w:val="20"/>
        </w:rPr>
        <w:t xml:space="preserve"> of H</w:t>
      </w:r>
      <w:r w:rsidRPr="00471DFD">
        <w:rPr>
          <w:rFonts w:ascii="Times New Roman" w:hAnsi="Times New Roman" w:cs="Times New Roman"/>
          <w:sz w:val="20"/>
          <w:szCs w:val="20"/>
          <w:vertAlign w:val="subscript"/>
        </w:rPr>
        <w:t>2</w:t>
      </w:r>
      <w:r w:rsidR="00471DFD">
        <w:rPr>
          <w:rFonts w:ascii="Times New Roman" w:hAnsi="Times New Roman" w:cs="Times New Roman"/>
          <w:sz w:val="20"/>
          <w:szCs w:val="20"/>
        </w:rPr>
        <w:t xml:space="preserve"> </w:t>
      </w:r>
      <w:r w:rsidR="00AD45BC">
        <w:rPr>
          <w:rFonts w:ascii="Times New Roman" w:hAnsi="Times New Roman" w:cs="Times New Roman"/>
          <w:sz w:val="20"/>
          <w:szCs w:val="20"/>
        </w:rPr>
        <w:t xml:space="preserve">needed </w:t>
      </w:r>
      <w:r w:rsidR="00471DFD">
        <w:rPr>
          <w:rFonts w:ascii="Times New Roman" w:hAnsi="Times New Roman" w:cs="Times New Roman"/>
          <w:sz w:val="20"/>
          <w:szCs w:val="20"/>
        </w:rPr>
        <w:t>to react with 12</w:t>
      </w:r>
      <w:r>
        <w:rPr>
          <w:rFonts w:ascii="Times New Roman" w:hAnsi="Times New Roman" w:cs="Times New Roman"/>
          <w:sz w:val="20"/>
          <w:szCs w:val="20"/>
        </w:rPr>
        <w:t xml:space="preserve"> mol</w:t>
      </w:r>
      <w:r w:rsidR="00672090">
        <w:rPr>
          <w:rFonts w:ascii="Times New Roman" w:hAnsi="Times New Roman" w:cs="Times New Roman"/>
          <w:sz w:val="20"/>
          <w:szCs w:val="20"/>
        </w:rPr>
        <w:t>e</w:t>
      </w:r>
      <w:r>
        <w:rPr>
          <w:rFonts w:ascii="Times New Roman" w:hAnsi="Times New Roman" w:cs="Times New Roman"/>
          <w:sz w:val="20"/>
          <w:szCs w:val="20"/>
        </w:rPr>
        <w:t xml:space="preserve"> of CO</w:t>
      </w:r>
      <w:r w:rsidRPr="00471DFD">
        <w:rPr>
          <w:rFonts w:ascii="Times New Roman" w:hAnsi="Times New Roman" w:cs="Times New Roman"/>
          <w:sz w:val="20"/>
          <w:szCs w:val="20"/>
          <w:vertAlign w:val="subscript"/>
        </w:rPr>
        <w:t>2</w:t>
      </w:r>
      <w:r w:rsidR="00471DFD">
        <w:rPr>
          <w:rFonts w:ascii="Times New Roman" w:hAnsi="Times New Roman" w:cs="Times New Roman"/>
          <w:sz w:val="20"/>
          <w:szCs w:val="20"/>
        </w:rPr>
        <w:t xml:space="preserve"> to produce 12</w:t>
      </w:r>
      <w:r>
        <w:rPr>
          <w:rFonts w:ascii="Times New Roman" w:hAnsi="Times New Roman" w:cs="Times New Roman"/>
          <w:sz w:val="20"/>
          <w:szCs w:val="20"/>
        </w:rPr>
        <w:t xml:space="preserve"> mol</w:t>
      </w:r>
      <w:r w:rsidR="00672090">
        <w:rPr>
          <w:rFonts w:ascii="Times New Roman" w:hAnsi="Times New Roman" w:cs="Times New Roman"/>
          <w:sz w:val="20"/>
          <w:szCs w:val="20"/>
        </w:rPr>
        <w:t>e</w:t>
      </w:r>
      <w:r>
        <w:rPr>
          <w:rFonts w:ascii="Times New Roman" w:hAnsi="Times New Roman" w:cs="Times New Roman"/>
          <w:sz w:val="20"/>
          <w:szCs w:val="20"/>
        </w:rPr>
        <w:t xml:space="preserve"> of CO)</w:t>
      </w:r>
      <w:r w:rsidR="0086486B">
        <w:rPr>
          <w:rFonts w:ascii="Times New Roman" w:hAnsi="Times New Roman" w:cs="Times New Roman"/>
          <w:sz w:val="20"/>
          <w:szCs w:val="20"/>
        </w:rPr>
        <w:t xml:space="preserve"> and more importantly for the F</w:t>
      </w:r>
      <w:r w:rsidR="00471DFD">
        <w:rPr>
          <w:rFonts w:ascii="Times New Roman" w:hAnsi="Times New Roman" w:cs="Times New Roman"/>
          <w:sz w:val="20"/>
          <w:szCs w:val="20"/>
        </w:rPr>
        <w:t>T synthesis (Eq. 3 and its adjustment in SM</w:t>
      </w:r>
      <w:r w:rsidR="00B96601">
        <w:rPr>
          <w:rFonts w:ascii="Times New Roman" w:hAnsi="Times New Roman" w:cs="Times New Roman"/>
          <w:sz w:val="20"/>
          <w:szCs w:val="20"/>
        </w:rPr>
        <w:t>2</w:t>
      </w:r>
      <w:r w:rsidR="00471DFD">
        <w:rPr>
          <w:rFonts w:ascii="Times New Roman" w:hAnsi="Times New Roman" w:cs="Times New Roman"/>
          <w:sz w:val="20"/>
          <w:szCs w:val="20"/>
        </w:rPr>
        <w:t xml:space="preserve">; </w:t>
      </w:r>
      <w:r w:rsidR="004078F9">
        <w:rPr>
          <w:rFonts w:ascii="Times New Roman" w:hAnsi="Times New Roman" w:cs="Times New Roman"/>
          <w:sz w:val="20"/>
          <w:szCs w:val="20"/>
        </w:rPr>
        <w:t xml:space="preserve"> </w:t>
      </w:r>
      <w:r w:rsidR="00471DFD">
        <w:rPr>
          <w:rFonts w:ascii="Times New Roman" w:hAnsi="Times New Roman" w:cs="Times New Roman"/>
          <w:sz w:val="20"/>
          <w:szCs w:val="20"/>
        </w:rPr>
        <w:t>25 mol</w:t>
      </w:r>
      <w:r w:rsidR="00672090">
        <w:rPr>
          <w:rFonts w:ascii="Times New Roman" w:hAnsi="Times New Roman" w:cs="Times New Roman"/>
          <w:sz w:val="20"/>
          <w:szCs w:val="20"/>
        </w:rPr>
        <w:t>e</w:t>
      </w:r>
      <w:r w:rsidR="00471DFD">
        <w:rPr>
          <w:rFonts w:ascii="Times New Roman" w:hAnsi="Times New Roman" w:cs="Times New Roman"/>
          <w:sz w:val="20"/>
          <w:szCs w:val="20"/>
        </w:rPr>
        <w:t xml:space="preserve"> H</w:t>
      </w:r>
      <w:r w:rsidR="00471DFD" w:rsidRPr="00471DFD">
        <w:rPr>
          <w:rFonts w:ascii="Times New Roman" w:hAnsi="Times New Roman" w:cs="Times New Roman"/>
          <w:sz w:val="20"/>
          <w:szCs w:val="20"/>
          <w:vertAlign w:val="subscript"/>
        </w:rPr>
        <w:t>2</w:t>
      </w:r>
      <w:r w:rsidR="00471DFD">
        <w:rPr>
          <w:rFonts w:ascii="Times New Roman" w:hAnsi="Times New Roman" w:cs="Times New Roman"/>
          <w:sz w:val="20"/>
          <w:szCs w:val="20"/>
        </w:rPr>
        <w:t xml:space="preserve"> required to react with the 12 mol</w:t>
      </w:r>
      <w:r w:rsidR="00672090">
        <w:rPr>
          <w:rFonts w:ascii="Times New Roman" w:hAnsi="Times New Roman" w:cs="Times New Roman"/>
          <w:sz w:val="20"/>
          <w:szCs w:val="20"/>
        </w:rPr>
        <w:t>e</w:t>
      </w:r>
      <w:r w:rsidR="00471DFD">
        <w:rPr>
          <w:rFonts w:ascii="Times New Roman" w:hAnsi="Times New Roman" w:cs="Times New Roman"/>
          <w:sz w:val="20"/>
          <w:szCs w:val="20"/>
        </w:rPr>
        <w:t xml:space="preserve"> of CO produced, in order to produce 1 mol</w:t>
      </w:r>
      <w:r w:rsidR="00672090">
        <w:rPr>
          <w:rFonts w:ascii="Times New Roman" w:hAnsi="Times New Roman" w:cs="Times New Roman"/>
          <w:sz w:val="20"/>
          <w:szCs w:val="20"/>
        </w:rPr>
        <w:t>e</w:t>
      </w:r>
      <w:r w:rsidR="00471DFD">
        <w:rPr>
          <w:rFonts w:ascii="Times New Roman" w:hAnsi="Times New Roman" w:cs="Times New Roman"/>
          <w:sz w:val="20"/>
          <w:szCs w:val="20"/>
        </w:rPr>
        <w:t xml:space="preserve"> kerosene). This involves that </w:t>
      </w:r>
      <w:r w:rsidR="00471DFD" w:rsidRPr="007602EC">
        <w:rPr>
          <w:rFonts w:ascii="Times New Roman" w:hAnsi="Times New Roman" w:cs="Times New Roman"/>
          <w:sz w:val="20"/>
          <w:szCs w:val="20"/>
        </w:rPr>
        <w:t xml:space="preserve">approximately </w:t>
      </w:r>
      <w:r w:rsidR="009D219F" w:rsidRPr="007602EC">
        <w:rPr>
          <w:rFonts w:ascii="Times New Roman" w:hAnsi="Times New Roman" w:cs="Times New Roman"/>
          <w:sz w:val="20"/>
          <w:szCs w:val="20"/>
        </w:rPr>
        <w:t>1,</w:t>
      </w:r>
      <w:r w:rsidR="000162A7" w:rsidRPr="007602EC">
        <w:rPr>
          <w:rFonts w:ascii="Times New Roman" w:hAnsi="Times New Roman" w:cs="Times New Roman"/>
          <w:sz w:val="20"/>
          <w:szCs w:val="20"/>
        </w:rPr>
        <w:t>392</w:t>
      </w:r>
      <w:r w:rsidR="00471DFD" w:rsidRPr="007602EC">
        <w:rPr>
          <w:rFonts w:ascii="Times New Roman" w:hAnsi="Times New Roman" w:cs="Times New Roman"/>
          <w:sz w:val="20"/>
          <w:szCs w:val="20"/>
        </w:rPr>
        <w:t xml:space="preserve"> Mt H</w:t>
      </w:r>
      <w:r w:rsidR="00471DFD" w:rsidRPr="007602EC">
        <w:rPr>
          <w:rFonts w:ascii="Times New Roman" w:hAnsi="Times New Roman" w:cs="Times New Roman"/>
          <w:sz w:val="20"/>
          <w:szCs w:val="20"/>
          <w:vertAlign w:val="subscript"/>
        </w:rPr>
        <w:t>2</w:t>
      </w:r>
      <w:r w:rsidR="00471DFD" w:rsidRPr="007602EC">
        <w:rPr>
          <w:rFonts w:ascii="Times New Roman" w:hAnsi="Times New Roman" w:cs="Times New Roman"/>
          <w:sz w:val="20"/>
          <w:szCs w:val="20"/>
        </w:rPr>
        <w:t xml:space="preserve"> is required</w:t>
      </w:r>
      <w:r w:rsidR="00617D23" w:rsidRPr="007602EC">
        <w:rPr>
          <w:rFonts w:ascii="Times New Roman" w:hAnsi="Times New Roman" w:cs="Times New Roman"/>
          <w:sz w:val="20"/>
          <w:szCs w:val="20"/>
        </w:rPr>
        <w:t xml:space="preserve"> to produce </w:t>
      </w:r>
      <w:r w:rsidR="000162A7" w:rsidRPr="007602EC">
        <w:rPr>
          <w:rFonts w:ascii="Times New Roman" w:hAnsi="Times New Roman" w:cs="Times New Roman"/>
          <w:sz w:val="20"/>
          <w:szCs w:val="20"/>
        </w:rPr>
        <w:t>16.73</w:t>
      </w:r>
      <w:r w:rsidR="00617D23" w:rsidRPr="007602EC">
        <w:rPr>
          <w:rFonts w:ascii="Times New Roman" w:hAnsi="Times New Roman" w:cs="Times New Roman"/>
          <w:sz w:val="20"/>
          <w:szCs w:val="20"/>
        </w:rPr>
        <w:t xml:space="preserve"> EJ (2045</w:t>
      </w:r>
      <w:r w:rsidR="00617D23" w:rsidRPr="009404B5">
        <w:rPr>
          <w:rFonts w:ascii="Times New Roman" w:hAnsi="Times New Roman" w:cs="Times New Roman"/>
          <w:sz w:val="20"/>
          <w:szCs w:val="20"/>
        </w:rPr>
        <w:t xml:space="preserve"> demand) </w:t>
      </w:r>
      <w:r w:rsidR="00617D23">
        <w:rPr>
          <w:rFonts w:ascii="Times New Roman" w:hAnsi="Times New Roman" w:cs="Times New Roman"/>
          <w:sz w:val="20"/>
          <w:szCs w:val="20"/>
        </w:rPr>
        <w:t>with this pathway (details in SM</w:t>
      </w:r>
      <w:r w:rsidR="00B96601">
        <w:rPr>
          <w:rFonts w:ascii="Times New Roman" w:hAnsi="Times New Roman" w:cs="Times New Roman"/>
          <w:sz w:val="20"/>
          <w:szCs w:val="20"/>
        </w:rPr>
        <w:t>2</w:t>
      </w:r>
      <w:r w:rsidR="00617D23">
        <w:rPr>
          <w:rFonts w:ascii="Times New Roman" w:hAnsi="Times New Roman" w:cs="Times New Roman"/>
          <w:sz w:val="20"/>
          <w:szCs w:val="20"/>
        </w:rPr>
        <w:t>)</w:t>
      </w:r>
      <w:r w:rsidR="00BC7876">
        <w:rPr>
          <w:rFonts w:ascii="Times New Roman" w:hAnsi="Times New Roman" w:cs="Times New Roman"/>
          <w:sz w:val="20"/>
          <w:szCs w:val="20"/>
        </w:rPr>
        <w:t xml:space="preserve">, involving </w:t>
      </w:r>
      <w:r w:rsidR="00874D1F">
        <w:rPr>
          <w:rFonts w:ascii="Times New Roman" w:hAnsi="Times New Roman" w:cs="Times New Roman"/>
          <w:sz w:val="20"/>
          <w:szCs w:val="20"/>
        </w:rPr>
        <w:t>12,525</w:t>
      </w:r>
      <w:r w:rsidR="00C56A3C">
        <w:rPr>
          <w:rFonts w:ascii="Times New Roman" w:hAnsi="Times New Roman" w:cs="Times New Roman"/>
          <w:sz w:val="20"/>
          <w:szCs w:val="20"/>
        </w:rPr>
        <w:t xml:space="preserve"> – 16,282</w:t>
      </w:r>
      <w:r w:rsidR="0018411D">
        <w:rPr>
          <w:rFonts w:ascii="Times New Roman" w:hAnsi="Times New Roman" w:cs="Times New Roman"/>
          <w:sz w:val="20"/>
          <w:szCs w:val="20"/>
        </w:rPr>
        <w:t xml:space="preserve"> Mt</w:t>
      </w:r>
      <w:r w:rsidR="00BC7876">
        <w:rPr>
          <w:rFonts w:ascii="Times New Roman" w:hAnsi="Times New Roman" w:cs="Times New Roman"/>
          <w:sz w:val="20"/>
          <w:szCs w:val="20"/>
        </w:rPr>
        <w:t xml:space="preserve"> of water (or </w:t>
      </w:r>
      <w:r w:rsidR="00874D1F">
        <w:rPr>
          <w:rFonts w:ascii="Times New Roman" w:hAnsi="Times New Roman" w:cs="Times New Roman"/>
          <w:sz w:val="20"/>
          <w:szCs w:val="20"/>
        </w:rPr>
        <w:t>12.5</w:t>
      </w:r>
      <w:r w:rsidR="00C56A3C">
        <w:rPr>
          <w:rFonts w:ascii="Times New Roman" w:hAnsi="Times New Roman" w:cs="Times New Roman"/>
          <w:sz w:val="20"/>
          <w:szCs w:val="20"/>
        </w:rPr>
        <w:t xml:space="preserve"> – 16.3</w:t>
      </w:r>
      <w:r w:rsidR="00BC7876">
        <w:rPr>
          <w:rFonts w:ascii="Times New Roman" w:hAnsi="Times New Roman" w:cs="Times New Roman"/>
          <w:sz w:val="20"/>
          <w:szCs w:val="20"/>
        </w:rPr>
        <w:t xml:space="preserve"> billion m</w:t>
      </w:r>
      <w:r w:rsidR="00BC7876" w:rsidRPr="00BC7876">
        <w:rPr>
          <w:rFonts w:ascii="Times New Roman" w:hAnsi="Times New Roman" w:cs="Times New Roman"/>
          <w:sz w:val="20"/>
          <w:szCs w:val="20"/>
          <w:vertAlign w:val="superscript"/>
        </w:rPr>
        <w:t>3</w:t>
      </w:r>
      <w:r w:rsidR="00BC7876">
        <w:rPr>
          <w:rFonts w:ascii="Times New Roman" w:hAnsi="Times New Roman" w:cs="Times New Roman"/>
          <w:sz w:val="20"/>
          <w:szCs w:val="20"/>
        </w:rPr>
        <w:t>)</w:t>
      </w:r>
      <w:r w:rsidR="00617D23">
        <w:rPr>
          <w:rFonts w:ascii="Times New Roman" w:hAnsi="Times New Roman" w:cs="Times New Roman"/>
          <w:sz w:val="20"/>
          <w:szCs w:val="20"/>
        </w:rPr>
        <w:t xml:space="preserve">. This clearly exceeds </w:t>
      </w:r>
      <w:r w:rsidR="00617D23">
        <w:rPr>
          <w:rFonts w:ascii="Times New Roman" w:hAnsi="Times New Roman" w:cs="Times New Roman"/>
          <w:sz w:val="20"/>
          <w:szCs w:val="20"/>
        </w:rPr>
        <w:lastRenderedPageBreak/>
        <w:t>the current capacity of H</w:t>
      </w:r>
      <w:r w:rsidR="00617D23" w:rsidRPr="00617D23">
        <w:rPr>
          <w:rFonts w:ascii="Times New Roman" w:hAnsi="Times New Roman" w:cs="Times New Roman"/>
          <w:sz w:val="20"/>
          <w:szCs w:val="20"/>
          <w:vertAlign w:val="subscript"/>
        </w:rPr>
        <w:t>2</w:t>
      </w:r>
      <w:r w:rsidR="00617D23">
        <w:rPr>
          <w:rFonts w:ascii="Times New Roman" w:hAnsi="Times New Roman" w:cs="Times New Roman"/>
          <w:sz w:val="20"/>
          <w:szCs w:val="20"/>
        </w:rPr>
        <w:t xml:space="preserve"> produced by water electrolysis, which </w:t>
      </w:r>
      <w:r w:rsidR="00617D23" w:rsidRPr="006B1496">
        <w:rPr>
          <w:rFonts w:ascii="Times New Roman" w:hAnsi="Times New Roman" w:cs="Times New Roman"/>
          <w:sz w:val="20"/>
          <w:szCs w:val="20"/>
        </w:rPr>
        <w:t>amounts to 1.4</w:t>
      </w:r>
      <w:r w:rsidR="00617D23">
        <w:rPr>
          <w:rFonts w:ascii="Times New Roman" w:hAnsi="Times New Roman" w:cs="Times New Roman"/>
          <w:sz w:val="20"/>
          <w:szCs w:val="20"/>
        </w:rPr>
        <w:t xml:space="preserve"> Mt H</w:t>
      </w:r>
      <w:r w:rsidR="00617D23" w:rsidRPr="00437226">
        <w:rPr>
          <w:rFonts w:ascii="Times New Roman" w:hAnsi="Times New Roman" w:cs="Times New Roman"/>
          <w:sz w:val="20"/>
          <w:szCs w:val="20"/>
          <w:vertAlign w:val="subscript"/>
        </w:rPr>
        <w:t>2</w:t>
      </w:r>
      <w:r w:rsidR="00617D23">
        <w:rPr>
          <w:rFonts w:ascii="Times New Roman" w:hAnsi="Times New Roman" w:cs="Times New Roman"/>
          <w:sz w:val="20"/>
          <w:szCs w:val="20"/>
        </w:rPr>
        <w:t xml:space="preserve"> y</w:t>
      </w:r>
      <w:r w:rsidR="00617D23" w:rsidRPr="00EC400A">
        <w:rPr>
          <w:rFonts w:ascii="Times New Roman" w:hAnsi="Times New Roman" w:cs="Times New Roman"/>
          <w:sz w:val="20"/>
          <w:szCs w:val="20"/>
          <w:vertAlign w:val="superscript"/>
        </w:rPr>
        <w:t>-1</w:t>
      </w:r>
      <w:r w:rsidR="00617D23">
        <w:rPr>
          <w:rFonts w:ascii="Times New Roman" w:hAnsi="Times New Roman" w:cs="Times New Roman"/>
          <w:sz w:val="20"/>
          <w:szCs w:val="20"/>
        </w:rPr>
        <w:t xml:space="preserve"> </w:t>
      </w:r>
      <w:r w:rsidR="00617D23">
        <w:rPr>
          <w:rFonts w:ascii="Times New Roman" w:hAnsi="Times New Roman" w:cs="Times New Roman"/>
          <w:sz w:val="20"/>
          <w:szCs w:val="20"/>
        </w:rPr>
        <w:fldChar w:fldCharType="begin"/>
      </w:r>
      <w:r w:rsidR="0051129D">
        <w:rPr>
          <w:rFonts w:ascii="Times New Roman" w:hAnsi="Times New Roman" w:cs="Times New Roman"/>
          <w:sz w:val="20"/>
          <w:szCs w:val="20"/>
        </w:rPr>
        <w:instrText xml:space="preserve"> ADDIN ZOTERO_ITEM CSL_CITATION {"citationID":"RsXZ1sRx","properties":{"formattedCitation":"[309]","plainCitation":"[309]","noteIndex":0},"citationItems":[{"id":4592,"uris":["http://zotero.org/groups/2763812/items/3EA8RGTI"],"uri":["http://zotero.org/groups/2763812/items/3EA8RGTI"],"itemData":{"id":4592,"type":"report","title":"Hydrogen strategy enabling a low-carbon economy","author":[{"literal":"United States Department of Energy"}],"issued":{"date-parts":[["2020"]]}}}],"schema":"https://github.com/citation-style-language/schema/raw/master/csl-citation.json"} </w:instrText>
      </w:r>
      <w:r w:rsidR="00617D23">
        <w:rPr>
          <w:rFonts w:ascii="Times New Roman" w:hAnsi="Times New Roman" w:cs="Times New Roman"/>
          <w:sz w:val="20"/>
          <w:szCs w:val="20"/>
        </w:rPr>
        <w:fldChar w:fldCharType="separate"/>
      </w:r>
      <w:r w:rsidR="0051129D" w:rsidRPr="0051129D">
        <w:rPr>
          <w:rFonts w:ascii="Times New Roman" w:hAnsi="Times New Roman" w:cs="Times New Roman"/>
          <w:sz w:val="20"/>
        </w:rPr>
        <w:t>[309]</w:t>
      </w:r>
      <w:r w:rsidR="00617D23">
        <w:rPr>
          <w:rFonts w:ascii="Times New Roman" w:hAnsi="Times New Roman" w:cs="Times New Roman"/>
          <w:sz w:val="20"/>
          <w:szCs w:val="20"/>
        </w:rPr>
        <w:fldChar w:fldCharType="end"/>
      </w:r>
      <w:r w:rsidR="00617D23">
        <w:rPr>
          <w:rFonts w:ascii="Times New Roman" w:hAnsi="Times New Roman" w:cs="Times New Roman"/>
          <w:sz w:val="20"/>
          <w:szCs w:val="20"/>
        </w:rPr>
        <w:t xml:space="preserve">. </w:t>
      </w:r>
      <w:r w:rsidR="00BC7876">
        <w:rPr>
          <w:rFonts w:ascii="Times New Roman" w:hAnsi="Times New Roman" w:cs="Times New Roman"/>
          <w:sz w:val="20"/>
          <w:szCs w:val="20"/>
        </w:rPr>
        <w:t>Furthermore, the amount of water needed is not negligible either, representing ca. 10</w:t>
      </w:r>
      <w:r w:rsidR="005F3D62">
        <w:rPr>
          <w:rFonts w:ascii="Times New Roman" w:hAnsi="Times New Roman" w:cs="Times New Roman"/>
          <w:sz w:val="20"/>
          <w:szCs w:val="20"/>
        </w:rPr>
        <w:t>0</w:t>
      </w:r>
      <w:r w:rsidR="00BC7876">
        <w:rPr>
          <w:rFonts w:ascii="Times New Roman" w:hAnsi="Times New Roman" w:cs="Times New Roman"/>
          <w:sz w:val="20"/>
          <w:szCs w:val="20"/>
        </w:rPr>
        <w:t>% of Australia’s freshwater withdrawals (year 2016;</w:t>
      </w:r>
      <w:r w:rsidR="00CB3233">
        <w:rPr>
          <w:rFonts w:ascii="Times New Roman" w:hAnsi="Times New Roman" w:cs="Times New Roman"/>
          <w:sz w:val="20"/>
          <w:szCs w:val="20"/>
        </w:rPr>
        <w:t xml:space="preserve"> </w:t>
      </w:r>
      <w:r w:rsidR="00CB3233">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ZSO40yO9","properties":{"formattedCitation":"[310]","plainCitation":"[310]","noteIndex":0},"citationItems":[{"id":8521,"uris":["http://zotero.org/users/7498699/items/85WYFM57"],"uri":["http://zotero.org/users/7498699/items/85WYFM57"],"itemData":{"id":8521,"type":"webpage","abstract":"Freshwater resources across the world are the focus of this entry. How much water do we use? How did it change over time?","container-title":"Our World in Data","title":"Water Use and Stress","URL":"https://ourworldindata.org/water-use-stress","author":[{"family":"Ritchie","given":"Hannah"},{"family":"Roser","given":"Max"}],"accessed":{"date-parts":[["2021",6,29]]},"issued":{"date-parts":[["2017",11,20]]}}}],"schema":"https://github.com/citation-style-language/schema/raw/master/csl-citation.json"} </w:instrText>
      </w:r>
      <w:r w:rsidR="00CB3233">
        <w:rPr>
          <w:rFonts w:ascii="Times New Roman" w:hAnsi="Times New Roman" w:cs="Times New Roman"/>
          <w:sz w:val="20"/>
          <w:szCs w:val="20"/>
        </w:rPr>
        <w:fldChar w:fldCharType="separate"/>
      </w:r>
      <w:r w:rsidR="00CB3233" w:rsidRPr="00CB3233">
        <w:rPr>
          <w:rFonts w:ascii="Times New Roman" w:hAnsi="Times New Roman" w:cs="Times New Roman"/>
          <w:sz w:val="20"/>
        </w:rPr>
        <w:t>[310]</w:t>
      </w:r>
      <w:r w:rsidR="00CB3233">
        <w:rPr>
          <w:rFonts w:ascii="Times New Roman" w:hAnsi="Times New Roman" w:cs="Times New Roman"/>
          <w:sz w:val="20"/>
          <w:szCs w:val="20"/>
        </w:rPr>
        <w:fldChar w:fldCharType="end"/>
      </w:r>
      <w:r w:rsidR="00BC7876">
        <w:rPr>
          <w:rFonts w:ascii="Times New Roman" w:hAnsi="Times New Roman" w:cs="Times New Roman"/>
          <w:sz w:val="20"/>
          <w:szCs w:val="20"/>
        </w:rPr>
        <w:t xml:space="preserve">). </w:t>
      </w:r>
    </w:p>
    <w:p w14:paraId="159D51D2" w14:textId="1036CC60" w:rsidR="004078F9" w:rsidRDefault="004078F9" w:rsidP="004078F9">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Albeit not discussed in this study, h</w:t>
      </w:r>
      <w:r w:rsidRPr="00A9127F">
        <w:rPr>
          <w:rFonts w:ascii="Times New Roman" w:hAnsi="Times New Roman" w:cs="Times New Roman"/>
          <w:sz w:val="20"/>
          <w:szCs w:val="20"/>
        </w:rPr>
        <w:t>ydrogen</w:t>
      </w:r>
      <w:r>
        <w:rPr>
          <w:rFonts w:ascii="Times New Roman" w:hAnsi="Times New Roman" w:cs="Times New Roman"/>
          <w:sz w:val="20"/>
          <w:szCs w:val="20"/>
        </w:rPr>
        <w:t xml:space="preserve"> </w:t>
      </w:r>
      <w:r w:rsidRPr="00A9127F">
        <w:rPr>
          <w:rFonts w:ascii="Times New Roman" w:hAnsi="Times New Roman" w:cs="Times New Roman"/>
          <w:sz w:val="20"/>
          <w:szCs w:val="20"/>
        </w:rPr>
        <w:t>can</w:t>
      </w:r>
      <w:r>
        <w:rPr>
          <w:rFonts w:ascii="Times New Roman" w:hAnsi="Times New Roman" w:cs="Times New Roman"/>
          <w:sz w:val="20"/>
          <w:szCs w:val="20"/>
        </w:rPr>
        <w:t xml:space="preserve"> also</w:t>
      </w:r>
      <w:r w:rsidRPr="00A9127F">
        <w:rPr>
          <w:rFonts w:ascii="Times New Roman" w:hAnsi="Times New Roman" w:cs="Times New Roman"/>
          <w:sz w:val="20"/>
          <w:szCs w:val="20"/>
        </w:rPr>
        <w:t xml:space="preserve"> </w:t>
      </w:r>
      <w:r>
        <w:rPr>
          <w:rFonts w:ascii="Times New Roman" w:hAnsi="Times New Roman" w:cs="Times New Roman"/>
          <w:sz w:val="20"/>
          <w:szCs w:val="20"/>
        </w:rPr>
        <w:t>stem from biomass-based hydrocarbons through a</w:t>
      </w:r>
      <w:r w:rsidRPr="00A9127F">
        <w:rPr>
          <w:rFonts w:ascii="Times New Roman" w:hAnsi="Times New Roman" w:cs="Times New Roman"/>
          <w:sz w:val="20"/>
          <w:szCs w:val="20"/>
        </w:rPr>
        <w:t xml:space="preserve"> gasification</w:t>
      </w:r>
      <w:r>
        <w:rPr>
          <w:rFonts w:ascii="Times New Roman" w:hAnsi="Times New Roman" w:cs="Times New Roman"/>
          <w:sz w:val="20"/>
          <w:szCs w:val="20"/>
        </w:rPr>
        <w:t xml:space="preserve"> process, </w:t>
      </w:r>
      <w:r w:rsidR="00617D23">
        <w:rPr>
          <w:rFonts w:ascii="Times New Roman" w:hAnsi="Times New Roman" w:cs="Times New Roman"/>
          <w:sz w:val="20"/>
          <w:szCs w:val="20"/>
        </w:rPr>
        <w:t xml:space="preserve">a </w:t>
      </w:r>
      <w:r>
        <w:rPr>
          <w:rFonts w:ascii="Times New Roman" w:hAnsi="Times New Roman" w:cs="Times New Roman"/>
          <w:sz w:val="20"/>
          <w:szCs w:val="20"/>
        </w:rPr>
        <w:t xml:space="preserve">process </w:t>
      </w:r>
      <w:r w:rsidR="00617D23">
        <w:rPr>
          <w:rFonts w:ascii="Times New Roman" w:hAnsi="Times New Roman" w:cs="Times New Roman"/>
          <w:sz w:val="20"/>
          <w:szCs w:val="20"/>
        </w:rPr>
        <w:t xml:space="preserve">that </w:t>
      </w:r>
      <w:r>
        <w:rPr>
          <w:rFonts w:ascii="Times New Roman" w:hAnsi="Times New Roman" w:cs="Times New Roman"/>
          <w:sz w:val="20"/>
          <w:szCs w:val="20"/>
        </w:rPr>
        <w:t xml:space="preserve">can also be applied to </w:t>
      </w:r>
      <w:r w:rsidRPr="00A9127F">
        <w:rPr>
          <w:rFonts w:ascii="Times New Roman" w:hAnsi="Times New Roman" w:cs="Times New Roman"/>
          <w:sz w:val="20"/>
          <w:szCs w:val="20"/>
        </w:rPr>
        <w:t xml:space="preserve">fossil </w:t>
      </w:r>
      <w:r>
        <w:rPr>
          <w:rFonts w:ascii="Times New Roman" w:hAnsi="Times New Roman" w:cs="Times New Roman"/>
          <w:sz w:val="20"/>
          <w:szCs w:val="20"/>
        </w:rPr>
        <w:t>re</w:t>
      </w:r>
      <w:r w:rsidRPr="00A9127F">
        <w:rPr>
          <w:rFonts w:ascii="Times New Roman" w:hAnsi="Times New Roman" w:cs="Times New Roman"/>
          <w:sz w:val="20"/>
          <w:szCs w:val="20"/>
        </w:rPr>
        <w:t xml:space="preserve">sources (e.g. coal) </w:t>
      </w:r>
      <w:r w:rsidRPr="00A9127F">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6FZt4RZG","properties":{"formattedCitation":"[311]","plainCitation":"[311]","noteIndex":0},"citationItems":[{"id":2266,"uris":["http://zotero.org/groups/2763812/items/CL2JI27S"],"uri":["http://zotero.org/groups/2763812/items/CL2JI27S"],"itemData":{"id":2266,"type":"article-journal","abstract":"The statistical information on the share of hydrogen sector-wise consumption indicates that 95% of the total consumption is utilized in ammonia synthesis, petroleum refining processes and methanol production. We discuss how hydrogen is used in these processes and in several smaller-scale manufacturing industries. We also present the trend of hydrogen used as fuel, and as an energy carrier in fuel cells for generating electricity, powering hydrogen vehicles, as well as in aerospace applications. Natural gas caters for approximately half of the total hydrogen production resources. Therefore, the scope is emphasized on relatively recent developments in research activities related to the conventional catalytic hydrocarbon processing technologies for the production of hydrogen derived from natural gas (methane), which are steam methane reforming, partial oxidation of methane and autothermal reforming. Hydrocarbon decomposition is included due to its potential to be industrialized in the future, and its benefits of producing clean hydrogen without emissions of greenhouse gases and generating carbon nanofibers or nanotubes as by-products that have the potential in various emerging applications. Attention is given to the efforts toward achieving hydrocarbon conversion improvements, energy savings through thermally efficient operation and reduced operational costs through minimization or elimination of coke formation in the catalytic processes.","container-title":"Reviews in Chemical Engineering","DOI":"10.1515/revce-2016-0040","issue":"1","page":"43-72","title":"Hydrogen applications and research activities in its production routes through catalytic hydrocarbon conversion","volume":"34","author":[{"family":"Baharudin","given":"Luqmanulhakim"},{"family":"Watson","given":"Matthew James"}],"issued":{"date-parts":[["2017"]]}}}],"schema":"https://github.com/citation-style-language/schema/raw/master/csl-citation.json"} </w:instrText>
      </w:r>
      <w:r w:rsidRPr="00A9127F">
        <w:rPr>
          <w:rFonts w:ascii="Times New Roman" w:hAnsi="Times New Roman" w:cs="Times New Roman"/>
          <w:sz w:val="20"/>
          <w:szCs w:val="20"/>
        </w:rPr>
        <w:fldChar w:fldCharType="separate"/>
      </w:r>
      <w:r w:rsidR="00CB3233" w:rsidRPr="00CB3233">
        <w:rPr>
          <w:rFonts w:ascii="Times New Roman" w:hAnsi="Times New Roman" w:cs="Times New Roman"/>
          <w:sz w:val="20"/>
        </w:rPr>
        <w:t>[311]</w:t>
      </w:r>
      <w:r w:rsidRPr="00A9127F">
        <w:rPr>
          <w:rFonts w:ascii="Times New Roman" w:hAnsi="Times New Roman" w:cs="Times New Roman"/>
          <w:sz w:val="20"/>
          <w:szCs w:val="20"/>
        </w:rPr>
        <w:fldChar w:fldCharType="end"/>
      </w:r>
      <w:r>
        <w:rPr>
          <w:rFonts w:ascii="Times New Roman" w:hAnsi="Times New Roman" w:cs="Times New Roman"/>
          <w:sz w:val="20"/>
          <w:szCs w:val="20"/>
        </w:rPr>
        <w:t>.</w:t>
      </w:r>
      <w:r w:rsidR="00617D23">
        <w:rPr>
          <w:rFonts w:ascii="Times New Roman" w:hAnsi="Times New Roman" w:cs="Times New Roman"/>
          <w:sz w:val="20"/>
          <w:szCs w:val="20"/>
        </w:rPr>
        <w:t xml:space="preserve"> This, however, implies </w:t>
      </w:r>
      <w:r w:rsidR="00EA04BE">
        <w:rPr>
          <w:rFonts w:ascii="Times New Roman" w:hAnsi="Times New Roman" w:cs="Times New Roman"/>
          <w:sz w:val="20"/>
          <w:szCs w:val="20"/>
        </w:rPr>
        <w:t>accessing limited biomasses as</w:t>
      </w:r>
      <w:r w:rsidR="00617D23">
        <w:rPr>
          <w:rFonts w:ascii="Times New Roman" w:hAnsi="Times New Roman" w:cs="Times New Roman"/>
          <w:sz w:val="20"/>
          <w:szCs w:val="20"/>
        </w:rPr>
        <w:t xml:space="preserve"> discussed in 7.1. </w:t>
      </w:r>
      <w:r>
        <w:rPr>
          <w:rFonts w:ascii="Times New Roman" w:hAnsi="Times New Roman" w:cs="Times New Roman"/>
          <w:sz w:val="20"/>
          <w:szCs w:val="20"/>
        </w:rPr>
        <w:t>Renewable H</w:t>
      </w:r>
      <w:r w:rsidRPr="002B5E35">
        <w:rPr>
          <w:rFonts w:ascii="Times New Roman" w:hAnsi="Times New Roman" w:cs="Times New Roman"/>
          <w:sz w:val="20"/>
          <w:szCs w:val="20"/>
          <w:vertAlign w:val="subscript"/>
        </w:rPr>
        <w:t>2</w:t>
      </w:r>
      <w:r>
        <w:rPr>
          <w:rFonts w:ascii="Times New Roman" w:hAnsi="Times New Roman" w:cs="Times New Roman"/>
          <w:sz w:val="20"/>
          <w:szCs w:val="20"/>
        </w:rPr>
        <w:t xml:space="preserve"> can also be produced through</w:t>
      </w:r>
      <w:r w:rsidRPr="00A9127F">
        <w:rPr>
          <w:rFonts w:ascii="Times New Roman" w:hAnsi="Times New Roman" w:cs="Times New Roman"/>
          <w:sz w:val="20"/>
          <w:szCs w:val="20"/>
        </w:rPr>
        <w:t xml:space="preserve"> biogas</w:t>
      </w:r>
      <w:r w:rsidR="00EA04BE">
        <w:rPr>
          <w:rFonts w:ascii="Times New Roman" w:hAnsi="Times New Roman" w:cs="Times New Roman"/>
          <w:sz w:val="20"/>
          <w:szCs w:val="20"/>
        </w:rPr>
        <w:t>/biomethane</w:t>
      </w:r>
      <w:r w:rsidRPr="00A9127F">
        <w:rPr>
          <w:rFonts w:ascii="Times New Roman" w:hAnsi="Times New Roman" w:cs="Times New Roman"/>
          <w:sz w:val="20"/>
          <w:szCs w:val="20"/>
        </w:rPr>
        <w:t xml:space="preserve"> reformation (instead of natural gas) </w:t>
      </w:r>
      <w:r w:rsidRPr="00A9127F">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VLlzChf2","properties":{"formattedCitation":"[243]","plainCitation":"[243]","noteIndex":0},"citationItems":[{"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alone.","author":[{"dropping-particle":"","family":"McKinsey","given":"","non-dropping-particle":"","parse-names":false,"suffix":""}],"id":"gyBO1Ums/uVIEGH25","issue":"May","issued":{"date-parts":[["2020"]]},"number-of-pages":"1-96","title":"Hydrogen-powered aviation A fact-based study of hydrogen technology, economics, and climate impact by 2050","type":"book"}}],"schema":"https://github.com/citation-style-language/schema/raw/master/csl-citation.json"} </w:instrText>
      </w:r>
      <w:r w:rsidRPr="00A9127F">
        <w:rPr>
          <w:rFonts w:ascii="Times New Roman" w:hAnsi="Times New Roman" w:cs="Times New Roman"/>
          <w:sz w:val="20"/>
          <w:szCs w:val="20"/>
        </w:rPr>
        <w:fldChar w:fldCharType="separate"/>
      </w:r>
      <w:r w:rsidRPr="00A9127F">
        <w:rPr>
          <w:rFonts w:ascii="Times New Roman" w:hAnsi="Times New Roman" w:cs="Times New Roman"/>
          <w:sz w:val="20"/>
        </w:rPr>
        <w:t>[243]</w:t>
      </w:r>
      <w:r w:rsidRPr="00A9127F">
        <w:rPr>
          <w:rFonts w:ascii="Times New Roman" w:hAnsi="Times New Roman" w:cs="Times New Roman"/>
          <w:sz w:val="20"/>
          <w:szCs w:val="20"/>
        </w:rPr>
        <w:fldChar w:fldCharType="end"/>
      </w:r>
      <w:r w:rsidR="00335D7F">
        <w:rPr>
          <w:rFonts w:ascii="Times New Roman" w:hAnsi="Times New Roman" w:cs="Times New Roman"/>
          <w:sz w:val="20"/>
          <w:szCs w:val="20"/>
        </w:rPr>
        <w:t>, which again implies interactions with biomass to produce the biogas.</w:t>
      </w:r>
    </w:p>
    <w:p w14:paraId="2E709325" w14:textId="3FAB37BC" w:rsidR="004078F9" w:rsidRDefault="00CE62D3" w:rsidP="00A213D3">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Hydrogen fuels</w:t>
      </w:r>
      <w:r w:rsidR="00A164FA">
        <w:rPr>
          <w:rFonts w:ascii="Times New Roman" w:hAnsi="Times New Roman" w:cs="Times New Roman"/>
          <w:sz w:val="20"/>
          <w:szCs w:val="20"/>
        </w:rPr>
        <w:t xml:space="preserve"> (LH</w:t>
      </w:r>
      <w:r w:rsidR="00A164FA" w:rsidRPr="00A164FA">
        <w:rPr>
          <w:rFonts w:ascii="Times New Roman" w:hAnsi="Times New Roman" w:cs="Times New Roman"/>
          <w:sz w:val="20"/>
          <w:szCs w:val="20"/>
          <w:vertAlign w:val="subscript"/>
        </w:rPr>
        <w:t>2</w:t>
      </w:r>
      <w:r w:rsidR="00A164FA">
        <w:rPr>
          <w:rFonts w:ascii="Times New Roman" w:hAnsi="Times New Roman" w:cs="Times New Roman"/>
          <w:sz w:val="20"/>
          <w:szCs w:val="20"/>
        </w:rPr>
        <w:t>)</w:t>
      </w:r>
      <w:r w:rsidR="00335D7F">
        <w:rPr>
          <w:rFonts w:ascii="Times New Roman" w:hAnsi="Times New Roman" w:cs="Times New Roman"/>
          <w:sz w:val="20"/>
          <w:szCs w:val="20"/>
        </w:rPr>
        <w:t>, on</w:t>
      </w:r>
      <w:r w:rsidR="00B96601">
        <w:rPr>
          <w:rFonts w:ascii="Times New Roman" w:hAnsi="Times New Roman" w:cs="Times New Roman"/>
          <w:sz w:val="20"/>
          <w:szCs w:val="20"/>
        </w:rPr>
        <w:t xml:space="preserve"> the other hand, are not depende</w:t>
      </w:r>
      <w:r w:rsidR="00335D7F">
        <w:rPr>
          <w:rFonts w:ascii="Times New Roman" w:hAnsi="Times New Roman" w:cs="Times New Roman"/>
          <w:sz w:val="20"/>
          <w:szCs w:val="20"/>
        </w:rPr>
        <w:t>nt upon a carbon intermediate, and therefore require less hydro</w:t>
      </w:r>
      <w:r w:rsidR="00AA2BFA">
        <w:rPr>
          <w:rFonts w:ascii="Times New Roman" w:hAnsi="Times New Roman" w:cs="Times New Roman"/>
          <w:sz w:val="20"/>
          <w:szCs w:val="20"/>
        </w:rPr>
        <w:t xml:space="preserve">gen when </w:t>
      </w:r>
      <w:r w:rsidR="002B2100">
        <w:rPr>
          <w:rFonts w:ascii="Times New Roman" w:hAnsi="Times New Roman" w:cs="Times New Roman"/>
          <w:sz w:val="20"/>
          <w:szCs w:val="20"/>
        </w:rPr>
        <w:t>reported by MJ of fuel (details</w:t>
      </w:r>
      <w:r w:rsidR="00AA2BFA">
        <w:rPr>
          <w:rFonts w:ascii="Times New Roman" w:hAnsi="Times New Roman" w:cs="Times New Roman"/>
          <w:sz w:val="20"/>
          <w:szCs w:val="20"/>
        </w:rPr>
        <w:t xml:space="preserve"> in SM2).</w:t>
      </w:r>
    </w:p>
    <w:p w14:paraId="35BEFC84" w14:textId="70044565" w:rsidR="00FD6CE3" w:rsidRPr="00C0588D" w:rsidRDefault="00EA091F" w:rsidP="00A213D3">
      <w:pPr>
        <w:spacing w:after="120" w:line="276" w:lineRule="auto"/>
        <w:jc w:val="thaiDistribute"/>
        <w:rPr>
          <w:rFonts w:ascii="Times New Roman" w:hAnsi="Times New Roman" w:cs="Times New Roman"/>
          <w:i/>
          <w:sz w:val="20"/>
          <w:szCs w:val="20"/>
        </w:rPr>
      </w:pPr>
      <w:r>
        <w:rPr>
          <w:rFonts w:ascii="Times New Roman" w:hAnsi="Times New Roman" w:cs="Times New Roman"/>
          <w:i/>
          <w:sz w:val="20"/>
          <w:szCs w:val="20"/>
        </w:rPr>
        <w:t>7.4</w:t>
      </w:r>
      <w:r w:rsidR="00FD6CE3" w:rsidRPr="00C0588D">
        <w:rPr>
          <w:rFonts w:ascii="Times New Roman" w:hAnsi="Times New Roman" w:cs="Times New Roman"/>
          <w:i/>
          <w:sz w:val="20"/>
          <w:szCs w:val="20"/>
        </w:rPr>
        <w:t xml:space="preserve"> Need for sustainable electricity</w:t>
      </w:r>
    </w:p>
    <w:p w14:paraId="615DEA2A" w14:textId="1C847037" w:rsidR="00EA091F" w:rsidRPr="000A25C9" w:rsidRDefault="00EA091F" w:rsidP="00A213D3">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Several of the SESA pathways presented in this manuscript involve imp</w:t>
      </w:r>
      <w:r w:rsidR="00CD41A9">
        <w:rPr>
          <w:rFonts w:ascii="Times New Roman" w:hAnsi="Times New Roman" w:cs="Times New Roman"/>
          <w:sz w:val="20"/>
          <w:szCs w:val="20"/>
        </w:rPr>
        <w:t>ortant electricity requirements, in particular for electrofuel</w:t>
      </w:r>
      <w:r w:rsidR="000A25C9">
        <w:rPr>
          <w:rFonts w:ascii="Times New Roman" w:hAnsi="Times New Roman" w:cs="Times New Roman"/>
          <w:sz w:val="20"/>
          <w:szCs w:val="20"/>
        </w:rPr>
        <w:t>s</w:t>
      </w:r>
      <w:r w:rsidR="00CD41A9">
        <w:rPr>
          <w:rFonts w:ascii="Times New Roman" w:hAnsi="Times New Roman" w:cs="Times New Roman"/>
          <w:sz w:val="20"/>
          <w:szCs w:val="20"/>
        </w:rPr>
        <w:t>.</w:t>
      </w:r>
      <w:r>
        <w:rPr>
          <w:rFonts w:ascii="Times New Roman" w:hAnsi="Times New Roman" w:cs="Times New Roman"/>
          <w:sz w:val="20"/>
          <w:szCs w:val="20"/>
        </w:rPr>
        <w:t xml:space="preserve"> Electricity consumption for DAC alone </w:t>
      </w:r>
      <w:r w:rsidRPr="00776AAB">
        <w:rPr>
          <w:rFonts w:ascii="Times New Roman" w:hAnsi="Times New Roman" w:cs="Times New Roman"/>
          <w:sz w:val="20"/>
          <w:szCs w:val="20"/>
        </w:rPr>
        <w:t>may need between</w:t>
      </w:r>
      <w:r w:rsidR="000642D9">
        <w:rPr>
          <w:rFonts w:ascii="Times New Roman" w:hAnsi="Times New Roman" w:cs="Times New Roman"/>
          <w:sz w:val="20"/>
          <w:szCs w:val="20"/>
        </w:rPr>
        <w:t xml:space="preserve"> 0.24 and 0.39</w:t>
      </w:r>
      <w:r>
        <w:rPr>
          <w:rFonts w:ascii="Times New Roman" w:hAnsi="Times New Roman" w:cs="Times New Roman"/>
          <w:sz w:val="20"/>
          <w:szCs w:val="20"/>
        </w:rPr>
        <w:t xml:space="preserve"> MWh tonne CO</w:t>
      </w:r>
      <w:r w:rsidRPr="00776AAB">
        <w:rPr>
          <w:rFonts w:ascii="Times New Roman" w:hAnsi="Times New Roman" w:cs="Times New Roman"/>
          <w:sz w:val="20"/>
          <w:szCs w:val="20"/>
          <w:vertAlign w:val="subscript"/>
        </w:rPr>
        <w:t>2</w:t>
      </w:r>
      <w:r>
        <w:rPr>
          <w:rFonts w:ascii="Times New Roman" w:hAnsi="Times New Roman" w:cs="Times New Roman"/>
          <w:sz w:val="20"/>
          <w:szCs w:val="20"/>
        </w:rPr>
        <w:t xml:space="preserve"> captured</w:t>
      </w:r>
      <w:r w:rsidRPr="00A9127F">
        <w:rPr>
          <w:rFonts w:ascii="Times New Roman" w:hAnsi="Times New Roman" w:cs="Times New Roman"/>
          <w:sz w:val="20"/>
          <w:szCs w:val="20"/>
          <w:vertAlign w:val="superscript"/>
        </w:rPr>
        <w:t xml:space="preserve">-1 </w:t>
      </w:r>
      <w:r w:rsidRPr="00A9127F">
        <w:rPr>
          <w:rFonts w:ascii="Times New Roman" w:hAnsi="Times New Roman" w:cs="Times New Roman"/>
          <w:sz w:val="20"/>
          <w:szCs w:val="20"/>
          <w:vertAlign w:val="superscript"/>
        </w:rPr>
        <w:fldChar w:fldCharType="begin"/>
      </w:r>
      <w:r w:rsidR="00752A1E">
        <w:rPr>
          <w:rFonts w:ascii="Times New Roman" w:hAnsi="Times New Roman" w:cs="Times New Roman"/>
          <w:sz w:val="20"/>
          <w:szCs w:val="20"/>
          <w:vertAlign w:val="superscript"/>
        </w:rPr>
        <w:instrText xml:space="preserve"> ADDIN ZOTERO_ITEM CSL_CITATION {"citationID":"lzDnWdWx","properties":{"formattedCitation":"[20]","plainCitation":"[20]","noteIndex":0},"citationItems":[{"id":"968HXJ10/kukSVVud","uris":["http://www.mendeley.com/documents/?uuid=cc5ef0f0-ffbb-4ce8-8151-4f514b9a6f99"],"uri":["http://www.mendeley.com/documents/?uuid=cc5ef0f0-ffbb-4ce8-8151-4f514b9a6f99"],"itemData":{"DOI":"10.1038/s41467-019-10842-5","ISBN":"4146701910","ISSN":"20411723","abstract":"The feasibility of large-scale biological CO2 removal to achieve stringent climate targets remains unclear. Direct Air Carbon Capture and Storage (DACCS) offers an alternative negative emissions technology (NET) option. Here we conduct the first inter-model comparison on the role of DACCS in 1.5 and 2 °C scenarios, under a variety of techno-economic assumptions. Deploying DACCS significantly reduces mitigation costs, and it complements rather than substitutes other NETs. The key factor limiting DACCS deployment is the rate at which it can be scaled up. Our scenarios’ average DACCS scale-up rates of 1.5 GtCO2/yr would require considerable sorbent production and up to 300 EJ/yr of energy input by 2100. The risk of assuming that DACCS can be deployed at scale, and finding it to be subsequently unavailable, leads to a global temperature overshoot of up to 0.8 °C. DACCS should therefore be developed and deployed alongside, rather than instead of, other mitigation options.","author":[{"dropping-particle":"","family":"Realmonte","given":"Giulia","non-dropping-particle":"","parse-names":false,"suffix":""},{"dropping-particle":"","family":"Drouet","given":"Laurent","non-dropping-particle":"","parse-names":false,"suffix":""},{"dropping-particle":"","family":"Gambhir","given":"Ajay","non-dropping-particle":"","parse-names":false,"suffix":""},{"dropping-particle":"","family":"Glynn","given":"James","non-dropping-particle":"","parse-names":false,"suffix":""},{"dropping-particle":"","family":"Hawkes","given":"Adam","non-dropping-particle":"","parse-names":false,"suffix":""},{"dropping-particle":"","family":"Köberle","given":"Alexandre C.","non-dropping-particle":"","parse-names":false,"suffix":""},{"dropping-particle":"","family":"Tavoni","given":"Massimo","non-dropping-particle":"","parse-names":false,"suffix":""}],"container-title":"Nature Communications","id":"gyBO1Ums/n6GW4jcg","issue":"1","issued":{"date-parts":[["2019"]]},"page":"1-12","publisher":"Springer US","title":"An inter-model assessment of the role of direct air capture in deep mitigation pathways","type":"article-journal","volume":"10"}}],"schema":"https://github.com/citation-style-language/schema/raw/master/csl-citation.json"} </w:instrText>
      </w:r>
      <w:r w:rsidRPr="00A9127F">
        <w:rPr>
          <w:rFonts w:ascii="Times New Roman" w:hAnsi="Times New Roman" w:cs="Times New Roman"/>
          <w:sz w:val="20"/>
          <w:szCs w:val="20"/>
          <w:vertAlign w:val="superscript"/>
        </w:rPr>
        <w:fldChar w:fldCharType="separate"/>
      </w:r>
      <w:r w:rsidR="0051129D" w:rsidRPr="0051129D">
        <w:rPr>
          <w:rFonts w:ascii="Times New Roman" w:hAnsi="Times New Roman" w:cs="Times New Roman"/>
          <w:sz w:val="20"/>
        </w:rPr>
        <w:t>[20]</w:t>
      </w:r>
      <w:r w:rsidRPr="00A9127F">
        <w:rPr>
          <w:rFonts w:ascii="Times New Roman" w:hAnsi="Times New Roman" w:cs="Times New Roman"/>
          <w:sz w:val="20"/>
          <w:szCs w:val="20"/>
          <w:vertAlign w:val="superscript"/>
        </w:rPr>
        <w:fldChar w:fldCharType="end"/>
      </w:r>
      <w:r w:rsidRPr="00A9127F">
        <w:rPr>
          <w:rFonts w:ascii="Times New Roman" w:hAnsi="Times New Roman" w:cs="Times New Roman"/>
          <w:sz w:val="20"/>
          <w:szCs w:val="20"/>
        </w:rPr>
        <w:t xml:space="preserve">. </w:t>
      </w:r>
      <w:r>
        <w:rPr>
          <w:rFonts w:ascii="Times New Roman" w:hAnsi="Times New Roman" w:cs="Times New Roman"/>
          <w:sz w:val="20"/>
          <w:szCs w:val="20"/>
        </w:rPr>
        <w:t>Water electrolysis, on the other hand, requires 30</w:t>
      </w:r>
      <w:r w:rsidR="00805049">
        <w:rPr>
          <w:rFonts w:ascii="Times New Roman" w:hAnsi="Times New Roman" w:cs="Times New Roman"/>
          <w:sz w:val="20"/>
          <w:szCs w:val="20"/>
        </w:rPr>
        <w:t xml:space="preserve"> </w:t>
      </w:r>
      <w:r>
        <w:rPr>
          <w:rFonts w:ascii="Times New Roman" w:hAnsi="Times New Roman" w:cs="Times New Roman"/>
          <w:sz w:val="20"/>
          <w:szCs w:val="20"/>
        </w:rPr>
        <w:t>-</w:t>
      </w:r>
      <w:r w:rsidR="00805049">
        <w:rPr>
          <w:rFonts w:ascii="Times New Roman" w:hAnsi="Times New Roman" w:cs="Times New Roman"/>
          <w:sz w:val="20"/>
          <w:szCs w:val="20"/>
        </w:rPr>
        <w:t xml:space="preserve"> </w:t>
      </w:r>
      <w:r>
        <w:rPr>
          <w:rFonts w:ascii="Times New Roman" w:hAnsi="Times New Roman" w:cs="Times New Roman"/>
          <w:sz w:val="20"/>
          <w:szCs w:val="20"/>
        </w:rPr>
        <w:t>80 kWh kg H</w:t>
      </w:r>
      <w:r w:rsidRPr="0023415F">
        <w:rPr>
          <w:rFonts w:ascii="Times New Roman" w:hAnsi="Times New Roman" w:cs="Times New Roman"/>
          <w:sz w:val="20"/>
          <w:szCs w:val="20"/>
          <w:vertAlign w:val="subscript"/>
        </w:rPr>
        <w:t>2</w:t>
      </w:r>
      <w:r w:rsidRPr="0023415F">
        <w:rPr>
          <w:rFonts w:ascii="Times New Roman" w:hAnsi="Times New Roman" w:cs="Times New Roman"/>
          <w:sz w:val="20"/>
          <w:szCs w:val="20"/>
          <w:vertAlign w:val="superscript"/>
        </w:rPr>
        <w:t>-1</w:t>
      </w:r>
      <w:r>
        <w:rPr>
          <w:rFonts w:ascii="Times New Roman" w:hAnsi="Times New Roman" w:cs="Times New Roman"/>
          <w:sz w:val="20"/>
          <w:szCs w:val="20"/>
        </w:rPr>
        <w:t xml:space="preserve"> (Table S4), depending on the technologies. </w:t>
      </w:r>
      <w:r w:rsidRPr="007C2351">
        <w:rPr>
          <w:rFonts w:ascii="Times New Roman" w:hAnsi="Times New Roman" w:cs="Times New Roman"/>
          <w:sz w:val="20"/>
          <w:szCs w:val="20"/>
        </w:rPr>
        <w:t xml:space="preserve">To produce the </w:t>
      </w:r>
      <w:r w:rsidR="0023094A" w:rsidRPr="007C2351">
        <w:rPr>
          <w:rFonts w:ascii="Times New Roman" w:hAnsi="Times New Roman" w:cs="Times New Roman"/>
          <w:sz w:val="20"/>
          <w:szCs w:val="20"/>
        </w:rPr>
        <w:t>16.</w:t>
      </w:r>
      <w:r w:rsidR="001C2FB5" w:rsidRPr="007C2351">
        <w:rPr>
          <w:rFonts w:ascii="Times New Roman" w:hAnsi="Times New Roman" w:cs="Times New Roman"/>
          <w:sz w:val="20"/>
          <w:szCs w:val="20"/>
        </w:rPr>
        <w:t>73</w:t>
      </w:r>
      <w:r w:rsidRPr="007C2351">
        <w:rPr>
          <w:rFonts w:ascii="Times New Roman" w:hAnsi="Times New Roman" w:cs="Times New Roman"/>
          <w:sz w:val="20"/>
          <w:szCs w:val="20"/>
        </w:rPr>
        <w:t xml:space="preserve"> EJ demand in 2045 with current technologies for electrofuels, </w:t>
      </w:r>
      <w:r w:rsidR="003D3A2D" w:rsidRPr="007C2351">
        <w:rPr>
          <w:rFonts w:ascii="Times New Roman" w:hAnsi="Times New Roman" w:cs="Times New Roman"/>
          <w:sz w:val="20"/>
          <w:szCs w:val="20"/>
        </w:rPr>
        <w:t>an estimated</w:t>
      </w:r>
      <w:r w:rsidR="007D3D60" w:rsidRPr="007C2351">
        <w:rPr>
          <w:rFonts w:ascii="Times New Roman" w:hAnsi="Times New Roman" w:cs="Times New Roman"/>
          <w:sz w:val="20"/>
          <w:szCs w:val="20"/>
        </w:rPr>
        <w:t xml:space="preserve"> range of </w:t>
      </w:r>
      <w:r w:rsidR="007C68C7" w:rsidRPr="007C2351">
        <w:rPr>
          <w:rFonts w:ascii="Times New Roman" w:hAnsi="Times New Roman" w:cs="Times New Roman"/>
          <w:sz w:val="20"/>
          <w:szCs w:val="20"/>
        </w:rPr>
        <w:t>53,361</w:t>
      </w:r>
      <w:r w:rsidR="006813E2">
        <w:rPr>
          <w:rFonts w:ascii="Times New Roman" w:hAnsi="Times New Roman" w:cs="Times New Roman"/>
          <w:sz w:val="20"/>
          <w:szCs w:val="20"/>
        </w:rPr>
        <w:t xml:space="preserve"> - 83,977</w:t>
      </w:r>
      <w:r w:rsidR="007D3D60" w:rsidRPr="007C2351">
        <w:rPr>
          <w:rFonts w:ascii="Times New Roman" w:hAnsi="Times New Roman" w:cs="Times New Roman"/>
          <w:sz w:val="20"/>
          <w:szCs w:val="20"/>
        </w:rPr>
        <w:t xml:space="preserve"> </w:t>
      </w:r>
      <w:r w:rsidRPr="007C2351">
        <w:rPr>
          <w:rFonts w:ascii="Times New Roman" w:hAnsi="Times New Roman" w:cs="Times New Roman"/>
          <w:sz w:val="20"/>
          <w:szCs w:val="20"/>
        </w:rPr>
        <w:t>TWh electricity is needed</w:t>
      </w:r>
      <w:r w:rsidR="006813E2">
        <w:rPr>
          <w:rFonts w:ascii="Times New Roman" w:hAnsi="Times New Roman" w:cs="Times New Roman"/>
          <w:sz w:val="20"/>
          <w:szCs w:val="20"/>
        </w:rPr>
        <w:t xml:space="preserve"> (</w:t>
      </w:r>
      <w:r w:rsidR="006844A5">
        <w:rPr>
          <w:rFonts w:ascii="Times New Roman" w:hAnsi="Times New Roman" w:cs="Times New Roman"/>
          <w:sz w:val="20"/>
          <w:szCs w:val="20"/>
        </w:rPr>
        <w:t xml:space="preserve">i.e. </w:t>
      </w:r>
      <w:r w:rsidR="006813E2">
        <w:rPr>
          <w:rFonts w:ascii="Times New Roman" w:hAnsi="Times New Roman" w:cs="Times New Roman"/>
          <w:sz w:val="20"/>
          <w:szCs w:val="20"/>
        </w:rPr>
        <w:t>3.19</w:t>
      </w:r>
      <w:r w:rsidR="00805049">
        <w:rPr>
          <w:rFonts w:ascii="Times New Roman" w:hAnsi="Times New Roman" w:cs="Times New Roman"/>
          <w:sz w:val="20"/>
          <w:szCs w:val="20"/>
        </w:rPr>
        <w:t xml:space="preserve"> - </w:t>
      </w:r>
      <w:r w:rsidR="006813E2">
        <w:rPr>
          <w:rFonts w:ascii="Times New Roman" w:hAnsi="Times New Roman" w:cs="Times New Roman"/>
          <w:sz w:val="20"/>
          <w:szCs w:val="20"/>
        </w:rPr>
        <w:t>5.04</w:t>
      </w:r>
      <w:r w:rsidR="00F02749" w:rsidRPr="007C2351">
        <w:rPr>
          <w:rFonts w:ascii="Times New Roman" w:hAnsi="Times New Roman" w:cs="Times New Roman"/>
          <w:sz w:val="20"/>
          <w:szCs w:val="20"/>
        </w:rPr>
        <w:t xml:space="preserve"> kWh electricity MJ</w:t>
      </w:r>
      <w:r w:rsidR="00F02749" w:rsidRPr="007C2351">
        <w:rPr>
          <w:rFonts w:ascii="Times New Roman" w:hAnsi="Times New Roman" w:cs="Times New Roman"/>
          <w:sz w:val="20"/>
          <w:szCs w:val="20"/>
          <w:vertAlign w:val="superscript"/>
        </w:rPr>
        <w:t xml:space="preserve">-1 </w:t>
      </w:r>
      <w:r w:rsidR="00F02749" w:rsidRPr="007C2351">
        <w:rPr>
          <w:rFonts w:ascii="Times New Roman" w:hAnsi="Times New Roman" w:cs="Times New Roman"/>
          <w:sz w:val="20"/>
          <w:szCs w:val="20"/>
        </w:rPr>
        <w:t>electrofuel)</w:t>
      </w:r>
      <w:r w:rsidRPr="007C2351">
        <w:rPr>
          <w:rFonts w:ascii="Times New Roman" w:hAnsi="Times New Roman" w:cs="Times New Roman"/>
          <w:sz w:val="20"/>
          <w:szCs w:val="20"/>
        </w:rPr>
        <w:t>,</w:t>
      </w:r>
      <w:r w:rsidR="007D3D60" w:rsidRPr="007C2351">
        <w:rPr>
          <w:rFonts w:ascii="Times New Roman" w:hAnsi="Times New Roman" w:cs="Times New Roman"/>
          <w:sz w:val="20"/>
          <w:szCs w:val="20"/>
        </w:rPr>
        <w:t xml:space="preserve"> depending on the DAC and electrolysis technology considered </w:t>
      </w:r>
      <w:r w:rsidRPr="007C2351">
        <w:rPr>
          <w:rFonts w:ascii="Times New Roman" w:hAnsi="Times New Roman" w:cs="Times New Roman"/>
          <w:sz w:val="20"/>
          <w:szCs w:val="20"/>
        </w:rPr>
        <w:t>(detail</w:t>
      </w:r>
      <w:r w:rsidR="005F4475">
        <w:rPr>
          <w:rFonts w:ascii="Times New Roman" w:hAnsi="Times New Roman" w:cs="Times New Roman"/>
          <w:sz w:val="20"/>
          <w:szCs w:val="20"/>
        </w:rPr>
        <w:t>ed</w:t>
      </w:r>
      <w:r w:rsidRPr="007C2351">
        <w:rPr>
          <w:rFonts w:ascii="Times New Roman" w:hAnsi="Times New Roman" w:cs="Times New Roman"/>
          <w:sz w:val="20"/>
          <w:szCs w:val="20"/>
        </w:rPr>
        <w:t xml:space="preserve"> calculations in SM</w:t>
      </w:r>
      <w:r w:rsidR="006844A5">
        <w:rPr>
          <w:rFonts w:ascii="Times New Roman" w:hAnsi="Times New Roman" w:cs="Times New Roman"/>
          <w:sz w:val="20"/>
          <w:szCs w:val="20"/>
        </w:rPr>
        <w:t>2</w:t>
      </w:r>
      <w:r w:rsidRPr="007C2351">
        <w:rPr>
          <w:rFonts w:ascii="Times New Roman" w:hAnsi="Times New Roman" w:cs="Times New Roman"/>
          <w:sz w:val="20"/>
          <w:szCs w:val="20"/>
        </w:rPr>
        <w:t>).</w:t>
      </w:r>
      <w:r w:rsidR="00CD5A54" w:rsidRPr="007C2351">
        <w:rPr>
          <w:rFonts w:ascii="Times New Roman" w:hAnsi="Times New Roman" w:cs="Times New Roman"/>
          <w:sz w:val="20"/>
          <w:szCs w:val="20"/>
        </w:rPr>
        <w:t xml:space="preserve"> No matter the electrolysis-DAC technological combination selected, water electrolysis always represent</w:t>
      </w:r>
      <w:r w:rsidR="006844A5">
        <w:rPr>
          <w:rFonts w:ascii="Times New Roman" w:hAnsi="Times New Roman" w:cs="Times New Roman"/>
          <w:sz w:val="20"/>
          <w:szCs w:val="20"/>
        </w:rPr>
        <w:t>s</w:t>
      </w:r>
      <w:r w:rsidR="00CD5A54" w:rsidRPr="007C2351">
        <w:rPr>
          <w:rFonts w:ascii="Times New Roman" w:hAnsi="Times New Roman" w:cs="Times New Roman"/>
          <w:sz w:val="20"/>
          <w:szCs w:val="20"/>
        </w:rPr>
        <w:t xml:space="preserve"> ca. </w:t>
      </w:r>
      <w:r w:rsidR="00F02749" w:rsidRPr="007C2351">
        <w:rPr>
          <w:rFonts w:ascii="Times New Roman" w:hAnsi="Times New Roman" w:cs="Times New Roman"/>
          <w:sz w:val="20"/>
          <w:szCs w:val="20"/>
        </w:rPr>
        <w:t>99% of the consumption; t</w:t>
      </w:r>
      <w:r w:rsidRPr="007C2351">
        <w:rPr>
          <w:rFonts w:ascii="Times New Roman" w:hAnsi="Times New Roman" w:cs="Times New Roman"/>
          <w:sz w:val="20"/>
          <w:szCs w:val="20"/>
        </w:rPr>
        <w:t>he electricity consumption for DAC thus appears negligible in comparison.</w:t>
      </w:r>
      <w:r w:rsidR="002421B2" w:rsidRPr="007C2351">
        <w:rPr>
          <w:rFonts w:ascii="Times New Roman" w:hAnsi="Times New Roman" w:cs="Times New Roman"/>
          <w:sz w:val="20"/>
          <w:szCs w:val="20"/>
        </w:rPr>
        <w:t xml:space="preserve"> </w:t>
      </w:r>
      <w:r w:rsidR="00BB1735">
        <w:rPr>
          <w:rFonts w:ascii="Times New Roman" w:hAnsi="Times New Roman" w:cs="Times New Roman"/>
          <w:sz w:val="20"/>
          <w:szCs w:val="20"/>
        </w:rPr>
        <w:t xml:space="preserve">Industrial symbiosis in the case of high-temperature water splitting technologies such as SOE electrolysis, thermochemical cycle </w:t>
      </w:r>
      <w:r w:rsidR="005D3B01">
        <w:rPr>
          <w:rFonts w:ascii="Times New Roman" w:hAnsi="Times New Roman" w:cs="Times New Roman"/>
          <w:sz w:val="20"/>
          <w:szCs w:val="20"/>
        </w:rPr>
        <w:t>could be</w:t>
      </w:r>
      <w:r w:rsidR="00BB1735">
        <w:rPr>
          <w:rFonts w:ascii="Times New Roman" w:hAnsi="Times New Roman" w:cs="Times New Roman"/>
          <w:sz w:val="20"/>
          <w:szCs w:val="20"/>
        </w:rPr>
        <w:t xml:space="preserve"> an viable approach to minimize electricity consumption by the introduction of waste heat</w:t>
      </w:r>
      <w:r w:rsidR="0053775B">
        <w:rPr>
          <w:rFonts w:ascii="Times New Roman" w:hAnsi="Times New Roman" w:cs="Times New Roman"/>
          <w:sz w:val="20"/>
          <w:szCs w:val="20"/>
        </w:rPr>
        <w:t xml:space="preserve"> generated</w:t>
      </w:r>
      <w:r w:rsidR="00BB1735">
        <w:rPr>
          <w:rFonts w:ascii="Times New Roman" w:hAnsi="Times New Roman" w:cs="Times New Roman"/>
          <w:sz w:val="20"/>
          <w:szCs w:val="20"/>
        </w:rPr>
        <w:t xml:space="preserve">. </w:t>
      </w:r>
      <w:r w:rsidR="002421B2" w:rsidRPr="007C2351">
        <w:rPr>
          <w:rFonts w:ascii="Times New Roman" w:hAnsi="Times New Roman" w:cs="Times New Roman"/>
          <w:sz w:val="20"/>
          <w:szCs w:val="20"/>
        </w:rPr>
        <w:t>T</w:t>
      </w:r>
      <w:r w:rsidR="002F115E" w:rsidRPr="007C2351">
        <w:rPr>
          <w:rFonts w:ascii="Times New Roman" w:hAnsi="Times New Roman" w:cs="Times New Roman"/>
          <w:sz w:val="20"/>
          <w:szCs w:val="20"/>
        </w:rPr>
        <w:t xml:space="preserve">he </w:t>
      </w:r>
      <w:r w:rsidR="00805049">
        <w:rPr>
          <w:rFonts w:ascii="Times New Roman" w:hAnsi="Times New Roman" w:cs="Times New Roman"/>
          <w:sz w:val="20"/>
          <w:szCs w:val="20"/>
        </w:rPr>
        <w:t xml:space="preserve">3.19 - </w:t>
      </w:r>
      <w:r w:rsidR="00524F2A" w:rsidRPr="007C2351">
        <w:rPr>
          <w:rFonts w:ascii="Times New Roman" w:hAnsi="Times New Roman" w:cs="Times New Roman"/>
          <w:sz w:val="20"/>
          <w:szCs w:val="20"/>
        </w:rPr>
        <w:t>5.04</w:t>
      </w:r>
      <w:r w:rsidR="00F02749" w:rsidRPr="007C2351">
        <w:rPr>
          <w:rFonts w:ascii="Times New Roman" w:hAnsi="Times New Roman" w:cs="Times New Roman"/>
          <w:sz w:val="20"/>
          <w:szCs w:val="20"/>
        </w:rPr>
        <w:t xml:space="preserve"> kWh MJ</w:t>
      </w:r>
      <w:r w:rsidR="00F02749" w:rsidRPr="007C2351">
        <w:rPr>
          <w:rFonts w:ascii="Times New Roman" w:hAnsi="Times New Roman" w:cs="Times New Roman"/>
          <w:sz w:val="20"/>
          <w:szCs w:val="20"/>
          <w:vertAlign w:val="superscript"/>
        </w:rPr>
        <w:t xml:space="preserve">-1 </w:t>
      </w:r>
      <w:r w:rsidR="002421B2" w:rsidRPr="007C2351">
        <w:rPr>
          <w:rFonts w:ascii="Times New Roman" w:hAnsi="Times New Roman" w:cs="Times New Roman"/>
          <w:sz w:val="20"/>
          <w:szCs w:val="20"/>
        </w:rPr>
        <w:t xml:space="preserve">electrofuel </w:t>
      </w:r>
      <w:r w:rsidR="006844A5">
        <w:rPr>
          <w:rFonts w:ascii="Times New Roman" w:hAnsi="Times New Roman" w:cs="Times New Roman"/>
          <w:sz w:val="20"/>
          <w:szCs w:val="20"/>
        </w:rPr>
        <w:t>derived herein lies in the wide range of estimates found in the literature (0.56 – 24.20 kWh MJ</w:t>
      </w:r>
      <w:r w:rsidR="006844A5" w:rsidRPr="006844A5">
        <w:rPr>
          <w:rFonts w:ascii="Times New Roman" w:hAnsi="Times New Roman" w:cs="Times New Roman"/>
          <w:sz w:val="20"/>
          <w:szCs w:val="20"/>
          <w:vertAlign w:val="superscript"/>
        </w:rPr>
        <w:t>-1</w:t>
      </w:r>
      <w:r w:rsidR="006844A5">
        <w:rPr>
          <w:rFonts w:ascii="Times New Roman" w:hAnsi="Times New Roman" w:cs="Times New Roman"/>
          <w:sz w:val="20"/>
          <w:szCs w:val="20"/>
        </w:rPr>
        <w:t xml:space="preserve"> electrofuel; SM2). I</w:t>
      </w:r>
      <w:r w:rsidR="002421B2" w:rsidRPr="007C2351">
        <w:rPr>
          <w:rFonts w:ascii="Times New Roman" w:hAnsi="Times New Roman" w:cs="Times New Roman"/>
          <w:sz w:val="20"/>
          <w:szCs w:val="20"/>
        </w:rPr>
        <w:t xml:space="preserve">t should be highlighted that </w:t>
      </w:r>
      <w:r w:rsidR="00524F2A" w:rsidRPr="007C2351">
        <w:rPr>
          <w:rFonts w:ascii="Times New Roman" w:hAnsi="Times New Roman" w:cs="Times New Roman"/>
          <w:sz w:val="20"/>
          <w:szCs w:val="20"/>
        </w:rPr>
        <w:t>54,000</w:t>
      </w:r>
      <w:r w:rsidR="002421B2" w:rsidRPr="007C2351">
        <w:rPr>
          <w:rFonts w:ascii="Times New Roman" w:hAnsi="Times New Roman" w:cs="Times New Roman"/>
          <w:sz w:val="20"/>
          <w:szCs w:val="20"/>
        </w:rPr>
        <w:t xml:space="preserve"> TWh electricity y</w:t>
      </w:r>
      <w:r w:rsidR="002421B2" w:rsidRPr="007C2351">
        <w:rPr>
          <w:rFonts w:ascii="Times New Roman" w:hAnsi="Times New Roman" w:cs="Times New Roman"/>
          <w:sz w:val="20"/>
          <w:szCs w:val="20"/>
          <w:vertAlign w:val="superscript"/>
        </w:rPr>
        <w:t>-1</w:t>
      </w:r>
      <w:r w:rsidR="006844A5">
        <w:rPr>
          <w:rFonts w:ascii="Times New Roman" w:hAnsi="Times New Roman" w:cs="Times New Roman"/>
          <w:sz w:val="20"/>
          <w:szCs w:val="20"/>
        </w:rPr>
        <w:t xml:space="preserve"> is not a negligible quantity </w:t>
      </w:r>
      <w:r w:rsidR="002421B2" w:rsidRPr="007C2351">
        <w:rPr>
          <w:rFonts w:ascii="Times New Roman" w:hAnsi="Times New Roman" w:cs="Times New Roman"/>
          <w:sz w:val="20"/>
          <w:szCs w:val="20"/>
        </w:rPr>
        <w:t>i</w:t>
      </w:r>
      <w:r w:rsidRPr="007C2351">
        <w:rPr>
          <w:rFonts w:ascii="Times New Roman" w:hAnsi="Times New Roman" w:cs="Times New Roman"/>
          <w:sz w:val="20"/>
          <w:szCs w:val="20"/>
        </w:rPr>
        <w:t xml:space="preserve">n comparison, the annual electricity consumption of China was </w:t>
      </w:r>
      <w:r w:rsidR="002421B2" w:rsidRPr="007C2351">
        <w:rPr>
          <w:rFonts w:ascii="Times New Roman" w:hAnsi="Times New Roman" w:cs="Times New Roman"/>
          <w:sz w:val="20"/>
          <w:szCs w:val="20"/>
        </w:rPr>
        <w:t xml:space="preserve">6,800 TWh in 2018 </w:t>
      </w:r>
      <w:r w:rsidR="002F115E" w:rsidRPr="007C2351">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sjepZNQV","properties":{"formattedCitation":"[312]","plainCitation":"[312]","noteIndex":0},"citationItems":[{"id":7215,"uris":["http://zotero.org/groups/2763812/items/PALAUBYE"],"uri":["http://zotero.org/groups/2763812/items/PALAUBYE"],"itemData":{"id":7215,"type":"webpage","title":"Data and statistics. Explore energy data by category, indicator, country or region. Electricity consumption, People's Republic of China 1990-2018.","URL":"https://www.iea.org/data-and-statistics/?country=CHINA&amp;fuel=Electricity%20and%20heat&amp;indicator=TotElecCons","author":[{"family":"IEA","given":""}],"accessed":{"date-parts":[["2021",3,10]]},"issued":{"date-parts":[["2021"]]}}}],"schema":"https://github.com/citation-style-language/schema/raw/master/csl-citation.json"} </w:instrText>
      </w:r>
      <w:r w:rsidR="002F115E" w:rsidRPr="007C2351">
        <w:rPr>
          <w:rFonts w:ascii="Times New Roman" w:hAnsi="Times New Roman" w:cs="Times New Roman"/>
          <w:sz w:val="20"/>
          <w:szCs w:val="20"/>
        </w:rPr>
        <w:fldChar w:fldCharType="separate"/>
      </w:r>
      <w:r w:rsidR="00CB3233" w:rsidRPr="00CB3233">
        <w:rPr>
          <w:rFonts w:ascii="Times New Roman" w:hAnsi="Times New Roman" w:cs="Times New Roman"/>
          <w:sz w:val="20"/>
        </w:rPr>
        <w:t>[312]</w:t>
      </w:r>
      <w:r w:rsidR="002F115E" w:rsidRPr="007C2351">
        <w:rPr>
          <w:rFonts w:ascii="Times New Roman" w:hAnsi="Times New Roman" w:cs="Times New Roman"/>
          <w:sz w:val="20"/>
          <w:szCs w:val="20"/>
        </w:rPr>
        <w:fldChar w:fldCharType="end"/>
      </w:r>
      <w:r w:rsidRPr="007C2351">
        <w:rPr>
          <w:rFonts w:ascii="Times New Roman" w:hAnsi="Times New Roman" w:cs="Times New Roman"/>
          <w:sz w:val="20"/>
          <w:szCs w:val="20"/>
        </w:rPr>
        <w:t>.</w:t>
      </w:r>
      <w:r w:rsidR="003D3A2D" w:rsidRPr="007C2351">
        <w:rPr>
          <w:rFonts w:ascii="Times New Roman" w:hAnsi="Times New Roman" w:cs="Times New Roman"/>
          <w:sz w:val="20"/>
          <w:szCs w:val="20"/>
        </w:rPr>
        <w:t xml:space="preserve"> </w:t>
      </w:r>
      <w:r w:rsidR="006844A5">
        <w:rPr>
          <w:rFonts w:ascii="Times New Roman" w:hAnsi="Times New Roman" w:cs="Times New Roman"/>
          <w:sz w:val="20"/>
          <w:szCs w:val="20"/>
        </w:rPr>
        <w:t>In other words, at least ca. 8 times the current annual electricity consumption of China would be required to supply the electricity needed just for producing the H</w:t>
      </w:r>
      <w:r w:rsidR="006844A5" w:rsidRPr="001C2F49">
        <w:rPr>
          <w:rFonts w:ascii="Times New Roman" w:hAnsi="Times New Roman" w:cs="Times New Roman"/>
          <w:sz w:val="20"/>
          <w:szCs w:val="20"/>
          <w:vertAlign w:val="subscript"/>
        </w:rPr>
        <w:t>2</w:t>
      </w:r>
      <w:r w:rsidR="006844A5">
        <w:rPr>
          <w:rFonts w:ascii="Times New Roman" w:hAnsi="Times New Roman" w:cs="Times New Roman"/>
          <w:sz w:val="20"/>
          <w:szCs w:val="20"/>
        </w:rPr>
        <w:t xml:space="preserve"> needed for a demand of </w:t>
      </w:r>
      <w:r w:rsidR="007C68C7" w:rsidRPr="007C2351">
        <w:rPr>
          <w:rFonts w:ascii="Times New Roman" w:hAnsi="Times New Roman" w:cs="Times New Roman"/>
          <w:sz w:val="20"/>
          <w:szCs w:val="20"/>
        </w:rPr>
        <w:t>16.73</w:t>
      </w:r>
      <w:r w:rsidR="00524F2A" w:rsidRPr="007C2351">
        <w:rPr>
          <w:rFonts w:ascii="Times New Roman" w:hAnsi="Times New Roman" w:cs="Times New Roman"/>
          <w:sz w:val="20"/>
          <w:szCs w:val="20"/>
        </w:rPr>
        <w:t xml:space="preserve"> </w:t>
      </w:r>
      <w:r w:rsidR="003D3A2D" w:rsidRPr="007C2351">
        <w:rPr>
          <w:rFonts w:ascii="Times New Roman" w:hAnsi="Times New Roman" w:cs="Times New Roman"/>
          <w:sz w:val="20"/>
          <w:szCs w:val="20"/>
        </w:rPr>
        <w:t xml:space="preserve">EJ of </w:t>
      </w:r>
      <w:r w:rsidR="006844A5">
        <w:rPr>
          <w:rFonts w:ascii="Times New Roman" w:hAnsi="Times New Roman" w:cs="Times New Roman"/>
          <w:sz w:val="20"/>
          <w:szCs w:val="20"/>
        </w:rPr>
        <w:t xml:space="preserve">electrofuels per year. On the other hand, supplying 16.73 EJ of fuels </w:t>
      </w:r>
      <w:r w:rsidR="003D3A2D" w:rsidRPr="007C2351">
        <w:rPr>
          <w:rFonts w:ascii="Times New Roman" w:hAnsi="Times New Roman" w:cs="Times New Roman"/>
          <w:sz w:val="20"/>
          <w:szCs w:val="20"/>
        </w:rPr>
        <w:t>with LH</w:t>
      </w:r>
      <w:r w:rsidR="003D3A2D" w:rsidRPr="007C2351">
        <w:rPr>
          <w:rFonts w:ascii="Times New Roman" w:hAnsi="Times New Roman" w:cs="Times New Roman"/>
          <w:sz w:val="20"/>
          <w:szCs w:val="20"/>
          <w:vertAlign w:val="subscript"/>
        </w:rPr>
        <w:t>2</w:t>
      </w:r>
      <w:r w:rsidR="003D3A2D" w:rsidRPr="007C2351">
        <w:rPr>
          <w:rFonts w:ascii="Times New Roman" w:hAnsi="Times New Roman" w:cs="Times New Roman"/>
          <w:sz w:val="20"/>
          <w:szCs w:val="20"/>
        </w:rPr>
        <w:t xml:space="preserve"> would require only ca. </w:t>
      </w:r>
      <w:r w:rsidR="006813E2">
        <w:rPr>
          <w:rFonts w:ascii="Times New Roman" w:hAnsi="Times New Roman" w:cs="Times New Roman"/>
          <w:sz w:val="20"/>
          <w:szCs w:val="20"/>
        </w:rPr>
        <w:t>5,299</w:t>
      </w:r>
      <w:r w:rsidR="000D36CB">
        <w:rPr>
          <w:rFonts w:ascii="Times New Roman" w:hAnsi="Times New Roman" w:cs="Times New Roman"/>
          <w:sz w:val="20"/>
          <w:szCs w:val="20"/>
        </w:rPr>
        <w:t xml:space="preserve"> </w:t>
      </w:r>
      <w:r w:rsidR="00EE534E" w:rsidRPr="007C2351">
        <w:rPr>
          <w:rFonts w:ascii="Times New Roman" w:hAnsi="Times New Roman" w:cs="Times New Roman"/>
          <w:sz w:val="20"/>
          <w:szCs w:val="20"/>
        </w:rPr>
        <w:t>-</w:t>
      </w:r>
      <w:r w:rsidR="000D36CB">
        <w:rPr>
          <w:rFonts w:ascii="Times New Roman" w:hAnsi="Times New Roman" w:cs="Times New Roman"/>
          <w:sz w:val="20"/>
          <w:szCs w:val="20"/>
        </w:rPr>
        <w:t xml:space="preserve"> </w:t>
      </w:r>
      <w:r w:rsidR="006813E2">
        <w:rPr>
          <w:rFonts w:ascii="Times New Roman" w:hAnsi="Times New Roman" w:cs="Times New Roman"/>
          <w:sz w:val="20"/>
          <w:szCs w:val="20"/>
        </w:rPr>
        <w:t xml:space="preserve">8,366 </w:t>
      </w:r>
      <w:r w:rsidR="003D3A2D" w:rsidRPr="007C2351">
        <w:rPr>
          <w:rFonts w:ascii="Times New Roman" w:hAnsi="Times New Roman" w:cs="Times New Roman"/>
          <w:sz w:val="20"/>
          <w:szCs w:val="20"/>
        </w:rPr>
        <w:t xml:space="preserve">TWh electricity, including the compression requirements for </w:t>
      </w:r>
      <w:r w:rsidR="007D3D60" w:rsidRPr="007C2351">
        <w:rPr>
          <w:rFonts w:ascii="Times New Roman" w:hAnsi="Times New Roman" w:cs="Times New Roman"/>
          <w:sz w:val="20"/>
          <w:szCs w:val="20"/>
        </w:rPr>
        <w:t xml:space="preserve">ground </w:t>
      </w:r>
      <w:r w:rsidR="003D3A2D" w:rsidRPr="007C2351">
        <w:rPr>
          <w:rFonts w:ascii="Times New Roman" w:hAnsi="Times New Roman" w:cs="Times New Roman"/>
          <w:sz w:val="20"/>
          <w:szCs w:val="20"/>
        </w:rPr>
        <w:t xml:space="preserve">storage (detailed in </w:t>
      </w:r>
      <w:r w:rsidR="006844A5">
        <w:rPr>
          <w:rFonts w:ascii="Times New Roman" w:hAnsi="Times New Roman" w:cs="Times New Roman"/>
          <w:sz w:val="20"/>
          <w:szCs w:val="20"/>
        </w:rPr>
        <w:t xml:space="preserve">SM1 and </w:t>
      </w:r>
      <w:r w:rsidR="003D3A2D" w:rsidRPr="007C2351">
        <w:rPr>
          <w:rFonts w:ascii="Times New Roman" w:hAnsi="Times New Roman" w:cs="Times New Roman"/>
          <w:sz w:val="20"/>
          <w:szCs w:val="20"/>
        </w:rPr>
        <w:t>SM</w:t>
      </w:r>
      <w:r w:rsidR="006844A5">
        <w:rPr>
          <w:rFonts w:ascii="Times New Roman" w:hAnsi="Times New Roman" w:cs="Times New Roman"/>
          <w:sz w:val="20"/>
          <w:szCs w:val="20"/>
        </w:rPr>
        <w:t>2</w:t>
      </w:r>
      <w:r w:rsidR="003D3A2D" w:rsidRPr="007C2351">
        <w:rPr>
          <w:rFonts w:ascii="Times New Roman" w:hAnsi="Times New Roman" w:cs="Times New Roman"/>
          <w:sz w:val="20"/>
          <w:szCs w:val="20"/>
        </w:rPr>
        <w:t>)</w:t>
      </w:r>
      <w:r w:rsidR="003D3A2D">
        <w:rPr>
          <w:rFonts w:ascii="Times New Roman" w:hAnsi="Times New Roman" w:cs="Times New Roman"/>
          <w:sz w:val="20"/>
          <w:szCs w:val="20"/>
        </w:rPr>
        <w:t xml:space="preserve">. </w:t>
      </w:r>
    </w:p>
    <w:p w14:paraId="796E9CBF" w14:textId="26B795F1" w:rsidR="00EA091F" w:rsidRDefault="002F115E" w:rsidP="00A213D3">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It may be argued that the important electricity needs are acceptable as long as supplied with decarbonized power (hydropower, solar, wind).</w:t>
      </w:r>
      <w:r w:rsidR="00E862EB">
        <w:rPr>
          <w:rFonts w:ascii="Times New Roman" w:hAnsi="Times New Roman" w:cs="Times New Roman"/>
          <w:sz w:val="20"/>
          <w:szCs w:val="20"/>
        </w:rPr>
        <w:t xml:space="preserve"> This, however, must be thoughtfully planned and ensured, prior to launching large-scale investments in electrofuels.</w:t>
      </w:r>
    </w:p>
    <w:p w14:paraId="3562C71B" w14:textId="3387B76A" w:rsidR="00221AAE" w:rsidRPr="00221AAE" w:rsidRDefault="00E862EB" w:rsidP="00233084">
      <w:pPr>
        <w:spacing w:after="120" w:line="276" w:lineRule="auto"/>
        <w:jc w:val="thaiDistribute"/>
        <w:rPr>
          <w:rFonts w:ascii="Times New Roman" w:hAnsi="Times New Roman" w:cs="Times New Roman"/>
          <w:i/>
          <w:sz w:val="20"/>
          <w:szCs w:val="20"/>
        </w:rPr>
      </w:pPr>
      <w:r>
        <w:rPr>
          <w:rFonts w:ascii="Times New Roman" w:hAnsi="Times New Roman" w:cs="Times New Roman"/>
          <w:i/>
          <w:sz w:val="20"/>
          <w:szCs w:val="20"/>
        </w:rPr>
        <w:t>7.5</w:t>
      </w:r>
      <w:r w:rsidR="00312040" w:rsidRPr="00C0588D">
        <w:rPr>
          <w:rFonts w:ascii="Times New Roman" w:hAnsi="Times New Roman" w:cs="Times New Roman"/>
          <w:i/>
          <w:sz w:val="20"/>
          <w:szCs w:val="20"/>
        </w:rPr>
        <w:t xml:space="preserve"> Limits of current quantification methods</w:t>
      </w:r>
      <w:r w:rsidR="009F4983">
        <w:rPr>
          <w:rFonts w:ascii="Times New Roman" w:hAnsi="Times New Roman" w:cs="Times New Roman"/>
          <w:i/>
          <w:sz w:val="20"/>
          <w:szCs w:val="20"/>
        </w:rPr>
        <w:t xml:space="preserve"> for environmental impacts</w:t>
      </w:r>
    </w:p>
    <w:p w14:paraId="7ADAE5EC" w14:textId="0E323B05" w:rsidR="009F4983" w:rsidRDefault="00F12B91" w:rsidP="00233084">
      <w:pPr>
        <w:spacing w:after="120" w:line="276" w:lineRule="auto"/>
        <w:jc w:val="thaiDistribute"/>
        <w:rPr>
          <w:rFonts w:ascii="Times New Roman" w:hAnsi="Times New Roman"/>
          <w:sz w:val="20"/>
          <w:szCs w:val="20"/>
        </w:rPr>
      </w:pPr>
      <w:r>
        <w:rPr>
          <w:rFonts w:ascii="Times New Roman" w:hAnsi="Times New Roman"/>
          <w:sz w:val="20"/>
          <w:szCs w:val="20"/>
        </w:rPr>
        <w:t xml:space="preserve">To compare the different SESA technologies covered in this study, it must be ensured that the same service is supplied (amount of passengers and freight transported over a given distance and time), which may require different number of aircraft (e.g. smaller electric planes), type of aircraft (e.g. </w:t>
      </w:r>
      <w:r w:rsidRPr="00331154">
        <w:rPr>
          <w:rFonts w:ascii="Times New Roman" w:hAnsi="Times New Roman" w:cs="Times New Roman"/>
          <w:sz w:val="20"/>
          <w:szCs w:val="20"/>
        </w:rPr>
        <w:t xml:space="preserve">to accommodate onboard hydrogen storage systems </w:t>
      </w:r>
      <w:r w:rsidRPr="00331154">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YefviccS","properties":{"formattedCitation":"[29]","plainCitation":"[29]","noteIndex":0},"citationItems":[{"id":"968HXJ10/dl9JdcCM","uris":["http://www.mendeley.com/documents/?uuid=82e6f8bc-8f73-4139-86df-119bb560d866"],"uri":["http://www.mendeley.com/documents/?uuid=82e6f8bc-8f73-4139-86df-119bb560d866"],"itemData":{"DOI":"10.1016/j.rser.2019.02.022","ISSN":"18790690","abstract":"The world energy consumption is greatly influenced by the aviation industry with a total energy consumption ranging between 2.5% and 5%. Currently, liquid fossil fuel, which releases various types of Greenhouse Gas (GHG) emissions, is the main fuel in the aviation industry. As the aviation industry grows rapidly to meet the requirements of the increased world population, the demand for environmentally friendly power technology for various applications in the aviation sector has been increased sharply in recent years. Among the various clean power sources, energy obtained from hydrogen is considered the future for energy generation in the aviation industry due to its cleanness and abundance. This paper aims to give an overview of the potential aviation applications where hydrogen and fuel cell technology can be used. Also, the major challenges that limit the wide adoption of hydrogen technology in aviation are highlighted and future research prospects are identified.","author":[{"dropping-particle":"","family":"Baroutaji","given":"Ahmad","non-dropping-particle":"","parse-names":false,"suffix":""},{"dropping-particle":"","family":"Wilberforce","given":"Tabbi","non-dropping-particle":"","parse-names":false,"suffix":""},{"dropping-particle":"","family":"Ramadan","given":"Mohamad","non-dropping-particle":"","parse-names":false,"suffix":""},{"dropping-particle":"","family":"Olabi","given":"Abdul Ghani","non-dropping-particle":"","parse-names":false,"suffix":""}],"container-title":"Renewable and Sustainable Energy Reviews","id":"jb5Lmm2G/p2JX0B0n","issue":"September 2018","issued":{"date-parts":[["2019"]]},"page":"31-40","publisher":"Elsevier Ltd","title":"Comprehensive investigation on hydrogen and fuel cell technology in the aviation and aerospace sectors","type":"article-journal","volume":"106"}}],"schema":"https://github.com/citation-style-language/schema/raw/master/csl-citation.json"} </w:instrText>
      </w:r>
      <w:r w:rsidRPr="00331154">
        <w:rPr>
          <w:rFonts w:ascii="Times New Roman" w:hAnsi="Times New Roman" w:cs="Times New Roman"/>
          <w:sz w:val="20"/>
          <w:szCs w:val="20"/>
        </w:rPr>
        <w:fldChar w:fldCharType="separate"/>
      </w:r>
      <w:r w:rsidRPr="0078655A">
        <w:rPr>
          <w:rFonts w:ascii="Times New Roman" w:hAnsi="Times New Roman" w:cs="Times New Roman"/>
          <w:sz w:val="20"/>
        </w:rPr>
        <w:t>[29]</w:t>
      </w:r>
      <w:r w:rsidRPr="00331154">
        <w:rPr>
          <w:rFonts w:ascii="Times New Roman" w:hAnsi="Times New Roman" w:cs="Times New Roman"/>
          <w:sz w:val="20"/>
          <w:szCs w:val="20"/>
        </w:rPr>
        <w:fldChar w:fldCharType="end"/>
      </w:r>
      <w:r>
        <w:rPr>
          <w:rFonts w:ascii="Times New Roman" w:hAnsi="Times New Roman"/>
          <w:sz w:val="20"/>
          <w:szCs w:val="20"/>
        </w:rPr>
        <w:t xml:space="preserve">; infrastructure (e.g. charging), blending with fossil kerosene, etc. Current comparative studies assessing the environmental impacts of alternative fuels often only compare impacts per MJ fuel (e.g. </w:t>
      </w:r>
      <w:r w:rsidR="00373169">
        <w:rPr>
          <w:rFonts w:ascii="Times New Roman" w:hAnsi="Times New Roman"/>
          <w:sz w:val="20"/>
          <w:szCs w:val="20"/>
        </w:rPr>
        <w:fldChar w:fldCharType="begin"/>
      </w:r>
      <w:r w:rsidR="00CB3233">
        <w:rPr>
          <w:rFonts w:ascii="Times New Roman" w:hAnsi="Times New Roman"/>
          <w:sz w:val="20"/>
          <w:szCs w:val="20"/>
        </w:rPr>
        <w:instrText xml:space="preserve"> ADDIN ZOTERO_ITEM CSL_CITATION {"citationID":"wedzIkDN","properties":{"formattedCitation":"[313\\uc0\\u8211{}315]","plainCitation":"[313–315]","noteIndex":0},"citationItems":[{"id":9,"uris":["http://zotero.org/groups/2763812/items/INX2TUGU"],"uri":["http://zotero.org/groups/2763812/items/INX2TUGU"],"itemData":{"id":9,"type":"article-journal","abstract":"With the aim of diversifying energy supplies and mitigating the environmental impacts of the aviation sector, production of renewable jet fuels has recently received substantial attention. To this direction, this study deals with the techno-economic design and life cycle assessment (LCA) of biojet fuel (farnesane) production from bagasse. Bagasse is the solid residue of sugar industries and its utilization within the biorefinery concept can positively contribute to the sustainable production of fuels. To this end, the present research proposes the production of farnesane from bagasse rather than edible feedstocks (e.g. sugarcane). Mass and energy balances were executed in SuperPro Designer software. The resultant mass yield was equal to 0.121 kg (jet fuel)/kg (dry bagasse) and an energy efficiency of 26.5% can be realized. Economic analysis suggested a gate price of 2.78 $/L. Cradle to grave GHG emissions reductions comparative to fossil jet fuel can be approximately 47%. Overall, the current sustainability analysis explores potential economics and environmental benefits for the lignocellulosic sugars pathway to biojet fuel. © 2017 American Institute of Chemical Engineers Environ Prog, 37: 1227–1235, 2018.","container-title":"Environmental Progress and Sustainable Energy","DOI":"10.1002/ep.12840","ISSN":"19447450","issue":"3","page":"1227–1235","title":"Process design, economic evaluation and life cycle assessment of jet fuel production from sugar cane residue","volume":"37","author":[{"family":"Michailos","given":"Stavros"}],"issued":{"date-parts":[["2018"]]}}},{"id":8518,"uris":["http://zotero.org/users/7498699/items/PX3ZCYIY"],"uri":["http://zotero.org/users/7498699/items/PX3ZCYIY"],"itemData":{"id":8518,"type":"article-journal","abstract":"The residual woody biomass (a.k.a. harvest slash) produced during forest harvest operations in the Paciﬁc Northwest is generally collected into piles and burned and/or left on the forest ﬂoor to decompose. Producing drop-in biofuels from this residual cellulosic feedstock can provide an alternative use for this unused resource while simultaneously displacing petroleum based fuels. Utilizing a ‘Woods-to-Wake’ (WoTW) Life Cycle Assessment (LCA) approach, which is comparable to a Well-to-Wake (WTW) LCA for petroleum based aviation fuel, this paper assesses the environmental implications of feedstock recovery, production, and utilization of residual woody biomass based biojet fuel. This paper also presents a comparative assessment of the environmental implications of substituting petroleum based jet fuel with that of residual woody biomass based biojet fuel.","container-title":"Biomass and Bioenergy","language":"en","page":"10","source":"Zotero","title":"‘Woods-to-Wake’ Life Cycle Assessment of residual woody biomass based jet-fuel using mild bisulfite pretreatment","author":[{"family":"Ganguly","given":"Indroneil"}],"issued":{"date-parts":[["2018"]]}}},{"id":3068,"uris":["http://zotero.org/groups/2763812/items/KWDPPR2K"],"uri":["http://zotero.org/groups/2763812/items/KWDPPR2K"],"itemData":{"id":3068,"type":"article-journal","abstract":"Universiteit Utrecht","ISSN":"9789086720811","title":"On the production costs, climate impact and future supply of renewable jet fuels","author":[{"family":"Jong","given":"Sierk","non-dropping-particle":"de"}],"issued":{"date-parts":[["2018"]]}}}],"schema":"https://github.com/citation-style-language/schema/raw/master/csl-citation.json"} </w:instrText>
      </w:r>
      <w:r w:rsidR="00373169">
        <w:rPr>
          <w:rFonts w:ascii="Times New Roman" w:hAnsi="Times New Roman"/>
          <w:sz w:val="20"/>
          <w:szCs w:val="20"/>
        </w:rPr>
        <w:fldChar w:fldCharType="separate"/>
      </w:r>
      <w:r w:rsidR="00CB3233" w:rsidRPr="00CB3233">
        <w:rPr>
          <w:rFonts w:ascii="Times New Roman" w:hAnsi="Times New Roman" w:cs="Times New Roman"/>
          <w:sz w:val="20"/>
          <w:szCs w:val="24"/>
        </w:rPr>
        <w:t>[313–315]</w:t>
      </w:r>
      <w:r w:rsidR="00373169">
        <w:rPr>
          <w:rFonts w:ascii="Times New Roman" w:hAnsi="Times New Roman"/>
          <w:sz w:val="20"/>
          <w:szCs w:val="20"/>
        </w:rPr>
        <w:fldChar w:fldCharType="end"/>
      </w:r>
      <w:r>
        <w:rPr>
          <w:rFonts w:ascii="Times New Roman" w:hAnsi="Times New Roman"/>
          <w:sz w:val="20"/>
          <w:szCs w:val="20"/>
        </w:rPr>
        <w:t xml:space="preserve">), which cannot be applied for SESA that are not purely based upon liquid fuels. Further, the requirements for blending with fossil kerosene are typically completely ignored (e.g. </w:t>
      </w:r>
      <w:r w:rsidR="00373169">
        <w:rPr>
          <w:rFonts w:ascii="Times New Roman" w:hAnsi="Times New Roman"/>
          <w:sz w:val="20"/>
          <w:szCs w:val="20"/>
        </w:rPr>
        <w:fldChar w:fldCharType="begin"/>
      </w:r>
      <w:r w:rsidR="00CB3233">
        <w:rPr>
          <w:rFonts w:ascii="Times New Roman" w:hAnsi="Times New Roman"/>
          <w:sz w:val="20"/>
          <w:szCs w:val="20"/>
        </w:rPr>
        <w:instrText xml:space="preserve"> ADDIN ZOTERO_ITEM CSL_CITATION {"citationID":"RBIG15IH","properties":{"formattedCitation":"[313\\uc0\\u8211{}315]","plainCitation":"[313–315]","noteIndex":0},"citationItems":[{"id":9,"uris":["http://zotero.org/groups/2763812/items/INX2TUGU"],"uri":["http://zotero.org/groups/2763812/items/INX2TUGU"],"itemData":{"id":9,"type":"article-journal","abstract":"With the aim of diversifying energy supplies and mitigating the environmental impacts of the aviation sector, production of renewable jet fuels has recently received substantial attention. To this direction, this study deals with the techno-economic design and life cycle assessment (LCA) of biojet fuel (farnesane) production from bagasse. Bagasse is the solid residue of sugar industries and its utilization within the biorefinery concept can positively contribute to the sustainable production of fuels. To this end, the present research proposes the production of farnesane from bagasse rather than edible feedstocks (e.g. sugarcane). Mass and energy balances were executed in SuperPro Designer software. The resultant mass yield was equal to 0.121 kg (jet fuel)/kg (dry bagasse) and an energy efficiency of 26.5% can be realized. Economic analysis suggested a gate price of 2.78 $/L. Cradle to grave GHG emissions reductions comparative to fossil jet fuel can be approximately 47%. Overall, the current sustainability analysis explores potential economics and environmental benefits for the lignocellulosic sugars pathway to biojet fuel. © 2017 American Institute of Chemical Engineers Environ Prog, 37: 1227–1235, 2018.","container-title":"Environmental Progress and Sustainable Energy","DOI":"10.1002/ep.12840","ISSN":"19447450","issue":"3","page":"1227–1235","title":"Process design, economic evaluation and life cycle assessment of jet fuel production from sugar cane residue","volume":"37","author":[{"family":"Michailos","given":"Stavros"}],"issued":{"date-parts":[["2018"]]}}},{"id":8518,"uris":["http://zotero.org/users/7498699/items/PX3ZCYIY"],"uri":["http://zotero.org/users/7498699/items/PX3ZCYIY"],"itemData":{"id":8518,"type":"article-journal","abstract":"The residual woody biomass (a.k.a. harvest slash) produced during forest harvest operations in the Paciﬁc Northwest is generally collected into piles and burned and/or left on the forest ﬂoor to decompose. Producing drop-in biofuels from this residual cellulosic feedstock can provide an alternative use for this unused resource while simultaneously displacing petroleum based fuels. Utilizing a ‘Woods-to-Wake’ (WoTW) Life Cycle Assessment (LCA) approach, which is comparable to a Well-to-Wake (WTW) LCA for petroleum based aviation fuel, this paper assesses the environmental implications of feedstock recovery, production, and utilization of residual woody biomass based biojet fuel. This paper also presents a comparative assessment of the environmental implications of substituting petroleum based jet fuel with that of residual woody biomass based biojet fuel.","container-title":"Biomass and Bioenergy","language":"en","page":"10","source":"Zotero","title":"‘Woods-to-Wake’ Life Cycle Assessment of residual woody biomass based jet-fuel using mild bisulfite pretreatment","author":[{"family":"Ganguly","given":"Indroneil"}],"issued":{"date-parts":[["2018"]]}}},{"id":3068,"uris":["http://zotero.org/groups/2763812/items/KWDPPR2K"],"uri":["http://zotero.org/groups/2763812/items/KWDPPR2K"],"itemData":{"id":3068,"type":"article-journal","abstract":"Universiteit Utrecht","ISSN":"9789086720811","title":"On the production costs, climate impact and future supply of renewable jet fuels","author":[{"family":"Jong","given":"Sierk","non-dropping-particle":"de"}],"issued":{"date-parts":[["2018"]]}}}],"schema":"https://github.com/citation-style-language/schema/raw/master/csl-citation.json"} </w:instrText>
      </w:r>
      <w:r w:rsidR="00373169">
        <w:rPr>
          <w:rFonts w:ascii="Times New Roman" w:hAnsi="Times New Roman"/>
          <w:sz w:val="20"/>
          <w:szCs w:val="20"/>
        </w:rPr>
        <w:fldChar w:fldCharType="separate"/>
      </w:r>
      <w:r w:rsidR="00CB3233" w:rsidRPr="00CB3233">
        <w:rPr>
          <w:rFonts w:ascii="Times New Roman" w:hAnsi="Times New Roman" w:cs="Times New Roman"/>
          <w:sz w:val="20"/>
          <w:szCs w:val="24"/>
        </w:rPr>
        <w:t>[313–315]</w:t>
      </w:r>
      <w:r w:rsidR="00373169">
        <w:rPr>
          <w:rFonts w:ascii="Times New Roman" w:hAnsi="Times New Roman"/>
          <w:sz w:val="20"/>
          <w:szCs w:val="20"/>
        </w:rPr>
        <w:fldChar w:fldCharType="end"/>
      </w:r>
      <w:r>
        <w:rPr>
          <w:rFonts w:ascii="Times New Roman" w:hAnsi="Times New Roman"/>
          <w:sz w:val="20"/>
          <w:szCs w:val="20"/>
        </w:rPr>
        <w:t>).</w:t>
      </w:r>
    </w:p>
    <w:p w14:paraId="0CD98389" w14:textId="623489AD" w:rsidR="00F12B91" w:rsidRDefault="00F12B91" w:rsidP="00233084">
      <w:pPr>
        <w:spacing w:after="120" w:line="276" w:lineRule="auto"/>
        <w:jc w:val="thaiDistribute"/>
        <w:rPr>
          <w:rFonts w:ascii="Times New Roman" w:hAnsi="Times New Roman" w:cs="Times New Roman"/>
          <w:sz w:val="20"/>
          <w:szCs w:val="20"/>
        </w:rPr>
      </w:pPr>
      <w:r>
        <w:rPr>
          <w:rFonts w:ascii="Times New Roman" w:hAnsi="Times New Roman"/>
          <w:sz w:val="20"/>
          <w:szCs w:val="20"/>
        </w:rPr>
        <w:t>Another key issue is the evaluation of the global warming potential related to the non-CO</w:t>
      </w:r>
      <w:r w:rsidRPr="00F12B91">
        <w:rPr>
          <w:rFonts w:ascii="Times New Roman" w:hAnsi="Times New Roman"/>
          <w:sz w:val="20"/>
          <w:szCs w:val="20"/>
          <w:vertAlign w:val="subscript"/>
        </w:rPr>
        <w:t>2</w:t>
      </w:r>
      <w:r>
        <w:rPr>
          <w:rFonts w:ascii="Times New Roman" w:hAnsi="Times New Roman"/>
          <w:sz w:val="20"/>
          <w:szCs w:val="20"/>
        </w:rPr>
        <w:t xml:space="preserve"> emissions generated during propulsion. </w:t>
      </w:r>
      <w:r w:rsidR="00E21348">
        <w:rPr>
          <w:rFonts w:ascii="Times New Roman" w:hAnsi="Times New Roman"/>
          <w:sz w:val="20"/>
          <w:szCs w:val="20"/>
        </w:rPr>
        <w:t xml:space="preserve">Lee et al. </w:t>
      </w:r>
      <w:r w:rsidR="004E6105" w:rsidRPr="004E6105">
        <w:rPr>
          <w:rFonts w:ascii="Times New Roman" w:hAnsi="Times New Roman"/>
          <w:sz w:val="20"/>
          <w:szCs w:val="20"/>
        </w:rPr>
        <w:fldChar w:fldCharType="begin"/>
      </w:r>
      <w:r w:rsidR="00CB3233">
        <w:rPr>
          <w:rFonts w:ascii="Times New Roman" w:hAnsi="Times New Roman"/>
          <w:sz w:val="20"/>
          <w:szCs w:val="20"/>
        </w:rPr>
        <w:instrText xml:space="preserve"> ADDIN ZOTERO_ITEM CSL_CITATION {"citationID":"jxzqY9yb","properties":{"formattedCitation":"[316]","plainCitation":"[316]","noteIndex":0},"citationItems":[{"id":8514,"uris":["http://zotero.org/users/7498699/items/EMIVIKF5"],"uri":["http://zotero.org/users/7498699/items/EMIVIKF5"],"itemData":{"id":8514,"type":"article-journal","container-title":"Atmospheric Environment","language":"en","page":"29","source":"Zotero","title":"The contribution of global aviation to anthropogenic climate forcing for 2000 to 2018","author":[{"family":"Lee","given":"D S"}],"issued":{"date-parts":[["2021"]]}}}],"schema":"https://github.com/citation-style-language/schema/raw/master/csl-citation.json"} </w:instrText>
      </w:r>
      <w:r w:rsidR="004E6105" w:rsidRPr="004E6105">
        <w:rPr>
          <w:rFonts w:ascii="Times New Roman" w:hAnsi="Times New Roman"/>
          <w:sz w:val="20"/>
          <w:szCs w:val="20"/>
        </w:rPr>
        <w:fldChar w:fldCharType="separate"/>
      </w:r>
      <w:r w:rsidR="00CB3233" w:rsidRPr="00CB3233">
        <w:rPr>
          <w:rFonts w:ascii="Times New Roman" w:hAnsi="Times New Roman" w:cs="Times New Roman"/>
          <w:sz w:val="20"/>
        </w:rPr>
        <w:t>[316]</w:t>
      </w:r>
      <w:r w:rsidR="004E6105" w:rsidRPr="004E6105">
        <w:rPr>
          <w:rFonts w:ascii="Times New Roman" w:hAnsi="Times New Roman"/>
          <w:sz w:val="20"/>
          <w:szCs w:val="20"/>
        </w:rPr>
        <w:fldChar w:fldCharType="end"/>
      </w:r>
      <w:r w:rsidR="00356D78">
        <w:rPr>
          <w:rFonts w:ascii="Times New Roman" w:hAnsi="Times New Roman"/>
          <w:sz w:val="20"/>
          <w:szCs w:val="20"/>
        </w:rPr>
        <w:t xml:space="preserve"> </w:t>
      </w:r>
      <w:r w:rsidR="00122395">
        <w:rPr>
          <w:rFonts w:ascii="Times New Roman" w:hAnsi="Times New Roman"/>
          <w:sz w:val="20"/>
          <w:szCs w:val="20"/>
        </w:rPr>
        <w:t>illustrate that the greatest share of cumulative radiative forcing from global aviation between 1750 and 2018 is due to these non-CO</w:t>
      </w:r>
      <w:r w:rsidR="00122395" w:rsidRPr="00122395">
        <w:rPr>
          <w:rFonts w:ascii="Times New Roman" w:hAnsi="Times New Roman"/>
          <w:sz w:val="20"/>
          <w:szCs w:val="20"/>
          <w:vertAlign w:val="subscript"/>
        </w:rPr>
        <w:t>2</w:t>
      </w:r>
      <w:r w:rsidR="00122395">
        <w:rPr>
          <w:rFonts w:ascii="Times New Roman" w:hAnsi="Times New Roman"/>
          <w:sz w:val="20"/>
          <w:szCs w:val="20"/>
        </w:rPr>
        <w:t xml:space="preserve"> effects, and in particular on the radiative forcing effect of NO</w:t>
      </w:r>
      <w:r w:rsidR="00122395" w:rsidRPr="00122395">
        <w:rPr>
          <w:rFonts w:ascii="Times New Roman" w:hAnsi="Times New Roman"/>
          <w:sz w:val="20"/>
          <w:szCs w:val="20"/>
          <w:vertAlign w:val="subscript"/>
        </w:rPr>
        <w:t>x</w:t>
      </w:r>
      <w:r w:rsidR="00122395">
        <w:rPr>
          <w:rFonts w:ascii="Times New Roman" w:hAnsi="Times New Roman"/>
          <w:sz w:val="20"/>
          <w:szCs w:val="20"/>
        </w:rPr>
        <w:t xml:space="preserve">, and more importantly of the cirrus induced by condensation contrails. </w:t>
      </w:r>
      <w:r w:rsidR="000A6994">
        <w:rPr>
          <w:rFonts w:ascii="Times New Roman" w:hAnsi="Times New Roman"/>
          <w:sz w:val="20"/>
          <w:szCs w:val="20"/>
        </w:rPr>
        <w:t>The latter is highly influenced by the water vapor saturation of the air, and the aerosols emitted during combustion, both influenced by the type of SESA. In particular, hydrogen used in H</w:t>
      </w:r>
      <w:r w:rsidR="000A6994" w:rsidRPr="000A6994">
        <w:rPr>
          <w:rFonts w:ascii="Times New Roman" w:hAnsi="Times New Roman"/>
          <w:sz w:val="20"/>
          <w:szCs w:val="20"/>
          <w:vertAlign w:val="subscript"/>
        </w:rPr>
        <w:t>2</w:t>
      </w:r>
      <w:r w:rsidR="000A6994">
        <w:rPr>
          <w:rFonts w:ascii="Times New Roman" w:hAnsi="Times New Roman"/>
          <w:sz w:val="20"/>
          <w:szCs w:val="20"/>
        </w:rPr>
        <w:t xml:space="preserve"> internal combustion engines or fuel cells, can generate approximately 2.6 times more water emissions relative to conventional kerosene </w:t>
      </w:r>
      <w:r w:rsidR="000A6994" w:rsidRPr="00936195">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PiplYClS","properties":{"formattedCitation":"[242,317]","plainCitation":"[242,317]","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-1","issued":{"date-parts":[["2020"]]},"title":"Opportunities for Hydrogen in Commercial Aviation","type":"article-journal"}},{"id":"968HXJ10/NxGecL7u","uris":["http://www.mendeley.com/documents/?uuid=f1759445-474a-4fa9-a2c7-7406e9b88dab"],"uri":["http://www.mendeley.com/documents/?uuid=f1759445-474a-4fa9-a2c7-7406e9b88dab"],"itemData":{"DOI":"10.1029/2002jd002623","ISSN":"01480227","abstract":"Perturbations in H2O caused by aircraft in the year 2015 are calculated with a chemical transport model (CTM) and used as input for radiative forcing calculations. The focus is on a hypothetical fleet of cryoplanes, i.e., liquid-hydrogen-powered aircraft. For comparison, the effects of subsonic and supersonic kerosene aircraft are assessed. The CTM applies the accurate second-order moment scheme for advective transport and is run in T42 resolution (2.8° × 2.8°) with 40 layers between the surface and 10 hPa. Aircraft emissions are taken from NASA inventories for the year 2015. In the cryoplane experiments the projected subsonic kerosene fleet is replaced completely by cryoplanes, which emit 2.55 times as much H2O. Longwave and shortwave components of radiative forcing due to the modeled H2O increases are calculated for different seasons. In northern midlatitudes near the tropopause, the fleet of cryoplanes is calculated to increase zonal-mean H2O by more than 250 ppbv on an annual average. The resulting radiative forcing at the tropopause strongly depends on season, ranging from 0.0027 W/m2 in October to 0.0135 W/m2 in April on a global average. Subsonic kerosene aircraft are found to have a rather small impact on H2O levels and lead to an annually averaged global-mean radiative forcing of 0.0026 W/m2. Supersonic kerosene-powered aircraft have a more pronounced impact on H2O concentrations than subsonic cryoplanes and cause a radiative forcing of nearly 0.05 W/m2. Several sensitivity studies are performed for cryoplanes, dealing with cruising altitude, tropopause height, tropospheric lifetime, and stratospheric sinks of aircraft-emitted water vapor.","author":[{"dropping-particle":"","family":"Gauss","given":"M.","non-dropping-particle":"","parse-names":false,"suffix":""},{"dropping-particle":"","family":"Isaken","given":"I. S.A.","non-dropping-particle":"","parse-names":false,"suffix":""},{"dropping-particle":"","family":"Wong","given":"S.","non-dropping-particle":"","parse-names":false,"suffix":""},{"dropping-particle":"","family":"Wang","given":"W. C.","non-dropping-particle":"","parse-names":false,"suffix":""}],"container-title":"Journal of Geophysical Research: Atmospheres","id":"ITEM-2","issue":"10","issued":{"date-parts":[["2003"]]},"page":"1-11","title":"Impact of H2O emissions from cryoplanes and kerosene aircraft on the atmosphere","type":"article-journal","volume":"108"}}],"schema":"https://github.com/citation-style-language/schema/raw/master/csl-citation.json"} </w:instrText>
      </w:r>
      <w:r w:rsidR="000A6994" w:rsidRPr="00936195">
        <w:rPr>
          <w:rFonts w:ascii="Times New Roman" w:hAnsi="Times New Roman" w:cs="Times New Roman"/>
          <w:sz w:val="20"/>
          <w:szCs w:val="20"/>
        </w:rPr>
        <w:fldChar w:fldCharType="separate"/>
      </w:r>
      <w:r w:rsidR="00CB3233" w:rsidRPr="00CB3233">
        <w:rPr>
          <w:rFonts w:ascii="Times New Roman" w:hAnsi="Times New Roman" w:cs="Times New Roman"/>
          <w:sz w:val="20"/>
        </w:rPr>
        <w:t>[242,317]</w:t>
      </w:r>
      <w:r w:rsidR="000A6994" w:rsidRPr="00936195">
        <w:rPr>
          <w:rFonts w:ascii="Times New Roman" w:hAnsi="Times New Roman" w:cs="Times New Roman"/>
          <w:sz w:val="20"/>
          <w:szCs w:val="20"/>
        </w:rPr>
        <w:fldChar w:fldCharType="end"/>
      </w:r>
      <w:r w:rsidR="000A6994" w:rsidRPr="00936195">
        <w:rPr>
          <w:rFonts w:ascii="Times New Roman" w:hAnsi="Times New Roman" w:cs="Times New Roman"/>
          <w:sz w:val="20"/>
          <w:szCs w:val="20"/>
        </w:rPr>
        <w:t>.</w:t>
      </w:r>
      <w:r w:rsidR="000A6994">
        <w:rPr>
          <w:rFonts w:ascii="Times New Roman" w:hAnsi="Times New Roman" w:cs="Times New Roman"/>
          <w:sz w:val="20"/>
          <w:szCs w:val="20"/>
        </w:rPr>
        <w:t xml:space="preserve"> Water emissions from aviation already perturb the radiative </w:t>
      </w:r>
      <w:r w:rsidR="000A6994">
        <w:rPr>
          <w:rFonts w:ascii="Times New Roman" w:hAnsi="Times New Roman" w:cs="Times New Roman"/>
          <w:sz w:val="20"/>
          <w:szCs w:val="20"/>
        </w:rPr>
        <w:lastRenderedPageBreak/>
        <w:t xml:space="preserve">equilibrium of water vapor in the low stratosphere </w:t>
      </w:r>
      <w:r w:rsidR="000A6994">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yXpYFxqv","properties":{"formattedCitation":"[318]","plainCitation":"[318]","noteIndex":0},"citationItems":[{"id":"968HXJ10/w4JBXB6t","uris":["http://www.mendeley.com/documents/?uuid=e31476b0-00ed-4ff1-a674-135e3d1b8b50"],"uri":["http://www.mendeley.com/documents/?uuid=e31476b0-00ed-4ff1-a674-135e3d1b8b50"],"itemData":{"author":[{"dropping-particle":"","family":"Grassl","given":"Hartmut","non-dropping-particle":"","parse-names":false,"suffix":""},{"dropping-particle":"","family":"Brockhagen","given":"Dietrich","non-dropping-particle":"","parse-names":false,"suffix":""}],"container-title":"IPCC","id":"ITEM-1","issued":{"date-parts":[["2007"]]},"number-of-pages":"1-8","title":"Climate forcing of aviation emissions in high altitudes and comparison of metrics. An update according to the Fourth Assessment Report, IPCC 2007","type":"report"}}],"schema":"https://github.com/citation-style-language/schema/raw/master/csl-citation.json"} </w:instrText>
      </w:r>
      <w:r w:rsidR="000A6994">
        <w:rPr>
          <w:rFonts w:ascii="Times New Roman" w:hAnsi="Times New Roman" w:cs="Times New Roman"/>
          <w:sz w:val="20"/>
          <w:szCs w:val="20"/>
        </w:rPr>
        <w:fldChar w:fldCharType="separate"/>
      </w:r>
      <w:r w:rsidR="00CB3233" w:rsidRPr="00CB3233">
        <w:rPr>
          <w:rFonts w:ascii="Times New Roman" w:hAnsi="Times New Roman" w:cs="Times New Roman"/>
          <w:sz w:val="20"/>
        </w:rPr>
        <w:t>[318]</w:t>
      </w:r>
      <w:r w:rsidR="000A6994">
        <w:rPr>
          <w:rFonts w:ascii="Times New Roman" w:hAnsi="Times New Roman" w:cs="Times New Roman"/>
          <w:sz w:val="20"/>
          <w:szCs w:val="20"/>
        </w:rPr>
        <w:fldChar w:fldCharType="end"/>
      </w:r>
      <w:r w:rsidR="000A6994">
        <w:rPr>
          <w:rFonts w:ascii="Times New Roman" w:hAnsi="Times New Roman" w:cs="Times New Roman"/>
          <w:sz w:val="20"/>
          <w:szCs w:val="20"/>
        </w:rPr>
        <w:t xml:space="preserve">, and the exact effect that deploying hydrogen aviation would have on this equilibrium and ultimately on global warming still remain to be assessed. </w:t>
      </w:r>
    </w:p>
    <w:p w14:paraId="49007E63" w14:textId="6CCFBD92" w:rsidR="00233084" w:rsidRDefault="000E182A" w:rsidP="000E182A">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In addition, there is a need to account for both the propulsion-related emissions and those associated with the overall life cycle of a given SESA alternative. Battery-electric aviation, in particular, might be seen as zero-emissions, if batteries are the sole energy source. However, the impacts of the additional raw materials demanded for manufacturing the batteries is not zero, and is potentially non-negligible, in particular in the perspective of ensuring a continuous supply. In fact, c</w:t>
      </w:r>
      <w:r w:rsidR="00233084" w:rsidRPr="00A53804">
        <w:rPr>
          <w:rFonts w:ascii="Times New Roman" w:hAnsi="Times New Roman" w:cs="Times New Roman"/>
          <w:sz w:val="20"/>
          <w:szCs w:val="20"/>
        </w:rPr>
        <w:t>obalt, lithium, natural graphite</w:t>
      </w:r>
      <w:r w:rsidR="00E064ED">
        <w:rPr>
          <w:rFonts w:ascii="Times New Roman" w:hAnsi="Times New Roman" w:cs="Times New Roman"/>
          <w:sz w:val="20"/>
          <w:szCs w:val="20"/>
        </w:rPr>
        <w:t>,</w:t>
      </w:r>
      <w:r>
        <w:rPr>
          <w:rFonts w:ascii="Times New Roman" w:hAnsi="Times New Roman" w:cs="Times New Roman"/>
          <w:sz w:val="20"/>
          <w:szCs w:val="20"/>
        </w:rPr>
        <w:t xml:space="preserve"> and silicon metal, all</w:t>
      </w:r>
      <w:r w:rsidR="00233084" w:rsidRPr="00A53804">
        <w:rPr>
          <w:rFonts w:ascii="Times New Roman" w:hAnsi="Times New Roman" w:cs="Times New Roman"/>
          <w:sz w:val="20"/>
          <w:szCs w:val="20"/>
        </w:rPr>
        <w:t xml:space="preserve"> dominant active materials in the Li-based batteries </w:t>
      </w:r>
      <w:r>
        <w:rPr>
          <w:rFonts w:ascii="Times New Roman" w:hAnsi="Times New Roman" w:cs="Times New Roman"/>
          <w:sz w:val="20"/>
          <w:szCs w:val="20"/>
        </w:rPr>
        <w:t xml:space="preserve">(Table 2), </w:t>
      </w:r>
      <w:r w:rsidR="00233084" w:rsidRPr="00A53804">
        <w:rPr>
          <w:rFonts w:ascii="Times New Roman" w:hAnsi="Times New Roman" w:cs="Times New Roman"/>
          <w:sz w:val="20"/>
          <w:szCs w:val="20"/>
        </w:rPr>
        <w:t xml:space="preserve">are classified </w:t>
      </w:r>
      <w:r>
        <w:rPr>
          <w:rFonts w:ascii="Times New Roman" w:hAnsi="Times New Roman" w:cs="Times New Roman"/>
          <w:sz w:val="20"/>
          <w:szCs w:val="20"/>
        </w:rPr>
        <w:t>as</w:t>
      </w:r>
      <w:r w:rsidR="00233084" w:rsidRPr="00A53804">
        <w:rPr>
          <w:rFonts w:ascii="Times New Roman" w:hAnsi="Times New Roman" w:cs="Times New Roman"/>
          <w:sz w:val="20"/>
          <w:szCs w:val="20"/>
        </w:rPr>
        <w:t xml:space="preserve"> critical raw materials (CRMs)</w:t>
      </w:r>
      <w:r>
        <w:rPr>
          <w:rFonts w:ascii="Times New Roman" w:hAnsi="Times New Roman" w:cs="Times New Roman"/>
          <w:sz w:val="20"/>
          <w:szCs w:val="20"/>
        </w:rPr>
        <w:t xml:space="preserve"> in the EU</w:t>
      </w:r>
      <w:r w:rsidR="00233084" w:rsidRPr="00A53804">
        <w:rPr>
          <w:rFonts w:ascii="Times New Roman" w:hAnsi="Times New Roman" w:cs="Times New Roman"/>
          <w:sz w:val="20"/>
          <w:szCs w:val="20"/>
        </w:rPr>
        <w:t xml:space="preserve">, according to </w:t>
      </w:r>
      <w:r>
        <w:rPr>
          <w:rFonts w:ascii="Times New Roman" w:hAnsi="Times New Roman" w:cs="Times New Roman"/>
          <w:sz w:val="20"/>
          <w:szCs w:val="20"/>
        </w:rPr>
        <w:t xml:space="preserve">both </w:t>
      </w:r>
      <w:r w:rsidR="00233084" w:rsidRPr="00A53804">
        <w:rPr>
          <w:rFonts w:ascii="Times New Roman" w:hAnsi="Times New Roman" w:cs="Times New Roman"/>
          <w:sz w:val="20"/>
          <w:szCs w:val="20"/>
        </w:rPr>
        <w:t xml:space="preserve">economic importance and supply risk </w:t>
      </w:r>
      <w:r w:rsidR="00233084" w:rsidRPr="00A53804">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jiBM1BZV","properties":{"formattedCitation":"[319]","plainCitation":"[319]","noteIndex":0},"citationItems":[{"id":"968HXJ10/SrA7PS07","uris":["http://www.mendeley.com/documents/?uuid=94318f7d-39c7-46f7-81d0-0e617e229536"],"uri":["http://www.mendeley.com/documents/?uuid=94318f7d-39c7-46f7-81d0-0e617e229536"],"itemData":{"DOI":"10.2873/11619","ISBN":"978-92-76-21053-5","abstract":"Criticality Assessments","author":[{"dropping-particle":"","family":"European Commission","given":"","non-dropping-particle":"","parse-names":false,"suffix":""}],"container-title":"European Commission","id":"ITEM-1","issue":"September","issued":{"date-parts":[["2020"]]},"title":"Study on the EU’s list of Critical Raw Materials (2020), Factsheets on Critical Raw Materials","type":"book"}}],"schema":"https://github.com/citation-style-language/schema/raw/master/csl-citation.json"} </w:instrText>
      </w:r>
      <w:r w:rsidR="00233084" w:rsidRPr="00A53804">
        <w:rPr>
          <w:rFonts w:ascii="Times New Roman" w:hAnsi="Times New Roman" w:cs="Times New Roman"/>
          <w:sz w:val="20"/>
          <w:szCs w:val="20"/>
        </w:rPr>
        <w:fldChar w:fldCharType="separate"/>
      </w:r>
      <w:r w:rsidR="00CB3233" w:rsidRPr="00CB3233">
        <w:rPr>
          <w:rFonts w:ascii="Times New Roman" w:hAnsi="Times New Roman" w:cs="Times New Roman"/>
          <w:sz w:val="20"/>
        </w:rPr>
        <w:t>[319]</w:t>
      </w:r>
      <w:r w:rsidR="00233084" w:rsidRPr="00A53804">
        <w:rPr>
          <w:rFonts w:ascii="Times New Roman" w:hAnsi="Times New Roman" w:cs="Times New Roman"/>
          <w:sz w:val="20"/>
          <w:szCs w:val="20"/>
        </w:rPr>
        <w:fldChar w:fldCharType="end"/>
      </w:r>
      <w:r w:rsidR="00233084" w:rsidRPr="00A53804">
        <w:rPr>
          <w:rFonts w:ascii="Times New Roman" w:hAnsi="Times New Roman" w:cs="Times New Roman"/>
          <w:sz w:val="20"/>
          <w:szCs w:val="20"/>
        </w:rPr>
        <w:t xml:space="preserve">. </w:t>
      </w:r>
    </w:p>
    <w:p w14:paraId="4F1F3FD2" w14:textId="76C62BF3" w:rsidR="00312040" w:rsidRDefault="00845C1A" w:rsidP="00312040">
      <w:pPr>
        <w:spacing w:after="120" w:line="276" w:lineRule="auto"/>
        <w:jc w:val="thaiDistribute"/>
        <w:rPr>
          <w:rFonts w:ascii="Times New Roman" w:hAnsi="Times New Roman" w:cs="Times New Roman"/>
          <w:i/>
          <w:sz w:val="20"/>
          <w:szCs w:val="20"/>
        </w:rPr>
      </w:pPr>
      <w:r>
        <w:rPr>
          <w:rFonts w:ascii="Times New Roman" w:hAnsi="Times New Roman" w:cs="Times New Roman"/>
          <w:i/>
          <w:sz w:val="20"/>
          <w:szCs w:val="20"/>
        </w:rPr>
        <w:t>7.6</w:t>
      </w:r>
      <w:r w:rsidR="00312040" w:rsidRPr="00C0588D">
        <w:rPr>
          <w:rFonts w:ascii="Times New Roman" w:hAnsi="Times New Roman" w:cs="Times New Roman"/>
          <w:i/>
          <w:sz w:val="20"/>
          <w:szCs w:val="20"/>
        </w:rPr>
        <w:t xml:space="preserve"> Other impacts</w:t>
      </w:r>
      <w:r w:rsidR="00C71C36">
        <w:rPr>
          <w:rFonts w:ascii="Times New Roman" w:hAnsi="Times New Roman" w:cs="Times New Roman"/>
          <w:i/>
          <w:sz w:val="20"/>
          <w:szCs w:val="20"/>
        </w:rPr>
        <w:t xml:space="preserve"> </w:t>
      </w:r>
    </w:p>
    <w:p w14:paraId="0F258F3F" w14:textId="6B4CF14C" w:rsidR="00E6596E" w:rsidRDefault="00E6596E" w:rsidP="00E6596E">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Noise is another impact </w:t>
      </w:r>
      <w:r w:rsidR="00E064ED">
        <w:rPr>
          <w:rFonts w:ascii="Times New Roman" w:hAnsi="Times New Roman" w:cs="Times New Roman"/>
          <w:sz w:val="20"/>
          <w:szCs w:val="20"/>
        </w:rPr>
        <w:t>of</w:t>
      </w:r>
      <w:r>
        <w:rPr>
          <w:rFonts w:ascii="Times New Roman" w:hAnsi="Times New Roman" w:cs="Times New Roman"/>
          <w:sz w:val="20"/>
          <w:szCs w:val="20"/>
        </w:rPr>
        <w:t xml:space="preserve"> aviation especially for residential development</w:t>
      </w:r>
      <w:r w:rsidR="00D8573F">
        <w:rPr>
          <w:rFonts w:ascii="Times New Roman" w:hAnsi="Times New Roman" w:cs="Times New Roman"/>
          <w:sz w:val="20"/>
          <w:szCs w:val="20"/>
        </w:rPr>
        <w:t>s</w:t>
      </w:r>
      <w:r>
        <w:rPr>
          <w:rFonts w:ascii="Times New Roman" w:hAnsi="Times New Roman" w:cs="Times New Roman"/>
          <w:sz w:val="20"/>
          <w:szCs w:val="20"/>
        </w:rPr>
        <w:t xml:space="preserve"> around airports. Novel propulsion systems including battery-electric and hydrogen aviation </w:t>
      </w:r>
      <w:r w:rsidR="00D8573F">
        <w:rPr>
          <w:rFonts w:ascii="Times New Roman" w:hAnsi="Times New Roman" w:cs="Times New Roman"/>
          <w:sz w:val="20"/>
          <w:szCs w:val="20"/>
        </w:rPr>
        <w:t>are foreseen to</w:t>
      </w:r>
      <w:r>
        <w:rPr>
          <w:rFonts w:ascii="Times New Roman" w:hAnsi="Times New Roman" w:cs="Times New Roman"/>
          <w:sz w:val="20"/>
          <w:szCs w:val="20"/>
        </w:rPr>
        <w:t xml:space="preserve"> </w:t>
      </w:r>
      <w:r w:rsidR="00D8573F">
        <w:rPr>
          <w:rFonts w:ascii="Times New Roman" w:hAnsi="Times New Roman" w:cs="Times New Roman"/>
          <w:sz w:val="20"/>
          <w:szCs w:val="20"/>
        </w:rPr>
        <w:t>mitigate and minimize</w:t>
      </w:r>
      <w:r>
        <w:rPr>
          <w:rFonts w:ascii="Times New Roman" w:hAnsi="Times New Roman" w:cs="Times New Roman"/>
          <w:sz w:val="20"/>
          <w:szCs w:val="20"/>
        </w:rPr>
        <w:t xml:space="preserve"> noise impact</w:t>
      </w:r>
      <w:r w:rsidR="00752A1E">
        <w:rPr>
          <w:rFonts w:ascii="Times New Roman" w:hAnsi="Times New Roman" w:cs="Times New Roman"/>
          <w:sz w:val="20"/>
          <w:szCs w:val="20"/>
        </w:rPr>
        <w:t xml:space="preserve"> </w:t>
      </w:r>
      <w:r w:rsidR="00752A1E">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c4huSg1g","properties":{"formattedCitation":"[242,320,321]","plainCitation":"[242,320,321]","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968HXJ10/zmhYQ1Yg","issued":{"date-parts":[["2020"]]},"title":"Opportunities for Hydrogen in Commercial Aviation","type":"article-journal"}},{"id":2556,"uris":["http://zotero.org/groups/2763812/items/D6RE68GI"],"uri":["http://zotero.org/groups/2763812/items/D6RE68GI"],"itemData":{"id":2556,"type":"article-journal","issue":"September 2015","page":"124-130","title":"Electric, Hybrid, and Hydrogen Aircraft-State of Play","author":[{"literal":"ICAO"}],"issued":{"date-parts":[["2016"]]}}},{"id":89,"uris":["http://zotero.org/groups/2763812/items/D3GMW9ZK"],"uri":["http://zotero.org/groups/2763812/items/D3GMW9ZK"],"itemData":{"id":89,"type":"article-journal","abstract":"This report describes the analytical modeling and evaluation of an unconventional commercial transport aircraft concept designed to address aircraft noise and emission issues. A blended-wing-body configuration with advanced technology hydrogen fuel cell electric propulsion is considered. Predicted noise and emission characteristics are compared to a current technology conventional configuration designed for the same mission. The significant technology issues which have to be addressed to make this concept a viable alternative to current aircraft designs are discussed. This concept is one of the \"Quiet Green Transport\" aircraft concepts studied as part of NASA's Revolutionary Aerospace Systems Concepts (RASC) Program. The RASC Program was initiated to develop revolutionary concepts that address strategic objectives of the NASA Enterprises, such as reducing aircraft noise and emissions, and to identify advanced technology requirements for the concepts.","issue":"February","title":"Evaluation of a Hydrogen Fuel Cell Powered Blended-Wing-Body Aircraft Concept for Reduced Noise and Emissions","author":[{"family":"Guynn","given":"Mark D"},{"family":"Freh","given":"Joshua E"},{"family":"Olson","given":"Erik D"}],"issued":{"date-parts":[["2004"]]}}}],"schema":"https://github.com/citation-style-language/schema/raw/master/csl-citation.json"} </w:instrText>
      </w:r>
      <w:r w:rsidR="00752A1E">
        <w:rPr>
          <w:rFonts w:ascii="Times New Roman" w:hAnsi="Times New Roman" w:cs="Times New Roman"/>
          <w:sz w:val="20"/>
          <w:szCs w:val="20"/>
        </w:rPr>
        <w:fldChar w:fldCharType="separate"/>
      </w:r>
      <w:r w:rsidR="00CB3233" w:rsidRPr="00CB3233">
        <w:rPr>
          <w:rFonts w:ascii="Times New Roman" w:hAnsi="Times New Roman" w:cs="Times New Roman"/>
          <w:sz w:val="20"/>
        </w:rPr>
        <w:t>[242,320,321]</w:t>
      </w:r>
      <w:r w:rsidR="00752A1E">
        <w:rPr>
          <w:rFonts w:ascii="Times New Roman" w:hAnsi="Times New Roman" w:cs="Times New Roman"/>
          <w:sz w:val="20"/>
          <w:szCs w:val="20"/>
        </w:rPr>
        <w:fldChar w:fldCharType="end"/>
      </w:r>
      <w:r w:rsidR="00D8573F">
        <w:rPr>
          <w:rFonts w:ascii="Times New Roman" w:hAnsi="Times New Roman" w:cs="Times New Roman"/>
          <w:sz w:val="20"/>
          <w:szCs w:val="20"/>
        </w:rPr>
        <w:t xml:space="preserve">, facilitating their use in densely populated areas </w:t>
      </w:r>
      <w:r w:rsidR="00D8573F" w:rsidRPr="008F5E66">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8KH8NDNk","properties":{"formattedCitation":"[275,320]","plainCitation":"[275,320]","noteIndex":0},"citationItems":[{"id":"968HXJ10/Dot4sxDB","uris":["http://www.mendeley.com/documents/?uuid=ecedca51-64ec-42d0-8fa9-0e39cb0caa12"],"uri":["http://www.mendeley.com/documents/?uuid=ecedca51-64ec-42d0-8fa9-0e39cb0caa12"],"itemData":{"ISBN":"9789292527044","author":[{"dropping-particle":"","family":"IATA","given":"","non-dropping-particle":"","parse-names":false,"suffix":""}],"id":"jb5Lmm2G/YDyVj8Te","issued":{"date-parts":[["2015"]]},"title":"IATA Sustainable aviation fuel roadmap","type":"report"}},{"id":2556,"uris":["http://zotero.org/groups/2763812/items/D6RE68GI"],"uri":["http://zotero.org/groups/2763812/items/D6RE68GI"],"itemData":{"id":2556,"type":"article-journal","issue":"September 2015","page":"124-130","title":"Electric, Hybrid, and Hydrogen Aircraft-State of Play","author":[{"literal":"ICAO"}],"issued":{"date-parts":[["2016"]]}}}],"schema":"https://github.com/citation-style-language/schema/raw/master/csl-citation.json"} </w:instrText>
      </w:r>
      <w:r w:rsidR="00D8573F" w:rsidRPr="008F5E66">
        <w:rPr>
          <w:rFonts w:ascii="Times New Roman" w:hAnsi="Times New Roman" w:cs="Times New Roman"/>
          <w:sz w:val="20"/>
          <w:szCs w:val="20"/>
        </w:rPr>
        <w:fldChar w:fldCharType="separate"/>
      </w:r>
      <w:r w:rsidR="00CB3233" w:rsidRPr="00CB3233">
        <w:rPr>
          <w:rFonts w:ascii="Times New Roman" w:hAnsi="Times New Roman" w:cs="Times New Roman"/>
          <w:sz w:val="20"/>
        </w:rPr>
        <w:t>[275,320]</w:t>
      </w:r>
      <w:r w:rsidR="00D8573F" w:rsidRPr="008F5E66">
        <w:rPr>
          <w:rFonts w:ascii="Times New Roman" w:hAnsi="Times New Roman" w:cs="Times New Roman"/>
          <w:sz w:val="20"/>
          <w:szCs w:val="20"/>
        </w:rPr>
        <w:fldChar w:fldCharType="end"/>
      </w:r>
      <w:r w:rsidR="00D8573F" w:rsidRPr="008F5E66">
        <w:rPr>
          <w:rFonts w:ascii="Times New Roman" w:hAnsi="Times New Roman" w:cs="Times New Roman"/>
          <w:sz w:val="20"/>
          <w:szCs w:val="20"/>
        </w:rPr>
        <w:t xml:space="preserve">. </w:t>
      </w:r>
      <w:r>
        <w:rPr>
          <w:rFonts w:ascii="Times New Roman" w:hAnsi="Times New Roman" w:cs="Times New Roman"/>
          <w:sz w:val="20"/>
          <w:szCs w:val="20"/>
        </w:rPr>
        <w:t>Battery-</w:t>
      </w:r>
      <w:r w:rsidRPr="008F5E66">
        <w:rPr>
          <w:rFonts w:ascii="Times New Roman" w:hAnsi="Times New Roman" w:cs="Times New Roman"/>
          <w:sz w:val="20"/>
          <w:szCs w:val="20"/>
        </w:rPr>
        <w:t xml:space="preserve">electric aviation </w:t>
      </w:r>
      <w:r w:rsidR="00D8573F">
        <w:rPr>
          <w:rFonts w:ascii="Times New Roman" w:hAnsi="Times New Roman" w:cs="Times New Roman"/>
          <w:sz w:val="20"/>
          <w:szCs w:val="20"/>
        </w:rPr>
        <w:t>has been reported to reduce noise by at least 65%, relative to conventional jet or piston engines</w:t>
      </w:r>
      <w:r w:rsidRPr="008F5E66">
        <w:rPr>
          <w:rFonts w:ascii="Times New Roman" w:hAnsi="Times New Roman" w:cs="Times New Roman"/>
          <w:sz w:val="20"/>
          <w:szCs w:val="20"/>
        </w:rPr>
        <w:t xml:space="preserve"> </w:t>
      </w:r>
      <w:r w:rsidR="008F5E66" w:rsidRPr="008F5E66">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QwTx97HL","properties":{"formattedCitation":"[27]","plainCitation":"[27]","noteIndex":0},"citationItems":[{"id":"968HXJ10/mGEa3YV5","uris":["http://www.mendeley.com/documents/?uuid=91fbef27-778a-4f0f-910f-0faf680e81c7"],"uri":["http://www.mendeley.com/documents/?uuid=91fbef27-778a-4f0f-910f-0faf680e81c7"],"itemData":{"author":[{"dropping-particle":"","family":"Misra","given":"Ajay","non-dropping-particle":"","parse-names":false,"suffix":""}],"container-title":"40th International Conference and Expo on Advanced  Ceramics and Composites","id":"jb5Lmm2G/CDn2uBxz","issued":{"date-parts":[["2016"]]},"title":"Energy Conversion and Storage Requirements for Hybrid Electric Aircraft","type":"article-journal"}}],"schema":"https://github.com/citation-style-language/schema/raw/master/csl-citation.json"} </w:instrText>
      </w:r>
      <w:r w:rsidR="008F5E66" w:rsidRPr="008F5E66">
        <w:rPr>
          <w:rFonts w:ascii="Times New Roman" w:hAnsi="Times New Roman" w:cs="Times New Roman"/>
          <w:sz w:val="20"/>
          <w:szCs w:val="20"/>
        </w:rPr>
        <w:fldChar w:fldCharType="separate"/>
      </w:r>
      <w:r w:rsidR="0051129D" w:rsidRPr="0051129D">
        <w:rPr>
          <w:rFonts w:ascii="Times New Roman" w:hAnsi="Times New Roman" w:cs="Times New Roman"/>
          <w:sz w:val="20"/>
        </w:rPr>
        <w:t>[27]</w:t>
      </w:r>
      <w:r w:rsidR="008F5E66" w:rsidRPr="008F5E66">
        <w:rPr>
          <w:rFonts w:ascii="Times New Roman" w:hAnsi="Times New Roman" w:cs="Times New Roman"/>
          <w:sz w:val="20"/>
          <w:szCs w:val="20"/>
        </w:rPr>
        <w:fldChar w:fldCharType="end"/>
      </w:r>
      <w:r w:rsidR="008F5E66" w:rsidRPr="008F5E66">
        <w:rPr>
          <w:rFonts w:ascii="Times New Roman" w:hAnsi="Times New Roman" w:cs="Times New Roman"/>
          <w:sz w:val="20"/>
          <w:szCs w:val="20"/>
        </w:rPr>
        <w:t>.</w:t>
      </w:r>
      <w:r w:rsidRPr="008F5E66">
        <w:rPr>
          <w:rFonts w:ascii="Times New Roman" w:hAnsi="Times New Roman" w:cs="Times New Roman"/>
          <w:sz w:val="20"/>
          <w:szCs w:val="20"/>
        </w:rPr>
        <w:t xml:space="preserve"> </w:t>
      </w:r>
    </w:p>
    <w:p w14:paraId="2223B801" w14:textId="6190920B" w:rsidR="00D8573F" w:rsidRDefault="00EE4E71" w:rsidP="00E6596E">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Carbon-free SESA technologies will induce the need for additional infrastructure, among other to charge batteries or store hydrogen. The recharging time, which is mainly dependent upon the charging point (e.g. power outlet, cable, vehicle’s adapter) and the battery capacity, is one key challenge of battery-electric aviation to meet desired flight turnaround times.</w:t>
      </w:r>
    </w:p>
    <w:p w14:paraId="0B322099" w14:textId="54D05EE5" w:rsidR="00E6596E" w:rsidRDefault="00EE4E71" w:rsidP="00E6596E">
      <w:pPr>
        <w:jc w:val="both"/>
        <w:rPr>
          <w:rFonts w:ascii="Times New Roman" w:hAnsi="Times New Roman"/>
          <w:sz w:val="20"/>
          <w:szCs w:val="20"/>
        </w:rPr>
      </w:pPr>
      <w:r>
        <w:rPr>
          <w:rFonts w:ascii="Times New Roman" w:hAnsi="Times New Roman" w:cs="Times New Roman"/>
          <w:sz w:val="20"/>
          <w:szCs w:val="20"/>
        </w:rPr>
        <w:t>S</w:t>
      </w:r>
      <w:r>
        <w:rPr>
          <w:rFonts w:ascii="Times New Roman" w:hAnsi="Times New Roman" w:cs="Times New Roman"/>
          <w:sz w:val="20"/>
        </w:rPr>
        <w:t>imilarly, h</w:t>
      </w:r>
      <w:r w:rsidR="00E6596E">
        <w:rPr>
          <w:rFonts w:ascii="Times New Roman" w:hAnsi="Times New Roman" w:cs="Times New Roman"/>
          <w:sz w:val="20"/>
        </w:rPr>
        <w:t xml:space="preserve">ydrogen refueling </w:t>
      </w:r>
      <w:r w:rsidR="00E6596E" w:rsidRPr="001069BF">
        <w:rPr>
          <w:rFonts w:ascii="Times New Roman" w:hAnsi="Times New Roman" w:cs="Times New Roman"/>
          <w:sz w:val="20"/>
        </w:rPr>
        <w:t xml:space="preserve">stations should be developed with </w:t>
      </w:r>
      <w:r>
        <w:rPr>
          <w:rFonts w:ascii="Times New Roman" w:hAnsi="Times New Roman" w:cs="Times New Roman"/>
          <w:sz w:val="20"/>
        </w:rPr>
        <w:t>important</w:t>
      </w:r>
      <w:r w:rsidR="00E6596E" w:rsidRPr="001069BF">
        <w:rPr>
          <w:rFonts w:ascii="Times New Roman" w:hAnsi="Times New Roman" w:cs="Times New Roman"/>
          <w:sz w:val="20"/>
        </w:rPr>
        <w:t xml:space="preserve"> flow rates to maintain flight turnaround times and prevent hydrogen </w:t>
      </w:r>
      <w:r w:rsidR="00353F48">
        <w:rPr>
          <w:rFonts w:ascii="Times New Roman" w:hAnsi="Times New Roman" w:cs="Times New Roman"/>
          <w:sz w:val="20"/>
        </w:rPr>
        <w:t>boil</w:t>
      </w:r>
      <w:r w:rsidR="00AF1AB7">
        <w:rPr>
          <w:rFonts w:ascii="Times New Roman" w:hAnsi="Times New Roman" w:cs="Times New Roman"/>
          <w:sz w:val="20"/>
        </w:rPr>
        <w:t>-</w:t>
      </w:r>
      <w:r w:rsidR="00353F48">
        <w:rPr>
          <w:rFonts w:ascii="Times New Roman" w:hAnsi="Times New Roman" w:cs="Times New Roman"/>
          <w:sz w:val="20"/>
        </w:rPr>
        <w:t>off</w:t>
      </w:r>
      <w:r w:rsidR="00E6596E" w:rsidRPr="001069BF">
        <w:rPr>
          <w:rFonts w:ascii="Times New Roman" w:hAnsi="Times New Roman" w:cs="Times New Roman"/>
          <w:sz w:val="20"/>
        </w:rPr>
        <w:t xml:space="preserve"> issue</w:t>
      </w:r>
      <w:r w:rsidR="00E064ED">
        <w:rPr>
          <w:rFonts w:ascii="Times New Roman" w:hAnsi="Times New Roman" w:cs="Times New Roman"/>
          <w:sz w:val="20"/>
        </w:rPr>
        <w:t>s</w:t>
      </w:r>
      <w:r w:rsidR="00E6596E" w:rsidRPr="001069BF">
        <w:rPr>
          <w:rFonts w:ascii="Times New Roman" w:hAnsi="Times New Roman" w:cs="Times New Roman"/>
          <w:sz w:val="20"/>
        </w:rPr>
        <w:t xml:space="preserve"> </w:t>
      </w:r>
      <w:r w:rsidR="00E6596E" w:rsidRPr="001069BF">
        <w:rPr>
          <w:rFonts w:ascii="Times New Roman" w:hAnsi="Times New Roman" w:cs="Times New Roman"/>
          <w:sz w:val="20"/>
        </w:rPr>
        <w:fldChar w:fldCharType="begin" w:fldLock="1"/>
      </w:r>
      <w:r w:rsidR="00752A1E">
        <w:rPr>
          <w:rFonts w:ascii="Times New Roman" w:hAnsi="Times New Roman" w:cs="Times New Roman"/>
          <w:sz w:val="20"/>
        </w:rPr>
        <w:instrText xml:space="preserve"> ADDIN ZOTERO_ITEM CSL_CITATION {"citationID":"DpAR1kMx","properties":{"formattedCitation":"[242,243]","plainCitation":"[242,243]","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-1","issued":{"date-parts":[["2020"]]},"title":"Opportunities for Hydrogen in Commercial Aviation","type":"article-journal"}},{"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alone.","author":[{"dropping-particle":"","family":"McKinsey","given":"","non-dropping-particle":"","parse-names":false,"suffix":""}],"id":"ITEM-2","issue":"May","issued":{"date-parts":[["2020"]]},"number-of-pages":"1-96","title":"Hydrogen-powered aviation A fact-based study of hydrogen technology, economics, and climate impact by 2050","type":"book"}}],"schema":"https://github.com/citation-style-language/schema/raw/master/csl-citation.json"} </w:instrText>
      </w:r>
      <w:r w:rsidR="00E6596E" w:rsidRPr="001069BF">
        <w:rPr>
          <w:rFonts w:ascii="Times New Roman" w:hAnsi="Times New Roman" w:cs="Times New Roman"/>
          <w:sz w:val="20"/>
        </w:rPr>
        <w:fldChar w:fldCharType="separate"/>
      </w:r>
      <w:r w:rsidR="0030292E" w:rsidRPr="0030292E">
        <w:rPr>
          <w:rFonts w:ascii="Times New Roman" w:hAnsi="Times New Roman" w:cs="Times New Roman"/>
          <w:sz w:val="20"/>
        </w:rPr>
        <w:t>[242,243]</w:t>
      </w:r>
      <w:r w:rsidR="00E6596E" w:rsidRPr="001069BF">
        <w:rPr>
          <w:rFonts w:ascii="Times New Roman" w:hAnsi="Times New Roman" w:cs="Times New Roman"/>
          <w:sz w:val="20"/>
        </w:rPr>
        <w:fldChar w:fldCharType="end"/>
      </w:r>
      <w:r w:rsidR="00E6596E" w:rsidRPr="001069BF">
        <w:rPr>
          <w:rFonts w:ascii="Times New Roman" w:hAnsi="Times New Roman" w:cs="Times New Roman"/>
          <w:sz w:val="20"/>
        </w:rPr>
        <w:t xml:space="preserve">. </w:t>
      </w:r>
      <w:r>
        <w:rPr>
          <w:rFonts w:ascii="Times New Roman" w:hAnsi="Times New Roman" w:cs="Times New Roman"/>
          <w:sz w:val="20"/>
        </w:rPr>
        <w:t xml:space="preserve">According to </w:t>
      </w:r>
      <w:r w:rsidRPr="001069BF">
        <w:rPr>
          <w:rFonts w:ascii="Times New Roman" w:hAnsi="Times New Roman" w:cs="Times New Roman"/>
          <w:sz w:val="20"/>
        </w:rPr>
        <w:fldChar w:fldCharType="begin" w:fldLock="1"/>
      </w:r>
      <w:r w:rsidR="00752A1E">
        <w:rPr>
          <w:rFonts w:ascii="Times New Roman" w:hAnsi="Times New Roman" w:cs="Times New Roman"/>
          <w:sz w:val="20"/>
        </w:rPr>
        <w:instrText xml:space="preserve"> ADDIN ZOTERO_ITEM CSL_CITATION {"citationID":"zrjhcnqs","properties":{"formattedCitation":"[241]","plainCitation":"[241]","noteIndex":0},"citationItems":[{"id":"968HXJ10/xqANPmHL","uris":["http://www.mendeley.com/documents/?uuid=1746867a-c43a-45fe-a676-424110183b9a"],"uri":["http://www.mendeley.com/documents/?uuid=1746867a-c43a-45fe-a676-424110183b9a"],"itemData":{"author":[{"dropping-particle":"","family":"Barnes","given":"Phil","non-dropping-particle":"","parse-names":false,"suffix":""}],"id":"ITEM-1","issued":{"date-parts":[["2019"]]},"title":"General Aviation Aircraft : Fuel cell hybrids for electric propulsion","type":"legislation"}}],"schema":"https://github.com/citation-style-language/schema/raw/master/csl-citation.json"} </w:instrText>
      </w:r>
      <w:r w:rsidRPr="001069BF">
        <w:rPr>
          <w:rFonts w:ascii="Times New Roman" w:hAnsi="Times New Roman" w:cs="Times New Roman"/>
          <w:sz w:val="20"/>
        </w:rPr>
        <w:fldChar w:fldCharType="separate"/>
      </w:r>
      <w:r w:rsidRPr="0030292E">
        <w:rPr>
          <w:rFonts w:ascii="Times New Roman" w:hAnsi="Times New Roman" w:cs="Times New Roman"/>
          <w:sz w:val="20"/>
        </w:rPr>
        <w:t>[241]</w:t>
      </w:r>
      <w:r w:rsidRPr="001069BF">
        <w:rPr>
          <w:rFonts w:ascii="Times New Roman" w:hAnsi="Times New Roman" w:cs="Times New Roman"/>
          <w:sz w:val="20"/>
        </w:rPr>
        <w:fldChar w:fldCharType="end"/>
      </w:r>
      <w:r w:rsidR="00E6596E" w:rsidRPr="001069BF">
        <w:rPr>
          <w:rFonts w:ascii="Times New Roman" w:hAnsi="Times New Roman" w:cs="Times New Roman"/>
          <w:sz w:val="20"/>
        </w:rPr>
        <w:t xml:space="preserve">, onsite hydrogen production </w:t>
      </w:r>
      <w:r w:rsidR="00E6596E">
        <w:rPr>
          <w:rFonts w:ascii="Times New Roman" w:hAnsi="Times New Roman" w:cs="Times New Roman"/>
          <w:sz w:val="20"/>
        </w:rPr>
        <w:t xml:space="preserve">(through water electrolysis) </w:t>
      </w:r>
      <w:r w:rsidR="00A30E8F">
        <w:rPr>
          <w:rFonts w:ascii="Times New Roman" w:hAnsi="Times New Roman" w:cs="Times New Roman"/>
          <w:sz w:val="20"/>
        </w:rPr>
        <w:t xml:space="preserve">may </w:t>
      </w:r>
      <w:r w:rsidR="00E6596E" w:rsidRPr="001069BF">
        <w:rPr>
          <w:rFonts w:ascii="Times New Roman" w:hAnsi="Times New Roman" w:cs="Times New Roman"/>
          <w:sz w:val="20"/>
        </w:rPr>
        <w:t>be possible</w:t>
      </w:r>
      <w:r w:rsidR="00E6596E">
        <w:rPr>
          <w:rFonts w:ascii="Times New Roman" w:hAnsi="Times New Roman" w:cs="Times New Roman"/>
          <w:sz w:val="20"/>
        </w:rPr>
        <w:t xml:space="preserve"> </w:t>
      </w:r>
      <w:r w:rsidR="00A30E8F">
        <w:rPr>
          <w:rFonts w:ascii="Times New Roman" w:hAnsi="Times New Roman" w:cs="Times New Roman"/>
          <w:sz w:val="20"/>
        </w:rPr>
        <w:t xml:space="preserve">in a foreseeable future </w:t>
      </w:r>
      <w:r w:rsidR="00E6596E">
        <w:rPr>
          <w:rFonts w:ascii="Times New Roman" w:hAnsi="Times New Roman" w:cs="Times New Roman"/>
          <w:sz w:val="20"/>
        </w:rPr>
        <w:t xml:space="preserve">to produce </w:t>
      </w:r>
      <w:r w:rsidR="00A30E8F">
        <w:rPr>
          <w:rFonts w:ascii="Times New Roman" w:hAnsi="Times New Roman" w:cs="Times New Roman"/>
          <w:sz w:val="20"/>
        </w:rPr>
        <w:t xml:space="preserve">the needed hydrogen </w:t>
      </w:r>
      <w:r w:rsidR="00E6596E">
        <w:rPr>
          <w:rFonts w:ascii="Times New Roman" w:hAnsi="Times New Roman" w:cs="Times New Roman"/>
          <w:sz w:val="20"/>
        </w:rPr>
        <w:t>on</w:t>
      </w:r>
      <w:r w:rsidR="00E064ED">
        <w:rPr>
          <w:rFonts w:ascii="Times New Roman" w:hAnsi="Times New Roman" w:cs="Times New Roman"/>
          <w:sz w:val="20"/>
        </w:rPr>
        <w:t>-</w:t>
      </w:r>
      <w:r w:rsidR="00E6596E">
        <w:rPr>
          <w:rFonts w:ascii="Times New Roman" w:hAnsi="Times New Roman" w:cs="Times New Roman"/>
          <w:sz w:val="20"/>
        </w:rPr>
        <w:t>demand</w:t>
      </w:r>
      <w:r w:rsidR="00E6596E" w:rsidRPr="001069BF">
        <w:rPr>
          <w:rFonts w:ascii="Times New Roman" w:hAnsi="Times New Roman" w:cs="Times New Roman"/>
          <w:sz w:val="20"/>
        </w:rPr>
        <w:t xml:space="preserve">. </w:t>
      </w:r>
      <w:r w:rsidR="00E6596E">
        <w:rPr>
          <w:rFonts w:ascii="Times New Roman" w:hAnsi="Times New Roman" w:cs="Times New Roman"/>
          <w:sz w:val="20"/>
        </w:rPr>
        <w:t>Cryogenic storage</w:t>
      </w:r>
      <w:r w:rsidR="002B43F9">
        <w:rPr>
          <w:rFonts w:ascii="Times New Roman" w:hAnsi="Times New Roman" w:cs="Times New Roman"/>
          <w:sz w:val="20"/>
        </w:rPr>
        <w:t xml:space="preserve"> (whether on ground or onboard), which implies the storage of liquefied hydrogen below -253°C in a double-walled vessel with vacuum insulation</w:t>
      </w:r>
      <w:r w:rsidR="00E6596E">
        <w:rPr>
          <w:rFonts w:ascii="Times New Roman" w:hAnsi="Times New Roman" w:cs="Times New Roman"/>
          <w:sz w:val="20"/>
        </w:rPr>
        <w:t xml:space="preserve"> </w:t>
      </w:r>
      <w:r w:rsidR="00CB0590">
        <w:rPr>
          <w:rFonts w:ascii="Times New Roman" w:hAnsi="Times New Roman" w:cs="Times New Roman"/>
          <w:sz w:val="20"/>
        </w:rPr>
        <w:fldChar w:fldCharType="begin"/>
      </w:r>
      <w:r w:rsidR="00752A1E">
        <w:rPr>
          <w:rFonts w:ascii="Times New Roman" w:hAnsi="Times New Roman" w:cs="Times New Roman"/>
          <w:sz w:val="20"/>
        </w:rPr>
        <w:instrText xml:space="preserve"> ADDIN ZOTERO_ITEM CSL_CITATION {"citationID":"S72B8CRK","properties":{"formattedCitation":"[29]","plainCitation":"[29]","noteIndex":0},"citationItems":[{"id":"968HXJ10/dl9JdcCM","uris":["http://www.mendeley.com/documents/?uuid=82e6f8bc-8f73-4139-86df-119bb560d866"],"uri":["http://www.mendeley.com/documents/?uuid=82e6f8bc-8f73-4139-86df-119bb560d866"],"itemData":{"DOI":"10.1016/j.rser.2019.02.022","ISSN":"18790690","abstract":"The world energy consumption is greatly influenced by the aviation industry with a total energy consumption ranging between 2.5% and 5%. Currently, liquid fossil fuel, which releases various types of Greenhouse Gas (GHG) emissions, is the main fuel in the aviation industry. As the aviation industry grows rapidly to meet the requirements of the increased world population, the demand for environmentally friendly power technology for various applications in the aviation sector has been increased sharply in recent years. Among the various clean power sources, energy obtained from hydrogen is considered the future for energy generation in the aviation industry due to its cleanness and abundance. This paper aims to give an overview of the potential aviation applications where hydrogen and fuel cell technology can be used. Also, the major challenges that limit the wide adoption of hydrogen technology in aviation are highlighted and future research prospects are identified.","author":[{"dropping-particle":"","family":"Baroutaji","given":"Ahmad","non-dropping-particle":"","parse-names":false,"suffix":""},{"dropping-particle":"","family":"Wilberforce","given":"Tabbi","non-dropping-particle":"","parse-names":false,"suffix":""},{"dropping-particle":"","family":"Ramadan","given":"Mohamad","non-dropping-particle":"","parse-names":false,"suffix":""},{"dropping-particle":"","family":"Olabi","given":"Abdul Ghani","non-dropping-particle":"","parse-names":false,"suffix":""}],"container-title":"Renewable and Sustainable Energy Reviews","id":"jb5Lmm2G/p2JX0B0n","issue":"September 2018","issued":{"date-parts":[["2019"]]},"page":"31-40","publisher":"Elsevier Ltd","title":"Comprehensive investigation on hydrogen and fuel cell technology in the aviation and aerospace sectors","type":"article-journal","volume":"106"}}],"schema":"https://github.com/citation-style-language/schema/raw/master/csl-citation.json"} </w:instrText>
      </w:r>
      <w:r w:rsidR="00CB0590">
        <w:rPr>
          <w:rFonts w:ascii="Times New Roman" w:hAnsi="Times New Roman" w:cs="Times New Roman"/>
          <w:sz w:val="20"/>
        </w:rPr>
        <w:fldChar w:fldCharType="separate"/>
      </w:r>
      <w:r w:rsidR="0078655A" w:rsidRPr="0078655A">
        <w:rPr>
          <w:rFonts w:ascii="Times New Roman" w:hAnsi="Times New Roman" w:cs="Times New Roman"/>
          <w:sz w:val="20"/>
        </w:rPr>
        <w:t>[29]</w:t>
      </w:r>
      <w:r w:rsidR="00CB0590">
        <w:rPr>
          <w:rFonts w:ascii="Times New Roman" w:hAnsi="Times New Roman" w:cs="Times New Roman"/>
          <w:sz w:val="20"/>
        </w:rPr>
        <w:fldChar w:fldCharType="end"/>
      </w:r>
      <w:r w:rsidR="002B43F9">
        <w:rPr>
          <w:rFonts w:ascii="Times New Roman" w:hAnsi="Times New Roman" w:cs="Times New Roman"/>
          <w:sz w:val="20"/>
        </w:rPr>
        <w:t xml:space="preserve">, implies the need for reliable components including valves, and pumps allowing to ensure these cryogenic conditions as well as safety concerns </w:t>
      </w:r>
      <w:r w:rsidR="00E6596E" w:rsidRPr="001069BF">
        <w:rPr>
          <w:rFonts w:ascii="Times New Roman" w:hAnsi="Times New Roman"/>
          <w:sz w:val="20"/>
          <w:szCs w:val="20"/>
        </w:rPr>
        <w:fldChar w:fldCharType="begin" w:fldLock="1"/>
      </w:r>
      <w:r w:rsidR="00CB3233">
        <w:rPr>
          <w:rFonts w:ascii="Times New Roman" w:hAnsi="Times New Roman"/>
          <w:sz w:val="20"/>
          <w:szCs w:val="20"/>
        </w:rPr>
        <w:instrText xml:space="preserve"> ADDIN ZOTERO_ITEM CSL_CITATION {"citationID":"KDiGomsJ","properties":{"formattedCitation":"[322]","plainCitation":"[322]","noteIndex":0},"citationItems":[{"id":"968HXJ10/hMZp63Qj","uris":["http://www.mendeley.com/documents/?uuid=fd65b366-55ff-464a-84c5-e6bf6991ef3d"],"uri":["http://www.mendeley.com/documents/?uuid=fd65b366-55ff-464a-84c5-e6bf6991ef3d"],"itemData":{"DOI":"10.13140/2.1.2658.9764","author":[{"dropping-particle":"","family":"Rondinelli","given":"Stephen","non-dropping-particle":"","parse-names":false,"suffix":""},{"dropping-particle":"","family":"Sabatini","given":"Roberto","non-dropping-particle":"","parse-names":false,"suffix":""},{"dropping-particle":"","family":"Gardi","given":"Alessandro","non-dropping-particle":"","parse-names":false,"suffix":""}],"id":"ITEM-1","issue":"November","issued":{"date-parts":[["2014"]]},"title":"Challenges and Benefits offered by Liquid Hydrogen Fuels in Commercial Aviation Aviation","type":"article-journal"}}],"schema":"https://github.com/citation-style-language/schema/raw/master/csl-citation.json"} </w:instrText>
      </w:r>
      <w:r w:rsidR="00E6596E" w:rsidRPr="001069BF">
        <w:rPr>
          <w:rFonts w:ascii="Times New Roman" w:hAnsi="Times New Roman"/>
          <w:sz w:val="20"/>
          <w:szCs w:val="20"/>
        </w:rPr>
        <w:fldChar w:fldCharType="separate"/>
      </w:r>
      <w:r w:rsidR="00CB3233" w:rsidRPr="00CB3233">
        <w:rPr>
          <w:rFonts w:ascii="Times New Roman" w:hAnsi="Times New Roman" w:cs="Times New Roman"/>
          <w:sz w:val="20"/>
        </w:rPr>
        <w:t>[322]</w:t>
      </w:r>
      <w:r w:rsidR="00E6596E" w:rsidRPr="001069BF">
        <w:rPr>
          <w:rFonts w:ascii="Times New Roman" w:hAnsi="Times New Roman"/>
          <w:sz w:val="20"/>
          <w:szCs w:val="20"/>
        </w:rPr>
        <w:fldChar w:fldCharType="end"/>
      </w:r>
      <w:r w:rsidR="00E6596E" w:rsidRPr="001069BF">
        <w:rPr>
          <w:rFonts w:ascii="Times New Roman" w:hAnsi="Times New Roman"/>
          <w:sz w:val="20"/>
          <w:szCs w:val="20"/>
        </w:rPr>
        <w:t xml:space="preserve">. </w:t>
      </w:r>
    </w:p>
    <w:p w14:paraId="420C8508" w14:textId="25D8AC18" w:rsidR="00732A88" w:rsidRDefault="00732A88" w:rsidP="00E6596E">
      <w:pPr>
        <w:jc w:val="both"/>
        <w:rPr>
          <w:rFonts w:ascii="Times New Roman" w:hAnsi="Times New Roman"/>
          <w:sz w:val="20"/>
          <w:szCs w:val="20"/>
        </w:rPr>
      </w:pPr>
      <w:r>
        <w:rPr>
          <w:rFonts w:ascii="Times New Roman" w:hAnsi="Times New Roman"/>
          <w:sz w:val="20"/>
          <w:szCs w:val="20"/>
        </w:rPr>
        <w:t xml:space="preserve">Finally, additional initiatives, albeit marginal, do exist and have not been covered within this review. This includes liquefied natural gas (LNG; eventually stemming from non-fossil methane) </w:t>
      </w:r>
      <w:r>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sA7bE30N","properties":{"formattedCitation":"[323]","plainCitation":"[323]","noteIndex":0},"citationItems":[{"id":5854,"uris":["http://zotero.org/groups/2763812/items/F2XNJCPT"],"uri":["http://zotero.org/groups/2763812/items/F2XNJCPT"],"itemData":{"id":5854,"type":"report","note":"container-title: AHEAD Final Report","page":"1-40","title":"Advanced hybrid engines for aircraft development: AHEAD project","author":[{"family":"Rao","given":"Arvind Gangoli"}],"issued":{"date-parts":[["2015"]]}}}],"schema":"https://github.com/citation-style-language/schema/raw/master/csl-citation.json"} </w:instrText>
      </w:r>
      <w:r>
        <w:rPr>
          <w:rFonts w:ascii="Times New Roman" w:hAnsi="Times New Roman" w:cs="Times New Roman"/>
          <w:sz w:val="20"/>
          <w:szCs w:val="20"/>
        </w:rPr>
        <w:fldChar w:fldCharType="separate"/>
      </w:r>
      <w:r w:rsidR="00CB3233" w:rsidRPr="00CB3233">
        <w:rPr>
          <w:rFonts w:ascii="Times New Roman" w:hAnsi="Times New Roman" w:cs="Times New Roman"/>
          <w:sz w:val="20"/>
        </w:rPr>
        <w:t>[323]</w:t>
      </w:r>
      <w:r>
        <w:rPr>
          <w:rFonts w:ascii="Times New Roman" w:hAnsi="Times New Roman" w:cs="Times New Roman"/>
          <w:sz w:val="20"/>
          <w:szCs w:val="20"/>
        </w:rPr>
        <w:fldChar w:fldCharType="end"/>
      </w:r>
      <w:r>
        <w:rPr>
          <w:rFonts w:ascii="Times New Roman" w:hAnsi="Times New Roman" w:cs="Times New Roman"/>
          <w:sz w:val="20"/>
          <w:szCs w:val="20"/>
        </w:rPr>
        <w:t xml:space="preserve"> and </w:t>
      </w:r>
      <w:r w:rsidRPr="00180AB3">
        <w:rPr>
          <w:rFonts w:ascii="Times New Roman" w:hAnsi="Times New Roman" w:cs="Times New Roman"/>
          <w:sz w:val="20"/>
          <w:szCs w:val="20"/>
        </w:rPr>
        <w:t xml:space="preserve">liquid ammonia </w:t>
      </w:r>
      <w:r>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0JWrefZF","properties":{"formattedCitation":"[324]","plainCitation":"[324]","noteIndex":0},"citationItems":[{"id":5831,"uris":["http://zotero.org/groups/2763812/items/5J3B6HA5"],"uri":["http://zotero.org/groups/2763812/items/5J3B6HA5"],"itemData":{"id":5831,"type":"personal_communication","note":"container-title: NEW ATLAS","title":"Reaction Engines testing ammonia as carbon-free aviation fuel","URL":"https://newatlas.com/aircraft/reaction-engines-ammonia-carbon-free-aviation-fuel/","author":[{"family":"Szondy","given":"David"}],"issued":{"date-parts":[["2020"]]}}}],"schema":"https://github.com/citation-style-language/schema/raw/master/csl-citation.json"} </w:instrText>
      </w:r>
      <w:r>
        <w:rPr>
          <w:rFonts w:ascii="Times New Roman" w:hAnsi="Times New Roman" w:cs="Times New Roman"/>
          <w:sz w:val="20"/>
          <w:szCs w:val="20"/>
        </w:rPr>
        <w:fldChar w:fldCharType="separate"/>
      </w:r>
      <w:r w:rsidR="00CB3233" w:rsidRPr="00CB3233">
        <w:rPr>
          <w:rFonts w:ascii="Times New Roman" w:hAnsi="Times New Roman" w:cs="Times New Roman"/>
          <w:sz w:val="20"/>
        </w:rPr>
        <w:t>[324]</w:t>
      </w:r>
      <w:r>
        <w:rPr>
          <w:rFonts w:ascii="Times New Roman" w:hAnsi="Times New Roman" w:cs="Times New Roman"/>
          <w:sz w:val="20"/>
          <w:szCs w:val="20"/>
        </w:rPr>
        <w:fldChar w:fldCharType="end"/>
      </w:r>
      <w:r>
        <w:rPr>
          <w:rFonts w:ascii="Times New Roman" w:hAnsi="Times New Roman" w:cs="Times New Roman"/>
          <w:sz w:val="20"/>
          <w:szCs w:val="20"/>
        </w:rPr>
        <w:t>.</w:t>
      </w:r>
    </w:p>
    <w:p w14:paraId="73A5D5E2" w14:textId="24BA78CF" w:rsidR="00C0588D" w:rsidRPr="008364D8" w:rsidRDefault="00C71C36" w:rsidP="00C0588D">
      <w:pPr>
        <w:spacing w:after="120" w:line="276" w:lineRule="auto"/>
        <w:jc w:val="thaiDistribute"/>
        <w:rPr>
          <w:rFonts w:ascii="Times New Roman" w:hAnsi="Times New Roman" w:cs="Times New Roman"/>
          <w:b/>
          <w:sz w:val="20"/>
          <w:szCs w:val="20"/>
        </w:rPr>
      </w:pPr>
      <w:r>
        <w:rPr>
          <w:rFonts w:ascii="Times New Roman" w:hAnsi="Times New Roman" w:cs="Times New Roman"/>
          <w:b/>
          <w:sz w:val="20"/>
          <w:szCs w:val="20"/>
        </w:rPr>
        <w:t>8</w:t>
      </w:r>
      <w:r w:rsidR="00C0588D" w:rsidRPr="00936195">
        <w:rPr>
          <w:rFonts w:ascii="Times New Roman" w:hAnsi="Times New Roman" w:cs="Times New Roman"/>
          <w:b/>
          <w:sz w:val="20"/>
          <w:szCs w:val="20"/>
        </w:rPr>
        <w:t xml:space="preserve">. </w:t>
      </w:r>
      <w:r w:rsidR="00C0588D">
        <w:rPr>
          <w:rFonts w:ascii="Times New Roman" w:hAnsi="Times New Roman" w:cs="Times New Roman"/>
          <w:b/>
          <w:sz w:val="20"/>
          <w:szCs w:val="20"/>
        </w:rPr>
        <w:t xml:space="preserve">Prospects for SESA </w:t>
      </w:r>
    </w:p>
    <w:p w14:paraId="778C930C" w14:textId="767206C5" w:rsidR="00312040" w:rsidRDefault="00C0588D" w:rsidP="00312040">
      <w:pPr>
        <w:spacing w:after="120" w:line="276" w:lineRule="auto"/>
        <w:jc w:val="thaiDistribute"/>
        <w:rPr>
          <w:rFonts w:ascii="Times New Roman" w:hAnsi="Times New Roman" w:cs="Times New Roman"/>
          <w:i/>
          <w:sz w:val="20"/>
          <w:szCs w:val="20"/>
        </w:rPr>
      </w:pPr>
      <w:r>
        <w:rPr>
          <w:rFonts w:ascii="Times New Roman" w:hAnsi="Times New Roman" w:cs="Times New Roman"/>
          <w:i/>
          <w:sz w:val="20"/>
          <w:szCs w:val="20"/>
        </w:rPr>
        <w:t>8</w:t>
      </w:r>
      <w:r w:rsidR="00221AAE">
        <w:rPr>
          <w:rFonts w:ascii="Times New Roman" w:hAnsi="Times New Roman" w:cs="Times New Roman"/>
          <w:i/>
          <w:sz w:val="20"/>
          <w:szCs w:val="20"/>
        </w:rPr>
        <w:t>.1</w:t>
      </w:r>
      <w:r w:rsidR="00D23916" w:rsidRPr="00C0588D">
        <w:rPr>
          <w:rFonts w:ascii="Times New Roman" w:hAnsi="Times New Roman" w:cs="Times New Roman"/>
          <w:i/>
          <w:sz w:val="20"/>
          <w:szCs w:val="20"/>
        </w:rPr>
        <w:t xml:space="preserve"> </w:t>
      </w:r>
      <w:r w:rsidR="00987286">
        <w:rPr>
          <w:rFonts w:ascii="Times New Roman" w:hAnsi="Times New Roman" w:cs="Times New Roman"/>
          <w:i/>
          <w:sz w:val="20"/>
          <w:szCs w:val="20"/>
        </w:rPr>
        <w:t xml:space="preserve">Fossil-free aviation appears </w:t>
      </w:r>
      <w:r w:rsidR="00D23916" w:rsidRPr="00C0588D">
        <w:rPr>
          <w:rFonts w:ascii="Times New Roman" w:hAnsi="Times New Roman" w:cs="Times New Roman"/>
          <w:i/>
          <w:sz w:val="20"/>
          <w:szCs w:val="20"/>
        </w:rPr>
        <w:t>unlikely</w:t>
      </w:r>
      <w:r w:rsidR="00FD6CE3" w:rsidRPr="00C0588D">
        <w:rPr>
          <w:rFonts w:ascii="Times New Roman" w:hAnsi="Times New Roman" w:cs="Times New Roman"/>
          <w:i/>
          <w:sz w:val="20"/>
          <w:szCs w:val="20"/>
        </w:rPr>
        <w:t xml:space="preserve"> at present but challenges may be overcome</w:t>
      </w:r>
    </w:p>
    <w:p w14:paraId="4AF20342" w14:textId="40EA7FEF" w:rsidR="00C974F9" w:rsidRPr="00C0588D" w:rsidRDefault="00C974F9" w:rsidP="00C974F9">
      <w:pPr>
        <w:spacing w:after="120" w:line="276" w:lineRule="auto"/>
        <w:jc w:val="thaiDistribute"/>
        <w:rPr>
          <w:rFonts w:ascii="Times New Roman" w:hAnsi="Times New Roman" w:cs="Times New Roman"/>
          <w:sz w:val="20"/>
          <w:szCs w:val="20"/>
        </w:rPr>
      </w:pPr>
      <w:r w:rsidRPr="00C0588D">
        <w:rPr>
          <w:rFonts w:ascii="Times New Roman" w:hAnsi="Times New Roman" w:cs="Times New Roman"/>
          <w:sz w:val="20"/>
          <w:szCs w:val="20"/>
        </w:rPr>
        <w:t xml:space="preserve">All pathways </w:t>
      </w:r>
      <w:r w:rsidR="00920DB4">
        <w:rPr>
          <w:rFonts w:ascii="Times New Roman" w:hAnsi="Times New Roman" w:cs="Times New Roman"/>
          <w:sz w:val="20"/>
          <w:szCs w:val="20"/>
        </w:rPr>
        <w:t xml:space="preserve">documented in this study </w:t>
      </w:r>
      <w:r w:rsidRPr="00C0588D">
        <w:rPr>
          <w:rFonts w:ascii="Times New Roman" w:hAnsi="Times New Roman" w:cs="Times New Roman"/>
          <w:sz w:val="20"/>
          <w:szCs w:val="20"/>
        </w:rPr>
        <w:t xml:space="preserve">require </w:t>
      </w:r>
      <w:r w:rsidR="00920DB4">
        <w:rPr>
          <w:rFonts w:ascii="Times New Roman" w:hAnsi="Times New Roman" w:cs="Times New Roman"/>
          <w:sz w:val="20"/>
          <w:szCs w:val="20"/>
        </w:rPr>
        <w:t xml:space="preserve">blending with </w:t>
      </w:r>
      <w:r w:rsidRPr="00C0588D">
        <w:rPr>
          <w:rFonts w:ascii="Times New Roman" w:hAnsi="Times New Roman" w:cs="Times New Roman"/>
          <w:sz w:val="20"/>
          <w:szCs w:val="20"/>
        </w:rPr>
        <w:t>fossil</w:t>
      </w:r>
      <w:r w:rsidR="00920DB4">
        <w:rPr>
          <w:rFonts w:ascii="Times New Roman" w:hAnsi="Times New Roman" w:cs="Times New Roman"/>
          <w:sz w:val="20"/>
          <w:szCs w:val="20"/>
        </w:rPr>
        <w:t xml:space="preserve"> C</w:t>
      </w:r>
      <w:r w:rsidRPr="00C0588D">
        <w:rPr>
          <w:rFonts w:ascii="Times New Roman" w:hAnsi="Times New Roman" w:cs="Times New Roman"/>
          <w:sz w:val="20"/>
          <w:szCs w:val="20"/>
        </w:rPr>
        <w:t xml:space="preserve">, </w:t>
      </w:r>
      <w:r w:rsidR="0009209F">
        <w:rPr>
          <w:rFonts w:ascii="Times New Roman" w:hAnsi="Times New Roman" w:cs="Times New Roman"/>
          <w:sz w:val="20"/>
          <w:szCs w:val="20"/>
        </w:rPr>
        <w:t>with</w:t>
      </w:r>
      <w:r>
        <w:rPr>
          <w:rFonts w:ascii="Times New Roman" w:hAnsi="Times New Roman" w:cs="Times New Roman"/>
          <w:sz w:val="20"/>
          <w:szCs w:val="20"/>
        </w:rPr>
        <w:t xml:space="preserve"> exception </w:t>
      </w:r>
      <w:r w:rsidR="00E064ED">
        <w:rPr>
          <w:rFonts w:ascii="Times New Roman" w:hAnsi="Times New Roman" w:cs="Times New Roman"/>
          <w:sz w:val="20"/>
          <w:szCs w:val="20"/>
        </w:rPr>
        <w:t>of</w:t>
      </w:r>
      <w:r>
        <w:rPr>
          <w:rFonts w:ascii="Times New Roman" w:hAnsi="Times New Roman" w:cs="Times New Roman"/>
          <w:sz w:val="20"/>
          <w:szCs w:val="20"/>
        </w:rPr>
        <w:t xml:space="preserve"> hydrogen aviation as shown in Fig</w:t>
      </w:r>
      <w:r w:rsidR="009B49DE">
        <w:rPr>
          <w:rFonts w:ascii="Times New Roman" w:hAnsi="Times New Roman" w:cs="Times New Roman"/>
          <w:sz w:val="20"/>
          <w:szCs w:val="20"/>
        </w:rPr>
        <w:t>.</w:t>
      </w:r>
      <w:r>
        <w:rPr>
          <w:rFonts w:ascii="Times New Roman" w:hAnsi="Times New Roman" w:cs="Times New Roman"/>
          <w:sz w:val="20"/>
          <w:szCs w:val="20"/>
        </w:rPr>
        <w:t xml:space="preserve"> 13f. </w:t>
      </w:r>
      <w:r w:rsidR="00920DB4">
        <w:rPr>
          <w:rFonts w:ascii="Times New Roman" w:hAnsi="Times New Roman" w:cs="Times New Roman"/>
          <w:sz w:val="20"/>
          <w:szCs w:val="20"/>
        </w:rPr>
        <w:t>Albeit</w:t>
      </w:r>
      <w:r>
        <w:rPr>
          <w:rFonts w:ascii="Times New Roman" w:hAnsi="Times New Roman" w:cs="Times New Roman"/>
          <w:sz w:val="20"/>
          <w:szCs w:val="20"/>
        </w:rPr>
        <w:t xml:space="preserve">, hydrogen </w:t>
      </w:r>
      <w:r w:rsidR="00920DB4">
        <w:rPr>
          <w:rFonts w:ascii="Times New Roman" w:hAnsi="Times New Roman" w:cs="Times New Roman"/>
          <w:sz w:val="20"/>
          <w:szCs w:val="20"/>
        </w:rPr>
        <w:t xml:space="preserve">can be used as standalone fuel, </w:t>
      </w:r>
      <w:r>
        <w:rPr>
          <w:rFonts w:ascii="Times New Roman" w:hAnsi="Times New Roman" w:cs="Times New Roman"/>
          <w:sz w:val="20"/>
          <w:szCs w:val="20"/>
        </w:rPr>
        <w:t xml:space="preserve">the integration </w:t>
      </w:r>
      <w:r w:rsidR="00E064ED">
        <w:rPr>
          <w:rFonts w:ascii="Times New Roman" w:hAnsi="Times New Roman" w:cs="Times New Roman"/>
          <w:sz w:val="20"/>
          <w:szCs w:val="20"/>
        </w:rPr>
        <w:t xml:space="preserve">of </w:t>
      </w:r>
      <w:r w:rsidR="00920DB4">
        <w:rPr>
          <w:rFonts w:ascii="Times New Roman" w:hAnsi="Times New Roman" w:cs="Times New Roman"/>
          <w:sz w:val="20"/>
          <w:szCs w:val="20"/>
        </w:rPr>
        <w:t xml:space="preserve">either fuel cells </w:t>
      </w:r>
      <w:r>
        <w:rPr>
          <w:rFonts w:ascii="Times New Roman" w:hAnsi="Times New Roman" w:cs="Times New Roman"/>
          <w:sz w:val="20"/>
          <w:szCs w:val="20"/>
        </w:rPr>
        <w:t xml:space="preserve">or hydrogen combustion engines </w:t>
      </w:r>
      <w:r w:rsidR="00920DB4">
        <w:rPr>
          <w:rFonts w:ascii="Times New Roman" w:hAnsi="Times New Roman" w:cs="Times New Roman"/>
          <w:sz w:val="20"/>
          <w:szCs w:val="20"/>
        </w:rPr>
        <w:t>remains an</w:t>
      </w:r>
      <w:r w:rsidR="00E064ED">
        <w:rPr>
          <w:rFonts w:ascii="Times New Roman" w:hAnsi="Times New Roman" w:cs="Times New Roman"/>
          <w:sz w:val="20"/>
          <w:szCs w:val="20"/>
        </w:rPr>
        <w:t xml:space="preserve"> </w:t>
      </w:r>
      <w:r>
        <w:rPr>
          <w:rFonts w:ascii="Times New Roman" w:hAnsi="Times New Roman" w:cs="Times New Roman"/>
          <w:sz w:val="20"/>
          <w:szCs w:val="20"/>
        </w:rPr>
        <w:t xml:space="preserve">engineering challenge. </w:t>
      </w:r>
      <w:r w:rsidR="00920DB4">
        <w:rPr>
          <w:rFonts w:ascii="Times New Roman" w:hAnsi="Times New Roman" w:cs="Times New Roman"/>
          <w:sz w:val="20"/>
          <w:szCs w:val="20"/>
        </w:rPr>
        <w:t>Among others, n</w:t>
      </w:r>
      <w:r>
        <w:rPr>
          <w:rFonts w:ascii="Times New Roman" w:hAnsi="Times New Roman" w:cs="Times New Roman"/>
          <w:sz w:val="20"/>
          <w:szCs w:val="20"/>
        </w:rPr>
        <w:t>ovel airframe</w:t>
      </w:r>
      <w:r w:rsidR="00920DB4">
        <w:rPr>
          <w:rFonts w:ascii="Times New Roman" w:hAnsi="Times New Roman" w:cs="Times New Roman"/>
          <w:sz w:val="20"/>
          <w:szCs w:val="20"/>
        </w:rPr>
        <w:t>s</w:t>
      </w:r>
      <w:r>
        <w:rPr>
          <w:rFonts w:ascii="Times New Roman" w:hAnsi="Times New Roman" w:cs="Times New Roman"/>
          <w:sz w:val="20"/>
          <w:szCs w:val="20"/>
        </w:rPr>
        <w:t xml:space="preserve"> such as blended-wing-body design </w:t>
      </w:r>
      <w:r w:rsidR="00920DB4">
        <w:rPr>
          <w:rFonts w:ascii="Times New Roman" w:hAnsi="Times New Roman" w:cs="Times New Roman"/>
          <w:sz w:val="20"/>
          <w:szCs w:val="20"/>
        </w:rPr>
        <w:t>are required</w:t>
      </w:r>
      <w:r>
        <w:rPr>
          <w:rFonts w:ascii="Times New Roman" w:hAnsi="Times New Roman" w:cs="Times New Roman"/>
          <w:sz w:val="20"/>
          <w:szCs w:val="20"/>
        </w:rPr>
        <w:t xml:space="preserve"> to accommodate onboard LH</w:t>
      </w:r>
      <w:r w:rsidRPr="001B1F05">
        <w:rPr>
          <w:rFonts w:ascii="Times New Roman" w:hAnsi="Times New Roman" w:cs="Times New Roman"/>
          <w:sz w:val="20"/>
          <w:szCs w:val="20"/>
          <w:vertAlign w:val="subscript"/>
        </w:rPr>
        <w:t>2</w:t>
      </w:r>
      <w:r>
        <w:rPr>
          <w:rFonts w:ascii="Times New Roman" w:hAnsi="Times New Roman" w:cs="Times New Roman"/>
          <w:sz w:val="20"/>
          <w:szCs w:val="20"/>
        </w:rPr>
        <w:t xml:space="preserve"> storage system</w:t>
      </w:r>
      <w:r w:rsidR="00920DB4">
        <w:rPr>
          <w:rFonts w:ascii="Times New Roman" w:hAnsi="Times New Roman" w:cs="Times New Roman"/>
          <w:sz w:val="20"/>
          <w:szCs w:val="20"/>
        </w:rPr>
        <w:t>s</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sidR="00752A1E">
        <w:rPr>
          <w:rFonts w:ascii="Times New Roman" w:hAnsi="Times New Roman" w:cs="Times New Roman"/>
          <w:sz w:val="20"/>
          <w:szCs w:val="20"/>
        </w:rPr>
        <w:instrText xml:space="preserve"> ADDIN ZOTERO_ITEM CSL_CITATION {"citationID":"cRoi3IZF","properties":{"formattedCitation":"[242]","plainCitation":"[242]","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gyBO1Ums/OEz2GhBs","issued":{"date-parts":[["2020"]]},"title":"Opportunities for Hydrogen in Commercial Aviation","type":"article-journal"}}],"schema":"https://github.com/citation-style-language/schema/raw/master/csl-citation.json"} </w:instrText>
      </w:r>
      <w:r>
        <w:rPr>
          <w:rFonts w:ascii="Times New Roman" w:hAnsi="Times New Roman" w:cs="Times New Roman"/>
          <w:sz w:val="20"/>
          <w:szCs w:val="20"/>
        </w:rPr>
        <w:fldChar w:fldCharType="separate"/>
      </w:r>
      <w:r w:rsidRPr="00D17EE5">
        <w:rPr>
          <w:rFonts w:ascii="Times New Roman" w:hAnsi="Times New Roman" w:cs="Times New Roman"/>
          <w:sz w:val="20"/>
        </w:rPr>
        <w:t>[242]</w:t>
      </w:r>
      <w:r>
        <w:rPr>
          <w:rFonts w:ascii="Times New Roman" w:hAnsi="Times New Roman" w:cs="Times New Roman"/>
          <w:sz w:val="20"/>
          <w:szCs w:val="20"/>
        </w:rPr>
        <w:fldChar w:fldCharType="end"/>
      </w:r>
      <w:r>
        <w:rPr>
          <w:rFonts w:ascii="Times New Roman" w:hAnsi="Times New Roman" w:cs="Times New Roman"/>
          <w:sz w:val="20"/>
          <w:szCs w:val="20"/>
        </w:rPr>
        <w:t>.</w:t>
      </w:r>
    </w:p>
    <w:p w14:paraId="4173E766" w14:textId="63BDD7C2" w:rsidR="00C974F9" w:rsidRPr="00C0588D" w:rsidRDefault="00C974F9" w:rsidP="00C974F9">
      <w:pPr>
        <w:spacing w:after="120" w:line="276" w:lineRule="auto"/>
        <w:jc w:val="thaiDistribute"/>
        <w:rPr>
          <w:rFonts w:ascii="Times New Roman" w:hAnsi="Times New Roman" w:cs="Times New Roman"/>
          <w:sz w:val="20"/>
          <w:szCs w:val="20"/>
        </w:rPr>
      </w:pPr>
      <w:r w:rsidRPr="00C0588D">
        <w:rPr>
          <w:rFonts w:ascii="Times New Roman" w:hAnsi="Times New Roman" w:cs="Times New Roman"/>
          <w:sz w:val="20"/>
          <w:szCs w:val="20"/>
        </w:rPr>
        <w:t>One of the key limiting factors of liquid fuels free of fossil carbon is their low fuel density (below ASTM’s minimum specific requirement of 775 kg m</w:t>
      </w:r>
      <w:r w:rsidRPr="00C0588D">
        <w:rPr>
          <w:rFonts w:ascii="Times New Roman" w:hAnsi="Times New Roman" w:cs="Times New Roman"/>
          <w:sz w:val="20"/>
          <w:szCs w:val="20"/>
          <w:vertAlign w:val="superscript"/>
        </w:rPr>
        <w:t xml:space="preserve">-3 </w:t>
      </w:r>
      <w:r w:rsidRPr="00C0588D">
        <w:rPr>
          <w:rFonts w:ascii="Times New Roman" w:hAnsi="Times New Roman" w:cs="Times New Roman"/>
          <w:sz w:val="20"/>
          <w:szCs w:val="20"/>
          <w:vertAlign w:val="superscript"/>
        </w:rPr>
        <w:fldChar w:fldCharType="begin" w:fldLock="1"/>
      </w:r>
      <w:r w:rsidR="00CB3233">
        <w:rPr>
          <w:rFonts w:ascii="Times New Roman" w:hAnsi="Times New Roman" w:cs="Times New Roman"/>
          <w:sz w:val="20"/>
          <w:szCs w:val="20"/>
          <w:vertAlign w:val="superscript"/>
        </w:rPr>
        <w:instrText xml:space="preserve"> ADDIN ZOTERO_ITEM CSL_CITATION {"citationID":"8e7WcjrO","properties":{"formattedCitation":"[325]","plainCitation":"[325]","noteIndex":0},"citationItems":[{"id":"968HXJ10/wA0HPG5t","uris":["http://www.mendeley.com/documents/?uuid=4690b306-48df-4af8-a46a-b664d658284e"],"uri":["http://www.mendeley.com/documents/?uuid=4690b306-48df-4af8-a46a-b664d658284e"],"itemData":{"author":[{"dropping-particle":"","family":"Moses","given":"Clifford A","non-dropping-particle":"","parse-names":false,"suffix":""}],"id":"ITEM-1","issue":"September","issued":{"date-parts":[["2008"]]},"title":"Comparative evaluation of semi-synthetic jet fuels: Final Report","type":"report"}}],"schema":"https://github.com/citation-style-language/schema/raw/master/csl-citation.json"} </w:instrText>
      </w:r>
      <w:r w:rsidRPr="00C0588D">
        <w:rPr>
          <w:rFonts w:ascii="Times New Roman" w:hAnsi="Times New Roman" w:cs="Times New Roman"/>
          <w:sz w:val="20"/>
          <w:szCs w:val="20"/>
          <w:vertAlign w:val="superscript"/>
        </w:rPr>
        <w:fldChar w:fldCharType="separate"/>
      </w:r>
      <w:r w:rsidR="00CB3233" w:rsidRPr="00CB3233">
        <w:rPr>
          <w:rFonts w:ascii="Times New Roman" w:hAnsi="Times New Roman" w:cs="Times New Roman"/>
          <w:sz w:val="20"/>
        </w:rPr>
        <w:t>[325]</w:t>
      </w:r>
      <w:r w:rsidRPr="00C0588D">
        <w:rPr>
          <w:rFonts w:ascii="Times New Roman" w:hAnsi="Times New Roman" w:cs="Times New Roman"/>
          <w:sz w:val="20"/>
          <w:szCs w:val="20"/>
          <w:vertAlign w:val="superscript"/>
        </w:rPr>
        <w:fldChar w:fldCharType="end"/>
      </w:r>
      <w:r w:rsidRPr="00C0588D">
        <w:rPr>
          <w:rFonts w:ascii="Times New Roman" w:hAnsi="Times New Roman" w:cs="Times New Roman"/>
          <w:sz w:val="20"/>
          <w:szCs w:val="20"/>
        </w:rPr>
        <w:t xml:space="preserve">) and their low (&lt;8%) aromatics content </w:t>
      </w:r>
      <w:r w:rsidRPr="00C0588D">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vBL4rgrF","properties":{"formattedCitation":"[68,326]","plainCitation":"[68,326]","noteIndex":0},"citationItems":[{"id":"968HXJ10/zYOlXKtf","uris":["http://www.mendeley.com/documents/?uuid=017ef471-26cc-46fd-b5aa-a15f6a99f0da"],"uri":["http://www.mendeley.com/documents/?uuid=017ef471-26cc-46fd-b5aa-a15f6a99f0da"],"itemData":{"DOI":"10.1016/j.fuel.2020.117832","ISSN":"00162361","abstract":"A machine learning framework has been developed to predict volume swell for 10 non-metallic materials submerged in neat compounds. The non-metallic materials included nitrile rubber, extracted nitrile rubber, fluorosilicone, low temp fluorocarbon, lightweight polysulfide, polythioether, epoxy (0.2 mm), epoxy (0.04 mm), nylon, and Kapton. Volume swell, a material compatibility concern, serves as a significant impediment for the minimization of the greenhouse gas emissions of aviation. Sustainable aviation fuels, the only near and mid-term solution to mitigating greenhouse gas emissions, are limited to low blend limits with conventional fuel due to material compatibility issues (i.e. O-ring swell). A neural network was trained to predict volume swell for non-metallic materials submerged in neat compounds. Subsequent blend optimization incorporated nitrile rubber volume swell predictions for iso- and cycloalkanes to create a high-performance jet fuel within ‘drop-in’ limits. The results of this study are volume swell predictions for 3 of the 10 materials -nitrile rubber, extracted nitrile rubber, and polythioether- with holdout errors of 12.4% or better relative to mean volume swell values. Optimization considering nitrile rubber volume swell achieved median specific energy [MJ/kg] and energy density [MJ/L] increases of 1.9% and 5.1% relative to conventional jet fuel and an average volume swell of 6.2% v/v which is within the range of conventional fuels. Optimized solutions were heavily biased toward monocycloalkanes, indicating that they are a suitable replacement for aromatics. This study concludes that cycloalkanes can replace aromatics in jet fuel considering volume swell and other operability requirements while significantly reducing soot and particulate matter emissions.","author":[{"dropping-particle":"","family":"Kosir","given":"Shane","non-dropping-particle":"","parse-names":false,"suffix":""},{"dropping-particle":"","family":"Heyne","given":"Joshua","non-dropping-particle":"","parse-names":false,"suffix":""},{"dropping-particle":"","family":"Graham","given":"John","non-dropping-particle":"","parse-names":false,"suffix":""}],"container-title":"Fuel","id":"ITEM-1","issue":"April","issued":{"date-parts":[["2020"]]},"page":"117832","publisher":"Elsevier","title":"A machine learning framework for drop-in volume swell characteristics of sustainable aviation fuel","type":"article-journal","volume":"274"}},{"id":"968HXJ10/c8vL3gv8","uris":["http://www.mendeley.com/documents/?uuid=d3170ee7-9a96-4de7-ac8e-4eb3e1417bdc"],"uri":["http://www.mendeley.com/documents/?uuid=d3170ee7-9a96-4de7-ac8e-4eb3e1417bdc"],"itemData":{"DOI":"10.1016/j.fuel.2019.06.007","ISSN":"00162361","abstract":"Due to excessive greenhouse gas emissions and high dependence on traditional petroleum jet fuel, the sustainable development of the aviation industry has drawn increasing attention worldwide. One of the most promising strategies is to develop and industrialize alternative aviation fuels produced from renewable resources, e.g. biomass. Renewable bio-jet fuel has the potential to reduce CO2 emissions over their life cycle, which make bio-jet fuels an attractive substitution for aviation fuels. This paper provided an overview on the conversion technologies, economic assessment, environmental influence and development status of bio-jet fuels. The results suggested that hydrogenated esters and fatty acids, and Fischer-Tropsch synthesis can be the most promising technologies for bio-jet fuels production in near term. Future works, such as searching for more suitable feedstock, improving competitiveness for alternative jet fuels, meeting emission reduction targets in large-scale production and making measures for the indirect impact are needed for further investigation. The large-scale deployment of bio-jet fuels could achieve significant potentials of both bio-jet fuels production and CO2 emissions reduction based on future available biomass feedstock.","author":[{"dropping-particle":"","family":"Wei","given":"Hongjian","non-dropping-particle":"","parse-names":false,"suffix":""},{"dropping-particle":"","family":"Liu","given":"Wenzhi","non-dropping-particle":"","parse-names":false,"suffix":""},{"dropping-particle":"","family":"Chen","given":"Xinyu","non-dropping-particle":"","parse-names":false,"suffix":""},{"dropping-particle":"","family":"Yang","given":"Qing","non-dropping-particle":"","parse-names":false,"suffix":""},{"dropping-particle":"","family":"Li","given":"Jiashuo","non-dropping-particle":"","parse-names":false,"suffix":""},{"dropping-particle":"","family":"Chen","given":"Hanping","non-dropping-particle":"","parse-names":false,"suffix":""}],"container-title":"Fuel","id":"ITEM-2","issue":"June","issued":{"date-parts":[["2019"]]},"title":"Renewable bio-jet fuel production for aviation: A review","type":"article-journal","volume":"254"}}],"schema":"https://github.com/citation-style-language/schema/raw/master/csl-citation.json"} </w:instrText>
      </w:r>
      <w:r w:rsidRPr="00C0588D">
        <w:rPr>
          <w:rFonts w:ascii="Times New Roman" w:hAnsi="Times New Roman" w:cs="Times New Roman"/>
          <w:sz w:val="20"/>
          <w:szCs w:val="20"/>
        </w:rPr>
        <w:fldChar w:fldCharType="separate"/>
      </w:r>
      <w:r w:rsidR="00CB3233" w:rsidRPr="00CB3233">
        <w:rPr>
          <w:rFonts w:ascii="Times New Roman" w:hAnsi="Times New Roman" w:cs="Times New Roman"/>
          <w:sz w:val="20"/>
        </w:rPr>
        <w:t>[68,326]</w:t>
      </w:r>
      <w:r w:rsidRPr="00C0588D">
        <w:rPr>
          <w:rFonts w:ascii="Times New Roman" w:hAnsi="Times New Roman" w:cs="Times New Roman"/>
          <w:sz w:val="20"/>
          <w:szCs w:val="20"/>
        </w:rPr>
        <w:fldChar w:fldCharType="end"/>
      </w:r>
      <w:r w:rsidRPr="00C0588D">
        <w:rPr>
          <w:rFonts w:ascii="Times New Roman" w:hAnsi="Times New Roman" w:cs="Times New Roman"/>
          <w:sz w:val="20"/>
          <w:szCs w:val="20"/>
        </w:rPr>
        <w:t xml:space="preserve">, which shrinks engine seals. The latter effect is notably observed with the commonly used nitrile rubber material </w:t>
      </w:r>
      <w:r w:rsidRPr="00C0588D">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NnG4YeHB","properties":{"formattedCitation":"[325,327]","plainCitation":"[325,327]","noteIndex":0},"citationItems":[{"id":"968HXJ10/5Fj4Beep","uris":["http://www.mendeley.com/documents/?uuid=f6b4b23b-9733-48b5-87fd-9b7a3de4c596"],"uri":["http://www.mendeley.com/documents/?uuid=f6b4b23b-9733-48b5-87fd-9b7a3de4c596"],"itemData":{"author":[{"dropping-particle":"","family":"FAA","given":"","non-dropping-particle":"","parse-names":false,"suffix":""},{"dropping-particle":"","family":"Boeing","given":"","non-dropping-particle":"","parse-names":false,"suffix":""},{"dropping-particle":"","family":"University of Dayton Research Institue","given":"","non-dropping-particle":"","parse-names":false,"suffix":""}],"id":"ITEM-1","issued":{"date-parts":[["0"]]},"title":"Impact of Alternative Jet Fuel and Fuel Blends on Non-Metallic Materials Used in Commercial Aircraft Fuel Systems CLEEN Project Final Report – Submitted by The Boeing Company","type":"report"}},{"id":"968HXJ10/wA0HPG5t","uris":["http://www.mendeley.com/documents/?uuid=4690b306-48df-4af8-a46a-b664d658284e"],"uri":["http://www.mendeley.com/documents/?uuid=4690b306-48df-4af8-a46a-b664d658284e"],"itemData":{"author":[{"dropping-particle":"","family":"Moses","given":"Clifford A","non-dropping-particle":"","parse-names":false,"suffix":""}],"id":"ITEM-2","issue":"September","issued":{"date-parts":[["2008"]]},"title":"Comparative evaluation of semi-synthetic jet fuels: Final Report","type":"report"}}],"schema":"https://github.com/citation-style-language/schema/raw/master/csl-citation.json"} </w:instrText>
      </w:r>
      <w:r w:rsidRPr="00C0588D">
        <w:rPr>
          <w:rFonts w:ascii="Times New Roman" w:hAnsi="Times New Roman" w:cs="Times New Roman"/>
          <w:sz w:val="20"/>
          <w:szCs w:val="20"/>
        </w:rPr>
        <w:fldChar w:fldCharType="separate"/>
      </w:r>
      <w:r w:rsidR="00CB3233" w:rsidRPr="00CB3233">
        <w:rPr>
          <w:rFonts w:ascii="Times New Roman" w:hAnsi="Times New Roman" w:cs="Times New Roman"/>
          <w:sz w:val="20"/>
        </w:rPr>
        <w:t>[325,327]</w:t>
      </w:r>
      <w:r w:rsidRPr="00C0588D">
        <w:rPr>
          <w:rFonts w:ascii="Times New Roman" w:hAnsi="Times New Roman" w:cs="Times New Roman"/>
          <w:sz w:val="20"/>
          <w:szCs w:val="20"/>
        </w:rPr>
        <w:fldChar w:fldCharType="end"/>
      </w:r>
      <w:r w:rsidR="00150E2D">
        <w:rPr>
          <w:rFonts w:ascii="Times New Roman" w:hAnsi="Times New Roman" w:cs="Times New Roman"/>
          <w:sz w:val="20"/>
          <w:szCs w:val="20"/>
        </w:rPr>
        <w:t>. To overcome this, a certain r</w:t>
      </w:r>
      <w:r w:rsidRPr="00C0588D">
        <w:rPr>
          <w:rFonts w:ascii="Times New Roman" w:hAnsi="Times New Roman" w:cs="Times New Roman"/>
          <w:sz w:val="20"/>
          <w:szCs w:val="20"/>
        </w:rPr>
        <w:t xml:space="preserve">esearch focus </w:t>
      </w:r>
      <w:r w:rsidR="00135A92">
        <w:rPr>
          <w:rFonts w:ascii="Times New Roman" w:hAnsi="Times New Roman" w:cs="Times New Roman"/>
          <w:sz w:val="20"/>
          <w:szCs w:val="20"/>
        </w:rPr>
        <w:t>has been placed on the</w:t>
      </w:r>
      <w:r w:rsidRPr="00C0588D">
        <w:rPr>
          <w:rFonts w:ascii="Times New Roman" w:hAnsi="Times New Roman" w:cs="Times New Roman"/>
          <w:sz w:val="20"/>
          <w:szCs w:val="20"/>
        </w:rPr>
        <w:t xml:space="preserve"> development of new sealing</w:t>
      </w:r>
      <w:r w:rsidR="00135A92">
        <w:rPr>
          <w:rFonts w:ascii="Times New Roman" w:hAnsi="Times New Roman" w:cs="Times New Roman"/>
          <w:sz w:val="20"/>
          <w:szCs w:val="20"/>
        </w:rPr>
        <w:t xml:space="preserve"> materials preventing leakages </w:t>
      </w:r>
      <w:r w:rsidR="0078655A">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k8V75xUz","properties":{"formattedCitation":"[325,328]","plainCitation":"[325,328]","noteIndex":0},"citationItems":[{"id":"968HXJ10/wA0HPG5t","uris":["http://www.mendeley.com/documents/?uuid=4690b306-48df-4af8-a46a-b664d658284e"],"uri":["http://www.mendeley.com/documents/?uuid=4690b306-48df-4af8-a46a-b664d658284e"],"itemData":{"author":[{"dropping-particle":"","family":"Moses","given":"Clifford A","non-dropping-particle":"","parse-names":false,"suffix":""}],"id":"c1Brhgz6/SIn6af0K","issue":"September","issued":{"date-parts":[["2008"]]},"title":"Comparative evaluation of semi-synthetic jet fuels: Final Report","type":"report"}},{"id":8492,"uris":["http://zotero.org/groups/2763812/items/VUQS6Z4P"],"uri":["http://zotero.org/groups/2763812/items/VUQS6Z4P"],"itemData":{"id":8492,"type":"report","language":"en","page":"67","publisher":"U.S. Department of Transportation Federal Aviation Admistration","source":"Zotero","title":"R&amp;D Control Study: Plan for Future Jet Fuel Distribution Quality Control and Description of Fuel","author":[{"family":"Miller","given":"Bruno"},{"family":"Johnson","given":"Donovan"},{"family":"Thompson","given":"Terry"},{"family":"Rosenberg","given":"Frank L"},{"family":"Driver","given":"Judith"},{"family":"Biscardi","given":"Gerard P"},{"family":"Mohtadi","given":"Madalina K"},{"family":"Mohtadi","given":"Nabil J"}],"issued":{"date-parts":[["2014"]]}}}],"schema":"https://github.com/citation-style-language/schema/raw/master/csl-citation.json"} </w:instrText>
      </w:r>
      <w:r w:rsidR="0078655A">
        <w:rPr>
          <w:rFonts w:ascii="Times New Roman" w:hAnsi="Times New Roman" w:cs="Times New Roman"/>
          <w:sz w:val="20"/>
          <w:szCs w:val="20"/>
        </w:rPr>
        <w:fldChar w:fldCharType="separate"/>
      </w:r>
      <w:r w:rsidR="00CB3233" w:rsidRPr="00CB3233">
        <w:rPr>
          <w:rFonts w:ascii="Times New Roman" w:hAnsi="Times New Roman" w:cs="Times New Roman"/>
          <w:sz w:val="20"/>
        </w:rPr>
        <w:t>[325,328]</w:t>
      </w:r>
      <w:r w:rsidR="0078655A">
        <w:rPr>
          <w:rFonts w:ascii="Times New Roman" w:hAnsi="Times New Roman" w:cs="Times New Roman"/>
          <w:sz w:val="20"/>
          <w:szCs w:val="20"/>
        </w:rPr>
        <w:fldChar w:fldCharType="end"/>
      </w:r>
      <w:r w:rsidR="0078655A">
        <w:rPr>
          <w:rFonts w:ascii="Times New Roman" w:hAnsi="Times New Roman" w:cs="Times New Roman"/>
          <w:sz w:val="20"/>
          <w:szCs w:val="20"/>
        </w:rPr>
        <w:t>.</w:t>
      </w:r>
      <w:r w:rsidRPr="00C0588D">
        <w:rPr>
          <w:rFonts w:ascii="Times New Roman" w:hAnsi="Times New Roman" w:cs="Times New Roman"/>
          <w:sz w:val="20"/>
          <w:szCs w:val="20"/>
        </w:rPr>
        <w:t xml:space="preserve"> </w:t>
      </w:r>
    </w:p>
    <w:p w14:paraId="16810787" w14:textId="6040998C" w:rsidR="00C974F9" w:rsidRPr="00C0588D" w:rsidRDefault="00C974F9" w:rsidP="00C974F9">
      <w:pPr>
        <w:spacing w:after="120" w:line="276" w:lineRule="auto"/>
        <w:jc w:val="thaiDistribute"/>
        <w:rPr>
          <w:rFonts w:ascii="Times New Roman" w:hAnsi="Times New Roman" w:cs="Times New Roman"/>
          <w:sz w:val="20"/>
          <w:szCs w:val="20"/>
        </w:rPr>
      </w:pPr>
      <w:r w:rsidRPr="00C0588D">
        <w:rPr>
          <w:rFonts w:ascii="Times New Roman" w:hAnsi="Times New Roman" w:cs="Times New Roman"/>
          <w:sz w:val="20"/>
          <w:szCs w:val="20"/>
        </w:rPr>
        <w:t xml:space="preserve">The use of 100% alternative liquid fuels is </w:t>
      </w:r>
      <w:r w:rsidR="007B52F1">
        <w:rPr>
          <w:rFonts w:ascii="Times New Roman" w:hAnsi="Times New Roman" w:cs="Times New Roman"/>
          <w:sz w:val="20"/>
          <w:szCs w:val="20"/>
        </w:rPr>
        <w:t xml:space="preserve">also </w:t>
      </w:r>
      <w:r w:rsidRPr="00C0588D">
        <w:rPr>
          <w:rFonts w:ascii="Times New Roman" w:hAnsi="Times New Roman" w:cs="Times New Roman"/>
          <w:sz w:val="20"/>
          <w:szCs w:val="20"/>
        </w:rPr>
        <w:t>being investigated through the possibility of combining synthesized aromatic kerosene (SAK) wit</w:t>
      </w:r>
      <w:r w:rsidR="007B52F1">
        <w:rPr>
          <w:rFonts w:ascii="Times New Roman" w:hAnsi="Times New Roman" w:cs="Times New Roman"/>
          <w:sz w:val="20"/>
          <w:szCs w:val="20"/>
        </w:rPr>
        <w:t xml:space="preserve">h </w:t>
      </w:r>
      <w:r w:rsidRPr="00C0588D">
        <w:rPr>
          <w:rFonts w:ascii="Times New Roman" w:hAnsi="Times New Roman" w:cs="Times New Roman"/>
          <w:sz w:val="20"/>
          <w:szCs w:val="20"/>
        </w:rPr>
        <w:t xml:space="preserve">HRJ/HEFA-SPK </w:t>
      </w:r>
      <w:r w:rsidRPr="00C0588D">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X2LMbD4v","properties":{"formattedCitation":"[329]","plainCitation":"[329]","noteIndex":0},"citationItems":[{"id":"968HXJ10/moxDZmTU","uris":["http://www.mendeley.com/documents/?uuid=3e05ce9b-1dc7-42d5-ac78-d3c593715f3d"],"uri":["http://www.mendeley.com/documents/?uuid=3e05ce9b-1dc7-42d5-ac78-d3c593715f3d"],"itemData":{"DOI":"10.1115/GT2016-57570","ISBN":"9780791849743","abstract":"A number of pathways for producing new alternative fuels are emerging. One such fuel is Hydrodeoxygenated Synthesized Aromatic Kerosene (HDO-SAK) which is composed of approximately 95% mono-Aromatic compounds. This fuel is intended as a blending component to increase the aromatic content of other synthetic fuels that do not contain aromatic compounds and can be used to create either semi-synthetic or fully-synthetic jet fuel for use in aviation. This paper presents the results of engine tests using the HDOSAK blended with Synthesized Paraffinic Kerosene from Hydroprocessed Esters and Fatty Acids (HEFA-SPK) to create a fully-synthetic fuel with aromatic content that matched that of a comparison conventional jet fuel. Both the HDO-SAK blended fuel and conventional Jet A were tested in a Microturbo TRS-18 turbojet engine at a range of engine conditions and simulated altitudes up to 8,600 m in the National Research Council Canada (NRC) Research Altitude Test Facility (RATFac). This paper details the engine performance results from this testing which represents the first time this particular alternative fuel has been tested in an engine.","author":[{"dropping-particle":"","family":"Canteenwalla","given":"Pervez","non-dropping-particle":"","parse-names":false,"suffix":""},{"dropping-particle":"","family":"Davison","given":"Craig R.","non-dropping-particle":"","parse-names":false,"suffix":""},{"dropping-particle":"","family":"Chishty","given":"Wajid A.","non-dropping-particle":"","parse-names":false,"suffix":""},{"dropping-particle":"","family":"Ginestra","given":"Cynthia","non-dropping-particle":"","parse-names":false,"suffix":""},{"dropping-particle":"","family":"Dally","given":"Brice","non-dropping-particle":"","parse-names":false,"suffix":""}],"container-title":"Proceedings of the ASME Turbo Expo","id":"ITEM-1","issued":{"date-parts":[["2016"]]},"title":"Testing of Synthesized Aromatic Kerosene (SAK) Aviation Fuel Blends at Simulated Altitudes","type":"paper-conference","volume":"3"}}],"schema":"https://github.com/citation-style-language/schema/raw/master/csl-citation.json"} </w:instrText>
      </w:r>
      <w:r w:rsidRPr="00C0588D">
        <w:rPr>
          <w:rFonts w:ascii="Times New Roman" w:hAnsi="Times New Roman" w:cs="Times New Roman"/>
          <w:sz w:val="20"/>
          <w:szCs w:val="20"/>
        </w:rPr>
        <w:fldChar w:fldCharType="separate"/>
      </w:r>
      <w:r w:rsidR="00CB3233" w:rsidRPr="00CB3233">
        <w:rPr>
          <w:rFonts w:ascii="Times New Roman" w:hAnsi="Times New Roman" w:cs="Times New Roman"/>
          <w:sz w:val="20"/>
        </w:rPr>
        <w:t>[329]</w:t>
      </w:r>
      <w:r w:rsidRPr="00C0588D">
        <w:rPr>
          <w:rFonts w:ascii="Times New Roman" w:hAnsi="Times New Roman" w:cs="Times New Roman"/>
          <w:sz w:val="20"/>
          <w:szCs w:val="20"/>
        </w:rPr>
        <w:fldChar w:fldCharType="end"/>
      </w:r>
      <w:r w:rsidRPr="00C0588D">
        <w:rPr>
          <w:rFonts w:ascii="Times New Roman" w:hAnsi="Times New Roman" w:cs="Times New Roman"/>
          <w:sz w:val="20"/>
          <w:szCs w:val="20"/>
        </w:rPr>
        <w:t xml:space="preserve">. SAK is produced through the APR pathway (Fig. 2) by converting oxygenated compounds to aromatics in the presence of heterogeneous catalysts such as </w:t>
      </w:r>
      <w:r w:rsidR="007B52F1">
        <w:rPr>
          <w:rFonts w:ascii="Times New Roman" w:hAnsi="Times New Roman" w:cs="Times New Roman"/>
          <w:sz w:val="20"/>
          <w:szCs w:val="20"/>
        </w:rPr>
        <w:t xml:space="preserve">the aluminosilicate zeolite </w:t>
      </w:r>
      <w:r w:rsidRPr="00C0588D">
        <w:rPr>
          <w:rFonts w:ascii="Times New Roman" w:hAnsi="Times New Roman" w:cs="Times New Roman"/>
          <w:sz w:val="20"/>
          <w:szCs w:val="20"/>
        </w:rPr>
        <w:t xml:space="preserve">ZSM-5 (not </w:t>
      </w:r>
      <w:r w:rsidR="007B52F1">
        <w:rPr>
          <w:rFonts w:ascii="Times New Roman" w:hAnsi="Times New Roman" w:cs="Times New Roman"/>
          <w:sz w:val="20"/>
          <w:szCs w:val="20"/>
        </w:rPr>
        <w:t>represented</w:t>
      </w:r>
      <w:r w:rsidRPr="00C0588D">
        <w:rPr>
          <w:rFonts w:ascii="Times New Roman" w:hAnsi="Times New Roman" w:cs="Times New Roman"/>
          <w:sz w:val="20"/>
          <w:szCs w:val="20"/>
        </w:rPr>
        <w:t xml:space="preserve"> in Fig. 2) </w:t>
      </w:r>
      <w:r w:rsidRPr="00C0588D">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dqsmy7dc","properties":{"formattedCitation":"[330]","plainCitation":"[330]","noteIndex":0},"citationItems":[{"id":"968HXJ10/NqQBOxYn","uris":["http://www.mendeley.com/documents/?uuid=f55a8c64-d740-42e0-85e5-5b3d9c4976ac"],"uri":["http://www.mendeley.com/documents/?uuid=f55a8c64-d740-42e0-85e5-5b3d9c4976ac"],"itemData":{"author":[{"dropping-particle":"","family":"Virent Inc.","given":"","non-dropping-particle":"","parse-names":false,"suffix":""}],"id":"ITEM-1","issued":{"date-parts":[["2017"]]},"title":"Catalytic Upgrading of Thermochemical Intermediates to Hydrocarbons: Conversion of Lignocellulosic Feedstocks to Aromatic Fuels and High Value Chemicals","type":"report"}}],"schema":"https://github.com/citation-style-language/schema/raw/master/csl-citation.json"} </w:instrText>
      </w:r>
      <w:r w:rsidRPr="00C0588D">
        <w:rPr>
          <w:rFonts w:ascii="Times New Roman" w:hAnsi="Times New Roman" w:cs="Times New Roman"/>
          <w:sz w:val="20"/>
          <w:szCs w:val="20"/>
        </w:rPr>
        <w:fldChar w:fldCharType="separate"/>
      </w:r>
      <w:r w:rsidR="00CB3233" w:rsidRPr="00CB3233">
        <w:rPr>
          <w:rFonts w:ascii="Times New Roman" w:hAnsi="Times New Roman" w:cs="Times New Roman"/>
          <w:sz w:val="20"/>
        </w:rPr>
        <w:t>[330]</w:t>
      </w:r>
      <w:r w:rsidRPr="00C0588D">
        <w:rPr>
          <w:rFonts w:ascii="Times New Roman" w:hAnsi="Times New Roman" w:cs="Times New Roman"/>
          <w:sz w:val="20"/>
          <w:szCs w:val="20"/>
        </w:rPr>
        <w:fldChar w:fldCharType="end"/>
      </w:r>
      <w:r w:rsidRPr="00C0588D">
        <w:rPr>
          <w:rFonts w:ascii="Times New Roman" w:hAnsi="Times New Roman" w:cs="Times New Roman"/>
          <w:sz w:val="20"/>
          <w:szCs w:val="20"/>
        </w:rPr>
        <w:t xml:space="preserve">, </w:t>
      </w:r>
      <w:r w:rsidR="007B52F1">
        <w:rPr>
          <w:rFonts w:ascii="Times New Roman" w:hAnsi="Times New Roman" w:cs="Times New Roman"/>
          <w:sz w:val="20"/>
          <w:szCs w:val="20"/>
        </w:rPr>
        <w:t xml:space="preserve">a pathway </w:t>
      </w:r>
      <w:r w:rsidRPr="00C0588D">
        <w:rPr>
          <w:rFonts w:ascii="Times New Roman" w:hAnsi="Times New Roman" w:cs="Times New Roman"/>
          <w:sz w:val="20"/>
          <w:szCs w:val="20"/>
        </w:rPr>
        <w:t xml:space="preserve">currently </w:t>
      </w:r>
      <w:r w:rsidR="007B52F1">
        <w:rPr>
          <w:rFonts w:ascii="Times New Roman" w:hAnsi="Times New Roman" w:cs="Times New Roman"/>
          <w:sz w:val="20"/>
          <w:szCs w:val="20"/>
        </w:rPr>
        <w:t xml:space="preserve">under </w:t>
      </w:r>
      <w:r w:rsidRPr="00C0588D">
        <w:rPr>
          <w:rFonts w:ascii="Times New Roman" w:hAnsi="Times New Roman" w:cs="Times New Roman"/>
          <w:sz w:val="20"/>
          <w:szCs w:val="20"/>
        </w:rPr>
        <w:t xml:space="preserve">the ASTM approval process </w:t>
      </w:r>
      <w:r w:rsidRPr="00C0588D">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GPbSMtpy","properties":{"formattedCitation":"[331]","plainCitation":"[331]","noteIndex":0},"citationItems":[{"id":"968HXJ10/4mzzhB8G","uris":["http://www.mendeley.com/documents/?uuid=f2aa9663-67e3-467b-8183-2bee22782d7b"],"uri":["http://www.mendeley.com/documents/?uuid=f2aa9663-67e3-467b-8183-2bee22782d7b"],"itemData":{"author":[{"dropping-particle":"","family":"Virent Inc.","given":"","non-dropping-particle":"","parse-names":false,"suffix":""}],"id":"ITEM-1","issue":"January","issued":{"date-parts":[["2015"]]},"number-of-pages":"2015","title":"BioForm ® SAK Jet Fuel","type":"report"}}],"schema":"https://github.com/citation-style-language/schema/raw/master/csl-citation.json"} </w:instrText>
      </w:r>
      <w:r w:rsidRPr="00C0588D">
        <w:rPr>
          <w:rFonts w:ascii="Times New Roman" w:hAnsi="Times New Roman" w:cs="Times New Roman"/>
          <w:sz w:val="20"/>
          <w:szCs w:val="20"/>
        </w:rPr>
        <w:fldChar w:fldCharType="separate"/>
      </w:r>
      <w:r w:rsidR="00CB3233" w:rsidRPr="00CB3233">
        <w:rPr>
          <w:rFonts w:ascii="Times New Roman" w:hAnsi="Times New Roman" w:cs="Times New Roman"/>
          <w:sz w:val="20"/>
        </w:rPr>
        <w:t>[331]</w:t>
      </w:r>
      <w:r w:rsidRPr="00C0588D">
        <w:rPr>
          <w:rFonts w:ascii="Times New Roman" w:hAnsi="Times New Roman" w:cs="Times New Roman"/>
          <w:sz w:val="20"/>
          <w:szCs w:val="20"/>
        </w:rPr>
        <w:fldChar w:fldCharType="end"/>
      </w:r>
      <w:r w:rsidRPr="00C0588D">
        <w:rPr>
          <w:rFonts w:ascii="Times New Roman" w:hAnsi="Times New Roman" w:cs="Times New Roman"/>
          <w:sz w:val="20"/>
          <w:szCs w:val="20"/>
        </w:rPr>
        <w:t xml:space="preserve">. </w:t>
      </w:r>
    </w:p>
    <w:p w14:paraId="09FC6868" w14:textId="1D5349F6" w:rsidR="003D2B9A" w:rsidRDefault="009A075A" w:rsidP="00312040">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Besides aromatics, c</w:t>
      </w:r>
      <w:r w:rsidR="00C974F9" w:rsidRPr="00C0588D">
        <w:rPr>
          <w:rFonts w:ascii="Times New Roman" w:hAnsi="Times New Roman" w:cs="Times New Roman"/>
          <w:sz w:val="20"/>
          <w:szCs w:val="20"/>
        </w:rPr>
        <w:t xml:space="preserve">ycloalkanes (e.g. cyclohexane, cyclooctane) have been shown </w:t>
      </w:r>
      <w:r w:rsidR="00E064ED">
        <w:rPr>
          <w:rFonts w:ascii="Times New Roman" w:hAnsi="Times New Roman" w:cs="Times New Roman"/>
          <w:sz w:val="20"/>
          <w:szCs w:val="20"/>
        </w:rPr>
        <w:t xml:space="preserve">to </w:t>
      </w:r>
      <w:r>
        <w:rPr>
          <w:rFonts w:ascii="Times New Roman" w:hAnsi="Times New Roman" w:cs="Times New Roman"/>
          <w:sz w:val="20"/>
          <w:szCs w:val="20"/>
        </w:rPr>
        <w:t>supply</w:t>
      </w:r>
      <w:r w:rsidR="00C974F9" w:rsidRPr="00C0588D">
        <w:rPr>
          <w:rFonts w:ascii="Times New Roman" w:hAnsi="Times New Roman" w:cs="Times New Roman"/>
          <w:sz w:val="20"/>
          <w:szCs w:val="20"/>
        </w:rPr>
        <w:t xml:space="preserve"> suitable volume swelling proper</w:t>
      </w:r>
      <w:r>
        <w:rPr>
          <w:rFonts w:ascii="Times New Roman" w:hAnsi="Times New Roman" w:cs="Times New Roman"/>
          <w:sz w:val="20"/>
          <w:szCs w:val="20"/>
        </w:rPr>
        <w:t>ties</w:t>
      </w:r>
      <w:r w:rsidR="00C974F9" w:rsidRPr="00C0588D">
        <w:rPr>
          <w:rFonts w:ascii="Times New Roman" w:hAnsi="Times New Roman" w:cs="Times New Roman"/>
          <w:sz w:val="20"/>
          <w:szCs w:val="20"/>
        </w:rPr>
        <w:t xml:space="preserve"> </w:t>
      </w:r>
      <w:r w:rsidR="00C974F9" w:rsidRPr="00C0588D">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Vd6RtZvY","properties":{"formattedCitation":"[332]","plainCitation":"[332]","noteIndex":0},"citationItems":[{"id":"968HXJ10/sQuPr6Vo","uris":["http://www.mendeley.com/documents/?uuid=431608d4-c262-4142-a18c-3eca2cc9c538"],"uri":["http://www.mendeley.com/documents/?uuid=431608d4-c262-4142-a18c-3eca2cc9c538"],"itemData":{"DOI":"10.2514/6.2019-0993","ISBN":"9781624105784","abstract":"This paper provides an overview of methods used to bound the economic benefits that high-performance jet fuels (HPF) can have for commercial airlines. Three approaches were taken to bound HPF economic benefits: identifying and calculating properties for bio-derived specialty molecules via quantum chemistry methods and equation of state methods, using ant colony optimization to determine blends of conventional and specialty molecules that meet HPF specifications, and simulating flights to correlate HPF performance increases to economic benefits for airlines. Specific energy (MJ/kg), energy density (MJ/L), and enthalpy of vaporization of bio-derived molecules have been calculated, and the most promising molecules have been identified. Optimization indicates that alkylated cyclohexanes have significant performance benefits when used in fuel blends while being potentially drop-in ready. Break-even prices for HPF are low, indicating that niche markets may need to be considered before HPF can be integrated with commercial airlines.","author":[{"dropping-particle":"","family":"Kosir","given":"Shane T.","non-dropping-particle":"","parse-names":false,"suffix":""},{"dropping-particle":"","family":"Behnke","given":"Lily","non-dropping-particle":"","parse-names":false,"suffix":""},{"dropping-particle":"","family":"Heyne","given":"Joshua S.","non-dropping-particle":"","parse-names":false,"suffix":""},{"dropping-particle":"","family":"Stachler","given":"Robert D.","non-dropping-particle":"","parse-names":false,"suffix":""},{"dropping-particle":"","family":"Flora","given":"Giacomo","non-dropping-particle":"","parse-names":false,"suffix":""},{"dropping-particle":"","family":"Zabarnick","given":"Steven","non-dropping-particle":"","parse-names":false,"suffix":""},{"dropping-particle":"","family":"George","given":"Anthe","non-dropping-particle":"","parse-names":false,"suffix":""},{"dropping-particle":"","family":"Landera","given":"Alexander","non-dropping-particle":"","parse-names":false,"suffix":""},{"dropping-particle":"","family":"Bambha","given":"Ray","non-dropping-particle":"","parse-names":false,"suffix":""},{"dropping-particle":"","family":"Denney","given":"Russell K.","non-dropping-particle":"","parse-names":false,"suffix":""},{"dropping-particle":"","family":"Gupta","given":"Mohan","non-dropping-particle":"","parse-names":false,"suffix":""}],"container-title":"AIAA Scitech 2019 Forum","id":"ITEM-1","issue":"January","issued":{"date-parts":[["2019"]]},"page":"1-27","title":"Improvement in jet aircraft operation with the use of high-performance drop-in fuels","type":"article-journal"}}],"schema":"https://github.com/citation-style-language/schema/raw/master/csl-citation.json"} </w:instrText>
      </w:r>
      <w:r w:rsidR="00C974F9" w:rsidRPr="00C0588D">
        <w:rPr>
          <w:rFonts w:ascii="Times New Roman" w:hAnsi="Times New Roman" w:cs="Times New Roman"/>
          <w:sz w:val="20"/>
          <w:szCs w:val="20"/>
        </w:rPr>
        <w:fldChar w:fldCharType="separate"/>
      </w:r>
      <w:r w:rsidR="00CB3233" w:rsidRPr="00CB3233">
        <w:rPr>
          <w:rFonts w:ascii="Times New Roman" w:hAnsi="Times New Roman" w:cs="Times New Roman"/>
          <w:sz w:val="20"/>
        </w:rPr>
        <w:t>[332]</w:t>
      </w:r>
      <w:r w:rsidR="00C974F9" w:rsidRPr="00C0588D">
        <w:rPr>
          <w:rFonts w:ascii="Times New Roman" w:hAnsi="Times New Roman" w:cs="Times New Roman"/>
          <w:sz w:val="20"/>
          <w:szCs w:val="20"/>
        </w:rPr>
        <w:fldChar w:fldCharType="end"/>
      </w:r>
      <w:r w:rsidR="00C974F9" w:rsidRPr="00C0588D">
        <w:rPr>
          <w:rFonts w:ascii="Times New Roman" w:hAnsi="Times New Roman" w:cs="Times New Roman"/>
          <w:sz w:val="20"/>
          <w:szCs w:val="20"/>
        </w:rPr>
        <w:t>. These compounds</w:t>
      </w:r>
      <w:r>
        <w:rPr>
          <w:rFonts w:ascii="Times New Roman" w:hAnsi="Times New Roman" w:cs="Times New Roman"/>
          <w:sz w:val="20"/>
          <w:szCs w:val="20"/>
        </w:rPr>
        <w:t>, that could be blended in the fuel,</w:t>
      </w:r>
      <w:r w:rsidR="00C974F9" w:rsidRPr="00C0588D">
        <w:rPr>
          <w:rFonts w:ascii="Times New Roman" w:hAnsi="Times New Roman" w:cs="Times New Roman"/>
          <w:sz w:val="20"/>
          <w:szCs w:val="20"/>
        </w:rPr>
        <w:t xml:space="preserve"> have been produced through multiple pathways </w:t>
      </w:r>
      <w:r w:rsidR="00C974F9" w:rsidRPr="00C0588D">
        <w:rPr>
          <w:rFonts w:ascii="Times New Roman" w:hAnsi="Times New Roman" w:cs="Times New Roman"/>
          <w:sz w:val="20"/>
          <w:szCs w:val="20"/>
        </w:rPr>
        <w:lastRenderedPageBreak/>
        <w:t>and fro</w:t>
      </w:r>
      <w:r>
        <w:rPr>
          <w:rFonts w:ascii="Times New Roman" w:hAnsi="Times New Roman" w:cs="Times New Roman"/>
          <w:sz w:val="20"/>
          <w:szCs w:val="20"/>
        </w:rPr>
        <w:t xml:space="preserve">m numerous renewable feedstock, for instance through </w:t>
      </w:r>
      <w:r w:rsidR="00C974F9" w:rsidRPr="00C0588D">
        <w:rPr>
          <w:rFonts w:ascii="Times New Roman" w:hAnsi="Times New Roman" w:cs="Times New Roman"/>
          <w:sz w:val="20"/>
          <w:szCs w:val="20"/>
        </w:rPr>
        <w:t xml:space="preserve">hydrodeoxygenation of lignocellulosic biomass </w:t>
      </w:r>
      <w:r w:rsidR="00C974F9" w:rsidRPr="00C0588D">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sjGrcnIN","properties":{"formattedCitation":"[333,334]","plainCitation":"[333,334]","noteIndex":0},"citationItems":[{"id":"968HXJ10/rB2OfVUZ","uris":["http://www.mendeley.com/documents/?uuid=6fe45cfe-3b54-4976-9551-cedf6657bc2e"],"uri":["http://www.mendeley.com/documents/?uuid=6fe45cfe-3b54-4976-9551-cedf6657bc2e"],"itemData":{"DOI":"10.1016/j.rser.2017.01.030","ISSN":"18790690","abstract":"Jet turbine fuels have not been completely replaced by biomass-derived fuels due, in part, to the lack of the aromatic and cycloalkane hydrocarbons in bio-jet fuels. Such molecules play a critical role in traditional jet fuels for combustion characteristics and material compatibility. To date, this problem has been addressed by blending bio-jet fuel with traditional petroleum-based oils. In order to produce a 100% biomass-derived jet fuel, a suitable bioresource is needed for synthesizing aromatic and cycloalkane fuel compounds. Lignin, the only biomass component rich in aromatic benzene ring structures, is currently underutilized for low-value heat or treated as process waste because of its high chemical resistance. In this review, a four-step pathway of pretreatment, depolymerization, hydrodeoxygenation (HDO), and alkylation to convert lignin into jet-fuel-range aromatic hydrocarbons and cycloalkanes is explored. While many studies about these processes can be found in the literature for biomass and bio-derived molecules, the purposes of those studies were often for something other than lignin valorization. For example, pretreatment processes focus on cellulose and hemicellulose as desired products while lignin is handled as a waste. Most HDO studies focus on the upper phase of bio-oil which contains primarily water and phenolic monomers, ignoring the bottom phase which contains the larger, main components from depolymerization. Many alkylation studies used single, pure components; by comparison, the feedstocks from HDO of lignin-derived bio-oil are mixtures of varying complexity. This review of each process can be used to guide pathway integration and optimization.","author":[{"dropping-particle":"","family":"Cheng","given":"Feng","non-dropping-particle":"","parse-names":false,"suffix":""},{"dropping-particle":"","family":"Brewer","given":"Catherine E.","non-dropping-particle":"","parse-names":false,"suffix":""}],"container-title":"Renewable and Sustainable Energy Reviews","id":"ITEM-1","issue":"January 2016","issued":{"date-parts":[["2017"]]},"page":"673-722","publisher":"Elsevier","title":"Producing jet fuel from biomass lignin: Potential pathways to alkyl-benzenes and cycloalkanes","type":"article-journal","volume":"72"}},{"id":"968HXJ10/Hv33mIYP","uris":["http://www.mendeley.com/documents/?uuid=da0f6638-6cf7-4b25-a2c6-6fc98abf125a"],"uri":["http://www.mendeley.com/documents/?uuid=da0f6638-6cf7-4b25-a2c6-6fc98abf125a"],"itemData":{"DOI":"10.1039/c5gc01583a","ISSN":"14639270","abstract":"A novel pathway was investigated to produce jet fuel range cycloalkanes from intact biomass. The consecutive processes for converting lignocellulosic biomass into jet fuel range cycloalkanes principally involved the use of the well-promoted ZSM-5 in the process of catalytic microwave-induced pyrolysis and RANEY® nickel catalysts in the hydrogen saving process. Up to 24.68% carbon yield of the desired C8-C16 aromatics was achieved by catalytic microwave pyrolysis at 500 °C. We observed that solvents could assist in the hydrogenation reaction of naphthalene; and the optimum result for maximizing the carbon selectivity (99.9%) of decalin was obtained from the reaction conducted in the n-heptane medium. The recovery of organics could reach </w:instrText>
      </w:r>
      <w:r w:rsidR="00CB3233">
        <w:rPr>
          <w:rFonts w:ascii="Cambria Math" w:hAnsi="Cambria Math" w:cs="Cambria Math"/>
          <w:sz w:val="20"/>
          <w:szCs w:val="20"/>
        </w:rPr>
        <w:instrText>∼</w:instrText>
      </w:r>
      <w:r w:rsidR="00CB3233">
        <w:rPr>
          <w:rFonts w:ascii="Times New Roman" w:hAnsi="Times New Roman" w:cs="Times New Roman"/>
          <w:sz w:val="20"/>
          <w:szCs w:val="20"/>
        </w:rPr>
        <w:instrText xml:space="preserve">94 wt% after the extraction process. These aromatics in the n-heptane medium were eventually hydrogenated into jet fuel range cycloalkanes. Various factors were analyzed to determine the optimal result under mild conditions. An increased catalyst loading, reaction temperature, and prolonged time could enhance the hydrogenation reactions to improve the selectivity of jet fuel range cycloalkanes. Three types of hydrogenation catalysts (NP Ni, RANEY® Ni 4200, home-made RANEY® Ni) were chosen to evaluate the catalytic performance. The results indicated that the home-made RANEY® nickel is the optimal catalyst to obtain the highest selectivity (84.59%) towards jet fuel range cycloalkanes. These cycloalkanes obtained can be directly used as additives to synthesize the desired jet fuels by blending with other hydrocarbons. Hence integration of catalytic processes and conversion of lignocellulosic biomass paved a new avenue for the development of green bio-jet fuels over inexpensive catalysts under mild conditions.","author":[{"dropping-particle":"","family":"Zhang","given":"Xuesong","non-dropping-particle":"","parse-names":false,"suffix":""},{"dropping-particle":"","family":"Lei","given":"Hanwu","non-dropping-particle":"","parse-names":false,"suffix":""},{"dropping-particle":"","family":"Zhu","given":"Lei","non-dropping-particle":"","parse-names":false,"suffix":""},{"dropping-particle":"","family":"Wu","given":"Joan","non-dropping-particle":"","parse-names":false,"suffix":""},{"dropping-particle":"","family":"Chen","given":"Shulin","non-dropping-particle":"","parse-names":false,"suffix":""}],"container-title":"Green Chemistry","id":"ITEM-2","issue":"10","issued":{"date-parts":[["2015"]]},"page":"4736-4747","publisher":"Royal Society of Chemistry","title":"From lignocellulosic biomass to renewable cycloalkanes for jet fuels","type":"article-journal","volume":"17"}}],"schema":"https://github.com/citation-style-language/schema/raw/master/csl-citation.json"} </w:instrText>
      </w:r>
      <w:r w:rsidR="00C974F9" w:rsidRPr="00C0588D">
        <w:rPr>
          <w:rFonts w:ascii="Times New Roman" w:hAnsi="Times New Roman" w:cs="Times New Roman"/>
          <w:sz w:val="20"/>
          <w:szCs w:val="20"/>
        </w:rPr>
        <w:fldChar w:fldCharType="separate"/>
      </w:r>
      <w:r w:rsidR="00CB3233" w:rsidRPr="00CB3233">
        <w:rPr>
          <w:rFonts w:ascii="Times New Roman" w:hAnsi="Times New Roman" w:cs="Times New Roman"/>
          <w:sz w:val="20"/>
        </w:rPr>
        <w:t>[333,334]</w:t>
      </w:r>
      <w:r w:rsidR="00C974F9" w:rsidRPr="00C0588D">
        <w:rPr>
          <w:rFonts w:ascii="Times New Roman" w:hAnsi="Times New Roman" w:cs="Times New Roman"/>
          <w:sz w:val="20"/>
          <w:szCs w:val="20"/>
        </w:rPr>
        <w:fldChar w:fldCharType="end"/>
      </w:r>
      <w:r>
        <w:rPr>
          <w:rFonts w:ascii="Times New Roman" w:hAnsi="Times New Roman" w:cs="Times New Roman"/>
          <w:sz w:val="20"/>
          <w:szCs w:val="20"/>
        </w:rPr>
        <w:t xml:space="preserve"> and are though</w:t>
      </w:r>
      <w:r w:rsidR="006108F7">
        <w:rPr>
          <w:rFonts w:ascii="Times New Roman" w:hAnsi="Times New Roman" w:cs="Times New Roman"/>
          <w:sz w:val="20"/>
          <w:szCs w:val="20"/>
        </w:rPr>
        <w:t>t</w:t>
      </w:r>
      <w:r>
        <w:rPr>
          <w:rFonts w:ascii="Times New Roman" w:hAnsi="Times New Roman" w:cs="Times New Roman"/>
          <w:sz w:val="20"/>
          <w:szCs w:val="20"/>
        </w:rPr>
        <w:t xml:space="preserve"> to</w:t>
      </w:r>
      <w:r w:rsidR="00C974F9" w:rsidRPr="00C0588D">
        <w:rPr>
          <w:rFonts w:ascii="Times New Roman" w:hAnsi="Times New Roman" w:cs="Times New Roman"/>
          <w:sz w:val="20"/>
          <w:szCs w:val="20"/>
        </w:rPr>
        <w:t xml:space="preserve"> alleviate emissions of soot and particulate matter from fuels containing aromatics.</w:t>
      </w:r>
    </w:p>
    <w:p w14:paraId="1D719B96" w14:textId="0507DD90" w:rsidR="00D23916" w:rsidRPr="00C0588D" w:rsidRDefault="00221AAE" w:rsidP="00D23916">
      <w:pPr>
        <w:spacing w:after="120" w:line="276" w:lineRule="auto"/>
        <w:jc w:val="thaiDistribute"/>
        <w:rPr>
          <w:rFonts w:ascii="Times New Roman" w:hAnsi="Times New Roman" w:cs="Times New Roman"/>
          <w:i/>
          <w:sz w:val="20"/>
          <w:szCs w:val="20"/>
        </w:rPr>
      </w:pPr>
      <w:r>
        <w:rPr>
          <w:rFonts w:ascii="Times New Roman" w:hAnsi="Times New Roman" w:cs="Times New Roman"/>
          <w:i/>
          <w:sz w:val="20"/>
          <w:szCs w:val="20"/>
        </w:rPr>
        <w:t>8.2</w:t>
      </w:r>
      <w:r w:rsidR="00D23916" w:rsidRPr="00C0588D">
        <w:rPr>
          <w:rFonts w:ascii="Times New Roman" w:hAnsi="Times New Roman" w:cs="Times New Roman"/>
          <w:i/>
          <w:sz w:val="20"/>
          <w:szCs w:val="20"/>
        </w:rPr>
        <w:t xml:space="preserve"> Prospects</w:t>
      </w:r>
      <w:r w:rsidR="00FD6CE3" w:rsidRPr="00C0588D">
        <w:rPr>
          <w:rFonts w:ascii="Times New Roman" w:hAnsi="Times New Roman" w:cs="Times New Roman"/>
          <w:i/>
          <w:sz w:val="20"/>
          <w:szCs w:val="20"/>
        </w:rPr>
        <w:t xml:space="preserve"> towards low fossil carbon economies</w:t>
      </w:r>
    </w:p>
    <w:p w14:paraId="6D190628" w14:textId="172ACF3B" w:rsidR="0030023D" w:rsidRDefault="0030023D" w:rsidP="00C0588D">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A large deployment of SESA is likely to be disruptive, at the light of the challenges presented in section 7, but is yet a pre-requisite of the transition towards low fossil carbon economies. Ensuring this deployment remains within the limits of sustainability will require strategic environmental assessments, as well as thoughtful spatial integration with other activities (e.g. heat integration) to ensure overall efficiency. </w:t>
      </w:r>
    </w:p>
    <w:p w14:paraId="39C30A35" w14:textId="7BBE78B0" w:rsidR="00C0588D" w:rsidRPr="006A284B" w:rsidRDefault="00C0588D" w:rsidP="00C0588D">
      <w:pPr>
        <w:spacing w:after="120" w:line="276" w:lineRule="auto"/>
        <w:jc w:val="thaiDistribute"/>
        <w:rPr>
          <w:rFonts w:ascii="Times New Roman" w:hAnsi="Times New Roman" w:cs="Times New Roman"/>
          <w:i/>
          <w:sz w:val="20"/>
          <w:szCs w:val="20"/>
        </w:rPr>
      </w:pPr>
      <w:r w:rsidRPr="006A284B">
        <w:rPr>
          <w:rFonts w:ascii="Times New Roman" w:hAnsi="Times New Roman" w:cs="Times New Roman"/>
          <w:i/>
          <w:sz w:val="20"/>
          <w:szCs w:val="20"/>
        </w:rPr>
        <w:t xml:space="preserve">8.3 Electric </w:t>
      </w:r>
      <w:r w:rsidR="0030023D">
        <w:rPr>
          <w:rFonts w:ascii="Times New Roman" w:hAnsi="Times New Roman" w:cs="Times New Roman"/>
          <w:i/>
          <w:sz w:val="20"/>
          <w:szCs w:val="20"/>
        </w:rPr>
        <w:t xml:space="preserve">and fuel cells </w:t>
      </w:r>
      <w:r w:rsidRPr="006A284B">
        <w:rPr>
          <w:rFonts w:ascii="Times New Roman" w:hAnsi="Times New Roman" w:cs="Times New Roman"/>
          <w:i/>
          <w:sz w:val="20"/>
          <w:szCs w:val="20"/>
        </w:rPr>
        <w:t>propulsion development</w:t>
      </w:r>
    </w:p>
    <w:p w14:paraId="0A6B56B1" w14:textId="57021A3F" w:rsidR="00C0588D" w:rsidRPr="001069BF" w:rsidRDefault="00C0588D" w:rsidP="00C0588D">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Motors and generators are key elements for parallel hybrid-electric and turboelectric configurations </w:t>
      </w:r>
      <w:r>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eZLmNiTl","properties":{"formattedCitation":"[335]","plainCitation":"[335]","noteIndex":0},"citationItems":[{"id":"968HXJ10/0yWIlgRR","uris":["http://www.mendeley.com/documents/?uuid=2fa99d55-8ff8-4419-8320-787d13bed259"],"uri":["http://www.mendeley.com/documents/?uuid=2fa99d55-8ff8-4419-8320-787d13bed259"],"itemData":{"DOI":"10.17226/23490","ISBN":"9780309440967","author":[{"dropping-particle":"","family":"National Academies of Sciences, Enginerring","given":"and Medicine","non-dropping-particle":"","parse-names":false,"suffix":""}],"id":"ITEM-1","issued":{"date-parts":[["2016"]]},"publisher":"National Academies Press","title":"Reducing Global Carbon Emissions Commercial Aircraft Propulsion and Energy Systems Research","type":"book"}}],"schema":"https://github.com/citation-style-language/schema/raw/master/csl-citation.json"} </w:instrText>
      </w:r>
      <w:r>
        <w:rPr>
          <w:rFonts w:ascii="Times New Roman" w:hAnsi="Times New Roman" w:cs="Times New Roman"/>
          <w:sz w:val="20"/>
          <w:szCs w:val="20"/>
        </w:rPr>
        <w:fldChar w:fldCharType="separate"/>
      </w:r>
      <w:r w:rsidR="00CB3233" w:rsidRPr="00CB3233">
        <w:rPr>
          <w:rFonts w:ascii="Times New Roman" w:hAnsi="Times New Roman" w:cs="Times New Roman"/>
          <w:sz w:val="20"/>
        </w:rPr>
        <w:t>[335]</w:t>
      </w:r>
      <w:r>
        <w:rPr>
          <w:rFonts w:ascii="Times New Roman" w:hAnsi="Times New Roman" w:cs="Times New Roman"/>
          <w:sz w:val="20"/>
          <w:szCs w:val="20"/>
        </w:rPr>
        <w:fldChar w:fldCharType="end"/>
      </w:r>
      <w:r>
        <w:rPr>
          <w:rFonts w:ascii="Times New Roman" w:hAnsi="Times New Roman" w:cs="Times New Roman"/>
          <w:sz w:val="20"/>
          <w:szCs w:val="20"/>
        </w:rPr>
        <w:t xml:space="preserve"> (Fig. 13), with additional converters in </w:t>
      </w:r>
      <w:r w:rsidR="0009209F">
        <w:rPr>
          <w:rFonts w:ascii="Times New Roman" w:hAnsi="Times New Roman" w:cs="Times New Roman"/>
          <w:sz w:val="20"/>
          <w:szCs w:val="20"/>
        </w:rPr>
        <w:t xml:space="preserve">the </w:t>
      </w:r>
      <w:r>
        <w:rPr>
          <w:rFonts w:ascii="Times New Roman" w:hAnsi="Times New Roman" w:cs="Times New Roman"/>
          <w:sz w:val="20"/>
          <w:szCs w:val="20"/>
        </w:rPr>
        <w:t xml:space="preserve">case of electric configurations, whether from battery or fuel cell. Further research for </w:t>
      </w:r>
      <w:r w:rsidR="00E064ED">
        <w:rPr>
          <w:rFonts w:ascii="Times New Roman" w:hAnsi="Times New Roman" w:cs="Times New Roman"/>
          <w:sz w:val="20"/>
          <w:szCs w:val="20"/>
        </w:rPr>
        <w:t xml:space="preserve">the </w:t>
      </w:r>
      <w:r>
        <w:rPr>
          <w:rFonts w:ascii="Times New Roman" w:hAnsi="Times New Roman" w:cs="Times New Roman"/>
          <w:sz w:val="20"/>
          <w:szCs w:val="20"/>
        </w:rPr>
        <w:t xml:space="preserve">high power-to-weight ratio of electric components </w:t>
      </w:r>
      <w:r w:rsidR="00EB55A5">
        <w:rPr>
          <w:rFonts w:ascii="Times New Roman" w:hAnsi="Times New Roman" w:cs="Times New Roman"/>
          <w:sz w:val="20"/>
          <w:szCs w:val="20"/>
        </w:rPr>
        <w:t>is</w:t>
      </w:r>
      <w:r>
        <w:rPr>
          <w:rFonts w:ascii="Times New Roman" w:hAnsi="Times New Roman" w:cs="Times New Roman"/>
          <w:sz w:val="20"/>
          <w:szCs w:val="20"/>
        </w:rPr>
        <w:t xml:space="preserve"> essential to be able to fit with the aircraft weight and volume constraints </w:t>
      </w:r>
      <w:r w:rsidRPr="001069B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q4Ifro8z","properties":{"formattedCitation":"[222]","plainCitation":"[222]","noteIndex":0},"citationItems":[{"id":"968HXJ10/WQsYStiw","uris":["http://www.mendeley.com/documents/?uuid=5935880f-36b1-4d3c-8c6b-9359bc0b3f79"],"uri":["http://www.mendeley.com/documents/?uuid=5935880f-36b1-4d3c-8c6b-9359bc0b3f79"],"itemData":{"DOI":"10.3390/aerospace7040044","ISSN":"22264310","abstract":"Electrification of the propulsion system has opened the door to a new paradigm of propulsion system configurations and novel aircraft designs, which was never envisioned before. Despite lofty promises, the concept must overcome the design and sizing challenges to make it realizable. A suitable modeling framework is desired in order to explore the design space at the conceptual level. A greater investment in enabling technologies, and infrastructural developments, is expected to facilitate its successful application in the market. In this review paper, several scholarly articles were surveyed to get an insight into the current landscape of research endeavors and the formulated derivations related to electric aircraft developments. The barriers and the needed future technological development paths are discussed. The paper also includes detailed assessments of the implications and other needs pertaining to future technology, regulation, certification, and infrastructure developments, in order to make the next generation electric aircraft operation commercially worthy.","author":[{"dropping-particle":"","family":"Sahoo","given":"Smruti","non-dropping-particle":"","parse-names":false,"suffix":""},{"dropping-particle":"","family":"Zhao","given":"Xin","non-dropping-particle":"","parse-names":false,"suffix":""},{"dropping-particle":"","family":"Kyprianidis","given":"Konstantinos","non-dropping-particle":"","parse-names":false,"suffix":""}],"container-title":"Aerospace","id":"ITEM-1","issue":"4","issued":{"date-parts":[["2020"]]},"title":"A review of concepts, benefits, and challenges for future electrical propulsion-based aircraft","type":"article-journal","volume":"7"}}],"schema":"https://github.com/citation-style-language/schema/raw/master/csl-citation.json"} </w:instrText>
      </w:r>
      <w:r w:rsidRPr="001069BF">
        <w:rPr>
          <w:rFonts w:ascii="Times New Roman" w:hAnsi="Times New Roman" w:cs="Times New Roman"/>
          <w:sz w:val="20"/>
          <w:szCs w:val="20"/>
        </w:rPr>
        <w:fldChar w:fldCharType="separate"/>
      </w:r>
      <w:r w:rsidRPr="00681D64">
        <w:rPr>
          <w:rFonts w:ascii="Times New Roman" w:hAnsi="Times New Roman" w:cs="Times New Roman"/>
          <w:sz w:val="20"/>
        </w:rPr>
        <w:t>[222]</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w:t>
      </w:r>
      <w:r>
        <w:rPr>
          <w:rFonts w:ascii="Times New Roman" w:hAnsi="Times New Roman" w:cs="Times New Roman"/>
          <w:sz w:val="20"/>
          <w:szCs w:val="20"/>
        </w:rPr>
        <w:t xml:space="preserve"> </w:t>
      </w:r>
      <w:r w:rsidR="0009209F">
        <w:rPr>
          <w:rFonts w:ascii="Times New Roman" w:hAnsi="Times New Roman" w:cs="Times New Roman"/>
          <w:sz w:val="20"/>
          <w:szCs w:val="20"/>
        </w:rPr>
        <w:t>A t</w:t>
      </w:r>
      <w:r>
        <w:rPr>
          <w:rFonts w:ascii="Times New Roman" w:hAnsi="Times New Roman" w:cs="Times New Roman"/>
          <w:sz w:val="20"/>
          <w:szCs w:val="20"/>
        </w:rPr>
        <w:t xml:space="preserve">hermal management system, </w:t>
      </w:r>
      <w:r w:rsidRPr="001069BF">
        <w:rPr>
          <w:rFonts w:ascii="Times New Roman" w:hAnsi="Times New Roman" w:cs="Times New Roman"/>
          <w:sz w:val="20"/>
          <w:szCs w:val="20"/>
        </w:rPr>
        <w:t>in particular the remo</w:t>
      </w:r>
      <w:r>
        <w:rPr>
          <w:rFonts w:ascii="Times New Roman" w:hAnsi="Times New Roman" w:cs="Times New Roman"/>
          <w:sz w:val="20"/>
          <w:szCs w:val="20"/>
        </w:rPr>
        <w:t xml:space="preserve">val of the generated waste heat, is </w:t>
      </w:r>
      <w:r w:rsidRPr="001069BF">
        <w:rPr>
          <w:rFonts w:ascii="Times New Roman" w:hAnsi="Times New Roman" w:cs="Times New Roman"/>
          <w:sz w:val="20"/>
          <w:szCs w:val="20"/>
        </w:rPr>
        <w:t xml:space="preserve">another key challenge for further research </w:t>
      </w:r>
      <w:r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bunNazBJ","properties":{"formattedCitation":"[335]","plainCitation":"[335]","noteIndex":0},"citationItems":[{"id":"968HXJ10/0yWIlgRR","uris":["http://www.mendeley.com/documents/?uuid=2fa99d55-8ff8-4419-8320-787d13bed259"],"uri":["http://www.mendeley.com/documents/?uuid=2fa99d55-8ff8-4419-8320-787d13bed259"],"itemData":{"DOI":"10.17226/23490","ISBN":"9780309440967","author":[{"dropping-particle":"","family":"National Academies of Sciences, Enginerring","given":"and Medicine","non-dropping-particle":"","parse-names":false,"suffix":""}],"id":"ITEM-1","issued":{"date-parts":[["2016"]]},"publisher":"National Academies Press","title":"Reducing Global Carbon Emissions Commercial Aircraft Propulsion and Energy Systems Research","type":"book"}}],"schema":"https://github.com/citation-style-language/schema/raw/master/csl-citation.json"} </w:instrText>
      </w:r>
      <w:r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[335]</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Alongside, certification standards must be developed to assure the safety and use of batteries (or fuel cells). </w:t>
      </w:r>
    </w:p>
    <w:p w14:paraId="52E98A0F" w14:textId="5C8B1ABB" w:rsidR="00C0588D" w:rsidRDefault="00C0588D" w:rsidP="00C0588D">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The development of</w:t>
      </w:r>
      <w:r w:rsidRPr="001069BF">
        <w:rPr>
          <w:rFonts w:ascii="Times New Roman" w:hAnsi="Times New Roman" w:cs="Times New Roman"/>
          <w:sz w:val="20"/>
          <w:szCs w:val="20"/>
        </w:rPr>
        <w:t xml:space="preserve"> high-performance, </w:t>
      </w:r>
      <w:r>
        <w:rPr>
          <w:rFonts w:ascii="Times New Roman" w:hAnsi="Times New Roman" w:cs="Times New Roman"/>
          <w:sz w:val="20"/>
          <w:szCs w:val="20"/>
        </w:rPr>
        <w:t xml:space="preserve">long-lived batteries with thermal stability is one of the </w:t>
      </w:r>
      <w:r w:rsidR="000C508D">
        <w:rPr>
          <w:rFonts w:ascii="Times New Roman" w:hAnsi="Times New Roman" w:cs="Times New Roman"/>
          <w:sz w:val="20"/>
          <w:szCs w:val="20"/>
        </w:rPr>
        <w:t xml:space="preserve">numerous </w:t>
      </w:r>
      <w:r>
        <w:rPr>
          <w:rFonts w:ascii="Times New Roman" w:hAnsi="Times New Roman" w:cs="Times New Roman"/>
          <w:sz w:val="20"/>
          <w:szCs w:val="20"/>
        </w:rPr>
        <w:t>technological challenges</w:t>
      </w:r>
      <w:r w:rsidR="000C508D">
        <w:rPr>
          <w:rFonts w:ascii="Times New Roman" w:hAnsi="Times New Roman" w:cs="Times New Roman"/>
          <w:sz w:val="20"/>
          <w:szCs w:val="20"/>
        </w:rPr>
        <w:t xml:space="preserve"> to be solved before mass production scale</w:t>
      </w:r>
      <w:r w:rsidRPr="001069BF">
        <w:rPr>
          <w:rFonts w:ascii="Times New Roman" w:hAnsi="Times New Roman" w:cs="Times New Roman"/>
          <w:sz w:val="20"/>
          <w:szCs w:val="20"/>
        </w:rPr>
        <w:t xml:space="preserve"> </w:t>
      </w:r>
      <w:r w:rsidRPr="001069B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0wjoXyIy","properties":{"formattedCitation":"[230]","plainCitation":"[230]","noteIndex":0},"citationItems":[{"id":"968HXJ10/ULntkgtW","uris":["http://www.mendeley.com/documents/?uuid=90a14080-2444-4479-8dd4-bb23bf7f390c"],"uri":["http://www.mendeley.com/documents/?uuid=90a14080-2444-4479-8dd4-bb23bf7f390c"],"itemData":{"DOI":"10.1038/s41560-018-0107-2","ISSN":"20587546","abstract":"It is widely accepted that for electric vehicles to be accepted by consumers and to achieve wide market penetration, ranges of at least 500 km at an affordable cost are required. Therefore, significant improvements to lithium-ion batteries (LIBs) in terms of energy density and cost along the battery value chain are required, while other key performance indicators, such as lifetime, safety, fast-charging ability and low-temperature performance, need to be enhanced or at least sustained. Here, we review advances and challenges in LIB materials for automotive applications, in particular with respect to cost and performance parameters. The production processes of anode and cathode materials are discussed, focusing on material abundance and cost. Advantages and challenges of different types of electrolyte for automotive batteries are examined. Finally, energy densities and costs of promising battery chemistries are critically evaluated along with an assessment of the potential to fulfil the ambitious targets of electric vehicle propulsion.","author":[{"dropping-particle":"","family":"Schmuch","given":"Richard","non-dropping-particle":"","parse-names":false,"suffix":""},{"dropping-particle":"","family":"Wagner","given":"Ralf","non-dropping-particle":"","parse-names":false,"suffix":""},{"dropping-particle":"","family":"Hörpel","given":"Gerhard","non-dropping-particle":"","parse-names":false,"suffix":""},{"dropping-particle":"","family":"Placke","given":"Tobias","non-dropping-particle":"","parse-names":false,"suffix":""},{"dropping-particle":"","family":"Winter","given":"Martin","non-dropping-particle":"","parse-names":false,"suffix":""}],"container-title":"Nature Energy","id":"ITEM-1","issue":"4","issued":{"date-parts":[["2018"]]},"page":"267-278","publisher":"Springer US","title":"Performance and cost of materials for lithium-based rechargeable automotive batteries","type":"article-journal","volume":"3"}}],"schema":"https://github.com/citation-style-language/schema/raw/master/csl-citation.json"} </w:instrText>
      </w:r>
      <w:r w:rsidRPr="001069BF">
        <w:rPr>
          <w:rFonts w:ascii="Times New Roman" w:hAnsi="Times New Roman" w:cs="Times New Roman"/>
          <w:sz w:val="20"/>
          <w:szCs w:val="20"/>
        </w:rPr>
        <w:fldChar w:fldCharType="separate"/>
      </w:r>
      <w:r w:rsidRPr="0001318B">
        <w:rPr>
          <w:rFonts w:ascii="Times New Roman" w:hAnsi="Times New Roman" w:cs="Times New Roman"/>
          <w:sz w:val="20"/>
        </w:rPr>
        <w:t>[230]</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w:t>
      </w:r>
      <w:r w:rsidR="000C508D">
        <w:rPr>
          <w:rFonts w:ascii="Times New Roman" w:hAnsi="Times New Roman" w:cs="Times New Roman"/>
          <w:sz w:val="20"/>
          <w:szCs w:val="20"/>
        </w:rPr>
        <w:t xml:space="preserve">To this end, options for higher storage capacity are being investigated, as for instance reflected by research on </w:t>
      </w:r>
      <w:r w:rsidRPr="001069BF">
        <w:rPr>
          <w:rFonts w:ascii="Times New Roman" w:hAnsi="Times New Roman" w:cs="Times New Roman"/>
          <w:sz w:val="20"/>
          <w:szCs w:val="20"/>
        </w:rPr>
        <w:t>nickel-rich NCM</w:t>
      </w:r>
      <w:r>
        <w:rPr>
          <w:rFonts w:ascii="Times New Roman" w:hAnsi="Times New Roman" w:cs="Times New Roman"/>
          <w:sz w:val="20"/>
          <w:szCs w:val="20"/>
        </w:rPr>
        <w:t xml:space="preserve"> (Nickel-Cobalt-Manganese)-</w:t>
      </w:r>
      <w:r w:rsidRPr="001069BF">
        <w:rPr>
          <w:rFonts w:ascii="Times New Roman" w:hAnsi="Times New Roman" w:cs="Times New Roman"/>
          <w:sz w:val="20"/>
          <w:szCs w:val="20"/>
        </w:rPr>
        <w:t xml:space="preserve">811 </w:t>
      </w:r>
      <w:r w:rsidRPr="001069B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8319IcJN","properties":{"formattedCitation":"[196,230]","plainCitation":"[196,230]","noteIndex":0},"citationItems":[{"id":"968HXJ10/NdmPZTxr","uris":["http://www.mendeley.com/documents/?uuid=ce05aca7-73b4-4f31-9501-e46106f36a8d"],"uri":["http://www.mendeley.com/documents/?uuid=ce05aca7-73b4-4f31-9501-e46106f36a8d"],"itemData":{"author":[{"dropping-particle":"","family":"The Faraday Institute","given":"","non-dropping-particle":"","parse-names":false,"suffix":""}],"id":"ITEM-1","issued":{"date-parts":[["2020"]]},"title":"Faraday Report: High-energy battery technologies","type":"report"}},{"id":"968HXJ10/ULntkgtW","uris":["http://www.mendeley.com/documents/?uuid=90a14080-2444-4479-8dd4-bb23bf7f390c"],"uri":["http://www.mendeley.com/documents/?uuid=90a14080-2444-4479-8dd4-bb23bf7f390c"],"itemData":{"DOI":"10.1038/s41560-018-0107-2","ISSN":"20587546","abstract":"It is widely accepted that for electric vehicles to be accepted by consumers and to achieve wide market penetration, ranges of at least 500 km at an affordable cost are required. Therefore, significant improvements to lithium-ion batteries (LIBs) in terms of energy density and cost along the battery value chain are required, while other key performance indicators, such as lifetime, safety, fast-charging ability and low-temperature performance, need to be enhanced or at least sustained. Here, we review advances and challenges in LIB materials for automotive applications, in particular with respect to cost and performance parameters. The production processes of anode and cathode materials are discussed, focusing on material abundance and cost. Advantages and challenges of different types of electrolyte for automotive batteries are examined. Finally, energy densities and costs of promising battery chemistries are critically evaluated along with an assessment of the potential to fulfil the ambitious targets of electric vehicle propulsion.","author":[{"dropping-particle":"","family":"Schmuch","given":"Richard","non-dropping-particle":"","parse-names":false,"suffix":""},{"dropping-particle":"","family":"Wagner","given":"Ralf","non-dropping-particle":"","parse-names":false,"suffix":""},{"dropping-particle":"","family":"Hörpel","given":"Gerhard","non-dropping-particle":"","parse-names":false,"suffix":""},{"dropping-particle":"","family":"Placke","given":"Tobias","non-dropping-particle":"","parse-names":false,"suffix":""},{"dropping-particle":"","family":"Winter","given":"Martin","non-dropping-particle":"","parse-names":false,"suffix":""}],"container-title":"Nature Energy","id":"ITEM-2","issue":"4","issued":{"date-parts":[["2018"]]},"page":"267-278","publisher":"Springer US","title":"Performance and cost of materials for lithium-based rechargeable automotive batteries","type":"article-journal","volume":"3"}}],"schema":"https://github.com/citation-style-language/schema/raw/master/csl-citation.json"} </w:instrText>
      </w:r>
      <w:r w:rsidRPr="001069BF">
        <w:rPr>
          <w:rFonts w:ascii="Times New Roman" w:hAnsi="Times New Roman" w:cs="Times New Roman"/>
          <w:sz w:val="20"/>
          <w:szCs w:val="20"/>
        </w:rPr>
        <w:fldChar w:fldCharType="separate"/>
      </w:r>
      <w:r w:rsidRPr="0001318B">
        <w:rPr>
          <w:rFonts w:ascii="Times New Roman" w:hAnsi="Times New Roman" w:cs="Times New Roman"/>
          <w:sz w:val="20"/>
        </w:rPr>
        <w:t>[196,230]</w:t>
      </w:r>
      <w:r w:rsidRPr="001069BF">
        <w:rPr>
          <w:rFonts w:ascii="Times New Roman" w:hAnsi="Times New Roman" w:cs="Times New Roman"/>
          <w:sz w:val="20"/>
          <w:szCs w:val="20"/>
        </w:rPr>
        <w:fldChar w:fldCharType="end"/>
      </w:r>
      <w:r w:rsidR="000C508D">
        <w:rPr>
          <w:rFonts w:ascii="Times New Roman" w:hAnsi="Times New Roman" w:cs="Times New Roman"/>
          <w:sz w:val="20"/>
          <w:szCs w:val="20"/>
        </w:rPr>
        <w:t xml:space="preserve">, </w:t>
      </w:r>
      <w:r w:rsidRPr="001069BF">
        <w:rPr>
          <w:rFonts w:ascii="Times New Roman" w:hAnsi="Times New Roman" w:cs="Times New Roman"/>
          <w:sz w:val="20"/>
          <w:szCs w:val="20"/>
        </w:rPr>
        <w:t>alternative anode material</w:t>
      </w:r>
      <w:r w:rsidR="000C508D">
        <w:rPr>
          <w:rFonts w:ascii="Times New Roman" w:hAnsi="Times New Roman" w:cs="Times New Roman"/>
          <w:sz w:val="20"/>
          <w:szCs w:val="20"/>
        </w:rPr>
        <w:t xml:space="preserve"> to graphite</w:t>
      </w:r>
      <w:r w:rsidRPr="001069BF">
        <w:rPr>
          <w:rFonts w:ascii="Times New Roman" w:hAnsi="Times New Roman" w:cs="Times New Roman"/>
          <w:sz w:val="20"/>
          <w:szCs w:val="20"/>
        </w:rPr>
        <w:t xml:space="preserve"> (e.g. silicon</w:t>
      </w:r>
      <w:r>
        <w:rPr>
          <w:rFonts w:ascii="Times New Roman" w:hAnsi="Times New Roman" w:cs="Times New Roman"/>
          <w:sz w:val="20"/>
          <w:szCs w:val="20"/>
        </w:rPr>
        <w:t>, lithium metal</w:t>
      </w:r>
      <w:r w:rsidRPr="001069BF">
        <w:rPr>
          <w:rFonts w:ascii="Times New Roman" w:hAnsi="Times New Roman" w:cs="Times New Roman"/>
          <w:sz w:val="20"/>
          <w:szCs w:val="20"/>
        </w:rPr>
        <w:t xml:space="preserve">) </w:t>
      </w:r>
      <w:r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Iq90wWFs","properties":{"formattedCitation":"[336]","plainCitation":"[336]","noteIndex":0},"citationItems":[{"id":"968HXJ10/7aS91tbD","uris":["http://www.mendeley.com/documents/?uuid=d30ec2e5-67e5-414b-b0cb-28e544ddd71a"],"uri":["http://www.mendeley.com/documents/?uuid=d30ec2e5-67e5-414b-b0cb-28e544ddd71a"],"itemData":{"DOI":"10.1038/s41598-020-70001-5","ISBN":"0123456789","ISSN":"20452322","PMID":"32764566","abstract":"Silicon, while suffering from major degradation issues, has been recognized as a next promising material to replace currently used graphite in the anodes of Li-ion batteries. Several pathways to mitigate the capacity fading of silicon has been proposed, including optimization of the electrode composition. Within the present work we evaluated different binder formulations to improve the long-term performance of the Li-ion batteries’ anodes based on industrial grade silicon (Si) which is typically characterized by a particle sizes ranging from 100 nm to 5.5 microns. The decrease of pH in a binder formulation was found to detrimental for the cycling performance of Si due to enhanced formation of an ester-type bonding between the carboxylic group of the binder and hydroxyl group on the Si surface as well as cross-linking. Furthermore, the present work was focused on the use of the industrial grade Si with very high loading of Si material (up to 80% by weight) to better highlight the effects of the surface chemistry of Si and its influence on the performance of Si-based anodes in Li-ion batteries. The tested system allowed to establish a pseudo self-healing effect that manifests itself through the restoration of the anode capacity by approximately 25% and initiates after approximately 20 cycles. The stabilization of the capacity is attributed to self-limiting lithiation process. Such effect is closely related to SEI formation and transport properties of an electrode prepared from silicon of industrial grade.","author":[{"dropping-particle":"","family":"Foss","given":"Carl Erik Lie","non-dropping-particle":"","parse-names":false,"suffix":""},{"dropping-particle":"","family":"Müssig","given":"Stephan","non-dropping-particle":"","parse-names":false,"suffix":""},{"dropping-particle":"","family":"Svensson","given":"Ann Mari","non-dropping-particle":"","parse-names":false,"suffix":""},{"dropping-particle":"","family":"Vie","given":"Preben J.S.","non-dropping-particle":"","parse-names":false,"suffix":""},{"dropping-particle":"","family":"Ulvestad","given":"Asbjørn","non-dropping-particle":"","parse-names":false,"suffix":""},{"dropping-particle":"","family":"Mæhlen","given":"Jan Petter","non-dropping-particle":"","parse-names":false,"suffix":""},{"dropping-particle":"","family":"Koposov","given":"Alexey Y.","non-dropping-particle":"","parse-names":false,"suffix":""}],"container-title":"Scientific Reports","id":"ITEM-1","issue":"1","issued":{"date-parts":[["2020"]]},"page":"1-8","publisher":"Nature Publishing Group UK","title":"Anodes for Li-ion batteries prepared from microcrystalline silicon and enabled by binder’s chemistry and pseudo-self-healing","type":"article-journal","volume":"10"}}],"schema":"https://github.com/citation-style-language/schema/raw/master/csl-citation.json"} </w:instrText>
      </w:r>
      <w:r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[336]</w:t>
      </w:r>
      <w:r w:rsidRPr="001069BF">
        <w:rPr>
          <w:rFonts w:ascii="Times New Roman" w:hAnsi="Times New Roman" w:cs="Times New Roman"/>
          <w:sz w:val="20"/>
          <w:szCs w:val="20"/>
        </w:rPr>
        <w:fldChar w:fldCharType="end"/>
      </w:r>
      <w:r w:rsidR="000C508D">
        <w:rPr>
          <w:rFonts w:ascii="Times New Roman" w:hAnsi="Times New Roman" w:cs="Times New Roman"/>
          <w:sz w:val="20"/>
          <w:szCs w:val="20"/>
        </w:rPr>
        <w:t xml:space="preserve">, </w:t>
      </w:r>
      <w:r>
        <w:rPr>
          <w:rFonts w:ascii="Times New Roman" w:hAnsi="Times New Roman" w:cs="Times New Roman"/>
          <w:sz w:val="20"/>
          <w:szCs w:val="20"/>
        </w:rPr>
        <w:t>approximate</w:t>
      </w:r>
      <w:r w:rsidRPr="001069BF">
        <w:rPr>
          <w:rFonts w:ascii="Times New Roman" w:hAnsi="Times New Roman" w:cs="Times New Roman"/>
          <w:sz w:val="20"/>
          <w:szCs w:val="20"/>
        </w:rPr>
        <w:t xml:space="preserve"> solid-state electrolytes in SSB </w:t>
      </w:r>
      <w:r w:rsidRPr="001069B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53ipfK1k","properties":{"formattedCitation":"[237]","plainCitation":"[237]","noteIndex":0},"citationItems":[{"id":"968HXJ10/FVqTN6kF","uris":["http://www.mendeley.com/documents/?uuid=a299db0d-4087-4bf7-a62e-4ee8c27470b4"],"uri":["http://www.mendeley.com/documents/?uuid=a299db0d-4087-4bf7-a62e-4ee8c27470b4"],"itemData":{"abstract":"(2) Higher Energy Density Lithium-ion batteries relying on a graphite anode can achieve a gravimetric energy density 3 and a volumetric energy density 4 of ~250 Wh/kg and ~700 Wh/l, respectively. 5 However, to keep up with demanding energy storage applications, lighter and smaller batteries with higher energy densities are required. In theory, it is possible to overcome these storage limits by replacing the graphite anode with a lithium metal anode. A number of potential solutions have been investigated around this chemistry, but none have been highly successful to date as the lithium metal anode is severely limited by its reactivity and cannot be used directly with a liquid electrolyte. Using a SSE could offer a solution to this challenge. Chemistries such as lithium-lithium metal oxide (Li-LMO), 6 lithium-sulfur Figure 1: Estimated gravimetric energy density and volumetric energy density for conventional lithium-ion vs. lithium metal-based batteries Source: Cui et al 2017, Reviving the lithium metal anode for high-energy batteries. (3) Faster Charging Times Faster charging times are highly desirable to EV consumers. The charging rate of current lithium-ion automotive batteries is fundamentally limited by the cell chemistry as well as the engineering required to protect the battery from exposure to high temperatures. SSEs have close to unity lithium-ion transference numbers and, in theory, negligible concentration polarisation, and higher thermal conductivity compared to liquid electrolytes. 7 These properties should allow SSEs to transport lithium ions efficiently with adequate dissipation of heat and therefore may be a route to faster charging automotive battery systems. (4) Longer Lifetime Typically, the life of lithium-ion batteries is dependent on the chemical reactivity within. Lithium-ion batteries degrade with time, use, and exposure to prolonged periods at elevated temperature. In the case of liquid electrolytes, one such degradation mechanism is referred to as 'cross-talk'. Cross-talk typically involves dissolution of transition metals from the positive electrode, and migration to, and subsequent poisoning of the negative electrode. This poisoning accelerates degradation of the liquid electrolyte, eventually leading to cell failure. There are major opportunities for a SSE to protect electrode materials from this metal migration and electrode poisoning. Solving such issues by employing SSEs could extend the lifetime of lithium-based batteries,…","author":[{"dropping-particle":"","family":"The Faraday Institution","given":"","non-dropping-particle":"","parse-names":false,"suffix":""}],"id":"ITEM-1","issue":"June 2006","issued":{"date-parts":[["2020"]]},"title":"Solid-State Batteries: The Technology of the 2030s but the Research Challenge of the 2020s","type":"article-journal"}}],"schema":"https://github.com/citation-style-language/schema/raw/master/csl-citation.json"} </w:instrText>
      </w:r>
      <w:r w:rsidRPr="001069BF">
        <w:rPr>
          <w:rFonts w:ascii="Times New Roman" w:hAnsi="Times New Roman" w:cs="Times New Roman"/>
          <w:sz w:val="20"/>
          <w:szCs w:val="20"/>
        </w:rPr>
        <w:fldChar w:fldCharType="separate"/>
      </w:r>
      <w:r w:rsidR="002D3B29" w:rsidRPr="002D3B29">
        <w:rPr>
          <w:rFonts w:ascii="Times New Roman" w:hAnsi="Times New Roman" w:cs="Times New Roman"/>
          <w:sz w:val="20"/>
        </w:rPr>
        <w:t>[237]</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w:t>
      </w:r>
      <w:r>
        <w:rPr>
          <w:rFonts w:ascii="Times New Roman" w:hAnsi="Times New Roman" w:cs="Times New Roman"/>
          <w:sz w:val="20"/>
          <w:szCs w:val="20"/>
        </w:rPr>
        <w:t>prevention of</w:t>
      </w:r>
      <w:r w:rsidRPr="001069BF">
        <w:rPr>
          <w:rFonts w:ascii="Times New Roman" w:hAnsi="Times New Roman" w:cs="Times New Roman"/>
          <w:sz w:val="20"/>
          <w:szCs w:val="20"/>
        </w:rPr>
        <w:t xml:space="preserve"> polysulfide shuttle effects in Li-S batteries </w:t>
      </w:r>
      <w:r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8CH7d2jM","properties":{"formattedCitation":"[337,338]","plainCitation":"[337,338]","noteIndex":0},"citationItems":[{"id":"968HXJ10/beWQbmnW","uris":["http://www.mendeley.com/documents/?uuid=9f1021eb-c4a2-419f-8beb-0fef520b6199"],"uri":["http://www.mendeley.com/documents/?uuid=9f1021eb-c4a2-419f-8beb-0fef520b6199"],"itemData":{"DOI":"10.1016/B978-0-12-816950-6.00004-X","ISBN":"9780128169506","author":[{"dropping-particle":"","family":"Sundén","given":"Bengt","non-dropping-particle":"","parse-names":false,"suffix":""}],"id":"ITEM-1","issued":{"date-parts":[["2019"]]},"number-of-pages":"57-79","publisher":"Elsevier","title":"Battery technologies","type":"book"}},{"id":"968HXJ10/pmKh243Y","uris":["http://www.mendeley.com/documents/?uuid=5396dc17-e857-4e58-8a60-d587b806c9b1"],"uri":["http://www.mendeley.com/documents/?uuid=5396dc17-e857-4e58-8a60-d587b806c9b1"],"itemData":{"DOI":"10.3389/fenrg.2019.00123","author":[{"dropping-particle":"","family":"Wang","given":"C.","non-dropping-particle":"","parse-names":false,"suffix":""},{"dropping-particle":"","family":"Zhu","given":"K.","non-dropping-particle":"","parse-names":false,"suffix":""},{"dropping-particle":"","family":"Chi","given":"Z.","non-dropping-particle":"","parse-names":false,"suffix":""},{"dropping-particle":"","family":"Ke","given":"F.","non-dropping-particle":"","parse-names":false,"suffix":""},{"dropping-particle":"","family":"Yang","given":"Y.","non-dropping-particle":"","parse-names":false,"suffix":""},{"dropping-particle":"","family":"Wang","given":"A.","non-dropping-particle":"","parse-names":false,"suffix":""},{"dropping-particle":"","family":"Wang","given":"W.","non-dropping-particle":"","parse-names":false,"suffix":""},{"dropping-particle":"","family":"Miao","given":"L.","non-dropping-particle":"","parse-names":false,"suffix":""}],"container-title":"Frontiers in Energy Research","id":"ITEM-2","issued":{"date-parts":[["2019"]]},"title":"How far away are lithium-sulfur batteries from commercialization?","type":"article-journal"}}],"schema":"https://github.com/citation-style-language/schema/raw/master/csl-citation.json"} </w:instrText>
      </w:r>
      <w:r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[337,338]</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and improvement of moisture sensitivity in Li-air batteries </w:t>
      </w:r>
      <w:r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3Bb3gGnp","properties":{"formattedCitation":"[221,339]","plainCitation":"[221,339]","noteIndex":0},"citationItems":[{"id":"968HXJ10/eXlrK6pI","uris":["http://www.mendeley.com/documents/?uuid=777c132b-66e7-4f7a-8c04-175b3fa31c83"],"uri":["http://www.mendeley.com/documents/?uuid=777c132b-66e7-4f7a-8c04-175b3fa31c83"],"itemData":{"DOI":"10.1016/j.mtadv.2019.100031","ISSN":"25900498","abstract":"Rechargeable lithium–air batteries have a far higher theoretical energy density than lithium-ion batteries, and are, thus, expected to become a possible power source for electric vehicles (EVs). Three types of rechargeable lithium–air batteries have been developed: non-aqueous, aqueous, and solid. The majority of research efforts have been devoted to the non-aqueous battery in the past two decades. However, non-aqueous lithium–air batteries still have critical issues to be addressed to realize the practical use for EVs, such as a low practical areal capacity, low round-trip energy efficiency, and air purification. The aqueous and solid lithium–air systems do not have the critical issues observed in the non-aqueous system; however, they have not shown capacity for high power density and extended deep cycling. In this short review, our emphasis is on the progress made with respect to cell performance, such as capacity at high current density and cycle life, and we identify lithium–air battery prospects for EVs and key technologies.","author":[{"dropping-particle":"","family":"Imanishi","given":"N.","non-dropping-particle":"","parse-names":false,"suffix":""},{"dropping-particle":"","family":"Yamamoto","given":"O.","non-dropping-particle":"","parse-names":false,"suffix":""}],"container-title":"Materials Today Advances","id":"ITEM-1","issued":{"date-parts":[["2019"]]},"publisher":"Elsevier Ltd","title":"Perspectives and challenges of rechargeable lithium–air batteries","type":"article-journal","volume":"4"}},{"id":"968HXJ10/m6RwkAMs","uris":["http://www.mendeley.com/documents/?uuid=4318d6b1-1e21-417a-8186-284acdc8729f"],"uri":["http://www.mendeley.com/documents/?uuid=4318d6b1-1e21-417a-8186-284acdc8729f"],"itemData":{"DOI":"10.1016/B978-0-12-813794-9.00004-1","ISBN":"9780128137949","author":[{"dropping-particle":"","family":"Li","given":"Oi Lun","non-dropping-particle":"","parse-names":false,"suffix":""},{"dropping-particle":"","family":"Ishizaki","given":"Takahiro","non-dropping-particle":"","parse-names":false,"suffix":""}],"container-title":"Emerging Materials for Energy Conversion and Storage","id":"ITEM-2","issued":{"date-parts":[["2018"]]},"number-of-pages":"115-152","publisher":"Elsevier Inc.","title":"Development , Challenges , and Prospects of Carbon-Based Electrode for Lithium-Air Batteries","type":"book"}}],"schema":"https://github.com/citation-style-language/schema/raw/master/csl-citation.json"} </w:instrText>
      </w:r>
      <w:r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[221,339]</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w:t>
      </w:r>
      <w:r>
        <w:rPr>
          <w:rFonts w:ascii="Times New Roman" w:hAnsi="Times New Roman" w:cs="Times New Roman"/>
          <w:sz w:val="20"/>
          <w:szCs w:val="20"/>
        </w:rPr>
        <w:t xml:space="preserve"> </w:t>
      </w:r>
    </w:p>
    <w:p w14:paraId="64623F68" w14:textId="3E0271D5" w:rsidR="00C0588D" w:rsidRDefault="00C0588D" w:rsidP="00C0588D">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High power density fuel </w:t>
      </w:r>
      <w:r w:rsidR="005D27F0">
        <w:rPr>
          <w:rFonts w:ascii="Times New Roman" w:hAnsi="Times New Roman" w:cs="Times New Roman"/>
          <w:sz w:val="20"/>
          <w:szCs w:val="20"/>
        </w:rPr>
        <w:t>cells need</w:t>
      </w:r>
      <w:r>
        <w:rPr>
          <w:rFonts w:ascii="Times New Roman" w:hAnsi="Times New Roman" w:cs="Times New Roman"/>
          <w:sz w:val="20"/>
          <w:szCs w:val="20"/>
        </w:rPr>
        <w:t xml:space="preserve"> to be developed to attain the power </w:t>
      </w:r>
      <w:r w:rsidR="005D27F0">
        <w:rPr>
          <w:rFonts w:ascii="Times New Roman" w:hAnsi="Times New Roman" w:cs="Times New Roman"/>
          <w:sz w:val="20"/>
          <w:szCs w:val="20"/>
        </w:rPr>
        <w:t xml:space="preserve">requested in </w:t>
      </w:r>
      <w:r>
        <w:rPr>
          <w:rFonts w:ascii="Times New Roman" w:hAnsi="Times New Roman" w:cs="Times New Roman"/>
          <w:sz w:val="20"/>
          <w:szCs w:val="20"/>
        </w:rPr>
        <w:t>propu</w:t>
      </w:r>
      <w:r w:rsidR="005D27F0">
        <w:rPr>
          <w:rFonts w:ascii="Times New Roman" w:hAnsi="Times New Roman" w:cs="Times New Roman"/>
          <w:sz w:val="20"/>
          <w:szCs w:val="20"/>
        </w:rPr>
        <w:t>lsion system, and to improve</w:t>
      </w:r>
      <w:r>
        <w:rPr>
          <w:rFonts w:ascii="Times New Roman" w:hAnsi="Times New Roman" w:cs="Times New Roman"/>
          <w:sz w:val="20"/>
          <w:szCs w:val="20"/>
        </w:rPr>
        <w:t xml:space="preserve"> </w:t>
      </w:r>
      <w:r w:rsidR="005D27F0">
        <w:rPr>
          <w:rFonts w:ascii="Times New Roman" w:hAnsi="Times New Roman" w:cs="Times New Roman"/>
          <w:sz w:val="20"/>
          <w:szCs w:val="20"/>
        </w:rPr>
        <w:t xml:space="preserve">the </w:t>
      </w:r>
      <w:r>
        <w:rPr>
          <w:rFonts w:ascii="Times New Roman" w:hAnsi="Times New Roman" w:cs="Times New Roman"/>
          <w:sz w:val="20"/>
          <w:szCs w:val="20"/>
        </w:rPr>
        <w:t xml:space="preserve">weight and volume constraints in commercial aircraft. </w:t>
      </w:r>
      <w:r w:rsidR="005D27F0">
        <w:rPr>
          <w:rFonts w:ascii="Times New Roman" w:hAnsi="Times New Roman" w:cs="Times New Roman"/>
          <w:sz w:val="20"/>
          <w:szCs w:val="20"/>
        </w:rPr>
        <w:t>Current power density of fuel cells is ca. 0.75 kW kg</w:t>
      </w:r>
      <w:r w:rsidR="005D27F0" w:rsidRPr="006C4DEF">
        <w:rPr>
          <w:rFonts w:ascii="Times New Roman" w:hAnsi="Times New Roman" w:cs="Times New Roman"/>
          <w:sz w:val="20"/>
          <w:szCs w:val="20"/>
          <w:vertAlign w:val="superscript"/>
        </w:rPr>
        <w:t>-1</w:t>
      </w:r>
      <w:r w:rsidR="005D27F0">
        <w:rPr>
          <w:rFonts w:ascii="Times New Roman" w:hAnsi="Times New Roman" w:cs="Times New Roman"/>
          <w:sz w:val="20"/>
          <w:szCs w:val="20"/>
        </w:rPr>
        <w:t xml:space="preserve">, whereas </w:t>
      </w:r>
      <w:r>
        <w:rPr>
          <w:rFonts w:ascii="Times New Roman" w:hAnsi="Times New Roman" w:cs="Times New Roman"/>
          <w:sz w:val="20"/>
          <w:szCs w:val="20"/>
        </w:rPr>
        <w:t>2 kW kg</w:t>
      </w:r>
      <w:r w:rsidRPr="006C4DEF">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005D27F0">
        <w:rPr>
          <w:rFonts w:ascii="Times New Roman" w:hAnsi="Times New Roman" w:cs="Times New Roman"/>
          <w:sz w:val="20"/>
          <w:szCs w:val="20"/>
        </w:rPr>
        <w:t>would be required for commercial aircraft</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dZd8UazL","properties":{"formattedCitation":"[29,241,243]","plainCitation":"[29,241,243]","noteIndex":0},"citationItems":[{"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alone.","author":[{"dropping-particle":"","family":"McKinsey","given":"","non-dropping-particle":"","parse-names":false,"suffix":""}],"id":"ITEM-1","issue":"May","issued":{"date-parts":[["2020"]]},"number-of-pages":"1-96","title":"Hydrogen-powered aviation A fact-based study of hydrogen technology, economics, and climate impact by 2050","type":"book"}},{"id":"968HXJ10/dl9JdcCM","uris":["http://www.mendeley.com/documents/?uuid=82e6f8bc-8f73-4139-86df-119bb560d866"],"uri":["http://www.mendeley.com/documents/?uuid=82e6f8bc-8f73-4139-86df-119bb560d866"],"itemData":{"DOI":"10.1016/j.rser.2019.02.022","ISSN":"18790690","abstract":"The world energy consumption is greatly influenced by the aviation industry with a total energy consumption ranging between 2.5% and 5%. Currently, liquid fossil fuel, which releases various types of Greenhouse Gas (GHG) emissions, is the main fuel in the aviation industry. As the aviation industry grows rapidly to meet the requirements of the increased world population, the demand for environmentally friendly power technology for various applications in the aviation sector has been increased sharply in recent years. Among the various clean power sources, energy obtained from hydrogen is considered the future for energy generation in the aviation industry due to its cleanness and abundance. This paper aims to give an overview of the potential aviation applications where hydrogen and fuel cell technology can be used. Also, the major challenges that limit the wide adoption of hydrogen technology in aviation are highlighted and future research prospects are identified.","author":[{"dropping-particle":"","family":"Baroutaji","given":"Ahmad","non-dropping-particle":"","parse-names":false,"suffix":""},{"dropping-particle":"","family":"Wilberforce","given":"Tabbi","non-dropping-particle":"","parse-names":false,"suffix":""},{"dropping-particle":"","family":"Ramadan","given":"Mohamad","non-dropping-particle":"","parse-names":false,"suffix":""},{"dropping-particle":"","family":"Olabi","given":"Abdul Ghani","non-dropping-particle":"","parse-names":false,"suffix":""}],"container-title":"Renewable and Sustainable Energy Reviews","id":"ITEM-2","issue":"September 2018","issued":{"date-parts":[["2019"]]},"page":"31-40","publisher":"Elsevier Ltd","title":"Comprehensive investigation on hydrogen and fuel cell technology in the aviation and aerospace sectors","type":"article-journal","volume":"106"}},{"id":"968HXJ10/xqANPmHL","uris":["http://www.mendeley.com/documents/?uuid=1746867a-c43a-45fe-a676-424110183b9a"],"uri":["http://www.mendeley.com/documents/?uuid=1746867a-c43a-45fe-a676-424110183b9a"],"itemData":{"author":[{"dropping-particle":"","family":"Barnes","given":"Phil","non-dropping-particle":"","parse-names":false,"suffix":""}],"id":"ITEM-3","issued":{"date-parts":[["2019"]]},"title":"General Aviation Aircraft : Fuel cell hybrids for electric propulsion","type":"legislation"}}],"schema":"https://github.com/citation-style-language/schema/raw/master/csl-citation.json"} </w:instrText>
      </w:r>
      <w:r>
        <w:rPr>
          <w:rFonts w:ascii="Times New Roman" w:hAnsi="Times New Roman" w:cs="Times New Roman"/>
          <w:sz w:val="20"/>
          <w:szCs w:val="20"/>
        </w:rPr>
        <w:fldChar w:fldCharType="separate"/>
      </w:r>
      <w:r w:rsidR="0078655A" w:rsidRPr="0078655A">
        <w:rPr>
          <w:rFonts w:ascii="Times New Roman" w:hAnsi="Times New Roman" w:cs="Times New Roman"/>
          <w:sz w:val="20"/>
        </w:rPr>
        <w:t>[29,241,243]</w:t>
      </w:r>
      <w:r>
        <w:rPr>
          <w:rFonts w:ascii="Times New Roman" w:hAnsi="Times New Roman" w:cs="Times New Roman"/>
          <w:sz w:val="20"/>
          <w:szCs w:val="20"/>
        </w:rPr>
        <w:fldChar w:fldCharType="end"/>
      </w:r>
      <w:r>
        <w:rPr>
          <w:rFonts w:ascii="Times New Roman" w:hAnsi="Times New Roman" w:cs="Times New Roman"/>
          <w:sz w:val="20"/>
          <w:szCs w:val="20"/>
        </w:rPr>
        <w:t>.</w:t>
      </w:r>
    </w:p>
    <w:p w14:paraId="28277072" w14:textId="69C0B35D" w:rsidR="00C0588D" w:rsidRDefault="00C0588D" w:rsidP="00C0588D">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Another key </w:t>
      </w:r>
      <w:r w:rsidR="002404D9">
        <w:rPr>
          <w:rFonts w:ascii="Times New Roman" w:hAnsi="Times New Roman" w:cs="Times New Roman"/>
          <w:sz w:val="20"/>
          <w:szCs w:val="20"/>
        </w:rPr>
        <w:t xml:space="preserve">are of development is the optimization of the aircraft configuration, in order to optimally integrate the electrical propulsion system and, batteries into the aircraft </w:t>
      </w:r>
      <w:r w:rsidR="002404D9"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LXcwFN9h","properties":{"formattedCitation":"[340]","plainCitation":"[340]","noteIndex":0},"citationItems":[{"id":"968HXJ10/uJ85Y0lU","uris":["http://www.mendeley.com/documents/?uuid=79837d2c-a7dd-4b21-bb97-b18bed3b6f57"],"uri":["http://www.mendeley.com/documents/?uuid=79837d2c-a7dd-4b21-bb97-b18bed3b6f57"],"itemData":{"author":[{"dropping-particle":"","family":"Roland Berger","given":"","non-dropping-particle":"","parse-names":false,"suffix":""}],"id":"ITEM-1","issued":{"date-parts":[["2018"]]},"title":"Aircraft Electrical Propulsion – Onwards and Upwards","type":"report"}}],"schema":"https://github.com/citation-style-language/schema/raw/master/csl-citation.json"} </w:instrText>
      </w:r>
      <w:r w:rsidR="002404D9"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[340]</w:t>
      </w:r>
      <w:r w:rsidR="002404D9" w:rsidRPr="001069BF">
        <w:rPr>
          <w:rFonts w:ascii="Times New Roman" w:hAnsi="Times New Roman" w:cs="Times New Roman"/>
          <w:sz w:val="20"/>
          <w:szCs w:val="20"/>
        </w:rPr>
        <w:fldChar w:fldCharType="end"/>
      </w:r>
      <w:r w:rsidR="002404D9">
        <w:rPr>
          <w:rFonts w:ascii="Times New Roman" w:hAnsi="Times New Roman" w:cs="Times New Roman"/>
          <w:sz w:val="20"/>
          <w:szCs w:val="20"/>
        </w:rPr>
        <w:t>, which in turn is dependent on the electric propulsion configuration (Fig. 13)</w:t>
      </w:r>
      <w:r w:rsidRPr="001069BF">
        <w:rPr>
          <w:rFonts w:ascii="Times New Roman" w:hAnsi="Times New Roman" w:cs="Times New Roman"/>
          <w:sz w:val="20"/>
          <w:szCs w:val="20"/>
        </w:rPr>
        <w:t>.</w:t>
      </w:r>
      <w:r>
        <w:rPr>
          <w:rFonts w:ascii="Times New Roman" w:hAnsi="Times New Roman" w:cs="Times New Roman"/>
          <w:sz w:val="20"/>
          <w:szCs w:val="20"/>
        </w:rPr>
        <w:t xml:space="preserve"> </w:t>
      </w:r>
      <w:r w:rsidR="002404D9">
        <w:rPr>
          <w:rFonts w:ascii="Times New Roman" w:hAnsi="Times New Roman" w:cs="Times New Roman"/>
          <w:sz w:val="20"/>
          <w:szCs w:val="20"/>
        </w:rPr>
        <w:t>This is also studied in combination with other approaches to improve the overall propulsion efficiency has also been investigated by the integration of innovative approaches (e.g. boundary lay</w:t>
      </w:r>
      <w:r w:rsidR="004C1933">
        <w:rPr>
          <w:rFonts w:ascii="Times New Roman" w:hAnsi="Times New Roman" w:cs="Times New Roman"/>
          <w:sz w:val="20"/>
          <w:szCs w:val="20"/>
        </w:rPr>
        <w:t>er ingestion, wingtip propulsors</w:t>
      </w:r>
      <w:r w:rsidR="002404D9">
        <w:rPr>
          <w:rFonts w:ascii="Times New Roman" w:hAnsi="Times New Roman" w:cs="Times New Roman"/>
          <w:sz w:val="20"/>
          <w:szCs w:val="20"/>
        </w:rPr>
        <w:t>, blended-wing-body aircraft)</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QDxJ5JG7","properties":{"formattedCitation":"[341]","plainCitation":"[341]","noteIndex":0},"citationItems":[{"id":"968HXJ10/49V1uUYy","uris":["http://www.mendeley.com/documents/?uuid=1986d4a4-47ea-4ef4-ab95-db4fc4cc1ce3"],"uri":["http://www.mendeley.com/documents/?uuid=1986d4a4-47ea-4ef4-ab95-db4fc4cc1ce3"],"itemData":{"author":[{"dropping-particle":"","family":"Heidmann","given":"James","non-dropping-particle":"","parse-names":false,"suffix":""},{"dropping-particle":"","family":"Bowman","given":"Cheryl","non-dropping-particle":"","parse-names":false,"suffix":""},{"dropping-particle":"","family":"Kascak","given":"Peter","non-dropping-particle":"","parse-names":false,"suffix":""},{"dropping-particle":"","family":"Jankovsky","given":"Amy","non-dropping-particle":"","parse-names":false,"suffix":""},{"dropping-particle":"","family":"Jansen","given":"Ralph","non-dropping-particle":"","parse-names":false,"suffix":""}],"id":"ITEM-1","issued":{"date-parts":[["2016"]]},"title":"A NASA Perspective on electric propulsion technologies for commercial aviation","type":"report"}}],"schema":"https://github.com/citation-style-language/schema/raw/master/csl-citation.json"} </w:instrText>
      </w:r>
      <w:r>
        <w:rPr>
          <w:rFonts w:ascii="Times New Roman" w:hAnsi="Times New Roman" w:cs="Times New Roman"/>
          <w:sz w:val="20"/>
          <w:szCs w:val="20"/>
        </w:rPr>
        <w:fldChar w:fldCharType="separate"/>
      </w:r>
      <w:r w:rsidR="00CB3233" w:rsidRPr="00CB3233">
        <w:rPr>
          <w:rFonts w:ascii="Times New Roman" w:hAnsi="Times New Roman" w:cs="Times New Roman"/>
          <w:sz w:val="20"/>
        </w:rPr>
        <w:t>[341]</w:t>
      </w:r>
      <w:r>
        <w:rPr>
          <w:rFonts w:ascii="Times New Roman" w:hAnsi="Times New Roman" w:cs="Times New Roman"/>
          <w:sz w:val="20"/>
          <w:szCs w:val="20"/>
        </w:rPr>
        <w:fldChar w:fldCharType="end"/>
      </w:r>
      <w:r>
        <w:rPr>
          <w:rFonts w:ascii="Times New Roman" w:hAnsi="Times New Roman" w:cs="Times New Roman"/>
          <w:sz w:val="20"/>
          <w:szCs w:val="20"/>
        </w:rPr>
        <w:t>.</w:t>
      </w:r>
    </w:p>
    <w:p w14:paraId="0D7B790B" w14:textId="00F25379" w:rsidR="000441B4" w:rsidRDefault="000441B4" w:rsidP="00C0588D">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Finally, research on the recycling of batteries may also important in order to ensure the sustainability of this SESA, and in particular</w:t>
      </w:r>
      <w:r w:rsidR="004C1933">
        <w:rPr>
          <w:rFonts w:ascii="Times New Roman" w:hAnsi="Times New Roman" w:cs="Times New Roman"/>
          <w:sz w:val="20"/>
          <w:szCs w:val="20"/>
        </w:rPr>
        <w:t>,</w:t>
      </w:r>
      <w:r>
        <w:rPr>
          <w:rFonts w:ascii="Times New Roman" w:hAnsi="Times New Roman" w:cs="Times New Roman"/>
          <w:sz w:val="20"/>
          <w:szCs w:val="20"/>
        </w:rPr>
        <w:t xml:space="preserve"> the pressure on the critical raw materials demanded for manufacturing the batteries. </w:t>
      </w:r>
    </w:p>
    <w:p w14:paraId="03E14C89" w14:textId="77777777" w:rsidR="00171DC8" w:rsidRPr="00827C89" w:rsidRDefault="00171DC8" w:rsidP="00171DC8">
      <w:pPr>
        <w:spacing w:after="120" w:line="276" w:lineRule="auto"/>
        <w:jc w:val="thaiDistribute"/>
        <w:rPr>
          <w:rFonts w:ascii="Times New Roman" w:hAnsi="Times New Roman" w:cs="Times New Roman"/>
          <w:i/>
          <w:sz w:val="20"/>
          <w:szCs w:val="20"/>
        </w:rPr>
      </w:pPr>
      <w:r w:rsidRPr="00827C89">
        <w:rPr>
          <w:rFonts w:ascii="Times New Roman" w:hAnsi="Times New Roman" w:cs="Times New Roman"/>
          <w:i/>
          <w:sz w:val="20"/>
          <w:szCs w:val="20"/>
        </w:rPr>
        <w:t>8.4 Further improvement of hydrogen aviation</w:t>
      </w:r>
    </w:p>
    <w:p w14:paraId="7541E5A1" w14:textId="53CDB174" w:rsidR="00171DC8" w:rsidRPr="001069BF" w:rsidRDefault="00171DC8" w:rsidP="00171DC8">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Hydrogen is used</w:t>
      </w:r>
      <w:r w:rsidRPr="001069BF">
        <w:rPr>
          <w:rFonts w:ascii="Times New Roman" w:hAnsi="Times New Roman" w:cs="Times New Roman"/>
          <w:sz w:val="20"/>
          <w:szCs w:val="20"/>
        </w:rPr>
        <w:t xml:space="preserve"> in fuel cells or internal combustion</w:t>
      </w:r>
      <w:r>
        <w:rPr>
          <w:rFonts w:ascii="Times New Roman" w:hAnsi="Times New Roman" w:cs="Times New Roman"/>
          <w:sz w:val="20"/>
          <w:szCs w:val="20"/>
        </w:rPr>
        <w:t xml:space="preserve"> engines. In addition to engine developments</w:t>
      </w:r>
      <w:r w:rsidRPr="001069BF">
        <w:rPr>
          <w:rFonts w:ascii="Times New Roman" w:hAnsi="Times New Roman" w:cs="Times New Roman"/>
          <w:sz w:val="20"/>
          <w:szCs w:val="20"/>
        </w:rPr>
        <w:t xml:space="preserve">, airframe designs are required </w:t>
      </w:r>
      <w:r>
        <w:rPr>
          <w:rFonts w:ascii="Times New Roman" w:hAnsi="Times New Roman" w:cs="Times New Roman"/>
          <w:sz w:val="20"/>
          <w:szCs w:val="20"/>
        </w:rPr>
        <w:t>for</w:t>
      </w:r>
      <w:r w:rsidRPr="001069BF">
        <w:rPr>
          <w:rFonts w:ascii="Times New Roman" w:hAnsi="Times New Roman" w:cs="Times New Roman"/>
          <w:sz w:val="20"/>
          <w:szCs w:val="20"/>
        </w:rPr>
        <w:t xml:space="preserve"> accommodatin</w:t>
      </w:r>
      <w:r>
        <w:rPr>
          <w:rFonts w:ascii="Times New Roman" w:hAnsi="Times New Roman" w:cs="Times New Roman"/>
          <w:sz w:val="20"/>
          <w:szCs w:val="20"/>
        </w:rPr>
        <w:t xml:space="preserve">g cryogenic hydrogen storage, </w:t>
      </w:r>
      <w:r w:rsidRPr="001069BF">
        <w:rPr>
          <w:rFonts w:ascii="Times New Roman" w:hAnsi="Times New Roman" w:cs="Times New Roman"/>
          <w:sz w:val="20"/>
          <w:szCs w:val="20"/>
        </w:rPr>
        <w:t xml:space="preserve">which is beyond the current aircraft capacities. Hydrogen tanks can be placed either inside or outside the fuselage (referred </w:t>
      </w:r>
      <w:r w:rsidR="00E064ED">
        <w:rPr>
          <w:rFonts w:ascii="Times New Roman" w:hAnsi="Times New Roman" w:cs="Times New Roman"/>
          <w:sz w:val="20"/>
          <w:szCs w:val="20"/>
        </w:rPr>
        <w:t xml:space="preserve">to </w:t>
      </w:r>
      <w:r w:rsidRPr="001069BF">
        <w:rPr>
          <w:rFonts w:ascii="Times New Roman" w:hAnsi="Times New Roman" w:cs="Times New Roman"/>
          <w:sz w:val="20"/>
          <w:szCs w:val="20"/>
        </w:rPr>
        <w:t xml:space="preserve">as integral or non-integral, respectively) </w:t>
      </w:r>
      <w:r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imo3chmB","properties":{"formattedCitation":"[242,342]","plainCitation":"[242,342]","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-1","issued":{"date-parts":[["2020"]]},"title":"Opportunities for Hydrogen in Commercial Aviation","type":"article-journal"}},{"id":"968HXJ10/dBiQHrHk","uris":["http://www.mendeley.com/documents/?uuid=ec0a1217-d6c1-4d9c-ba29-5cad62bfdfcb"],"uri":["http://www.mendeley.com/documents/?uuid=ec0a1217-d6c1-4d9c-ba29-5cad62bfdfcb"],"itemData":{"DOI":"10.1016/j.paerosci.2012.12.002","ISSN":"0376-0421","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Sciences","id":"ITEM-2","issued":{"date-parts":[["2013"]]},"page":"45-59","publisher":"Elsevier","title":"Progress in Aerospace Sciences Hydrogen powered aircraft : The future of air transport","type":"article-journal","volume":"60"}}],"schema":"https://github.com/citation-style-language/schema/raw/master/csl-citation.json"} </w:instrText>
      </w:r>
      <w:r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[242,342]</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Drag penalty can be reduced with the integral method </w:t>
      </w:r>
      <w:r w:rsidRPr="001069B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KNsTxNAs","properties":{"formattedCitation":"[242]","plainCitation":"[242]","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ITEM-1","issued":{"date-parts":[["2020"]]},"title":"Opportunities for Hydrogen in Commercial Aviation","type":"article-journal"}}],"schema":"https://github.com/citation-style-language/schema/raw/master/csl-citation.json"} </w:instrText>
      </w:r>
      <w:r w:rsidRPr="001069BF">
        <w:rPr>
          <w:rFonts w:ascii="Times New Roman" w:hAnsi="Times New Roman" w:cs="Times New Roman"/>
          <w:sz w:val="20"/>
          <w:szCs w:val="20"/>
        </w:rPr>
        <w:fldChar w:fldCharType="separate"/>
      </w:r>
      <w:r w:rsidR="002D3B29" w:rsidRPr="002D3B29">
        <w:rPr>
          <w:rFonts w:ascii="Times New Roman" w:hAnsi="Times New Roman" w:cs="Times New Roman"/>
          <w:sz w:val="20"/>
        </w:rPr>
        <w:t>[242]</w:t>
      </w:r>
      <w:r w:rsidRPr="001069BF">
        <w:rPr>
          <w:rFonts w:ascii="Times New Roman" w:hAnsi="Times New Roman" w:cs="Times New Roman"/>
          <w:sz w:val="20"/>
          <w:szCs w:val="20"/>
        </w:rPr>
        <w:fldChar w:fldCharType="end"/>
      </w:r>
      <w:r w:rsidR="00047304">
        <w:rPr>
          <w:rFonts w:ascii="Times New Roman" w:hAnsi="Times New Roman" w:cs="Times New Roman"/>
          <w:sz w:val="20"/>
          <w:szCs w:val="20"/>
        </w:rPr>
        <w:t xml:space="preserve"> (hydrogen storage inside the fuselage), </w:t>
      </w:r>
      <w:r w:rsidRPr="001069BF">
        <w:rPr>
          <w:rFonts w:ascii="Times New Roman" w:hAnsi="Times New Roman" w:cs="Times New Roman"/>
          <w:sz w:val="20"/>
          <w:szCs w:val="20"/>
        </w:rPr>
        <w:t xml:space="preserve">which may have an impact on overhead luggage storage for short-to-medium ranged airplanes </w:t>
      </w:r>
      <w:r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AuXXhObO","properties":{"formattedCitation":"[322]","plainCitation":"[322]","noteIndex":0},"citationItems":[{"id":"968HXJ10/hMZp63Qj","uris":["http://www.mendeley.com/documents/?uuid=fd65b366-55ff-464a-84c5-e6bf6991ef3d"],"uri":["http://www.mendeley.com/documents/?uuid=fd65b366-55ff-464a-84c5-e6bf6991ef3d"],"itemData":{"DOI":"10.13140/2.1.2658.9764","author":[{"dropping-particle":"","family":"Rondinelli","given":"Stephen","non-dropping-particle":"","parse-names":false,"suffix":""},{"dropping-particle":"","family":"Sabatini","given":"Roberto","non-dropping-particle":"","parse-names":false,"suffix":""},{"dropping-particle":"","family":"Gardi","given":"Alessandro","non-dropping-particle":"","parse-names":false,"suffix":""}],"id":"ITEM-1","issue":"November","issued":{"date-parts":[["2014"]]},"title":"Challenges and Benefits offered by Liquid Hydrogen Fuels in Commercial Aviation Aviation","type":"article-journal"}}],"schema":"https://github.com/citation-style-language/schema/raw/master/csl-citation.json"} </w:instrText>
      </w:r>
      <w:r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[322]</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w:t>
      </w:r>
      <w:r>
        <w:rPr>
          <w:rFonts w:ascii="Times New Roman" w:hAnsi="Times New Roman" w:cs="Times New Roman"/>
          <w:sz w:val="20"/>
          <w:szCs w:val="20"/>
        </w:rPr>
        <w:t>Placed</w:t>
      </w:r>
      <w:r w:rsidRPr="001069BF">
        <w:rPr>
          <w:rFonts w:ascii="Times New Roman" w:hAnsi="Times New Roman" w:cs="Times New Roman"/>
          <w:sz w:val="20"/>
          <w:szCs w:val="20"/>
        </w:rPr>
        <w:t xml:space="preserve"> outside the fuselage, the passenger</w:t>
      </w:r>
      <w:r w:rsidR="00E064ED">
        <w:rPr>
          <w:rFonts w:ascii="Times New Roman" w:hAnsi="Times New Roman" w:cs="Times New Roman"/>
          <w:sz w:val="20"/>
          <w:szCs w:val="20"/>
        </w:rPr>
        <w:t>-</w:t>
      </w:r>
      <w:r w:rsidRPr="001069BF">
        <w:rPr>
          <w:rFonts w:ascii="Times New Roman" w:hAnsi="Times New Roman" w:cs="Times New Roman"/>
          <w:sz w:val="20"/>
          <w:szCs w:val="20"/>
        </w:rPr>
        <w:t>carrying capacity remain</w:t>
      </w:r>
      <w:r w:rsidR="00E064ED">
        <w:rPr>
          <w:rFonts w:ascii="Times New Roman" w:hAnsi="Times New Roman" w:cs="Times New Roman"/>
          <w:sz w:val="20"/>
          <w:szCs w:val="20"/>
        </w:rPr>
        <w:t>s</w:t>
      </w:r>
      <w:r w:rsidRPr="001069BF">
        <w:rPr>
          <w:rFonts w:ascii="Times New Roman" w:hAnsi="Times New Roman" w:cs="Times New Roman"/>
          <w:sz w:val="20"/>
          <w:szCs w:val="20"/>
        </w:rPr>
        <w:t xml:space="preserve"> unchanged, however, the drag is likely to be </w:t>
      </w:r>
      <w:r w:rsidR="00047304">
        <w:rPr>
          <w:rFonts w:ascii="Times New Roman" w:hAnsi="Times New Roman" w:cs="Times New Roman"/>
          <w:sz w:val="20"/>
          <w:szCs w:val="20"/>
        </w:rPr>
        <w:t>increased</w:t>
      </w:r>
      <w:r w:rsidRPr="001069BF">
        <w:rPr>
          <w:rFonts w:ascii="Times New Roman" w:hAnsi="Times New Roman" w:cs="Times New Roman"/>
          <w:sz w:val="20"/>
          <w:szCs w:val="20"/>
        </w:rPr>
        <w:t xml:space="preserve">. </w:t>
      </w:r>
    </w:p>
    <w:p w14:paraId="7C1344BA" w14:textId="162C2283" w:rsidR="00171DC8" w:rsidRPr="001069BF" w:rsidRDefault="00171DC8" w:rsidP="00171DC8">
      <w:pPr>
        <w:spacing w:after="120" w:line="276" w:lineRule="auto"/>
        <w:jc w:val="thaiDistribute"/>
        <w:rPr>
          <w:rFonts w:ascii="Times New Roman" w:hAnsi="Times New Roman" w:cs="Times New Roman"/>
          <w:sz w:val="20"/>
          <w:szCs w:val="20"/>
        </w:rPr>
      </w:pPr>
      <w:r w:rsidRPr="001069BF">
        <w:rPr>
          <w:rFonts w:ascii="Times New Roman" w:hAnsi="Times New Roman" w:cs="Times New Roman"/>
          <w:sz w:val="20"/>
          <w:szCs w:val="20"/>
        </w:rPr>
        <w:t xml:space="preserve">Development in new materials (e.g. polymer matrix composites; </w:t>
      </w:r>
      <w:r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nqRqmg0P","properties":{"formattedCitation":"[343]","plainCitation":"[343]","noteIndex":0},"citationItems":[{"id":"968HXJ10/RLoIBryn","uris":["http://www.mendeley.com/documents/?uuid=38b367a9-37fe-4b32-a8bd-f440afda0e33"],"uri":["http://www.mendeley.com/documents/?uuid=38b367a9-37fe-4b32-a8bd-f440afda0e33"],"itemData":{"author":[{"dropping-particle":"","family":"Mital","given":"Subodh K","non-dropping-particle":"","parse-names":false,"suffix":""},{"dropping-particle":"","family":"Gyekenyesi","given":"John Z","non-dropping-particle":"","parse-names":false,"suffix":""},{"dropping-particle":"","family":"Arnold","given":"Steven M","non-dropping-particle":"","parse-names":false,"suffix":""},{"dropping-particle":"","family":"Sullivan","given":"Roy M","non-dropping-particle":"","parse-names":false,"suffix":""},{"dropping-particle":"","family":"Manderscheid","given":"Jane M","non-dropping-particle":"","parse-names":false,"suffix":""},{"dropping-particle":"","family":"Murthy","given":"Pappu L N","non-dropping-particle":"","parse-names":false,"suffix":""}],"container-title":"NASA","id":"ITEM-1","issue":"October","issued":{"date-parts":[["2006"]]},"title":"Review of Current State of the Art and Key Design Issues With Potential Solutions for Liquid Hydrogen Cryogenic Storage Tank Structures for Aircraft Applications October 2006","type":"article-journal"}}],"schema":"https://github.com/citation-style-language/schema/raw/master/csl-citation.json"} </w:instrText>
      </w:r>
      <w:r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[343]</w:t>
      </w:r>
      <w:r w:rsidRPr="001069BF">
        <w:rPr>
          <w:rFonts w:ascii="Times New Roman" w:hAnsi="Times New Roman" w:cs="Times New Roman"/>
          <w:sz w:val="20"/>
          <w:szCs w:val="20"/>
        </w:rPr>
        <w:fldChar w:fldCharType="end"/>
      </w:r>
      <w:r>
        <w:rPr>
          <w:rFonts w:ascii="Times New Roman" w:hAnsi="Times New Roman" w:cs="Times New Roman"/>
          <w:sz w:val="20"/>
          <w:szCs w:val="20"/>
        </w:rPr>
        <w:t>)</w:t>
      </w:r>
      <w:r w:rsidRPr="001069BF">
        <w:rPr>
          <w:rFonts w:ascii="Times New Roman" w:hAnsi="Times New Roman" w:cs="Times New Roman"/>
          <w:sz w:val="20"/>
          <w:szCs w:val="20"/>
        </w:rPr>
        <w:t xml:space="preserve"> for hydrogen </w:t>
      </w:r>
      <w:r>
        <w:rPr>
          <w:rFonts w:ascii="Times New Roman" w:hAnsi="Times New Roman" w:cs="Times New Roman"/>
          <w:sz w:val="20"/>
          <w:szCs w:val="20"/>
        </w:rPr>
        <w:t>tanks</w:t>
      </w:r>
      <w:r w:rsidRPr="001069BF">
        <w:rPr>
          <w:rFonts w:ascii="Times New Roman" w:hAnsi="Times New Roman" w:cs="Times New Roman"/>
          <w:sz w:val="20"/>
          <w:szCs w:val="20"/>
        </w:rPr>
        <w:t xml:space="preserve"> is needed making it as light as possible. </w:t>
      </w:r>
      <w:r>
        <w:rPr>
          <w:rFonts w:ascii="Times New Roman" w:hAnsi="Times New Roman" w:cs="Times New Roman"/>
          <w:sz w:val="20"/>
          <w:szCs w:val="20"/>
        </w:rPr>
        <w:t>With the newly developed materials</w:t>
      </w:r>
      <w:r w:rsidRPr="001069BF">
        <w:rPr>
          <w:rFonts w:ascii="Times New Roman" w:hAnsi="Times New Roman" w:cs="Times New Roman"/>
          <w:sz w:val="20"/>
          <w:szCs w:val="20"/>
        </w:rPr>
        <w:t xml:space="preserve">, the gravimetric energy density </w:t>
      </w:r>
      <w:r>
        <w:rPr>
          <w:rFonts w:ascii="Times New Roman" w:hAnsi="Times New Roman" w:cs="Times New Roman"/>
          <w:sz w:val="20"/>
          <w:szCs w:val="20"/>
        </w:rPr>
        <w:t>is expected to reach 10</w:t>
      </w:r>
      <w:r w:rsidR="00AB7345">
        <w:rPr>
          <w:rFonts w:ascii="Times New Roman" w:hAnsi="Times New Roman" w:cs="Times New Roman"/>
          <w:sz w:val="20"/>
          <w:szCs w:val="20"/>
        </w:rPr>
        <w:t xml:space="preserve"> </w:t>
      </w:r>
      <w:r>
        <w:rPr>
          <w:rFonts w:ascii="Times New Roman" w:hAnsi="Times New Roman" w:cs="Times New Roman"/>
          <w:sz w:val="20"/>
          <w:szCs w:val="20"/>
        </w:rPr>
        <w:t>-</w:t>
      </w:r>
      <w:r w:rsidR="00AB7345">
        <w:rPr>
          <w:rFonts w:ascii="Times New Roman" w:hAnsi="Times New Roman" w:cs="Times New Roman"/>
          <w:sz w:val="20"/>
          <w:szCs w:val="20"/>
        </w:rPr>
        <w:t xml:space="preserve"> </w:t>
      </w:r>
      <w:r>
        <w:rPr>
          <w:rFonts w:ascii="Times New Roman" w:hAnsi="Times New Roman" w:cs="Times New Roman"/>
          <w:sz w:val="20"/>
          <w:szCs w:val="20"/>
        </w:rPr>
        <w:t xml:space="preserve">21 kWh </w:t>
      </w:r>
      <w:r w:rsidRPr="001069BF">
        <w:rPr>
          <w:rFonts w:ascii="Times New Roman" w:hAnsi="Times New Roman" w:cs="Times New Roman"/>
          <w:sz w:val="20"/>
          <w:szCs w:val="20"/>
        </w:rPr>
        <w:t>kg</w:t>
      </w:r>
      <w:r w:rsidRPr="006C4DEF">
        <w:rPr>
          <w:rFonts w:ascii="Times New Roman" w:hAnsi="Times New Roman" w:cs="Times New Roman"/>
          <w:sz w:val="20"/>
          <w:szCs w:val="20"/>
          <w:vertAlign w:val="superscript"/>
        </w:rPr>
        <w:t>-1</w:t>
      </w:r>
      <w:r w:rsidRPr="001069BF">
        <w:rPr>
          <w:rFonts w:ascii="Times New Roman" w:hAnsi="Times New Roman" w:cs="Times New Roman"/>
          <w:sz w:val="20"/>
          <w:szCs w:val="20"/>
        </w:rPr>
        <w:t xml:space="preserve"> of hydrogen storage system </w:t>
      </w:r>
      <w:r w:rsidRPr="001069B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EtbjPWJL","properties":{"formattedCitation":"[204,243]","plainCitation":"[204,243]","noteIndex":0},"citationItems":[{"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alone.","author":[{"dropping-particle":"","family":"McKinsey","given":"","non-dropping-particle":"","parse-names":false,"suffix":""}],"id":"ITEM-1","issue":"May","issued":{"date-parts":[["2020"]]},"number-of-pages":"1-96","title":"Hydrogen-powered aviation A fact-based study of hydrogen technology, economics, and climate impact by 2050","type":"book"}},{"id":"968HXJ10/ThnDpyF8","uris":["http://www.mendeley.com/documents/?uuid=bd870aee-d2ad-4c5e-8072-3f089bca66ee"],"uri":["http://www.mendeley.com/documents/?uuid=bd870aee-d2ad-4c5e-8072-3f089bca66ee"],"itemData":{"author":[{"dropping-particle":"","family":"Roland Berger","given":"","non-dropping-particle":"","parse-names":false,"suffix":""}],"id":"ITEM-2","issued":{"date-parts":[["2020"]]},"title":"A future fuel for aviation?","type":"report"}}],"schema":"https://github.com/citation-style-language/schema/raw/master/csl-citation.json"} </w:instrText>
      </w:r>
      <w:r w:rsidRPr="001069BF">
        <w:rPr>
          <w:rFonts w:ascii="Times New Roman" w:hAnsi="Times New Roman" w:cs="Times New Roman"/>
          <w:sz w:val="20"/>
          <w:szCs w:val="20"/>
        </w:rPr>
        <w:fldChar w:fldCharType="separate"/>
      </w:r>
      <w:r w:rsidR="002D3B29" w:rsidRPr="002D3B29">
        <w:rPr>
          <w:rFonts w:ascii="Times New Roman" w:hAnsi="Times New Roman" w:cs="Times New Roman"/>
          <w:sz w:val="20"/>
        </w:rPr>
        <w:t>[204,243]</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If these values are achieved, </w:t>
      </w:r>
      <w:r>
        <w:rPr>
          <w:rFonts w:ascii="Times New Roman" w:hAnsi="Times New Roman" w:cs="Times New Roman"/>
          <w:sz w:val="20"/>
          <w:szCs w:val="20"/>
        </w:rPr>
        <w:t>the system becomes</w:t>
      </w:r>
      <w:r w:rsidRPr="001069BF">
        <w:rPr>
          <w:rFonts w:ascii="Times New Roman" w:hAnsi="Times New Roman" w:cs="Times New Roman"/>
          <w:sz w:val="20"/>
          <w:szCs w:val="20"/>
        </w:rPr>
        <w:t xml:space="preserve"> highly competitive w</w:t>
      </w:r>
      <w:r>
        <w:rPr>
          <w:rFonts w:ascii="Times New Roman" w:hAnsi="Times New Roman" w:cs="Times New Roman"/>
          <w:sz w:val="20"/>
          <w:szCs w:val="20"/>
        </w:rPr>
        <w:t xml:space="preserve">ith conventional storage systems (ca. 8.9 kWh </w:t>
      </w:r>
      <w:r w:rsidRPr="001069BF">
        <w:rPr>
          <w:rFonts w:ascii="Times New Roman" w:hAnsi="Times New Roman" w:cs="Times New Roman"/>
          <w:sz w:val="20"/>
          <w:szCs w:val="20"/>
        </w:rPr>
        <w:t>kg</w:t>
      </w:r>
      <w:r w:rsidRPr="006C4DEF">
        <w:rPr>
          <w:rFonts w:ascii="Times New Roman" w:hAnsi="Times New Roman" w:cs="Times New Roman"/>
          <w:sz w:val="20"/>
          <w:szCs w:val="20"/>
          <w:vertAlign w:val="superscript"/>
        </w:rPr>
        <w:t>-1</w:t>
      </w:r>
      <w:r>
        <w:rPr>
          <w:rFonts w:ascii="Times New Roman" w:hAnsi="Times New Roman" w:cs="Times New Roman"/>
          <w:sz w:val="20"/>
          <w:szCs w:val="20"/>
        </w:rPr>
        <w:t>)</w:t>
      </w:r>
      <w:r w:rsidRPr="001069BF">
        <w:rPr>
          <w:rFonts w:ascii="Times New Roman" w:hAnsi="Times New Roman" w:cs="Times New Roman"/>
          <w:sz w:val="20"/>
          <w:szCs w:val="20"/>
        </w:rPr>
        <w:t xml:space="preserve"> </w:t>
      </w:r>
      <w:r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csRaAhel","properties":{"formattedCitation":"[344]","plainCitation":"[344]","noteIndex":0},"citationItems":[{"id":"968HXJ10/iVXVpS32","uris":["http://www.mendeley.com/documents/?uuid=e0045662-d387-4d3f-acca-b1e7fb8c9918"],"uri":["http://www.mendeley.com/documents/?uuid=e0045662-d387-4d3f-acca-b1e7fb8c9918"],"itemData":{"DOI":"10.3390/en11010105","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Hanke-rauschenbach","given":"Richard","non-dropping-particle":"","parse-names":false,"suffix":""}],"container-title":"Energies","id":"ITEM-1","issued":{"date-parts":[["2018"]]},"page":"1-23","title":"Modelling and Designing Cryogenic Hydrogen Tanks for Future Aircraft Applications","type":"article-journal"}}],"schema":"https://github.com/citation-style-language/schema/raw/master/csl-citation.json"} </w:instrText>
      </w:r>
      <w:r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[344]</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Additionally, </w:t>
      </w:r>
      <w:r w:rsidR="005C64F8">
        <w:rPr>
          <w:rFonts w:ascii="Times New Roman" w:hAnsi="Times New Roman" w:cs="Times New Roman"/>
          <w:sz w:val="20"/>
          <w:szCs w:val="20"/>
        </w:rPr>
        <w:t>developments to improve the insulation system for cryogenic LH</w:t>
      </w:r>
      <w:r w:rsidR="005C64F8" w:rsidRPr="00EE06B4">
        <w:rPr>
          <w:rFonts w:ascii="Times New Roman" w:hAnsi="Times New Roman" w:cs="Times New Roman"/>
          <w:sz w:val="20"/>
          <w:szCs w:val="20"/>
          <w:vertAlign w:val="subscript"/>
        </w:rPr>
        <w:t>2</w:t>
      </w:r>
      <w:r w:rsidR="005C64F8">
        <w:rPr>
          <w:rFonts w:ascii="Times New Roman" w:hAnsi="Times New Roman" w:cs="Times New Roman"/>
          <w:sz w:val="20"/>
          <w:szCs w:val="20"/>
        </w:rPr>
        <w:t xml:space="preserve"> allowing to minimize boil-off losses (e.g. vaporization) have been demonstrated </w:t>
      </w:r>
      <w:r w:rsidRPr="001069BF">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3ORzmxEb","properties":{"formattedCitation":"[342]","plainCitation":"[342]","noteIndex":0},"citationItems":[{"id":"968HXJ10/dBiQHrHk","uris":["http://www.mendeley.com/documents/?uuid=ec0a1217-d6c1-4d9c-ba29-5cad62bfdfcb"],"uri":["http://www.mendeley.com/documents/?uuid=ec0a1217-d6c1-4d9c-ba29-5cad62bfdfcb"],"itemData":{"DOI":"10.1016/j.paerosci.2012.12.002","ISSN":"0376-0421","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Sciences","id":"ITEM-1","issued":{"date-parts":[["2013"]]},"page":"45-59","publisher":"Elsevier","title":"Progress in Aerospace Sciences Hydrogen powered aircraft : The future of air transport","type":"article-journal","volume":"60"}}],"schema":"https://github.com/citation-style-language/schema/raw/master/csl-citation.json"} </w:instrText>
      </w:r>
      <w:r w:rsidRPr="001069BF">
        <w:rPr>
          <w:rFonts w:ascii="Times New Roman" w:hAnsi="Times New Roman" w:cs="Times New Roman"/>
          <w:sz w:val="20"/>
          <w:szCs w:val="20"/>
        </w:rPr>
        <w:fldChar w:fldCharType="separate"/>
      </w:r>
      <w:r w:rsidR="00CB3233" w:rsidRPr="00CB3233">
        <w:rPr>
          <w:rFonts w:ascii="Times New Roman" w:hAnsi="Times New Roman" w:cs="Times New Roman"/>
          <w:sz w:val="20"/>
        </w:rPr>
        <w:t>[342]</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w:t>
      </w:r>
    </w:p>
    <w:p w14:paraId="0A407B80" w14:textId="4C065ED5" w:rsidR="00171DC8" w:rsidRPr="001069BF" w:rsidRDefault="00EE06B4" w:rsidP="00171DC8">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lastRenderedPageBreak/>
        <w:t>As for battery-electric SESA, developments are needed to optimize t</w:t>
      </w:r>
      <w:r w:rsidR="00171DC8">
        <w:rPr>
          <w:rFonts w:ascii="Times New Roman" w:hAnsi="Times New Roman" w:cs="Times New Roman"/>
          <w:sz w:val="20"/>
          <w:szCs w:val="20"/>
        </w:rPr>
        <w:t>he</w:t>
      </w:r>
      <w:r w:rsidR="00171DC8" w:rsidRPr="001069BF">
        <w:rPr>
          <w:rFonts w:ascii="Times New Roman" w:hAnsi="Times New Roman" w:cs="Times New Roman"/>
          <w:sz w:val="20"/>
          <w:szCs w:val="20"/>
        </w:rPr>
        <w:t xml:space="preserve"> integration of propulsion system</w:t>
      </w:r>
      <w:r w:rsidR="00171DC8">
        <w:rPr>
          <w:rFonts w:ascii="Times New Roman" w:hAnsi="Times New Roman" w:cs="Times New Roman"/>
          <w:sz w:val="20"/>
          <w:szCs w:val="20"/>
        </w:rPr>
        <w:t xml:space="preserve"> and </w:t>
      </w:r>
      <w:r w:rsidR="00171DC8" w:rsidRPr="001069BF">
        <w:rPr>
          <w:rFonts w:ascii="Times New Roman" w:hAnsi="Times New Roman" w:cs="Times New Roman"/>
          <w:sz w:val="20"/>
          <w:szCs w:val="20"/>
        </w:rPr>
        <w:t xml:space="preserve">hydrogen storage system, </w:t>
      </w:r>
      <w:r>
        <w:rPr>
          <w:rFonts w:ascii="Times New Roman" w:hAnsi="Times New Roman" w:cs="Times New Roman"/>
          <w:sz w:val="20"/>
          <w:szCs w:val="20"/>
        </w:rPr>
        <w:t>as well as for certifications and regulations ensuring safety over the overall supply chain.</w:t>
      </w:r>
    </w:p>
    <w:p w14:paraId="66CE8E93" w14:textId="0F13C4C6" w:rsidR="00171DC8" w:rsidRDefault="00171DC8" w:rsidP="00171DC8">
      <w:pPr>
        <w:spacing w:after="120" w:line="276" w:lineRule="auto"/>
        <w:jc w:val="thaiDistribute"/>
        <w:rPr>
          <w:rFonts w:ascii="Times New Roman" w:hAnsi="Times New Roman" w:cs="Times New Roman"/>
          <w:sz w:val="20"/>
          <w:szCs w:val="20"/>
        </w:rPr>
      </w:pPr>
      <w:r w:rsidRPr="001069BF">
        <w:rPr>
          <w:rFonts w:ascii="Times New Roman" w:hAnsi="Times New Roman" w:cs="Times New Roman"/>
          <w:sz w:val="20"/>
          <w:szCs w:val="20"/>
        </w:rPr>
        <w:t xml:space="preserve">The </w:t>
      </w:r>
      <w:r w:rsidR="00EE06B4">
        <w:rPr>
          <w:rFonts w:ascii="Times New Roman" w:hAnsi="Times New Roman" w:cs="Times New Roman"/>
          <w:sz w:val="20"/>
          <w:szCs w:val="20"/>
        </w:rPr>
        <w:t xml:space="preserve">optimal </w:t>
      </w:r>
      <w:r w:rsidRPr="001069BF">
        <w:rPr>
          <w:rFonts w:ascii="Times New Roman" w:hAnsi="Times New Roman" w:cs="Times New Roman"/>
          <w:sz w:val="20"/>
          <w:szCs w:val="20"/>
        </w:rPr>
        <w:t xml:space="preserve">hybridization between </w:t>
      </w:r>
      <w:r w:rsidR="00EE06B4">
        <w:rPr>
          <w:rFonts w:ascii="Times New Roman" w:hAnsi="Times New Roman" w:cs="Times New Roman"/>
          <w:sz w:val="20"/>
          <w:szCs w:val="20"/>
        </w:rPr>
        <w:t>fuel cells and hydrogen combustion engines at the different phases of the flight (i.e. takeoff and climb phase powered by hydrogen turbines; cruise powered by fuel cells) is also being investigated in order to reduce fuel consumption and NO</w:t>
      </w:r>
      <w:r w:rsidR="00EE06B4" w:rsidRPr="00EE06B4">
        <w:rPr>
          <w:rFonts w:ascii="Times New Roman" w:hAnsi="Times New Roman" w:cs="Times New Roman"/>
          <w:sz w:val="20"/>
          <w:szCs w:val="20"/>
          <w:vertAlign w:val="subscript"/>
        </w:rPr>
        <w:t>x</w:t>
      </w:r>
      <w:r w:rsidR="00EE06B4">
        <w:rPr>
          <w:rFonts w:ascii="Times New Roman" w:hAnsi="Times New Roman" w:cs="Times New Roman"/>
          <w:sz w:val="20"/>
          <w:szCs w:val="20"/>
        </w:rPr>
        <w:t xml:space="preserve"> emissions </w:t>
      </w:r>
      <w:r w:rsidRPr="001069BF">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DWk2gRFi","properties":{"formattedCitation":"[243]","plainCitation":"[243]","noteIndex":0},"citationItems":[{"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alone.","author":[{"dropping-particle":"","family":"McKinsey","given":"","non-dropping-particle":"","parse-names":false,"suffix":""}],"id":"ITEM-1","issue":"May","issued":{"date-parts":[["2020"]]},"number-of-pages":"1-96","title":"Hydrogen-powered aviation A fact-based study of hydrogen technology, economics, and climate impact by 2050","type":"book"}}],"schema":"https://github.com/citation-style-language/schema/raw/master/csl-citation.json"} </w:instrText>
      </w:r>
      <w:r w:rsidRPr="001069BF">
        <w:rPr>
          <w:rFonts w:ascii="Times New Roman" w:hAnsi="Times New Roman" w:cs="Times New Roman"/>
          <w:sz w:val="20"/>
          <w:szCs w:val="20"/>
        </w:rPr>
        <w:fldChar w:fldCharType="separate"/>
      </w:r>
      <w:r w:rsidR="002D3B29" w:rsidRPr="002D3B29">
        <w:rPr>
          <w:rFonts w:ascii="Times New Roman" w:hAnsi="Times New Roman" w:cs="Times New Roman"/>
          <w:sz w:val="20"/>
        </w:rPr>
        <w:t>[243]</w:t>
      </w:r>
      <w:r w:rsidRPr="001069BF">
        <w:rPr>
          <w:rFonts w:ascii="Times New Roman" w:hAnsi="Times New Roman" w:cs="Times New Roman"/>
          <w:sz w:val="20"/>
          <w:szCs w:val="20"/>
        </w:rPr>
        <w:fldChar w:fldCharType="end"/>
      </w:r>
      <w:r w:rsidRPr="001069BF">
        <w:rPr>
          <w:rFonts w:ascii="Times New Roman" w:hAnsi="Times New Roman" w:cs="Times New Roman"/>
          <w:sz w:val="20"/>
          <w:szCs w:val="20"/>
        </w:rPr>
        <w:t xml:space="preserve">. </w:t>
      </w:r>
    </w:p>
    <w:p w14:paraId="6E61F765" w14:textId="0449103F" w:rsidR="00C71C36" w:rsidRPr="00171DC8" w:rsidRDefault="00EE06B4" w:rsidP="00171DC8">
      <w:pPr>
        <w:spacing w:after="120" w:line="276" w:lineRule="auto"/>
        <w:jc w:val="thaiDistribute"/>
        <w:rPr>
          <w:rFonts w:ascii="Times New Roman" w:hAnsi="Times New Roman"/>
          <w:sz w:val="20"/>
          <w:szCs w:val="20"/>
        </w:rPr>
      </w:pPr>
      <w:r>
        <w:rPr>
          <w:rFonts w:ascii="Times New Roman" w:hAnsi="Times New Roman" w:cs="Times New Roman"/>
          <w:sz w:val="20"/>
          <w:szCs w:val="20"/>
        </w:rPr>
        <w:t>Similarly, improvements are being performed on</w:t>
      </w:r>
      <w:r w:rsidR="00C71C36">
        <w:rPr>
          <w:rFonts w:ascii="Times New Roman" w:hAnsi="Times New Roman" w:cs="Times New Roman"/>
          <w:sz w:val="20"/>
          <w:szCs w:val="20"/>
        </w:rPr>
        <w:t xml:space="preserve"> hydrogen internal combustion</w:t>
      </w:r>
      <w:r>
        <w:rPr>
          <w:rFonts w:ascii="Times New Roman" w:hAnsi="Times New Roman" w:cs="Times New Roman"/>
          <w:sz w:val="20"/>
          <w:szCs w:val="20"/>
        </w:rPr>
        <w:t xml:space="preserve"> system to reduce </w:t>
      </w:r>
      <w:r w:rsidR="00C71C36">
        <w:rPr>
          <w:rFonts w:ascii="Times New Roman" w:hAnsi="Times New Roman" w:cs="Times New Roman"/>
          <w:sz w:val="20"/>
          <w:szCs w:val="20"/>
        </w:rPr>
        <w:t>NO</w:t>
      </w:r>
      <w:r w:rsidR="00C71C36">
        <w:rPr>
          <w:rFonts w:ascii="Times New Roman" w:hAnsi="Times New Roman" w:cs="Times New Roman"/>
          <w:sz w:val="20"/>
          <w:szCs w:val="20"/>
          <w:vertAlign w:val="subscript"/>
        </w:rPr>
        <w:t>x</w:t>
      </w:r>
      <w:r w:rsidR="00C71C36">
        <w:rPr>
          <w:rFonts w:ascii="Times New Roman" w:hAnsi="Times New Roman" w:cs="Times New Roman"/>
          <w:sz w:val="20"/>
          <w:szCs w:val="20"/>
        </w:rPr>
        <w:t xml:space="preserve"> </w:t>
      </w:r>
      <w:r>
        <w:rPr>
          <w:rFonts w:ascii="Times New Roman" w:hAnsi="Times New Roman" w:cs="Times New Roman"/>
          <w:sz w:val="20"/>
          <w:szCs w:val="20"/>
        </w:rPr>
        <w:t>emission. For instance, t</w:t>
      </w:r>
      <w:r w:rsidR="00C71C36">
        <w:rPr>
          <w:rFonts w:ascii="Times New Roman" w:hAnsi="Times New Roman" w:cs="Times New Roman"/>
          <w:sz w:val="20"/>
          <w:szCs w:val="20"/>
        </w:rPr>
        <w:t xml:space="preserve">echnological and environmental improvements have been obtained with </w:t>
      </w:r>
      <w:r w:rsidR="0009209F">
        <w:rPr>
          <w:rFonts w:ascii="Times New Roman" w:hAnsi="Times New Roman" w:cs="Times New Roman"/>
          <w:sz w:val="20"/>
          <w:szCs w:val="20"/>
        </w:rPr>
        <w:t xml:space="preserve">a </w:t>
      </w:r>
      <w:r w:rsidR="00C71C36">
        <w:rPr>
          <w:rFonts w:ascii="Times New Roman" w:hAnsi="Times New Roman" w:cs="Times New Roman"/>
          <w:sz w:val="20"/>
          <w:szCs w:val="20"/>
        </w:rPr>
        <w:t xml:space="preserve">micro-mix combustor </w:t>
      </w:r>
      <w:r w:rsidR="00C71C36">
        <w:rPr>
          <w:rFonts w:ascii="Times New Roman" w:hAnsi="Times New Roman" w:cs="Times New Roman"/>
          <w:sz w:val="20"/>
          <w:szCs w:val="20"/>
        </w:rPr>
        <w:fldChar w:fldCharType="begin" w:fldLock="1"/>
      </w:r>
      <w:r w:rsidR="00752A1E">
        <w:rPr>
          <w:rFonts w:ascii="Times New Roman" w:hAnsi="Times New Roman" w:cs="Times New Roman"/>
          <w:sz w:val="20"/>
          <w:szCs w:val="20"/>
        </w:rPr>
        <w:instrText xml:space="preserve"> ADDIN ZOTERO_ITEM CSL_CITATION {"citationID":"aWZEvnpW","properties":{"formattedCitation":"[227,243]","plainCitation":"[227,243]","noteIndex":0},"citationItems":[{"id":"968HXJ10/V8AdaA0V","uris":["http://www.mendeley.com/documents/?uuid=c17b5ddf-4a40-4d42-83d6-b528f19d9b63"],"uri":["http://www.mendeley.com/documents/?uuid=c17b5ddf-4a40-4d42-83d6-b528f19d9b63"],"itemData":{"DOI":"10.2843/766989","ISBN":"9789292463410","abstract":"Decarbonization is a major challenge for aviation. The aviation sector emits more than 900 million tons of carbon dioxide (CO2 ) per year. Assuming industry growth of 3 to 4 percent per annum (p.a.) and efficiency improvement of 2 percent p.a., emissions would more than double by 2050. In the same time period, the Air Transport Action Group (ATAG) committed to 50 percent CO2 emission reduction (compared to 2005) and the European Union (EU) set with the Green Deal a target to become carbon neutral. Beyond CO2 , aircraft impact the climate through emissions of nitrogen oxides (NOx ), soot, and water vapor, which create contrails and cirrus clouds. Therefore, the “full” contribution to global warming is significantly higher than just CO2 emissions alone.","author":[{"dropping-particle":"","family":"McKinsey","given":"","non-dropping-particle":"","parse-names":false,"suffix":""}],"id":"ITEM-1","issue":"May","issued":{"date-parts":[["2020"]]},"number-of-pages":"1-96","title":"Hydrogen-powered aviation A fact-based study of hydrogen technology, economics, and climate impact by 2050","type":"book"}},{"id":"968HXJ10/2Gtm9eP3","uris":["http://www.mendeley.com/documents/?uuid=b75b78e6-f313-45d4-a6e4-3221436554b5"],"uri":["http://www.mendeley.com/documents/?uuid=b75b78e6-f313-45d4-a6e4-3221436554b5"],"itemData":{"DOI":"10.1108/AEAT-03-2014-0035","ISSN":"00022667","abstract":"Purpose : With the predicted rise in air traffic, a growing need exists to make the aviation industry more environmentally sustainable in the long-term future. Research has shown that the turbo-electric distributed propulsion system (TeDP) could be the next disruptive technology that has the potential to meet the ambitious environmental goals set for the N + 3 time frame. This however will require the use of superconductivity, application of high-temperature superconducting materials and cryogenic liquids. This paper provides a brief overview of the technology and further discusses the benefits, advantages and new opportunities that may arise from the application of the technology.\nDesign/methodology/approach : This paper provides a brief overview of the technology and further discusses the benefits, advantages and new opportunities that may arise from the application of the technology.\nFindings : Implementation of superconducting technology is currently one of the greater challenges faced and hence this article also reviews some of the key considerations to enable utilisation of cryogenic fuels in the future.\nOriginality/value : This paper provides a viewpoint and reviews some of the work undertaken in the field. It also provides a perspective on some new possibilities and advantages from using TeDP with cryogenic fuels.","author":[{"dropping-particle":"","family":"Nalianda","given":"Devaiah","non-dropping-particle":"","parse-names":false,"suffix":""},{"dropping-particle":"","family":"Singh","given":"Riti","non-dropping-particle":"","parse-names":false,"suffix":""}],"container-title":"Aircraft Engineering and Aerospace Technology","id":"ITEM-2","issue":"6","issued":{"date-parts":[["2014"]]},"page":"543-549","title":"Turbo-Electric distributed propulsion - Opportunities, benefits and challenges","type":"article-journal","volume":"86"}}],"schema":"https://github.com/citation-style-language/schema/raw/master/csl-citation.json"} </w:instrText>
      </w:r>
      <w:r w:rsidR="00C71C36">
        <w:rPr>
          <w:rFonts w:ascii="Times New Roman" w:hAnsi="Times New Roman" w:cs="Times New Roman"/>
          <w:sz w:val="20"/>
          <w:szCs w:val="20"/>
        </w:rPr>
        <w:fldChar w:fldCharType="separate"/>
      </w:r>
      <w:r w:rsidR="002D3B29" w:rsidRPr="002D3B29">
        <w:rPr>
          <w:rFonts w:ascii="Times New Roman" w:hAnsi="Times New Roman" w:cs="Times New Roman"/>
          <w:sz w:val="20"/>
        </w:rPr>
        <w:t>[227,243]</w:t>
      </w:r>
      <w:r w:rsidR="00C71C36">
        <w:rPr>
          <w:rFonts w:ascii="Times New Roman" w:hAnsi="Times New Roman" w:cs="Times New Roman"/>
          <w:sz w:val="20"/>
          <w:szCs w:val="20"/>
        </w:rPr>
        <w:fldChar w:fldCharType="end"/>
      </w:r>
      <w:r w:rsidR="00C71C36">
        <w:rPr>
          <w:rFonts w:ascii="Times New Roman" w:hAnsi="Times New Roman" w:cs="Times New Roman"/>
          <w:sz w:val="20"/>
          <w:szCs w:val="20"/>
        </w:rPr>
        <w:t xml:space="preserve"> or lean direct injection </w:t>
      </w:r>
      <w:r w:rsidR="00C71C36" w:rsidRPr="00936195">
        <w:rPr>
          <w:rFonts w:ascii="Times New Roman" w:hAnsi="Times New Roman" w:cs="Times New Roman"/>
          <w:sz w:val="20"/>
          <w:szCs w:val="20"/>
        </w:rPr>
        <w:fldChar w:fldCharType="begin" w:fldLock="1"/>
      </w:r>
      <w:r w:rsidR="00CB3233">
        <w:rPr>
          <w:rFonts w:ascii="Times New Roman" w:hAnsi="Times New Roman" w:cs="Times New Roman"/>
          <w:sz w:val="20"/>
          <w:szCs w:val="20"/>
        </w:rPr>
        <w:instrText xml:space="preserve"> ADDIN ZOTERO_ITEM CSL_CITATION {"citationID":"DU0ItzV5","properties":{"formattedCitation":"[345]","plainCitation":"[345]","noteIndex":0},"citationItems":[{"id":"968HXJ10/MS4JFLQl","uris":["http://www.mendeley.com/documents/?uuid=3b5967c3-7e3b-4304-846a-ef51738eff41"],"uri":["http://www.mendeley.com/documents/?uuid=3b5967c3-7e3b-4304-846a-ef51738eff41"],"itemData":{"author":[{"dropping-particle":"","family":"Marek","given":"C John","non-dropping-particle":"","parse-names":false,"suffix":""},{"dropping-particle":"","family":"Smith","given":"Timothy D","non-dropping-particle":"","parse-names":false,"suffix":""},{"dropping-particle":"","family":"Kundu","given":"Krishna","non-dropping-particle":"","parse-names":false,"suffix":""}],"id":"ITEM-1","issued":{"date-parts":[["2005"]]},"page":"1-27","title":"Using Lean Direct Injection","type":"article-journal"}}],"schema":"https://github.com/citation-style-language/schema/raw/master/csl-citation.json"} </w:instrText>
      </w:r>
      <w:r w:rsidR="00C71C36" w:rsidRPr="00936195">
        <w:rPr>
          <w:rFonts w:ascii="Times New Roman" w:hAnsi="Times New Roman" w:cs="Times New Roman"/>
          <w:sz w:val="20"/>
          <w:szCs w:val="20"/>
        </w:rPr>
        <w:fldChar w:fldCharType="separate"/>
      </w:r>
      <w:r w:rsidR="00CB3233" w:rsidRPr="00CB3233">
        <w:rPr>
          <w:rFonts w:ascii="Times New Roman" w:hAnsi="Times New Roman" w:cs="Times New Roman"/>
          <w:sz w:val="20"/>
        </w:rPr>
        <w:t>[345]</w:t>
      </w:r>
      <w:r w:rsidR="00C71C36" w:rsidRPr="00936195">
        <w:rPr>
          <w:rFonts w:ascii="Times New Roman" w:hAnsi="Times New Roman" w:cs="Times New Roman"/>
          <w:sz w:val="20"/>
          <w:szCs w:val="20"/>
        </w:rPr>
        <w:fldChar w:fldCharType="end"/>
      </w:r>
      <w:r w:rsidR="00C71C36" w:rsidRPr="00936195">
        <w:rPr>
          <w:rFonts w:ascii="Times New Roman" w:hAnsi="Times New Roman" w:cs="Times New Roman"/>
          <w:sz w:val="20"/>
          <w:szCs w:val="20"/>
        </w:rPr>
        <w:t>.</w:t>
      </w:r>
    </w:p>
    <w:p w14:paraId="1F482EA4" w14:textId="01950923" w:rsidR="00FD6CE3" w:rsidRPr="00C0588D" w:rsidRDefault="00C0588D" w:rsidP="00A213D3">
      <w:pPr>
        <w:spacing w:after="120" w:line="276" w:lineRule="auto"/>
        <w:jc w:val="thaiDistribute"/>
        <w:rPr>
          <w:rFonts w:ascii="Times New Roman" w:hAnsi="Times New Roman" w:cs="Times New Roman"/>
          <w:i/>
          <w:sz w:val="20"/>
          <w:szCs w:val="20"/>
        </w:rPr>
      </w:pPr>
      <w:r w:rsidRPr="00C0588D">
        <w:rPr>
          <w:rFonts w:ascii="Times New Roman" w:hAnsi="Times New Roman" w:cs="Times New Roman"/>
          <w:i/>
          <w:sz w:val="20"/>
          <w:szCs w:val="20"/>
        </w:rPr>
        <w:t>8</w:t>
      </w:r>
      <w:r w:rsidR="001F48F3">
        <w:rPr>
          <w:rFonts w:ascii="Times New Roman" w:hAnsi="Times New Roman" w:cs="Times New Roman"/>
          <w:i/>
          <w:sz w:val="20"/>
          <w:szCs w:val="20"/>
        </w:rPr>
        <w:t xml:space="preserve">.5 </w:t>
      </w:r>
      <w:r w:rsidR="00FD6CE3" w:rsidRPr="00C0588D">
        <w:rPr>
          <w:rFonts w:ascii="Times New Roman" w:hAnsi="Times New Roman" w:cs="Times New Roman"/>
          <w:i/>
          <w:sz w:val="20"/>
          <w:szCs w:val="20"/>
        </w:rPr>
        <w:t>Other innovations</w:t>
      </w:r>
      <w:r w:rsidR="00EE06B4">
        <w:rPr>
          <w:rFonts w:ascii="Times New Roman" w:hAnsi="Times New Roman" w:cs="Times New Roman"/>
          <w:i/>
          <w:sz w:val="20"/>
          <w:szCs w:val="20"/>
        </w:rPr>
        <w:t xml:space="preserve"> towards sustainable aviation</w:t>
      </w:r>
    </w:p>
    <w:p w14:paraId="446DBBBF" w14:textId="0DA1F566" w:rsidR="00FD6CE3" w:rsidRPr="00C0588D" w:rsidRDefault="000233A4" w:rsidP="00A213D3">
      <w:pPr>
        <w:spacing w:after="120" w:line="276" w:lineRule="auto"/>
        <w:jc w:val="thaiDistribute"/>
        <w:rPr>
          <w:rFonts w:ascii="Times New Roman" w:hAnsi="Times New Roman" w:cs="Times New Roman"/>
          <w:sz w:val="20"/>
          <w:szCs w:val="20"/>
        </w:rPr>
      </w:pPr>
      <w:r>
        <w:rPr>
          <w:rFonts w:ascii="Times New Roman" w:hAnsi="Times New Roman" w:cs="Times New Roman"/>
          <w:sz w:val="20"/>
          <w:szCs w:val="20"/>
        </w:rPr>
        <w:t xml:space="preserve">The </w:t>
      </w:r>
      <w:r w:rsidR="004D5A95">
        <w:rPr>
          <w:rFonts w:ascii="Times New Roman" w:hAnsi="Times New Roman" w:cs="Times New Roman"/>
          <w:sz w:val="20"/>
          <w:szCs w:val="20"/>
        </w:rPr>
        <w:t>Taxib</w:t>
      </w:r>
      <w:r>
        <w:rPr>
          <w:rFonts w:ascii="Times New Roman" w:hAnsi="Times New Roman" w:cs="Times New Roman"/>
          <w:sz w:val="20"/>
          <w:szCs w:val="20"/>
        </w:rPr>
        <w:t>ot</w:t>
      </w:r>
      <w:r w:rsidR="007D5CB6">
        <w:rPr>
          <w:rFonts w:ascii="Times New Roman" w:hAnsi="Times New Roman" w:cs="Times New Roman"/>
          <w:sz w:val="20"/>
          <w:szCs w:val="20"/>
        </w:rPr>
        <w:t>, a pilot-controlled towing</w:t>
      </w:r>
      <w:r w:rsidR="00A27039">
        <w:rPr>
          <w:rFonts w:ascii="Times New Roman" w:hAnsi="Times New Roman" w:cs="Times New Roman"/>
          <w:sz w:val="20"/>
          <w:szCs w:val="20"/>
        </w:rPr>
        <w:t xml:space="preserve"> vehicle</w:t>
      </w:r>
      <w:r w:rsidR="007D5CB6">
        <w:rPr>
          <w:rFonts w:ascii="Times New Roman" w:hAnsi="Times New Roman" w:cs="Times New Roman"/>
          <w:sz w:val="20"/>
          <w:szCs w:val="20"/>
        </w:rPr>
        <w:t>,</w:t>
      </w:r>
      <w:r>
        <w:rPr>
          <w:rFonts w:ascii="Times New Roman" w:hAnsi="Times New Roman" w:cs="Times New Roman"/>
          <w:sz w:val="20"/>
          <w:szCs w:val="20"/>
        </w:rPr>
        <w:t xml:space="preserve"> is applied for </w:t>
      </w:r>
      <w:r w:rsidR="00F3244A">
        <w:rPr>
          <w:rFonts w:ascii="Times New Roman" w:hAnsi="Times New Roman" w:cs="Times New Roman"/>
          <w:sz w:val="20"/>
          <w:szCs w:val="20"/>
        </w:rPr>
        <w:t>assi</w:t>
      </w:r>
      <w:r w:rsidR="0009209F">
        <w:rPr>
          <w:rFonts w:ascii="Times New Roman" w:hAnsi="Times New Roman" w:cs="Times New Roman"/>
          <w:sz w:val="20"/>
          <w:szCs w:val="20"/>
        </w:rPr>
        <w:t>s</w:t>
      </w:r>
      <w:r w:rsidR="00F3244A">
        <w:rPr>
          <w:rFonts w:ascii="Times New Roman" w:hAnsi="Times New Roman" w:cs="Times New Roman"/>
          <w:sz w:val="20"/>
          <w:szCs w:val="20"/>
        </w:rPr>
        <w:t>ting taxiing-</w:t>
      </w:r>
      <w:r>
        <w:rPr>
          <w:rFonts w:ascii="Times New Roman" w:hAnsi="Times New Roman" w:cs="Times New Roman"/>
          <w:sz w:val="20"/>
          <w:szCs w:val="20"/>
        </w:rPr>
        <w:t xml:space="preserve">aircraft </w:t>
      </w:r>
      <w:r w:rsidR="000552D6">
        <w:rPr>
          <w:rFonts w:ascii="Times New Roman" w:hAnsi="Times New Roman" w:cs="Times New Roman"/>
          <w:sz w:val="20"/>
          <w:szCs w:val="20"/>
        </w:rPr>
        <w:t>between</w:t>
      </w:r>
      <w:r>
        <w:rPr>
          <w:rFonts w:ascii="Times New Roman" w:hAnsi="Times New Roman" w:cs="Times New Roman"/>
          <w:sz w:val="20"/>
          <w:szCs w:val="20"/>
        </w:rPr>
        <w:t xml:space="preserve"> the </w:t>
      </w:r>
      <w:r w:rsidR="000552D6">
        <w:rPr>
          <w:rFonts w:ascii="Times New Roman" w:hAnsi="Times New Roman" w:cs="Times New Roman"/>
          <w:sz w:val="20"/>
          <w:szCs w:val="20"/>
        </w:rPr>
        <w:t>terminals and</w:t>
      </w:r>
      <w:r w:rsidR="007547AF">
        <w:rPr>
          <w:rFonts w:ascii="Times New Roman" w:hAnsi="Times New Roman" w:cs="Times New Roman"/>
          <w:sz w:val="20"/>
          <w:szCs w:val="20"/>
        </w:rPr>
        <w:t xml:space="preserve"> </w:t>
      </w:r>
      <w:r w:rsidR="001C7DD0">
        <w:rPr>
          <w:rFonts w:ascii="Times New Roman" w:hAnsi="Times New Roman" w:cs="Times New Roman"/>
          <w:sz w:val="20"/>
          <w:szCs w:val="20"/>
        </w:rPr>
        <w:t>the runway</w:t>
      </w:r>
      <w:r w:rsidR="00DC69B1">
        <w:rPr>
          <w:rFonts w:ascii="Times New Roman" w:hAnsi="Times New Roman" w:cs="Times New Roman"/>
          <w:sz w:val="20"/>
          <w:szCs w:val="20"/>
        </w:rPr>
        <w:t xml:space="preserve"> </w:t>
      </w:r>
      <w:r w:rsidR="00E86F81">
        <w:rPr>
          <w:rFonts w:ascii="Times New Roman" w:hAnsi="Times New Roman" w:cs="Times New Roman"/>
          <w:sz w:val="20"/>
          <w:szCs w:val="20"/>
        </w:rPr>
        <w:t xml:space="preserve">and </w:t>
      </w:r>
      <w:r w:rsidR="00DC69B1">
        <w:rPr>
          <w:rFonts w:ascii="Times New Roman" w:hAnsi="Times New Roman" w:cs="Times New Roman"/>
          <w:sz w:val="20"/>
          <w:szCs w:val="20"/>
        </w:rPr>
        <w:t>vice versa</w:t>
      </w:r>
      <w:r>
        <w:rPr>
          <w:rFonts w:ascii="Times New Roman" w:hAnsi="Times New Roman" w:cs="Times New Roman"/>
          <w:sz w:val="20"/>
          <w:szCs w:val="20"/>
        </w:rPr>
        <w:t xml:space="preserve"> </w:t>
      </w:r>
      <w:r w:rsidR="007547AF">
        <w:rPr>
          <w:rFonts w:ascii="Times New Roman" w:hAnsi="Times New Roman" w:cs="Times New Roman"/>
          <w:sz w:val="20"/>
          <w:szCs w:val="20"/>
        </w:rPr>
        <w:t>while the aircraft’s engines are switched off</w:t>
      </w:r>
      <w:r w:rsidR="001C7DD0">
        <w:rPr>
          <w:rFonts w:ascii="Times New Roman" w:hAnsi="Times New Roman" w:cs="Times New Roman"/>
          <w:sz w:val="20"/>
          <w:szCs w:val="20"/>
        </w:rPr>
        <w:t xml:space="preserve"> </w:t>
      </w:r>
      <w:r w:rsidR="007253FD">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SB3vaFbc","properties":{"formattedCitation":"[346,347]","plainCitation":"[346,347]","noteIndex":0},"citationItems":[{"id":8473,"uris":["http://zotero.org/groups/2763812/items/BPHTT94A"],"uri":["http://zotero.org/groups/2763812/items/BPHTT94A"],"itemData":{"id":8473,"type":"book","note":"container-title: Schiphol Group","title":"TaxiBot Semi-Robotic Towing Tractor to Trial at Schiphol Airport","author":[{"literal":"Smart Airport Systems (SAS)"}],"issued":{"date-parts":[["2021"]]}}},{"id":8475,"uris":["http://zotero.org/groups/2763812/items/547CZ3NU"],"uri":["http://zotero.org/groups/2763812/items/547CZ3NU"],"itemData":{"id":8475,"type":"article-journal","container-title":"Airports International","page":"1–4","title":"Airports International: TaxiBot trials first production vehicle","author":[{"literal":"Airport International"}],"issued":{"date-parts":[["2013"]]}}}],"schema":"https://github.com/citation-style-language/schema/raw/master/csl-citation.json"} </w:instrText>
      </w:r>
      <w:r w:rsidR="007253FD">
        <w:rPr>
          <w:rFonts w:ascii="Times New Roman" w:hAnsi="Times New Roman" w:cs="Times New Roman"/>
          <w:sz w:val="20"/>
          <w:szCs w:val="20"/>
        </w:rPr>
        <w:fldChar w:fldCharType="separate"/>
      </w:r>
      <w:r w:rsidR="00CB3233" w:rsidRPr="00CB3233">
        <w:rPr>
          <w:rFonts w:ascii="Times New Roman" w:hAnsi="Times New Roman" w:cs="Times New Roman"/>
          <w:sz w:val="20"/>
        </w:rPr>
        <w:t>[346,347]</w:t>
      </w:r>
      <w:r w:rsidR="007253FD">
        <w:rPr>
          <w:rFonts w:ascii="Times New Roman" w:hAnsi="Times New Roman" w:cs="Times New Roman"/>
          <w:sz w:val="20"/>
          <w:szCs w:val="20"/>
        </w:rPr>
        <w:fldChar w:fldCharType="end"/>
      </w:r>
      <w:r w:rsidR="007253FD">
        <w:rPr>
          <w:rFonts w:ascii="Times New Roman" w:hAnsi="Times New Roman" w:cs="Times New Roman"/>
          <w:sz w:val="20"/>
          <w:szCs w:val="20"/>
        </w:rPr>
        <w:t>.</w:t>
      </w:r>
      <w:r>
        <w:rPr>
          <w:rFonts w:ascii="Times New Roman" w:hAnsi="Times New Roman" w:cs="Times New Roman"/>
          <w:sz w:val="20"/>
          <w:szCs w:val="20"/>
        </w:rPr>
        <w:t xml:space="preserve"> </w:t>
      </w:r>
      <w:r w:rsidR="00A27039">
        <w:rPr>
          <w:rFonts w:ascii="Times New Roman" w:hAnsi="Times New Roman" w:cs="Times New Roman"/>
          <w:sz w:val="20"/>
          <w:szCs w:val="20"/>
        </w:rPr>
        <w:t xml:space="preserve">It is </w:t>
      </w:r>
      <w:r w:rsidR="000B2C58">
        <w:rPr>
          <w:rFonts w:ascii="Times New Roman" w:hAnsi="Times New Roman" w:cs="Times New Roman"/>
          <w:sz w:val="20"/>
          <w:szCs w:val="20"/>
        </w:rPr>
        <w:t>a</w:t>
      </w:r>
      <w:r w:rsidR="00BB2A53">
        <w:rPr>
          <w:rFonts w:ascii="Times New Roman" w:hAnsi="Times New Roman" w:cs="Times New Roman"/>
          <w:sz w:val="20"/>
          <w:szCs w:val="20"/>
        </w:rPr>
        <w:t xml:space="preserve">n emerging </w:t>
      </w:r>
      <w:r w:rsidR="00A15DD6">
        <w:rPr>
          <w:rFonts w:ascii="Times New Roman" w:hAnsi="Times New Roman" w:cs="Times New Roman"/>
          <w:sz w:val="20"/>
          <w:szCs w:val="20"/>
        </w:rPr>
        <w:t xml:space="preserve">pushback </w:t>
      </w:r>
      <w:r w:rsidR="001C7DD0">
        <w:rPr>
          <w:rFonts w:ascii="Times New Roman" w:hAnsi="Times New Roman" w:cs="Times New Roman"/>
          <w:sz w:val="20"/>
          <w:szCs w:val="20"/>
        </w:rPr>
        <w:t>approach</w:t>
      </w:r>
      <w:r w:rsidR="00A27039">
        <w:rPr>
          <w:rFonts w:ascii="Times New Roman" w:hAnsi="Times New Roman" w:cs="Times New Roman"/>
          <w:sz w:val="20"/>
          <w:szCs w:val="20"/>
        </w:rPr>
        <w:t xml:space="preserve"> to </w:t>
      </w:r>
      <w:r w:rsidR="00A27039" w:rsidRPr="007253FD">
        <w:rPr>
          <w:rFonts w:ascii="Times New Roman" w:hAnsi="Times New Roman" w:cs="Times New Roman"/>
          <w:sz w:val="20"/>
          <w:szCs w:val="20"/>
        </w:rPr>
        <w:t>minimize fuel consumption (</w:t>
      </w:r>
      <w:r w:rsidR="00D162EC" w:rsidRPr="007253FD">
        <w:rPr>
          <w:rFonts w:ascii="Times New Roman" w:hAnsi="Times New Roman" w:cs="Times New Roman"/>
          <w:sz w:val="20"/>
          <w:szCs w:val="20"/>
        </w:rPr>
        <w:t xml:space="preserve">by 50 to </w:t>
      </w:r>
      <w:r w:rsidR="00A27039" w:rsidRPr="007253FD">
        <w:rPr>
          <w:rFonts w:ascii="Times New Roman" w:hAnsi="Times New Roman" w:cs="Times New Roman"/>
          <w:sz w:val="20"/>
          <w:szCs w:val="20"/>
        </w:rPr>
        <w:t>85% reduction</w:t>
      </w:r>
      <w:r w:rsidR="000552D6" w:rsidRPr="007253FD">
        <w:rPr>
          <w:rFonts w:ascii="Times New Roman" w:hAnsi="Times New Roman" w:cs="Times New Roman"/>
          <w:sz w:val="20"/>
          <w:szCs w:val="20"/>
        </w:rPr>
        <w:t xml:space="preserve"> while taxiing</w:t>
      </w:r>
      <w:r w:rsidR="00A27039" w:rsidRPr="007253FD">
        <w:rPr>
          <w:rFonts w:ascii="Times New Roman" w:hAnsi="Times New Roman" w:cs="Times New Roman"/>
          <w:sz w:val="20"/>
          <w:szCs w:val="20"/>
        </w:rPr>
        <w:t>) and noise (60% reduction</w:t>
      </w:r>
      <w:r w:rsidR="00343484" w:rsidRPr="007253FD">
        <w:rPr>
          <w:rFonts w:ascii="Times New Roman" w:hAnsi="Times New Roman" w:cs="Times New Roman"/>
          <w:sz w:val="20"/>
          <w:szCs w:val="20"/>
        </w:rPr>
        <w:t xml:space="preserve"> to below 80 dB</w:t>
      </w:r>
      <w:r w:rsidR="00A27039" w:rsidRPr="007253FD">
        <w:rPr>
          <w:rFonts w:ascii="Times New Roman" w:hAnsi="Times New Roman" w:cs="Times New Roman"/>
          <w:sz w:val="20"/>
          <w:szCs w:val="20"/>
        </w:rPr>
        <w:t xml:space="preserve">) </w:t>
      </w:r>
      <w:r w:rsidR="007253FD" w:rsidRPr="007253FD">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hOLIv7fd","properties":{"formattedCitation":"[242,347]","plainCitation":"[242,347]","noteIndex":0},"citationItems":[{"id":"968HXJ10/zmhYQ1Yg","uris":["http://www.mendeley.com/documents/?uuid=871a1f5d-7f16-4582-ae2e-82f2e4ad20e2"],"uri":["http://www.mendeley.com/documents/?uuid=871a1f5d-7f16-4582-ae2e-82f2e4ad20e2"],"itemData":{"abstract":"Trends in commercial aviation The commercial aviation sector is facing the ongoing challenge of reconciling increasingly stringent environmental regulations and emissions commitments with expected growth in passenger demand. In 2009, the International Air Transport Association (IATA) adopted a target of a 50% reduction on 2005 CO2 emissions levels by 2050, with no increase in net emissions after 2020.1 Although the 2050 target is yet to be codified by the UN International Civil Aviation Organization (ICAO), it has been widely adopted by the aviation industry as the primary emissions abatement goal. During this time however, IATA expects global aviation demand to double to 8.2 billion passengers per year by 2037. Industry emissions targets are being complemented by a growing concern among the global community over the environmental impacts of aviation, contributing to the emergence of trends such as ‘flight shaming’ and encouraging airlines to re-assess the consequent impact on their business models. To date, the aviation sector has achieved greater than 2% annual fuel efficiency improvements and is expected to continue to meet established targets of 1-1.5% due to ongoing technological and operational developments. However, when combined with forecast passenger growth, business as usual (BAU) projections show three-fold growth in CO2 emissions by 2050. The observed limitations of efficiency improvements in meeting industry emissions abatement targets has prompted a stronger focus on the adoption of sustainable aviation fuels (SAF). In this context, while there is considerable scope for continued development of biofuels as a ‘drop‑in’ jet fuel, current uptake has been minimal, making up less than 0.1% of jet fuel consumption in 2018.2 This has led to further consideration of alternatives such as ‘clean hydrogen’ and other hydrogen-based fuels.","author":[{"dropping-particle":"","family":"Bruce","given":"Sam","non-dropping-particle":"","parse-names":false,"suffix":""},{"dropping-particle":"","family":"Temminghoff","given":"Max","non-dropping-particle":"","parse-names":false,"suffix":""},{"dropping-particle":"","family":"Hayward","given":"Jenny","non-dropping-particle":"","parse-names":false,"suffix":""},{"dropping-particle":"","family":"Palfreyman","given":"Douglas","non-dropping-particle":"","parse-names":false,"suffix":""},{"dropping-particle":"","family":"Munnings","given":"Christopher","non-dropping-particle":"","parse-names":false,"suffix":""},{"dropping-particle":"","family":"Burke","given":"Nicholas","non-dropping-particle":"","parse-names":false,"suffix":""}],"container-title":"Csiro","id":"rbOxgpZe/j5xPywRy","issued":{"date-parts":[["2020"]]},"title":"Opportunities for Hydrogen in Commercial Aviation","type":"article-journal"}},{"id":8475,"uris":["http://zotero.org/groups/2763812/items/547CZ3NU"],"uri":["http://zotero.org/groups/2763812/items/547CZ3NU"],"itemData":{"id":8475,"type":"article-journal","container-title":"Airports International","page":"1–4","title":"Airports International: TaxiBot trials first production vehicle","author":[{"literal":"Airport International"}],"issued":{"date-parts":[["2013"]]}}}],"schema":"https://github.com/citation-style-language/schema/raw/master/csl-citation.json"} </w:instrText>
      </w:r>
      <w:r w:rsidR="007253FD" w:rsidRPr="007253FD">
        <w:rPr>
          <w:rFonts w:ascii="Times New Roman" w:hAnsi="Times New Roman" w:cs="Times New Roman"/>
          <w:sz w:val="20"/>
          <w:szCs w:val="20"/>
        </w:rPr>
        <w:fldChar w:fldCharType="separate"/>
      </w:r>
      <w:r w:rsidR="00CB3233" w:rsidRPr="00CB3233">
        <w:rPr>
          <w:rFonts w:ascii="Times New Roman" w:hAnsi="Times New Roman" w:cs="Times New Roman"/>
          <w:sz w:val="20"/>
        </w:rPr>
        <w:t>[242,347]</w:t>
      </w:r>
      <w:r w:rsidR="007253FD" w:rsidRPr="007253FD">
        <w:rPr>
          <w:rFonts w:ascii="Times New Roman" w:hAnsi="Times New Roman" w:cs="Times New Roman"/>
          <w:sz w:val="20"/>
          <w:szCs w:val="20"/>
        </w:rPr>
        <w:fldChar w:fldCharType="end"/>
      </w:r>
      <w:r w:rsidR="007253FD" w:rsidRPr="007253FD">
        <w:rPr>
          <w:rFonts w:ascii="Times New Roman" w:hAnsi="Times New Roman" w:cs="Times New Roman"/>
          <w:sz w:val="20"/>
          <w:szCs w:val="20"/>
        </w:rPr>
        <w:t>.</w:t>
      </w:r>
      <w:r w:rsidR="00A15DD6" w:rsidRPr="007253FD">
        <w:rPr>
          <w:rFonts w:ascii="Times New Roman" w:hAnsi="Times New Roman" w:cs="Times New Roman"/>
          <w:sz w:val="20"/>
          <w:szCs w:val="20"/>
        </w:rPr>
        <w:t xml:space="preserve"> </w:t>
      </w:r>
      <w:r w:rsidR="005F6588" w:rsidRPr="007253FD">
        <w:rPr>
          <w:rFonts w:ascii="Times New Roman" w:hAnsi="Times New Roman" w:cs="Times New Roman"/>
          <w:sz w:val="20"/>
          <w:szCs w:val="20"/>
        </w:rPr>
        <w:t>Approximate</w:t>
      </w:r>
      <w:r w:rsidR="00E86F81">
        <w:rPr>
          <w:rFonts w:ascii="Times New Roman" w:hAnsi="Times New Roman" w:cs="Times New Roman"/>
          <w:sz w:val="20"/>
          <w:szCs w:val="20"/>
        </w:rPr>
        <w:t>ly</w:t>
      </w:r>
      <w:r w:rsidR="00913EE7" w:rsidRPr="007253FD">
        <w:rPr>
          <w:rFonts w:ascii="Times New Roman" w:hAnsi="Times New Roman" w:cs="Times New Roman"/>
          <w:sz w:val="20"/>
          <w:szCs w:val="20"/>
        </w:rPr>
        <w:t xml:space="preserve"> 21 million tonnes</w:t>
      </w:r>
      <w:r w:rsidR="005F6588" w:rsidRPr="007253FD">
        <w:rPr>
          <w:rFonts w:ascii="Times New Roman" w:hAnsi="Times New Roman" w:cs="Times New Roman"/>
          <w:sz w:val="20"/>
          <w:szCs w:val="20"/>
        </w:rPr>
        <w:t xml:space="preserve"> </w:t>
      </w:r>
      <w:r w:rsidR="0009209F">
        <w:rPr>
          <w:rFonts w:ascii="Times New Roman" w:hAnsi="Times New Roman" w:cs="Times New Roman"/>
          <w:sz w:val="20"/>
          <w:szCs w:val="20"/>
        </w:rPr>
        <w:t xml:space="preserve">of </w:t>
      </w:r>
      <w:r w:rsidR="00913EE7" w:rsidRPr="007253FD">
        <w:rPr>
          <w:rFonts w:ascii="Times New Roman" w:hAnsi="Times New Roman" w:cs="Times New Roman"/>
          <w:sz w:val="20"/>
          <w:szCs w:val="20"/>
        </w:rPr>
        <w:t>CO</w:t>
      </w:r>
      <w:r w:rsidR="00913EE7" w:rsidRPr="007253FD">
        <w:rPr>
          <w:rFonts w:ascii="Times New Roman" w:hAnsi="Times New Roman" w:cs="Times New Roman"/>
          <w:sz w:val="20"/>
          <w:szCs w:val="20"/>
          <w:vertAlign w:val="subscript"/>
        </w:rPr>
        <w:t>2</w:t>
      </w:r>
      <w:r w:rsidR="00913EE7" w:rsidRPr="007253FD">
        <w:rPr>
          <w:rFonts w:ascii="Times New Roman" w:hAnsi="Times New Roman" w:cs="Times New Roman"/>
          <w:sz w:val="20"/>
          <w:szCs w:val="20"/>
        </w:rPr>
        <w:t xml:space="preserve"> emission of the world’s airliners are estimated to be reduced </w:t>
      </w:r>
      <w:r w:rsidR="00DA76C4" w:rsidRPr="007253FD">
        <w:rPr>
          <w:rFonts w:ascii="Times New Roman" w:hAnsi="Times New Roman" w:cs="Times New Roman"/>
          <w:sz w:val="20"/>
          <w:szCs w:val="20"/>
        </w:rPr>
        <w:t>during the taxi phase of flight</w:t>
      </w:r>
      <w:r w:rsidR="00E86F81">
        <w:rPr>
          <w:rFonts w:ascii="Times New Roman" w:hAnsi="Times New Roman" w:cs="Times New Roman"/>
          <w:sz w:val="20"/>
          <w:szCs w:val="20"/>
        </w:rPr>
        <w:t>s</w:t>
      </w:r>
      <w:r w:rsidR="00DA76C4" w:rsidRPr="007253FD">
        <w:rPr>
          <w:rFonts w:ascii="Times New Roman" w:hAnsi="Times New Roman" w:cs="Times New Roman"/>
          <w:sz w:val="20"/>
          <w:szCs w:val="20"/>
        </w:rPr>
        <w:t xml:space="preserve"> </w:t>
      </w:r>
      <w:r w:rsidR="00913EE7" w:rsidRPr="007253FD">
        <w:rPr>
          <w:rFonts w:ascii="Times New Roman" w:hAnsi="Times New Roman" w:cs="Times New Roman"/>
          <w:sz w:val="20"/>
          <w:szCs w:val="20"/>
        </w:rPr>
        <w:t xml:space="preserve">if the TaxiBot is adopted </w:t>
      </w:r>
      <w:r w:rsidR="007253FD" w:rsidRPr="007253FD">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iHNstp99","properties":{"formattedCitation":"[347]","plainCitation":"[347]","noteIndex":0},"citationItems":[{"id":8475,"uris":["http://zotero.org/groups/2763812/items/547CZ3NU"],"uri":["http://zotero.org/groups/2763812/items/547CZ3NU"],"itemData":{"id":8475,"type":"article-journal","container-title":"Airports International","page":"1–4","title":"Airports International: TaxiBot trials first production vehicle","author":[{"literal":"Airport International"}],"issued":{"date-parts":[["2013"]]}}}],"schema":"https://github.com/citation-style-language/schema/raw/master/csl-citation.json"} </w:instrText>
      </w:r>
      <w:r w:rsidR="007253FD" w:rsidRPr="007253FD">
        <w:rPr>
          <w:rFonts w:ascii="Times New Roman" w:hAnsi="Times New Roman" w:cs="Times New Roman"/>
          <w:sz w:val="20"/>
          <w:szCs w:val="20"/>
        </w:rPr>
        <w:fldChar w:fldCharType="separate"/>
      </w:r>
      <w:r w:rsidR="00CB3233" w:rsidRPr="00CB3233">
        <w:rPr>
          <w:rFonts w:ascii="Times New Roman" w:hAnsi="Times New Roman" w:cs="Times New Roman"/>
          <w:sz w:val="20"/>
        </w:rPr>
        <w:t>[347]</w:t>
      </w:r>
      <w:r w:rsidR="007253FD" w:rsidRPr="007253FD">
        <w:rPr>
          <w:rFonts w:ascii="Times New Roman" w:hAnsi="Times New Roman" w:cs="Times New Roman"/>
          <w:sz w:val="20"/>
          <w:szCs w:val="20"/>
        </w:rPr>
        <w:fldChar w:fldCharType="end"/>
      </w:r>
      <w:r w:rsidR="00913EE7" w:rsidRPr="007253FD">
        <w:rPr>
          <w:rFonts w:ascii="Times New Roman" w:hAnsi="Times New Roman" w:cs="Times New Roman"/>
          <w:sz w:val="20"/>
          <w:szCs w:val="20"/>
        </w:rPr>
        <w:t xml:space="preserve">. </w:t>
      </w:r>
      <w:r w:rsidR="00E52A5E" w:rsidRPr="007253FD">
        <w:rPr>
          <w:rFonts w:ascii="Times New Roman" w:hAnsi="Times New Roman" w:cs="Times New Roman"/>
          <w:sz w:val="20"/>
          <w:szCs w:val="20"/>
        </w:rPr>
        <w:t>The Taxibot is in operation</w:t>
      </w:r>
      <w:r w:rsidR="005F6588" w:rsidRPr="007253FD">
        <w:rPr>
          <w:rFonts w:ascii="Times New Roman" w:hAnsi="Times New Roman" w:cs="Times New Roman"/>
          <w:sz w:val="20"/>
          <w:szCs w:val="20"/>
        </w:rPr>
        <w:t xml:space="preserve"> </w:t>
      </w:r>
      <w:r w:rsidR="00E86F81">
        <w:rPr>
          <w:rFonts w:ascii="Times New Roman" w:hAnsi="Times New Roman" w:cs="Times New Roman"/>
          <w:sz w:val="20"/>
          <w:szCs w:val="20"/>
        </w:rPr>
        <w:t xml:space="preserve">at </w:t>
      </w:r>
      <w:r w:rsidR="00C63FB7" w:rsidRPr="007253FD">
        <w:rPr>
          <w:rFonts w:ascii="Times New Roman" w:hAnsi="Times New Roman" w:cs="Times New Roman"/>
          <w:sz w:val="20"/>
          <w:szCs w:val="20"/>
        </w:rPr>
        <w:t xml:space="preserve">Schiphol </w:t>
      </w:r>
      <w:r w:rsidR="007253FD" w:rsidRPr="007253FD">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d9Sd2PJs","properties":{"formattedCitation":"[346]","plainCitation":"[346]","noteIndex":0},"citationItems":[{"id":8473,"uris":["http://zotero.org/groups/2763812/items/BPHTT94A"],"uri":["http://zotero.org/groups/2763812/items/BPHTT94A"],"itemData":{"id":8473,"type":"book","note":"container-title: Schiphol Group","title":"TaxiBot Semi-Robotic Towing Tractor to Trial at Schiphol Airport","author":[{"literal":"Smart Airport Systems (SAS)"}],"issued":{"date-parts":[["2021"]]}}}],"schema":"https://github.com/citation-style-language/schema/raw/master/csl-citation.json"} </w:instrText>
      </w:r>
      <w:r w:rsidR="007253FD" w:rsidRPr="007253FD">
        <w:rPr>
          <w:rFonts w:ascii="Times New Roman" w:hAnsi="Times New Roman" w:cs="Times New Roman"/>
          <w:sz w:val="20"/>
          <w:szCs w:val="20"/>
        </w:rPr>
        <w:fldChar w:fldCharType="separate"/>
      </w:r>
      <w:r w:rsidR="00CB3233" w:rsidRPr="00CB3233">
        <w:rPr>
          <w:rFonts w:ascii="Times New Roman" w:hAnsi="Times New Roman" w:cs="Times New Roman"/>
          <w:sz w:val="20"/>
        </w:rPr>
        <w:t>[346]</w:t>
      </w:r>
      <w:r w:rsidR="007253FD" w:rsidRPr="007253FD">
        <w:rPr>
          <w:rFonts w:ascii="Times New Roman" w:hAnsi="Times New Roman" w:cs="Times New Roman"/>
          <w:sz w:val="20"/>
          <w:szCs w:val="20"/>
        </w:rPr>
        <w:fldChar w:fldCharType="end"/>
      </w:r>
      <w:r w:rsidR="00C63FB7" w:rsidRPr="007253FD">
        <w:rPr>
          <w:rFonts w:ascii="Times New Roman" w:hAnsi="Times New Roman" w:cs="Times New Roman"/>
          <w:sz w:val="20"/>
          <w:szCs w:val="20"/>
        </w:rPr>
        <w:t xml:space="preserve">, </w:t>
      </w:r>
      <w:r w:rsidR="0002235E" w:rsidRPr="007253FD">
        <w:rPr>
          <w:rFonts w:ascii="Times New Roman" w:hAnsi="Times New Roman" w:cs="Times New Roman"/>
          <w:sz w:val="20"/>
          <w:szCs w:val="20"/>
        </w:rPr>
        <w:t>Delhi and Bangalore</w:t>
      </w:r>
      <w:r w:rsidR="00E86F81">
        <w:rPr>
          <w:rFonts w:ascii="Times New Roman" w:hAnsi="Times New Roman" w:cs="Times New Roman"/>
          <w:sz w:val="20"/>
          <w:szCs w:val="20"/>
        </w:rPr>
        <w:t xml:space="preserve"> airports</w:t>
      </w:r>
      <w:r w:rsidR="0002235E" w:rsidRPr="007253FD">
        <w:rPr>
          <w:rFonts w:ascii="Times New Roman" w:hAnsi="Times New Roman" w:cs="Times New Roman"/>
          <w:sz w:val="20"/>
          <w:szCs w:val="20"/>
        </w:rPr>
        <w:t xml:space="preserve"> </w:t>
      </w:r>
      <w:r w:rsidR="007253FD" w:rsidRPr="007253FD">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SsIOK9NX","properties":{"formattedCitation":"[348]","plainCitation":"[348]","noteIndex":0},"citationItems":[{"id":7216,"uris":["http://zotero.org/groups/2763812/items/FD9XVH94"],"uri":["http://zotero.org/groups/2763812/items/FD9XVH94"],"itemData":{"id":7216,"type":"book","note":"container-title: Times of India","title":"Air India becomes first airline to use 'TaxiBot' on A320 aircraft with passengers onboard - Times of India","URL":"https://timesofindia.indiatimes.com/business/india-business/air-india-becomes-first-airline-to-use-taxibot-on-a320-aircraft-with-passengers-onboard/articleshow/71592913.cms","author":[{"literal":"Times of India"}],"accessed":{"date-parts":[["2021",3,25]]},"issued":{"date-parts":[["2019"]]}}}],"schema":"https://github.com/citation-style-language/schema/raw/master/csl-citation.json"} </w:instrText>
      </w:r>
      <w:r w:rsidR="007253FD" w:rsidRPr="007253FD">
        <w:rPr>
          <w:rFonts w:ascii="Times New Roman" w:hAnsi="Times New Roman" w:cs="Times New Roman"/>
          <w:sz w:val="20"/>
          <w:szCs w:val="20"/>
        </w:rPr>
        <w:fldChar w:fldCharType="separate"/>
      </w:r>
      <w:r w:rsidR="00CB3233" w:rsidRPr="00CB3233">
        <w:rPr>
          <w:rFonts w:ascii="Times New Roman" w:hAnsi="Times New Roman" w:cs="Times New Roman"/>
          <w:sz w:val="20"/>
        </w:rPr>
        <w:t>[348]</w:t>
      </w:r>
      <w:r w:rsidR="007253FD" w:rsidRPr="007253FD">
        <w:rPr>
          <w:rFonts w:ascii="Times New Roman" w:hAnsi="Times New Roman" w:cs="Times New Roman"/>
          <w:sz w:val="20"/>
          <w:szCs w:val="20"/>
        </w:rPr>
        <w:fldChar w:fldCharType="end"/>
      </w:r>
      <w:r w:rsidR="00C63FB7" w:rsidRPr="007253FD">
        <w:rPr>
          <w:rFonts w:ascii="Times New Roman" w:hAnsi="Times New Roman" w:cs="Times New Roman"/>
          <w:sz w:val="20"/>
          <w:szCs w:val="20"/>
        </w:rPr>
        <w:t xml:space="preserve">, </w:t>
      </w:r>
      <w:r w:rsidR="00E86F81">
        <w:rPr>
          <w:rFonts w:ascii="Times New Roman" w:hAnsi="Times New Roman" w:cs="Times New Roman"/>
          <w:sz w:val="20"/>
          <w:szCs w:val="20"/>
        </w:rPr>
        <w:t xml:space="preserve">and serves </w:t>
      </w:r>
      <w:r w:rsidR="00C63FB7" w:rsidRPr="007253FD">
        <w:rPr>
          <w:rFonts w:ascii="Times New Roman" w:hAnsi="Times New Roman" w:cs="Times New Roman"/>
          <w:sz w:val="20"/>
          <w:szCs w:val="20"/>
        </w:rPr>
        <w:t xml:space="preserve">Lufthansa </w:t>
      </w:r>
      <w:r w:rsidR="007253FD" w:rsidRPr="007253FD">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6fQw0gc0","properties":{"formattedCitation":"[349]","plainCitation":"[349]","noteIndex":0},"citationItems":[{"id":7218,"uris":["http://zotero.org/groups/2763812/items/ZB4VLJDC"],"uri":["http://zotero.org/groups/2763812/items/ZB4VLJDC"],"itemData":{"id":7218,"type":"book","title":"TaxiBot Information - Lufthansa LEOS- Pilot controlled dispatch towing - without engines running","URL":"http://www.lufthansa-leos.com/taxibot","author":[{"literal":"Lufthansa LEOS"}],"accessed":{"date-parts":[["2021",3,25]]}}}],"schema":"https://github.com/citation-style-language/schema/raw/master/csl-citation.json"} </w:instrText>
      </w:r>
      <w:r w:rsidR="007253FD" w:rsidRPr="007253FD">
        <w:rPr>
          <w:rFonts w:ascii="Times New Roman" w:hAnsi="Times New Roman" w:cs="Times New Roman"/>
          <w:sz w:val="20"/>
          <w:szCs w:val="20"/>
        </w:rPr>
        <w:fldChar w:fldCharType="separate"/>
      </w:r>
      <w:r w:rsidR="00CB3233" w:rsidRPr="00CB3233">
        <w:rPr>
          <w:rFonts w:ascii="Times New Roman" w:hAnsi="Times New Roman" w:cs="Times New Roman"/>
          <w:sz w:val="20"/>
        </w:rPr>
        <w:t>[349]</w:t>
      </w:r>
      <w:r w:rsidR="007253FD" w:rsidRPr="007253FD">
        <w:rPr>
          <w:rFonts w:ascii="Times New Roman" w:hAnsi="Times New Roman" w:cs="Times New Roman"/>
          <w:sz w:val="20"/>
          <w:szCs w:val="20"/>
        </w:rPr>
        <w:fldChar w:fldCharType="end"/>
      </w:r>
      <w:r w:rsidR="00E86F81">
        <w:rPr>
          <w:rFonts w:ascii="Times New Roman" w:hAnsi="Times New Roman" w:cs="Times New Roman"/>
          <w:sz w:val="20"/>
          <w:szCs w:val="20"/>
        </w:rPr>
        <w:t xml:space="preserve"> and </w:t>
      </w:r>
      <w:r w:rsidR="00C63FB7" w:rsidRPr="007253FD">
        <w:rPr>
          <w:rFonts w:ascii="Times New Roman" w:hAnsi="Times New Roman" w:cs="Times New Roman"/>
          <w:sz w:val="20"/>
          <w:szCs w:val="20"/>
        </w:rPr>
        <w:t>Spice Jet airline</w:t>
      </w:r>
      <w:r w:rsidR="00F25B3D" w:rsidRPr="007253FD">
        <w:rPr>
          <w:rFonts w:ascii="Times New Roman" w:hAnsi="Times New Roman" w:cs="Times New Roman"/>
          <w:sz w:val="20"/>
          <w:szCs w:val="20"/>
        </w:rPr>
        <w:t>r</w:t>
      </w:r>
      <w:r w:rsidR="00E86F81">
        <w:rPr>
          <w:rFonts w:ascii="Times New Roman" w:hAnsi="Times New Roman" w:cs="Times New Roman"/>
          <w:sz w:val="20"/>
          <w:szCs w:val="20"/>
        </w:rPr>
        <w:t>s</w:t>
      </w:r>
      <w:r w:rsidR="00C63FB7" w:rsidRPr="007253FD">
        <w:rPr>
          <w:rFonts w:ascii="Times New Roman" w:hAnsi="Times New Roman" w:cs="Times New Roman"/>
          <w:sz w:val="20"/>
          <w:szCs w:val="20"/>
        </w:rPr>
        <w:t xml:space="preserve"> </w:t>
      </w:r>
      <w:r w:rsidR="007253FD" w:rsidRPr="007253FD">
        <w:rPr>
          <w:rFonts w:ascii="Times New Roman" w:hAnsi="Times New Roman" w:cs="Times New Roman"/>
          <w:sz w:val="20"/>
          <w:szCs w:val="20"/>
        </w:rPr>
        <w:fldChar w:fldCharType="begin"/>
      </w:r>
      <w:r w:rsidR="00CB3233">
        <w:rPr>
          <w:rFonts w:ascii="Times New Roman" w:hAnsi="Times New Roman" w:cs="Times New Roman"/>
          <w:sz w:val="20"/>
          <w:szCs w:val="20"/>
        </w:rPr>
        <w:instrText xml:space="preserve"> ADDIN ZOTERO_ITEM CSL_CITATION {"citationID":"g0aU0boX","properties":{"formattedCitation":"[348]","plainCitation":"[348]","noteIndex":0},"citationItems":[{"id":7216,"uris":["http://zotero.org/groups/2763812/items/FD9XVH94"],"uri":["http://zotero.org/groups/2763812/items/FD9XVH94"],"itemData":{"id":7216,"type":"book","note":"container-title: Times of India","title":"Air India becomes first airline to use 'TaxiBot' on A320 aircraft with passengers onboard - Times of India","URL":"https://timesofindia.indiatimes.com/business/india-business/air-india-becomes-first-airline-to-use-taxibot-on-a320-aircraft-with-passengers-onboard/articleshow/71592913.cms","author":[{"literal":"Times of India"}],"accessed":{"date-parts":[["2021",3,25]]},"issued":{"date-parts":[["2019"]]}}}],"schema":"https://github.com/citation-style-language/schema/raw/master/csl-citation.json"} </w:instrText>
      </w:r>
      <w:r w:rsidR="007253FD" w:rsidRPr="007253FD">
        <w:rPr>
          <w:rFonts w:ascii="Times New Roman" w:hAnsi="Times New Roman" w:cs="Times New Roman"/>
          <w:sz w:val="20"/>
          <w:szCs w:val="20"/>
        </w:rPr>
        <w:fldChar w:fldCharType="separate"/>
      </w:r>
      <w:r w:rsidR="00CB3233" w:rsidRPr="00CB3233">
        <w:rPr>
          <w:rFonts w:ascii="Times New Roman" w:hAnsi="Times New Roman" w:cs="Times New Roman"/>
          <w:sz w:val="20"/>
        </w:rPr>
        <w:t>[348]</w:t>
      </w:r>
      <w:r w:rsidR="007253FD" w:rsidRPr="007253FD">
        <w:rPr>
          <w:rFonts w:ascii="Times New Roman" w:hAnsi="Times New Roman" w:cs="Times New Roman"/>
          <w:sz w:val="20"/>
          <w:szCs w:val="20"/>
        </w:rPr>
        <w:fldChar w:fldCharType="end"/>
      </w:r>
      <w:r w:rsidR="00C63FB7" w:rsidRPr="007253FD">
        <w:rPr>
          <w:rFonts w:ascii="Times New Roman" w:hAnsi="Times New Roman" w:cs="Times New Roman"/>
          <w:sz w:val="20"/>
          <w:szCs w:val="20"/>
        </w:rPr>
        <w:t>.</w:t>
      </w:r>
      <w:r w:rsidR="00C63FB7">
        <w:rPr>
          <w:rFonts w:ascii="Times New Roman" w:hAnsi="Times New Roman" w:cs="Times New Roman"/>
          <w:sz w:val="20"/>
          <w:szCs w:val="20"/>
        </w:rPr>
        <w:t xml:space="preserve"> </w:t>
      </w:r>
    </w:p>
    <w:p w14:paraId="1E8C0A50" w14:textId="77777777" w:rsidR="00DA52B9" w:rsidRPr="00616BF7" w:rsidRDefault="00DA52B9" w:rsidP="00D92744">
      <w:pPr>
        <w:spacing w:after="120" w:line="276" w:lineRule="auto"/>
        <w:jc w:val="thaiDistribute"/>
        <w:rPr>
          <w:rFonts w:ascii="Times New Roman" w:hAnsi="Times New Roman"/>
          <w:sz w:val="20"/>
          <w:szCs w:val="20"/>
        </w:rPr>
      </w:pPr>
      <w:r w:rsidRPr="00DA52B9">
        <w:rPr>
          <w:rFonts w:ascii="Times New Roman" w:hAnsi="Times New Roman"/>
          <w:b/>
          <w:sz w:val="20"/>
          <w:szCs w:val="20"/>
        </w:rPr>
        <w:t>Declaration of competing interest</w:t>
      </w:r>
    </w:p>
    <w:p w14:paraId="7D745D2D" w14:textId="77777777" w:rsidR="00DA52B9" w:rsidRDefault="00DA52B9" w:rsidP="00D92744">
      <w:pPr>
        <w:spacing w:after="120" w:line="276" w:lineRule="auto"/>
        <w:jc w:val="thaiDistribute"/>
        <w:rPr>
          <w:rFonts w:ascii="Times New Roman" w:hAnsi="Times New Roman"/>
          <w:sz w:val="20"/>
          <w:szCs w:val="20"/>
        </w:rPr>
      </w:pPr>
      <w:r>
        <w:rPr>
          <w:rFonts w:ascii="Times New Roman" w:hAnsi="Times New Roman"/>
          <w:sz w:val="20"/>
          <w:szCs w:val="20"/>
        </w:rPr>
        <w:t xml:space="preserve">The authors declare that they have no </w:t>
      </w:r>
      <w:r w:rsidR="009F0453">
        <w:rPr>
          <w:rFonts w:ascii="Times New Roman" w:hAnsi="Times New Roman"/>
          <w:sz w:val="20"/>
          <w:szCs w:val="20"/>
        </w:rPr>
        <w:t>known competing financial interests or personal relationships that could have appeared to influence the work reported in this paper</w:t>
      </w:r>
      <w:r>
        <w:rPr>
          <w:rFonts w:ascii="Times New Roman" w:hAnsi="Times New Roman"/>
          <w:sz w:val="20"/>
          <w:szCs w:val="20"/>
        </w:rPr>
        <w:t xml:space="preserve">. </w:t>
      </w:r>
    </w:p>
    <w:p w14:paraId="74277770" w14:textId="717050EF" w:rsidR="00803A6A" w:rsidRPr="00803A6A" w:rsidRDefault="00803A6A" w:rsidP="00D92744">
      <w:pPr>
        <w:spacing w:after="120" w:line="276" w:lineRule="auto"/>
        <w:jc w:val="thaiDistribute"/>
        <w:rPr>
          <w:rFonts w:ascii="Times New Roman" w:hAnsi="Times New Roman"/>
          <w:b/>
          <w:sz w:val="20"/>
          <w:szCs w:val="20"/>
        </w:rPr>
      </w:pPr>
      <w:r w:rsidRPr="00803A6A">
        <w:rPr>
          <w:rFonts w:ascii="Times New Roman" w:hAnsi="Times New Roman"/>
          <w:b/>
          <w:sz w:val="20"/>
          <w:szCs w:val="20"/>
        </w:rPr>
        <w:t>Acknowledgments</w:t>
      </w:r>
    </w:p>
    <w:p w14:paraId="291DF9B4" w14:textId="77777777" w:rsidR="00803A6A" w:rsidRDefault="00B30393" w:rsidP="00D92744">
      <w:pPr>
        <w:spacing w:after="120" w:line="276" w:lineRule="auto"/>
        <w:jc w:val="thaiDistribute"/>
        <w:rPr>
          <w:rFonts w:ascii="Times New Roman" w:hAnsi="Times New Roman"/>
          <w:sz w:val="20"/>
          <w:szCs w:val="20"/>
        </w:rPr>
      </w:pPr>
      <w:r>
        <w:rPr>
          <w:rFonts w:ascii="Times New Roman" w:hAnsi="Times New Roman"/>
          <w:sz w:val="20"/>
          <w:szCs w:val="20"/>
        </w:rPr>
        <w:t xml:space="preserve">This work was carried out within the framework of the research project Cambioscop </w:t>
      </w:r>
      <w:r w:rsidRPr="00B57A48">
        <w:rPr>
          <w:rFonts w:ascii="Times New Roman" w:hAnsi="Times New Roman"/>
          <w:sz w:val="20"/>
          <w:szCs w:val="20"/>
        </w:rPr>
        <w:t>(</w:t>
      </w:r>
      <w:hyperlink r:id="rId30" w:history="1">
        <w:r w:rsidRPr="00B57A48">
          <w:rPr>
            <w:rStyle w:val="Hyperlink"/>
            <w:rFonts w:ascii="Times New Roman" w:hAnsi="Times New Roman"/>
            <w:color w:val="auto"/>
            <w:sz w:val="20"/>
            <w:szCs w:val="20"/>
            <w:u w:val="none"/>
          </w:rPr>
          <w:t>https://cambioscop.cnrs.fr</w:t>
        </w:r>
      </w:hyperlink>
      <w:r w:rsidRPr="00B57A48">
        <w:rPr>
          <w:rFonts w:ascii="Times New Roman" w:hAnsi="Times New Roman"/>
          <w:sz w:val="20"/>
          <w:szCs w:val="20"/>
        </w:rPr>
        <w:t xml:space="preserve">), </w:t>
      </w:r>
      <w:r>
        <w:rPr>
          <w:rFonts w:ascii="Times New Roman" w:hAnsi="Times New Roman"/>
          <w:sz w:val="20"/>
          <w:szCs w:val="20"/>
        </w:rPr>
        <w:t xml:space="preserve">partly financed by the French National </w:t>
      </w:r>
      <w:r w:rsidR="00C465EB">
        <w:rPr>
          <w:rFonts w:ascii="Times New Roman" w:hAnsi="Times New Roman"/>
          <w:sz w:val="20"/>
          <w:szCs w:val="20"/>
        </w:rPr>
        <w:t xml:space="preserve">Research </w:t>
      </w:r>
      <w:r>
        <w:rPr>
          <w:rFonts w:ascii="Times New Roman" w:hAnsi="Times New Roman"/>
          <w:sz w:val="20"/>
          <w:szCs w:val="20"/>
        </w:rPr>
        <w:t xml:space="preserve">Agency, Programme Investissement d’Avenir (ANR-17-MGPA-0006) and Region Occitanie (18015981). </w:t>
      </w:r>
      <w:r w:rsidR="00AA50B9">
        <w:rPr>
          <w:rFonts w:ascii="Times New Roman" w:hAnsi="Times New Roman"/>
          <w:sz w:val="20"/>
          <w:szCs w:val="20"/>
        </w:rPr>
        <w:t>Pimchanok Su-ungkavatin</w:t>
      </w:r>
      <w:r w:rsidR="00BE627E">
        <w:rPr>
          <w:rFonts w:ascii="Times New Roman" w:hAnsi="Times New Roman"/>
          <w:sz w:val="20"/>
          <w:szCs w:val="20"/>
        </w:rPr>
        <w:t xml:space="preserve"> was additionally funded</w:t>
      </w:r>
      <w:r>
        <w:rPr>
          <w:rFonts w:ascii="Times New Roman" w:hAnsi="Times New Roman"/>
          <w:sz w:val="20"/>
          <w:szCs w:val="20"/>
        </w:rPr>
        <w:t xml:space="preserve"> by the French Ministry for Europe and Foreign Affairs (Doctoral grant). </w:t>
      </w:r>
    </w:p>
    <w:p w14:paraId="7E012529" w14:textId="77777777" w:rsidR="00DA52B9" w:rsidRPr="00DA52B9" w:rsidRDefault="00DA52B9" w:rsidP="00D92744">
      <w:pPr>
        <w:spacing w:after="120" w:line="276" w:lineRule="auto"/>
        <w:jc w:val="thaiDistribute"/>
        <w:rPr>
          <w:rFonts w:ascii="Times New Roman" w:hAnsi="Times New Roman"/>
          <w:b/>
          <w:sz w:val="20"/>
          <w:szCs w:val="20"/>
        </w:rPr>
      </w:pPr>
      <w:r w:rsidRPr="00DA52B9">
        <w:rPr>
          <w:rFonts w:ascii="Times New Roman" w:hAnsi="Times New Roman"/>
          <w:b/>
          <w:sz w:val="20"/>
          <w:szCs w:val="20"/>
        </w:rPr>
        <w:t>Author contributions</w:t>
      </w:r>
    </w:p>
    <w:p w14:paraId="0CFB8DA2" w14:textId="77777777" w:rsidR="00A50F1D" w:rsidRDefault="00A50F1D" w:rsidP="00D92744">
      <w:pPr>
        <w:spacing w:after="120" w:line="276" w:lineRule="auto"/>
        <w:jc w:val="thaiDistribute"/>
        <w:rPr>
          <w:rFonts w:ascii="Times New Roman" w:hAnsi="Times New Roman"/>
          <w:sz w:val="20"/>
          <w:szCs w:val="20"/>
        </w:rPr>
      </w:pPr>
      <w:r w:rsidRPr="00641320">
        <w:rPr>
          <w:rFonts w:ascii="Times New Roman" w:hAnsi="Times New Roman"/>
          <w:b/>
          <w:sz w:val="20"/>
          <w:szCs w:val="20"/>
        </w:rPr>
        <w:t>Pimchanok Su-ungkavatin:</w:t>
      </w:r>
      <w:r w:rsidRPr="00641320">
        <w:rPr>
          <w:rFonts w:ascii="Times New Roman" w:hAnsi="Times New Roman"/>
          <w:sz w:val="20"/>
          <w:szCs w:val="20"/>
        </w:rPr>
        <w:t xml:space="preserve"> </w:t>
      </w:r>
      <w:r w:rsidR="00641320">
        <w:rPr>
          <w:rFonts w:ascii="Times New Roman" w:hAnsi="Times New Roman"/>
          <w:sz w:val="20"/>
          <w:szCs w:val="20"/>
        </w:rPr>
        <w:t>Conceptualization, Visualization, Data curation, Formal analysis, Investigation, Methodology,</w:t>
      </w:r>
      <w:r w:rsidRPr="00D545A0">
        <w:rPr>
          <w:rFonts w:ascii="Times New Roman" w:hAnsi="Times New Roman"/>
          <w:sz w:val="20"/>
          <w:szCs w:val="20"/>
        </w:rPr>
        <w:t xml:space="preserve"> </w:t>
      </w:r>
      <w:r w:rsidR="00641320">
        <w:rPr>
          <w:rFonts w:ascii="Times New Roman" w:hAnsi="Times New Roman"/>
          <w:sz w:val="20"/>
          <w:szCs w:val="20"/>
        </w:rPr>
        <w:t>Original draft preparation, R</w:t>
      </w:r>
      <w:r w:rsidR="004B1EA7">
        <w:rPr>
          <w:rFonts w:ascii="Times New Roman" w:hAnsi="Times New Roman"/>
          <w:sz w:val="20"/>
          <w:szCs w:val="20"/>
        </w:rPr>
        <w:t xml:space="preserve">eview </w:t>
      </w:r>
      <w:r w:rsidR="004B1EA7">
        <w:rPr>
          <w:rFonts w:ascii="Times New Roman" w:hAnsi="Times New Roman" w:cs="Times New Roman"/>
          <w:sz w:val="20"/>
          <w:szCs w:val="20"/>
        </w:rPr>
        <w:t>&amp;</w:t>
      </w:r>
      <w:r w:rsidR="004B1EA7">
        <w:rPr>
          <w:rFonts w:ascii="Times New Roman" w:hAnsi="Times New Roman"/>
          <w:sz w:val="20"/>
          <w:szCs w:val="20"/>
        </w:rPr>
        <w:t xml:space="preserve"> editing</w:t>
      </w:r>
      <w:r w:rsidR="00641320">
        <w:rPr>
          <w:rFonts w:ascii="Times New Roman" w:hAnsi="Times New Roman"/>
          <w:sz w:val="20"/>
          <w:szCs w:val="20"/>
        </w:rPr>
        <w:t xml:space="preserve">. </w:t>
      </w:r>
      <w:r w:rsidRPr="00641320">
        <w:rPr>
          <w:rFonts w:ascii="Times New Roman" w:hAnsi="Times New Roman"/>
          <w:b/>
          <w:sz w:val="20"/>
          <w:szCs w:val="20"/>
        </w:rPr>
        <w:t>Ligia Barna:</w:t>
      </w:r>
      <w:r w:rsidRPr="00D545A0">
        <w:rPr>
          <w:rFonts w:ascii="Times New Roman" w:hAnsi="Times New Roman"/>
          <w:sz w:val="20"/>
          <w:szCs w:val="20"/>
        </w:rPr>
        <w:t xml:space="preserve"> </w:t>
      </w:r>
      <w:r w:rsidR="00641320">
        <w:rPr>
          <w:rFonts w:ascii="Times New Roman" w:hAnsi="Times New Roman"/>
          <w:sz w:val="20"/>
          <w:szCs w:val="20"/>
        </w:rPr>
        <w:t>Supervision,</w:t>
      </w:r>
      <w:r w:rsidR="00510810" w:rsidRPr="00D545A0">
        <w:rPr>
          <w:rFonts w:ascii="Times New Roman" w:hAnsi="Times New Roman"/>
          <w:sz w:val="20"/>
          <w:szCs w:val="20"/>
        </w:rPr>
        <w:t xml:space="preserve"> Writing – review </w:t>
      </w:r>
      <w:r w:rsidR="00510810" w:rsidRPr="00D545A0">
        <w:rPr>
          <w:rFonts w:ascii="Times New Roman" w:hAnsi="Times New Roman" w:cs="Times New Roman"/>
          <w:sz w:val="20"/>
          <w:szCs w:val="20"/>
        </w:rPr>
        <w:t>&amp;</w:t>
      </w:r>
      <w:r w:rsidR="00510810" w:rsidRPr="00D545A0">
        <w:rPr>
          <w:rFonts w:ascii="Times New Roman" w:hAnsi="Times New Roman"/>
          <w:sz w:val="20"/>
          <w:szCs w:val="20"/>
        </w:rPr>
        <w:t xml:space="preserve"> editing</w:t>
      </w:r>
      <w:r w:rsidR="00641320">
        <w:rPr>
          <w:rFonts w:ascii="Times New Roman" w:hAnsi="Times New Roman"/>
          <w:sz w:val="20"/>
          <w:szCs w:val="20"/>
        </w:rPr>
        <w:t xml:space="preserve">. </w:t>
      </w:r>
      <w:r w:rsidRPr="00641320">
        <w:rPr>
          <w:rFonts w:ascii="Times New Roman" w:hAnsi="Times New Roman"/>
          <w:b/>
          <w:sz w:val="20"/>
          <w:szCs w:val="20"/>
        </w:rPr>
        <w:t>Lorie Hamelin:</w:t>
      </w:r>
      <w:r w:rsidRPr="00D545A0">
        <w:rPr>
          <w:rFonts w:ascii="Times New Roman" w:hAnsi="Times New Roman"/>
          <w:sz w:val="20"/>
          <w:szCs w:val="20"/>
        </w:rPr>
        <w:t xml:space="preserve"> </w:t>
      </w:r>
      <w:r w:rsidR="00510FF4" w:rsidRPr="00D545A0">
        <w:rPr>
          <w:rFonts w:ascii="Times New Roman" w:hAnsi="Times New Roman"/>
          <w:sz w:val="20"/>
          <w:szCs w:val="20"/>
        </w:rPr>
        <w:t>Conce</w:t>
      </w:r>
      <w:r w:rsidR="00641320">
        <w:rPr>
          <w:rFonts w:ascii="Times New Roman" w:hAnsi="Times New Roman"/>
          <w:sz w:val="20"/>
          <w:szCs w:val="20"/>
        </w:rPr>
        <w:t>ptualization,</w:t>
      </w:r>
      <w:r w:rsidR="00510FF4">
        <w:rPr>
          <w:rFonts w:ascii="Times New Roman" w:hAnsi="Times New Roman"/>
          <w:sz w:val="20"/>
          <w:szCs w:val="20"/>
        </w:rPr>
        <w:t xml:space="preserve"> </w:t>
      </w:r>
      <w:r w:rsidR="00641320">
        <w:rPr>
          <w:rFonts w:ascii="Times New Roman" w:hAnsi="Times New Roman"/>
          <w:sz w:val="20"/>
          <w:szCs w:val="20"/>
        </w:rPr>
        <w:t>Funding acquisition, Investigation,</w:t>
      </w:r>
      <w:r>
        <w:rPr>
          <w:rFonts w:ascii="Times New Roman" w:hAnsi="Times New Roman"/>
          <w:sz w:val="20"/>
          <w:szCs w:val="20"/>
        </w:rPr>
        <w:t xml:space="preserve"> Res</w:t>
      </w:r>
      <w:r w:rsidR="00641320">
        <w:rPr>
          <w:rFonts w:ascii="Times New Roman" w:hAnsi="Times New Roman"/>
          <w:sz w:val="20"/>
          <w:szCs w:val="20"/>
        </w:rPr>
        <w:t>ources, Supervision, Writing – R</w:t>
      </w:r>
      <w:r>
        <w:rPr>
          <w:rFonts w:ascii="Times New Roman" w:hAnsi="Times New Roman"/>
          <w:sz w:val="20"/>
          <w:szCs w:val="20"/>
        </w:rPr>
        <w:t xml:space="preserve">eview </w:t>
      </w:r>
      <w:r>
        <w:rPr>
          <w:rFonts w:ascii="Times New Roman" w:hAnsi="Times New Roman" w:cs="Times New Roman"/>
          <w:sz w:val="20"/>
          <w:szCs w:val="20"/>
        </w:rPr>
        <w:t>&amp;</w:t>
      </w:r>
      <w:r w:rsidR="00510810">
        <w:rPr>
          <w:rFonts w:ascii="Times New Roman" w:hAnsi="Times New Roman"/>
          <w:sz w:val="20"/>
          <w:szCs w:val="20"/>
        </w:rPr>
        <w:t xml:space="preserve"> editing</w:t>
      </w:r>
      <w:r w:rsidR="00641320">
        <w:rPr>
          <w:rFonts w:ascii="Times New Roman" w:hAnsi="Times New Roman"/>
          <w:sz w:val="20"/>
          <w:szCs w:val="20"/>
        </w:rPr>
        <w:t>.</w:t>
      </w:r>
    </w:p>
    <w:p w14:paraId="29753D85" w14:textId="77777777" w:rsidR="00116BDD" w:rsidRDefault="00116BDD" w:rsidP="00D92744">
      <w:pPr>
        <w:spacing w:after="120" w:line="276" w:lineRule="auto"/>
        <w:jc w:val="thaiDistribute"/>
        <w:rPr>
          <w:rFonts w:ascii="Times New Roman" w:hAnsi="Times New Roman" w:cs="Times New Roman"/>
          <w:b/>
          <w:bCs/>
          <w:sz w:val="20"/>
          <w:szCs w:val="20"/>
        </w:rPr>
      </w:pPr>
      <w:r w:rsidRPr="0082500A">
        <w:rPr>
          <w:rFonts w:ascii="Times New Roman" w:hAnsi="Times New Roman" w:cs="Times New Roman"/>
          <w:b/>
          <w:bCs/>
          <w:sz w:val="20"/>
          <w:szCs w:val="20"/>
        </w:rPr>
        <w:t>References</w:t>
      </w:r>
    </w:p>
    <w:p w14:paraId="44E103F5" w14:textId="77777777" w:rsidR="00CB3233" w:rsidRPr="006D6AF9" w:rsidRDefault="0048714F"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fldChar w:fldCharType="begin" w:fldLock="1"/>
      </w:r>
      <w:r w:rsidR="0051129D" w:rsidRPr="006D6AF9">
        <w:rPr>
          <w:rFonts w:ascii="Times New Roman" w:hAnsi="Times New Roman" w:cs="Times New Roman"/>
          <w:sz w:val="20"/>
          <w:szCs w:val="20"/>
        </w:rPr>
        <w:instrText xml:space="preserve"> ADDIN ZOTERO_BIBL {"uncited":[],"omitted":[],"custom":[]} CSL_BIBLIOGRAPHY </w:instrText>
      </w:r>
      <w:r w:rsidRPr="006D6AF9">
        <w:rPr>
          <w:rFonts w:ascii="Times New Roman" w:hAnsi="Times New Roman" w:cs="Times New Roman"/>
          <w:sz w:val="20"/>
          <w:szCs w:val="20"/>
        </w:rPr>
        <w:fldChar w:fldCharType="separate"/>
      </w:r>
      <w:r w:rsidR="00CB3233" w:rsidRPr="006D6AF9">
        <w:rPr>
          <w:rFonts w:ascii="Times New Roman" w:hAnsi="Times New Roman" w:cs="Times New Roman"/>
          <w:sz w:val="20"/>
          <w:szCs w:val="20"/>
        </w:rPr>
        <w:t>[1]</w:t>
      </w:r>
      <w:r w:rsidR="00CB3233" w:rsidRPr="006D6AF9">
        <w:rPr>
          <w:rFonts w:ascii="Times New Roman" w:hAnsi="Times New Roman" w:cs="Times New Roman"/>
          <w:sz w:val="20"/>
          <w:szCs w:val="20"/>
        </w:rPr>
        <w:tab/>
        <w:t>IATA. Fact Sheet Climate and CORSIA 2018:1–2.</w:t>
      </w:r>
    </w:p>
    <w:p w14:paraId="07619AA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w:t>
      </w:r>
      <w:r w:rsidRPr="006D6AF9">
        <w:rPr>
          <w:rFonts w:ascii="Times New Roman" w:hAnsi="Times New Roman" w:cs="Times New Roman"/>
          <w:sz w:val="20"/>
          <w:szCs w:val="20"/>
        </w:rPr>
        <w:tab/>
        <w:t>ATAG. Aviation and climate change. 2019.</w:t>
      </w:r>
    </w:p>
    <w:p w14:paraId="4676F1E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w:t>
      </w:r>
      <w:r w:rsidRPr="006D6AF9">
        <w:rPr>
          <w:rFonts w:ascii="Times New Roman" w:hAnsi="Times New Roman" w:cs="Times New Roman"/>
          <w:sz w:val="20"/>
          <w:szCs w:val="20"/>
        </w:rPr>
        <w:tab/>
        <w:t>Mengpin G, Johannes F. 4 Charts Explain Greenhouse Gas Emissions by Countries and Sectors | World Resources Institute. World Resources Institute 2020. https://www.wri.org/blog/2020/02/greenhouse-gas-emissions-by-country-sector?utm_source=twitter&amp;utm_medium=worldresources&amp;utm_campaign=socialmedia&amp;utm_term=e93c0580-6270-4921-afb6-07c2f0c40960 (accessed August 25, 2020).</w:t>
      </w:r>
    </w:p>
    <w:p w14:paraId="5C2B00B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w:t>
      </w:r>
      <w:r w:rsidRPr="006D6AF9">
        <w:rPr>
          <w:rFonts w:ascii="Times New Roman" w:hAnsi="Times New Roman" w:cs="Times New Roman"/>
          <w:sz w:val="20"/>
          <w:szCs w:val="20"/>
        </w:rPr>
        <w:tab/>
        <w:t>ATAG. Beginner’s Guide to Sustainable Aviation Fuel. 2017.</w:t>
      </w:r>
    </w:p>
    <w:p w14:paraId="78C71F2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w:t>
      </w:r>
      <w:r w:rsidRPr="006D6AF9">
        <w:rPr>
          <w:rFonts w:ascii="Times New Roman" w:hAnsi="Times New Roman" w:cs="Times New Roman"/>
          <w:sz w:val="20"/>
          <w:szCs w:val="20"/>
        </w:rPr>
        <w:tab/>
        <w:t>AirBus. E-Fan X - Electric flight - Airbus. AirBus 2020. https://www.airbus.com/innovation/future-technology/electric-flight/e-fan-x.html (accessed January 9, 2020).</w:t>
      </w:r>
    </w:p>
    <w:p w14:paraId="0A022D1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w:t>
      </w:r>
      <w:r w:rsidRPr="006D6AF9">
        <w:rPr>
          <w:rFonts w:ascii="Times New Roman" w:hAnsi="Times New Roman" w:cs="Times New Roman"/>
          <w:sz w:val="20"/>
          <w:szCs w:val="20"/>
        </w:rPr>
        <w:tab/>
        <w:t>Lane J. Aviation biofuels: which airlines are doing what, with whom? : Biofuels Digest. Biofuel Digest 2012. https://www.biofuelsdigest.com/bdigest/2012/06/05/aviation-biofuels-which-airlines-are-doing-what-with-whom/ (accessed August 25, 2020).</w:t>
      </w:r>
    </w:p>
    <w:p w14:paraId="1088F88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[7]</w:t>
      </w:r>
      <w:r w:rsidRPr="006D6AF9">
        <w:rPr>
          <w:rFonts w:ascii="Times New Roman" w:hAnsi="Times New Roman" w:cs="Times New Roman"/>
          <w:sz w:val="20"/>
          <w:szCs w:val="20"/>
        </w:rPr>
        <w:tab/>
        <w:t>Loh C. Which US Airlines Are Using Sustainable Aviation Fuel? - Simple Flying. Simple Flying 2020. https://simpleflying.com/us-airlines-sustainable-aviation-fuel/ (accessed August 25, 2020).</w:t>
      </w:r>
    </w:p>
    <w:p w14:paraId="71B2B10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w:t>
      </w:r>
      <w:r w:rsidRPr="006D6AF9">
        <w:rPr>
          <w:rFonts w:ascii="Times New Roman" w:hAnsi="Times New Roman" w:cs="Times New Roman"/>
          <w:sz w:val="20"/>
          <w:szCs w:val="20"/>
        </w:rPr>
        <w:tab/>
        <w:t>ATAG. Aviation 2050 goal and the Paris Agreement 2019:1–3.</w:t>
      </w:r>
    </w:p>
    <w:p w14:paraId="6F3E218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[9]</w:t>
      </w:r>
      <w:r w:rsidRPr="006D6AF9">
        <w:rPr>
          <w:rFonts w:ascii="Times New Roman" w:hAnsi="Times New Roman" w:cs="Times New Roman"/>
          <w:sz w:val="20"/>
          <w:szCs w:val="20"/>
        </w:rPr>
        <w:tab/>
        <w:t>Airbus. Global Market Forecast: Cities, Airports and Aircraft 2019-2038. 2019.</w:t>
      </w:r>
    </w:p>
    <w:p w14:paraId="3D99E72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w:t>
      </w:r>
      <w:r w:rsidRPr="006D6AF9">
        <w:rPr>
          <w:rFonts w:ascii="Times New Roman" w:hAnsi="Times New Roman" w:cs="Times New Roman"/>
          <w:sz w:val="20"/>
          <w:szCs w:val="20"/>
        </w:rPr>
        <w:tab/>
        <w:t>American Petroleum Institute. Kerosene / Jet Fuel. 2010.</w:t>
      </w:r>
    </w:p>
    <w:p w14:paraId="5444ACC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w:t>
      </w:r>
      <w:r w:rsidRPr="006D6AF9">
        <w:rPr>
          <w:rFonts w:ascii="Times New Roman" w:hAnsi="Times New Roman" w:cs="Times New Roman"/>
          <w:sz w:val="20"/>
          <w:szCs w:val="20"/>
        </w:rPr>
        <w:tab/>
        <w:t>IRENA. Biofuels for aviation technology brief. 2017.</w:t>
      </w:r>
    </w:p>
    <w:p w14:paraId="69A5860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w:t>
      </w:r>
      <w:r w:rsidRPr="006D6AF9">
        <w:rPr>
          <w:rFonts w:ascii="Times New Roman" w:hAnsi="Times New Roman" w:cs="Times New Roman"/>
          <w:sz w:val="20"/>
          <w:szCs w:val="20"/>
        </w:rPr>
        <w:tab/>
        <w:t>Defence M of. Defence Standard 91-091 Turbine Fuel , Kerosene Type , Jet A- 1 ; NATO Code : F-35 ; Joint Service Designation : AVTUR 2019.</w:t>
      </w:r>
    </w:p>
    <w:p w14:paraId="0E132FF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w:t>
      </w:r>
      <w:r w:rsidRPr="006D6AF9">
        <w:rPr>
          <w:rFonts w:ascii="Times New Roman" w:hAnsi="Times New Roman" w:cs="Times New Roman"/>
          <w:sz w:val="20"/>
          <w:szCs w:val="20"/>
        </w:rPr>
        <w:tab/>
        <w:t>Chen JT, Abdullah LC, Tahir PMd. Biomass valorization for better aviation environmental impact through biocomposites and aviation biofuel. Structural Health Monitoring of Biocomposites, Fibre-Reinforced Composites and Hybrid Composites, 2019, p. 19–31. https://doi.org/10.1016/b978-0-08-102291-7.00002-2.</w:t>
      </w:r>
    </w:p>
    <w:p w14:paraId="1124729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w:t>
      </w:r>
      <w:r w:rsidRPr="006D6AF9">
        <w:rPr>
          <w:rFonts w:ascii="Times New Roman" w:hAnsi="Times New Roman" w:cs="Times New Roman"/>
          <w:sz w:val="20"/>
          <w:szCs w:val="20"/>
        </w:rPr>
        <w:tab/>
        <w:t>Baena-Zambrana S, Repetto SL, Lawson CP, Lam JK-W. Behaviour of water in jet fuel - A literature review. Progress in Aerospace Sciences 2013;60:35–44.</w:t>
      </w:r>
    </w:p>
    <w:p w14:paraId="3E4C225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[15]</w:t>
      </w:r>
      <w:r w:rsidRPr="006D6AF9">
        <w:rPr>
          <w:rFonts w:ascii="Times New Roman" w:hAnsi="Times New Roman" w:cs="Times New Roman"/>
          <w:sz w:val="20"/>
          <w:szCs w:val="20"/>
        </w:rPr>
        <w:tab/>
        <w:t>Wei H, Liu W, Chen X, Yang Q, Li J, Chen H. Renewable bio-jet fuel production for aviation: A review. Fuel 2019;254. https://doi.org/10.1016/j.fuel.2019.06.007.</w:t>
      </w:r>
    </w:p>
    <w:p w14:paraId="09CDE1D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w:t>
      </w:r>
      <w:r w:rsidRPr="006D6AF9">
        <w:rPr>
          <w:rFonts w:ascii="Times New Roman" w:hAnsi="Times New Roman" w:cs="Times New Roman"/>
          <w:sz w:val="20"/>
          <w:szCs w:val="20"/>
        </w:rPr>
        <w:tab/>
        <w:t>Buttler A, Spliethoff H. Current status of water electrolysis for energy storage, grid balancing and sector coupling via power-to-gas and power-to-liquids: A review. Renewable and Sustainable Energy Reviews 2018;82:2440–54. https://doi.org/10.1016/j.rser.2017.09.003.</w:t>
      </w:r>
    </w:p>
    <w:p w14:paraId="3A5C8E4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w:t>
      </w:r>
      <w:r w:rsidRPr="006D6AF9">
        <w:rPr>
          <w:rFonts w:ascii="Times New Roman" w:hAnsi="Times New Roman" w:cs="Times New Roman"/>
          <w:sz w:val="20"/>
          <w:szCs w:val="20"/>
        </w:rPr>
        <w:tab/>
        <w:t>Furler P, Marxer D, Scheffe J, Reinalda D, Geerlings H, Falter C, et al. Solar kerosene from H2O and CO2. AIP Conference Proceedings 2017;1850. https://doi.org/10.1063/1.4984463.</w:t>
      </w:r>
    </w:p>
    <w:p w14:paraId="0BCA151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w:t>
      </w:r>
      <w:r w:rsidRPr="006D6AF9">
        <w:rPr>
          <w:rFonts w:ascii="Times New Roman" w:hAnsi="Times New Roman" w:cs="Times New Roman"/>
          <w:sz w:val="20"/>
          <w:szCs w:val="20"/>
        </w:rPr>
        <w:tab/>
        <w:t>Ghiasian M. Biophotolysis-Based Hydrogen Production by Cyanobacteria. Springer International Publishing; 2019. https://doi.org/10.1007/978-3-030-14463-0_5.</w:t>
      </w:r>
    </w:p>
    <w:p w14:paraId="629856D7" w14:textId="77777777" w:rsidR="00CB3233" w:rsidRPr="006D6AF9" w:rsidRDefault="00CB3233" w:rsidP="00CB3233">
      <w:pPr>
        <w:pStyle w:val="Bibliography"/>
        <w:rPr>
          <w:rFonts w:ascii="Times New Roman" w:hAnsi="Times New Roman" w:cs="Times New Roman"/>
          <w:sz w:val="20"/>
          <w:szCs w:val="20"/>
          <w:lang w:val="fr-FR"/>
        </w:rPr>
      </w:pPr>
      <w:r w:rsidRPr="006D6AF9">
        <w:rPr>
          <w:rFonts w:ascii="Times New Roman" w:hAnsi="Times New Roman" w:cs="Times New Roman"/>
          <w:sz w:val="20"/>
          <w:szCs w:val="20"/>
        </w:rPr>
        <w:t>[19]</w:t>
      </w:r>
      <w:r w:rsidRPr="006D6AF9">
        <w:rPr>
          <w:rFonts w:ascii="Times New Roman" w:hAnsi="Times New Roman" w:cs="Times New Roman"/>
          <w:sz w:val="20"/>
          <w:szCs w:val="20"/>
        </w:rPr>
        <w:tab/>
        <w:t xml:space="preserve">Keith DW, Holmes G, St. Angelo D, Heidel K. A Process for Capturing CO2 from the Atmosphere. </w:t>
      </w:r>
      <w:r w:rsidRPr="006D6AF9">
        <w:rPr>
          <w:rFonts w:ascii="Times New Roman" w:hAnsi="Times New Roman" w:cs="Times New Roman"/>
          <w:sz w:val="20"/>
          <w:szCs w:val="20"/>
          <w:lang w:val="fr-FR"/>
        </w:rPr>
        <w:t>Joule 2018:1–22. https://doi.org/10.1016/j.joule.2018.05.006.</w:t>
      </w:r>
    </w:p>
    <w:p w14:paraId="0948727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lang w:val="fr-FR"/>
        </w:rPr>
        <w:t>[20]</w:t>
      </w:r>
      <w:r w:rsidRPr="006D6AF9">
        <w:rPr>
          <w:rFonts w:ascii="Times New Roman" w:hAnsi="Times New Roman" w:cs="Times New Roman"/>
          <w:sz w:val="20"/>
          <w:szCs w:val="20"/>
          <w:lang w:val="fr-FR"/>
        </w:rPr>
        <w:tab/>
        <w:t xml:space="preserve">Realmonte G, Drouet L, Gambhir A, Glynn J, Hawkes A, Köberle AC, et al. </w:t>
      </w:r>
      <w:r w:rsidRPr="006D6AF9">
        <w:rPr>
          <w:rFonts w:ascii="Times New Roman" w:hAnsi="Times New Roman" w:cs="Times New Roman"/>
          <w:sz w:val="20"/>
          <w:szCs w:val="20"/>
        </w:rPr>
        <w:t>An inter-model assessment of the role of direct air capture in deep mitigation pathways. Nature Communications 2019;10:1–12. https://doi.org/10.1038/s41467-019-10842-5.</w:t>
      </w:r>
    </w:p>
    <w:p w14:paraId="3B5CECF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w:t>
      </w:r>
      <w:r w:rsidRPr="006D6AF9">
        <w:rPr>
          <w:rFonts w:ascii="Times New Roman" w:hAnsi="Times New Roman" w:cs="Times New Roman"/>
          <w:sz w:val="20"/>
          <w:szCs w:val="20"/>
        </w:rPr>
        <w:tab/>
        <w:t>Sunfire. Breakthrough for power-to-x: Sunfire puts first co-electrolysis into operation and starts scaling. Sunfire GmbH Press Release 2019:1–3.</w:t>
      </w:r>
    </w:p>
    <w:p w14:paraId="76FBAB7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w:t>
      </w:r>
      <w:r w:rsidRPr="006D6AF9">
        <w:rPr>
          <w:rFonts w:ascii="Times New Roman" w:hAnsi="Times New Roman" w:cs="Times New Roman"/>
          <w:sz w:val="20"/>
          <w:szCs w:val="20"/>
        </w:rPr>
        <w:tab/>
        <w:t>Padurean A, Cormos CC, Agachi PS. Pre-combustion carbon dioxide capture by gas-liquid absorption for Integrated Gasification Combined Cycle power plants. International Journal of Greenhouse Gas Control 2012;7:1–11. https://doi.org/10.1016/j.ijggc.2011.12.007.</w:t>
      </w:r>
    </w:p>
    <w:p w14:paraId="2FEE48C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w:t>
      </w:r>
      <w:r w:rsidRPr="006D6AF9">
        <w:rPr>
          <w:rFonts w:ascii="Times New Roman" w:hAnsi="Times New Roman" w:cs="Times New Roman"/>
          <w:sz w:val="20"/>
          <w:szCs w:val="20"/>
        </w:rPr>
        <w:tab/>
        <w:t>Stec M, Tatarczuk A, Więcław-Solny L, Krótki A, ͆ciązko M, Tokarski S. Pilot plant results for advanced CO&lt;inf&gt;2&lt;/inf&gt; capture process using amine scrubbing at the Jaworzno II Power Plant in Poland. Fuel 2015;151:50–6. https://doi.org/10.1016/j.fuel.2015.01.014.</w:t>
      </w:r>
    </w:p>
    <w:p w14:paraId="636BC67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w:t>
      </w:r>
      <w:r w:rsidRPr="006D6AF9">
        <w:rPr>
          <w:rFonts w:ascii="Times New Roman" w:hAnsi="Times New Roman" w:cs="Times New Roman"/>
          <w:sz w:val="20"/>
          <w:szCs w:val="20"/>
        </w:rPr>
        <w:tab/>
        <w:t>Hornberger M, Spörl R, Scheffknecht G. Calcium Looping for CO2 Capture in Cement Plants - Pilot Scale Test. Energy Procedia 2017;114:6171–4. https://doi.org/10.1016/j.egypro.2017.03.1754.</w:t>
      </w:r>
    </w:p>
    <w:p w14:paraId="38A90BC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w:t>
      </w:r>
      <w:r w:rsidRPr="006D6AF9">
        <w:rPr>
          <w:rFonts w:ascii="Times New Roman" w:hAnsi="Times New Roman" w:cs="Times New Roman"/>
          <w:sz w:val="20"/>
          <w:szCs w:val="20"/>
        </w:rPr>
        <w:tab/>
        <w:t>Andika R, Nandiyanto ABD, Putra ZA, Bilad MR, Kim Y, Yun CM, et al. Co-electrolysis for power-to-methanol applications. Renewable and Sustainable Energy Reviews 2018;95:227–41. https://doi.org/10.1016/j.rser.2018.07.030.</w:t>
      </w:r>
    </w:p>
    <w:p w14:paraId="4835E7F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[26]</w:t>
      </w:r>
      <w:r w:rsidRPr="006D6AF9">
        <w:rPr>
          <w:rFonts w:ascii="Times New Roman" w:hAnsi="Times New Roman" w:cs="Times New Roman"/>
          <w:sz w:val="20"/>
          <w:szCs w:val="20"/>
        </w:rPr>
        <w:tab/>
        <w:t>Schmidt P, Weindorf W. Power-to-Liquids: Potentials and Perspectives for the Future Supply of Renewable Aviation Fuel. Dessau-Roßlau 2016:1–36.</w:t>
      </w:r>
    </w:p>
    <w:p w14:paraId="5711200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w:t>
      </w:r>
      <w:r w:rsidRPr="006D6AF9">
        <w:rPr>
          <w:rFonts w:ascii="Times New Roman" w:hAnsi="Times New Roman" w:cs="Times New Roman"/>
          <w:sz w:val="20"/>
          <w:szCs w:val="20"/>
        </w:rPr>
        <w:tab/>
        <w:t>Misra A. Energy Conversion and Storage Requirements for Hybrid Electric Aircraft. 40th International Conference and Expo on Advanced  Ceramics and Composites 2016.</w:t>
      </w:r>
    </w:p>
    <w:p w14:paraId="4705E3C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w:t>
      </w:r>
      <w:r w:rsidRPr="006D6AF9">
        <w:rPr>
          <w:rFonts w:ascii="Times New Roman" w:hAnsi="Times New Roman" w:cs="Times New Roman"/>
          <w:sz w:val="20"/>
          <w:szCs w:val="20"/>
        </w:rPr>
        <w:tab/>
        <w:t>Hoelzen J, Liu Y, Bensmann B, Winnefeld C, Elham A, Friedrichs J, et al. Conceptual design of operation strategies for hybrid electric aircraft. Energies 2018;11:1–26. https://doi.org/10.3390/en11010217.</w:t>
      </w:r>
    </w:p>
    <w:p w14:paraId="480087E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[29]</w:t>
      </w:r>
      <w:r w:rsidRPr="006D6AF9">
        <w:rPr>
          <w:rFonts w:ascii="Times New Roman" w:hAnsi="Times New Roman" w:cs="Times New Roman"/>
          <w:sz w:val="20"/>
          <w:szCs w:val="20"/>
        </w:rPr>
        <w:tab/>
        <w:t>Baroutaji A, Wilberforce T, Ramadan M, Olabi AG. Comprehensive investigation on hydrogen and fuel cell technology in the aviation and aerospace sectors. Renewable and Sustainable Energy Reviews 2019;106:31–40. https://doi.org/10.1016/j.rser.2019.02.022.</w:t>
      </w:r>
    </w:p>
    <w:p w14:paraId="576AD31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w:t>
      </w:r>
      <w:r w:rsidRPr="006D6AF9">
        <w:rPr>
          <w:rFonts w:ascii="Times New Roman" w:hAnsi="Times New Roman" w:cs="Times New Roman"/>
          <w:sz w:val="20"/>
          <w:szCs w:val="20"/>
        </w:rPr>
        <w:tab/>
        <w:t>Bruce S, Temminghoff M, Hayward J, Palfreyman D, Munnings C, Burke N. Opportunities for Hydrogen in Commercial Aviation. CSIRO 2020.</w:t>
      </w:r>
    </w:p>
    <w:p w14:paraId="3830938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w:t>
      </w:r>
      <w:r w:rsidRPr="006D6AF9">
        <w:rPr>
          <w:rFonts w:ascii="Times New Roman" w:hAnsi="Times New Roman" w:cs="Times New Roman"/>
          <w:sz w:val="20"/>
          <w:szCs w:val="20"/>
        </w:rPr>
        <w:tab/>
        <w:t>ByeAerospace. Silent Falcon Solar Electric UAV - Bye Aerospace. Bye Aerospace 2020. https://byeaerospace.com/silent-falcon/ (accessed January 12, 2020).</w:t>
      </w:r>
    </w:p>
    <w:p w14:paraId="3A97DBF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w:t>
      </w:r>
      <w:r w:rsidRPr="006D6AF9">
        <w:rPr>
          <w:rFonts w:ascii="Times New Roman" w:hAnsi="Times New Roman" w:cs="Times New Roman"/>
          <w:sz w:val="20"/>
          <w:szCs w:val="20"/>
        </w:rPr>
        <w:tab/>
        <w:t>Chiaramonti D. Sustainable aviation fuels: The challenge of decarbonization. Energy Procedia, vol. 158, 2019, p. 1202–7. https://doi.org/10.1016/j.egypro.2019.01.308.</w:t>
      </w:r>
    </w:p>
    <w:p w14:paraId="6EDF32C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w:t>
      </w:r>
      <w:r w:rsidRPr="006D6AF9">
        <w:rPr>
          <w:rFonts w:ascii="Times New Roman" w:hAnsi="Times New Roman" w:cs="Times New Roman"/>
          <w:sz w:val="20"/>
          <w:szCs w:val="20"/>
        </w:rPr>
        <w:tab/>
        <w:t>Gutiérrez-Antonio C, Gómez-Castro FI, de Lira-Flores JA, Hernández S. A review on the production processes of renewable jet fuel. Renewable and Sustainable Energy Reviews 2017;79:709–29. https://doi.org/10.1016/j.rser.2017.05.108.</w:t>
      </w:r>
    </w:p>
    <w:p w14:paraId="03AAF8A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lang w:val="fr-FR"/>
        </w:rPr>
        <w:lastRenderedPageBreak/>
        <w:t>[34]</w:t>
      </w:r>
      <w:r w:rsidRPr="006D6AF9">
        <w:rPr>
          <w:rFonts w:ascii="Times New Roman" w:hAnsi="Times New Roman" w:cs="Times New Roman"/>
          <w:sz w:val="20"/>
          <w:szCs w:val="20"/>
          <w:lang w:val="fr-FR"/>
        </w:rPr>
        <w:tab/>
        <w:t xml:space="preserve">Wang W-C, Tao L, Markham J, Zhang Y, Tan E, Batan L, et al. </w:t>
      </w:r>
      <w:r w:rsidRPr="006D6AF9">
        <w:rPr>
          <w:rFonts w:ascii="Times New Roman" w:hAnsi="Times New Roman" w:cs="Times New Roman"/>
          <w:sz w:val="20"/>
          <w:szCs w:val="20"/>
        </w:rPr>
        <w:t>Review of Biojet Fuel Conversion Technologies. 2016.</w:t>
      </w:r>
    </w:p>
    <w:p w14:paraId="5111A66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[35]</w:t>
      </w:r>
      <w:r w:rsidRPr="006D6AF9">
        <w:rPr>
          <w:rFonts w:ascii="Times New Roman" w:hAnsi="Times New Roman" w:cs="Times New Roman"/>
          <w:sz w:val="20"/>
          <w:szCs w:val="20"/>
        </w:rPr>
        <w:tab/>
        <w:t>Hari TK, Yaakob Z, Binitha NN. Aviation biofuel from renewable resouces routes opportunities and challenges. Renewable and Sustainable Energy Reviews 2015;42:1234–44.</w:t>
      </w:r>
    </w:p>
    <w:p w14:paraId="2D28F2A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[36]</w:t>
      </w:r>
      <w:r w:rsidRPr="006D6AF9">
        <w:rPr>
          <w:rFonts w:ascii="Times New Roman" w:hAnsi="Times New Roman" w:cs="Times New Roman"/>
          <w:sz w:val="20"/>
          <w:szCs w:val="20"/>
        </w:rPr>
        <w:tab/>
        <w:t>Goldmann A, Sauter W, Oettinger M, Kluge T, Schröder U, Seume JR, et al. A study on electrofuels in aviation. Energies 2018;11:1–23. https://doi.org/10.3390/en11020392.</w:t>
      </w:r>
    </w:p>
    <w:p w14:paraId="16F14CC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[37]</w:t>
      </w:r>
      <w:r w:rsidRPr="006D6AF9">
        <w:rPr>
          <w:rFonts w:ascii="Times New Roman" w:hAnsi="Times New Roman" w:cs="Times New Roman"/>
          <w:sz w:val="20"/>
          <w:szCs w:val="20"/>
        </w:rPr>
        <w:tab/>
        <w:t>Brynolf S, Taljegard M, Grahn M, Hansson J. Electrofuels for the transport sector: A review of production costs. Renewable and Sustainable Energy Reviews 2018;81:1887–905. https://doi.org/10.1016/j.rser.2017.05.288.</w:t>
      </w:r>
    </w:p>
    <w:p w14:paraId="421B47E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[38]</w:t>
      </w:r>
      <w:r w:rsidRPr="006D6AF9">
        <w:rPr>
          <w:rFonts w:ascii="Times New Roman" w:hAnsi="Times New Roman" w:cs="Times New Roman"/>
          <w:sz w:val="20"/>
          <w:szCs w:val="20"/>
        </w:rPr>
        <w:tab/>
        <w:t>Hansson J, Hackl R, Taljegard M, Brynolf S, Grahn M. The potential for electrofuels production in Sweden utilizing fossil and biogenic CO 2 point sources. Frontiers in Energy Research 2017;5:1–12. https://doi.org/10.3389/fenrg.2017.00004.</w:t>
      </w:r>
    </w:p>
    <w:p w14:paraId="2BA2726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[39]</w:t>
      </w:r>
      <w:r w:rsidRPr="006D6AF9">
        <w:rPr>
          <w:rFonts w:ascii="Times New Roman" w:hAnsi="Times New Roman" w:cs="Times New Roman"/>
          <w:sz w:val="20"/>
          <w:szCs w:val="20"/>
        </w:rPr>
        <w:tab/>
        <w:t>Bauen A, Bitossi N, German L, Harris A, Leow K. Sustainable Aviation Fuels. Johnson Matthey Technology Review 2020:263–78. https://doi.org/10.1595/205651320x15816756012040.</w:t>
      </w:r>
    </w:p>
    <w:p w14:paraId="120C0BE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[40]</w:t>
      </w:r>
      <w:r w:rsidRPr="006D6AF9">
        <w:rPr>
          <w:rFonts w:ascii="Times New Roman" w:hAnsi="Times New Roman" w:cs="Times New Roman"/>
          <w:sz w:val="20"/>
          <w:szCs w:val="20"/>
        </w:rPr>
        <w:tab/>
        <w:t>Wang WC, Tao L. Bio-jet fuel conversion technologies. Renewable and Sustainable Energy Reviews 2016;53:801–22. https://doi.org/10.1016/j.rser.2015.09.016.</w:t>
      </w:r>
    </w:p>
    <w:p w14:paraId="733143A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[41]</w:t>
      </w:r>
      <w:r w:rsidRPr="006D6AF9">
        <w:rPr>
          <w:rFonts w:ascii="Times New Roman" w:hAnsi="Times New Roman" w:cs="Times New Roman"/>
          <w:sz w:val="20"/>
          <w:szCs w:val="20"/>
        </w:rPr>
        <w:tab/>
        <w:t>Davis R, Tao L, Scarlata C, Tan ECD, Ross J, Lukas J, et al. Process Design and Economics for the Conversion of Lignocellulosic Biomass to Hydrocarbons: Dilute-Acid and Enzymatic Deconstruction of Biomass to Sugars and Catalytic Conversion of Sugars to Hydrocarbons. 2015.</w:t>
      </w:r>
    </w:p>
    <w:p w14:paraId="43FD5A5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[42]</w:t>
      </w:r>
      <w:r w:rsidRPr="006D6AF9">
        <w:rPr>
          <w:rFonts w:ascii="Times New Roman" w:hAnsi="Times New Roman" w:cs="Times New Roman"/>
          <w:sz w:val="20"/>
          <w:szCs w:val="20"/>
        </w:rPr>
        <w:tab/>
        <w:t>Blommel PG, Cortright RD. Production of Conventional Liquid Fuels from Sugars. Energy 2008;August 25:1–14.</w:t>
      </w:r>
    </w:p>
    <w:p w14:paraId="697FEBC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[43]</w:t>
      </w:r>
      <w:r w:rsidRPr="006D6AF9">
        <w:rPr>
          <w:rFonts w:ascii="Times New Roman" w:hAnsi="Times New Roman" w:cs="Times New Roman"/>
          <w:sz w:val="20"/>
          <w:szCs w:val="20"/>
        </w:rPr>
        <w:tab/>
        <w:t>Chheda, J N, Powell, J. B. Direct aqueous phase reforming of bio-based feedstocks. US 9303226 B2, 2016.</w:t>
      </w:r>
    </w:p>
    <w:p w14:paraId="6B84731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[44]</w:t>
      </w:r>
      <w:r w:rsidRPr="006D6AF9">
        <w:rPr>
          <w:rFonts w:ascii="Times New Roman" w:hAnsi="Times New Roman" w:cs="Times New Roman"/>
          <w:sz w:val="20"/>
          <w:szCs w:val="20"/>
        </w:rPr>
        <w:tab/>
        <w:t>Xing R, Subrahmanyam A V., Olcay H, Qi W, Van Walsum GP, Pendse H, et al. Production of jet and diesel fuel range alkanes from waste hemicellulose-derived aqueous solutions. Green Chemistry 2010;12:1933–46. https://doi.org/10.1039/c0gc00263a.</w:t>
      </w:r>
    </w:p>
    <w:p w14:paraId="53408F6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[45]</w:t>
      </w:r>
      <w:r w:rsidRPr="006D6AF9">
        <w:rPr>
          <w:rFonts w:ascii="Times New Roman" w:hAnsi="Times New Roman" w:cs="Times New Roman"/>
          <w:sz w:val="20"/>
          <w:szCs w:val="20"/>
        </w:rPr>
        <w:tab/>
        <w:t>Virent. Virent, Inc. 2019. https://www.virent.com/ (accessed January 28, 2020).</w:t>
      </w:r>
    </w:p>
    <w:p w14:paraId="6ECB207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[46]</w:t>
      </w:r>
      <w:r w:rsidRPr="006D6AF9">
        <w:rPr>
          <w:rFonts w:ascii="Times New Roman" w:hAnsi="Times New Roman" w:cs="Times New Roman"/>
          <w:sz w:val="20"/>
          <w:szCs w:val="20"/>
        </w:rPr>
        <w:tab/>
        <w:t>Chheda JN, Powell JB. Direct aqueous phase reforming of biobased feedstocks. US 9,303,226 B2, 2011.</w:t>
      </w:r>
    </w:p>
    <w:p w14:paraId="01AA37B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[47]</w:t>
      </w:r>
      <w:r w:rsidRPr="006D6AF9">
        <w:rPr>
          <w:rFonts w:ascii="Times New Roman" w:hAnsi="Times New Roman" w:cs="Times New Roman"/>
          <w:sz w:val="20"/>
          <w:szCs w:val="20"/>
        </w:rPr>
        <w:tab/>
        <w:t>Wang T, Tan J, Qiu S, Zhang Q, Long J, Chen L, et al. Liquid fuel production by aqueous phase catalytic transformation of biomass for aviation. Energy Procedia 2014;61:432–5. https://doi.org/10.1016/j.egypro.2014.11.1142.</w:t>
      </w:r>
    </w:p>
    <w:p w14:paraId="7A2885A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[48]</w:t>
      </w:r>
      <w:r w:rsidRPr="006D6AF9">
        <w:rPr>
          <w:rFonts w:ascii="Times New Roman" w:hAnsi="Times New Roman" w:cs="Times New Roman"/>
          <w:sz w:val="20"/>
          <w:szCs w:val="20"/>
        </w:rPr>
        <w:tab/>
        <w:t>Qiao M, Woods E, Myren P, Cortright R. Solvolysis of biomass and stabilization of biomass hydrolysate. US 2013/0019859 A1, 2013.</w:t>
      </w:r>
    </w:p>
    <w:p w14:paraId="7F9C428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[49]</w:t>
      </w:r>
      <w:r w:rsidRPr="006D6AF9">
        <w:rPr>
          <w:rFonts w:ascii="Times New Roman" w:hAnsi="Times New Roman" w:cs="Times New Roman"/>
          <w:sz w:val="20"/>
          <w:szCs w:val="20"/>
        </w:rPr>
        <w:tab/>
        <w:t>Coronado I, Stekrova M, Reinikainen M, Simell P, Lefferts L, Lehtonen J. A review of catalytic aqueous-phase reforming of oxygenated hydrocarbons derived from biorefinery water fractions. International Journal of Hydrogen Energy 2016;41:11003–32. https://doi.org/10.1016/j.ijhydene.2016.05.032.</w:t>
      </w:r>
    </w:p>
    <w:p w14:paraId="28B0A81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[50]</w:t>
      </w:r>
      <w:r w:rsidRPr="006D6AF9">
        <w:rPr>
          <w:rFonts w:ascii="Times New Roman" w:hAnsi="Times New Roman" w:cs="Times New Roman"/>
          <w:sz w:val="20"/>
          <w:szCs w:val="20"/>
        </w:rPr>
        <w:tab/>
        <w:t>Davis R, Biddy M, Tan E, Tao L, Jones S. Biological conversion of sugars to hydrocarbons technology pathway. National Renewable Energy Laboratory 2013:14.</w:t>
      </w:r>
    </w:p>
    <w:p w14:paraId="1C2CF74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[51]</w:t>
      </w:r>
      <w:r w:rsidRPr="006D6AF9">
        <w:rPr>
          <w:rFonts w:ascii="Times New Roman" w:hAnsi="Times New Roman" w:cs="Times New Roman"/>
          <w:sz w:val="20"/>
          <w:szCs w:val="20"/>
        </w:rPr>
        <w:tab/>
        <w:t>Mawhood R, Gazis E, de Jong S, Hoefnagels R, Slade R. Production pathways for renewable jet fuel: a review of commercialization status and future prospects. Biofuels, Bioproducts and Biorefining 2016;10:462–84. https://doi.org/10.1002/bbb.1644.</w:t>
      </w:r>
    </w:p>
    <w:p w14:paraId="0417743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[52]</w:t>
      </w:r>
      <w:r w:rsidRPr="006D6AF9">
        <w:rPr>
          <w:rFonts w:ascii="Times New Roman" w:hAnsi="Times New Roman" w:cs="Times New Roman"/>
          <w:sz w:val="20"/>
          <w:szCs w:val="20"/>
        </w:rPr>
        <w:tab/>
        <w:t>Lane J. Amyris, Total to commercialize renewable, low-carbon jet fuel technology; Total takes 75% stake in JV. Biofuels Digest 2015. https://www.biofuelsdigest.com/bdigest/2015/06/30/amyris-total-to-commercialize-renewable-low-carbon-jet-fuel-technology/ (accessed February 27, 2020).</w:t>
      </w:r>
    </w:p>
    <w:p w14:paraId="12D1A9B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[53]</w:t>
      </w:r>
      <w:r w:rsidRPr="006D6AF9">
        <w:rPr>
          <w:rFonts w:ascii="Times New Roman" w:hAnsi="Times New Roman" w:cs="Times New Roman"/>
          <w:sz w:val="20"/>
          <w:szCs w:val="20"/>
        </w:rPr>
        <w:tab/>
        <w:t>Renninger, Neil Stephen; Mcphee DJ. Fuel compositions comprising farnesane and farnesane derivatives and method of making and using same, 2011.</w:t>
      </w:r>
    </w:p>
    <w:p w14:paraId="1068752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[54]</w:t>
      </w:r>
      <w:r w:rsidRPr="006D6AF9">
        <w:rPr>
          <w:rFonts w:ascii="Times New Roman" w:hAnsi="Times New Roman" w:cs="Times New Roman"/>
          <w:sz w:val="20"/>
          <w:szCs w:val="20"/>
        </w:rPr>
        <w:tab/>
        <w:t>Amyris. Integrated Biorefinery Project Summary. 2013.</w:t>
      </w:r>
    </w:p>
    <w:p w14:paraId="1262F7F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[55]</w:t>
      </w:r>
      <w:r w:rsidRPr="006D6AF9">
        <w:rPr>
          <w:rFonts w:ascii="Times New Roman" w:hAnsi="Times New Roman" w:cs="Times New Roman"/>
          <w:sz w:val="20"/>
          <w:szCs w:val="20"/>
        </w:rPr>
        <w:tab/>
        <w:t>Ohler, Nicholas L., Vazquez R. Stabilization and hydrogenation methods for microbial-derived olefins. US 9,611,189 B2, 2017.</w:t>
      </w:r>
    </w:p>
    <w:p w14:paraId="79CF8B4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[56]</w:t>
      </w:r>
      <w:r w:rsidRPr="006D6AF9">
        <w:rPr>
          <w:rFonts w:ascii="Times New Roman" w:hAnsi="Times New Roman" w:cs="Times New Roman"/>
          <w:sz w:val="20"/>
          <w:szCs w:val="20"/>
        </w:rPr>
        <w:tab/>
        <w:t>Qureshi N, Lolas A, Blaschek HP. Soy molasses as fermentation substrate for production of butanol using Clostridium beijerinckii BA101. Journal of Industrial Microbiology and Biotechnology 2001;26:290–5. https://doi.org/10.1038/sj.jim.7000131.</w:t>
      </w:r>
    </w:p>
    <w:p w14:paraId="2A20219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[57]</w:t>
      </w:r>
      <w:r w:rsidRPr="006D6AF9">
        <w:rPr>
          <w:rFonts w:ascii="Times New Roman" w:hAnsi="Times New Roman" w:cs="Times New Roman"/>
          <w:sz w:val="20"/>
          <w:szCs w:val="20"/>
        </w:rPr>
        <w:tab/>
        <w:t>Peters MW, Taylor JD. Renewable jet fuel blendstock from isobutanol. US8,975,461 B2, 2015.</w:t>
      </w:r>
    </w:p>
    <w:p w14:paraId="2DB5EAF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[58]</w:t>
      </w:r>
      <w:r w:rsidRPr="006D6AF9">
        <w:rPr>
          <w:rFonts w:ascii="Times New Roman" w:hAnsi="Times New Roman" w:cs="Times New Roman"/>
          <w:sz w:val="20"/>
          <w:szCs w:val="20"/>
        </w:rPr>
        <w:tab/>
        <w:t>Ma K, Ruan Z, Shui Z, Wang Y, Hu G, He M. Open fermentative production of fuel ethanol from food waste by an acid-tolerant mutant strain of Zymomonas mobilis. Bioresource Technology 2016;203:295–302. https://doi.org/10.1016/j.biortech.2015.12.054.</w:t>
      </w:r>
    </w:p>
    <w:p w14:paraId="3702B26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[59]</w:t>
      </w:r>
      <w:r w:rsidRPr="006D6AF9">
        <w:rPr>
          <w:rFonts w:ascii="Times New Roman" w:hAnsi="Times New Roman" w:cs="Times New Roman"/>
          <w:sz w:val="20"/>
          <w:szCs w:val="20"/>
        </w:rPr>
        <w:tab/>
        <w:t>David PR, Alto P. Compositions and methods for producing fermentation products and residuals. US 7,309,602 B2, 2007.</w:t>
      </w:r>
    </w:p>
    <w:p w14:paraId="7D841D7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[60]</w:t>
      </w:r>
      <w:r w:rsidRPr="006D6AF9">
        <w:rPr>
          <w:rFonts w:ascii="Times New Roman" w:hAnsi="Times New Roman" w:cs="Times New Roman"/>
          <w:sz w:val="20"/>
          <w:szCs w:val="20"/>
        </w:rPr>
        <w:tab/>
        <w:t>Evanko WA, Eyal AM, Glassner DA, Miao F, Aristidou AA, Evans K, et al. Recovery of higher alcohols from dilute aqueous solutions. US 8,101,808 B2, 2012.</w:t>
      </w:r>
    </w:p>
    <w:p w14:paraId="506B79E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[61]</w:t>
      </w:r>
      <w:r w:rsidRPr="006D6AF9">
        <w:rPr>
          <w:rFonts w:ascii="Times New Roman" w:hAnsi="Times New Roman" w:cs="Times New Roman"/>
          <w:sz w:val="20"/>
          <w:szCs w:val="20"/>
        </w:rPr>
        <w:tab/>
        <w:t>Gevo. Gevo’s Biofuels 2019. https://gevo.com/biofuels-reduce-greenhouse-gas-emissions/ (accessed November 17, 2019).</w:t>
      </w:r>
    </w:p>
    <w:p w14:paraId="46318AA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[62]</w:t>
      </w:r>
      <w:r w:rsidRPr="006D6AF9">
        <w:rPr>
          <w:rFonts w:ascii="Times New Roman" w:hAnsi="Times New Roman" w:cs="Times New Roman"/>
          <w:sz w:val="20"/>
          <w:szCs w:val="20"/>
        </w:rPr>
        <w:tab/>
        <w:t>Jang YS, Malaviya A, Lee J, Im JA, Lee SY, Lee J, et al. Metabolic engineering of Clostridium acetobutylicum for the enhanced production of isopropanol-butanol-ethanol fuel mixture. Biotechnology Progress 2013;29:1083–8. https://doi.org/10.1002/btpr.1733.</w:t>
      </w:r>
    </w:p>
    <w:p w14:paraId="75A232A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[63]</w:t>
      </w:r>
      <w:r w:rsidRPr="006D6AF9">
        <w:rPr>
          <w:rFonts w:ascii="Times New Roman" w:hAnsi="Times New Roman" w:cs="Times New Roman"/>
          <w:sz w:val="20"/>
          <w:szCs w:val="20"/>
        </w:rPr>
        <w:tab/>
        <w:t>Buijs NA, Siewers V, Nielsen J. Advanced biofuel production by the yeast saccharomyces cerevisiae. Current Opinion in Chemical Biology 2013;17:480–8. https://doi.org/10.1016/j.cbpa.2013.03.036.</w:t>
      </w:r>
    </w:p>
    <w:p w14:paraId="6A7D99F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lang w:val="fr-FR"/>
        </w:rPr>
        <w:t>[64]</w:t>
      </w:r>
      <w:r w:rsidRPr="006D6AF9">
        <w:rPr>
          <w:rFonts w:ascii="Times New Roman" w:hAnsi="Times New Roman" w:cs="Times New Roman"/>
          <w:sz w:val="20"/>
          <w:szCs w:val="20"/>
          <w:lang w:val="fr-FR"/>
        </w:rPr>
        <w:tab/>
        <w:t xml:space="preserve">Wang T, Li K, Liu Q, Zhang Q, Qiu S, Long J, et al. </w:t>
      </w:r>
      <w:r w:rsidRPr="006D6AF9">
        <w:rPr>
          <w:rFonts w:ascii="Times New Roman" w:hAnsi="Times New Roman" w:cs="Times New Roman"/>
          <w:sz w:val="20"/>
          <w:szCs w:val="20"/>
        </w:rPr>
        <w:t>Aviation fuel synthesis by catalytic conversion of biomass hydrolysate in aqueous phase. Applied Energy 2014;136:775–80. https://doi.org/10.1016/j.apenergy.2014.06.035.</w:t>
      </w:r>
    </w:p>
    <w:p w14:paraId="6F88713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[65]</w:t>
      </w:r>
      <w:r w:rsidRPr="006D6AF9">
        <w:rPr>
          <w:rFonts w:ascii="Times New Roman" w:hAnsi="Times New Roman" w:cs="Times New Roman"/>
          <w:sz w:val="20"/>
          <w:szCs w:val="20"/>
        </w:rPr>
        <w:tab/>
        <w:t>Liu K, Atiyeh HK, Stevenson BS, Tanner RS, Wilkins MR, Huhnke RL. Mixed culture syngas fermentation and conversion of carboxylic acids into alcohols. Bioresource Technology 2014;152:337–46. https://doi.org/10.1016/j.biortech.2013.11.015.</w:t>
      </w:r>
    </w:p>
    <w:p w14:paraId="606C5F0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[66]</w:t>
      </w:r>
      <w:r w:rsidRPr="006D6AF9">
        <w:rPr>
          <w:rFonts w:ascii="Times New Roman" w:hAnsi="Times New Roman" w:cs="Times New Roman"/>
          <w:sz w:val="20"/>
          <w:szCs w:val="20"/>
        </w:rPr>
        <w:tab/>
        <w:t>Taylor JD, Jenni MM, Peters MW. Dehydration of fermented isobutanol for the production of renewable chemicals and fuels. Topics in Catalysis 2010;53:1224–30. https://doi.org/10.1007/s11244-010-9567-8.</w:t>
      </w:r>
    </w:p>
    <w:p w14:paraId="3886D97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[67]</w:t>
      </w:r>
      <w:r w:rsidRPr="006D6AF9">
        <w:rPr>
          <w:rFonts w:ascii="Times New Roman" w:hAnsi="Times New Roman" w:cs="Times New Roman"/>
          <w:sz w:val="20"/>
          <w:szCs w:val="20"/>
        </w:rPr>
        <w:tab/>
        <w:t>Choo HP, Liew KY, Liu HF, Seng CE. Hydrogenation of palm olein catalyzed by polymer stabilized Pt colloids. Journal of Molecular Catalysis A: Chemical 2001;165:127–34. https://doi.org/10.1016/S1381-1169(00)00367-8.</w:t>
      </w:r>
    </w:p>
    <w:p w14:paraId="2851E4C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[68]</w:t>
      </w:r>
      <w:r w:rsidRPr="006D6AF9">
        <w:rPr>
          <w:rFonts w:ascii="Times New Roman" w:hAnsi="Times New Roman" w:cs="Times New Roman"/>
          <w:sz w:val="20"/>
          <w:szCs w:val="20"/>
        </w:rPr>
        <w:tab/>
        <w:t>Wei H, Liu W, Chen X, Yang Q, Li J, Chen H. Renewable bio-jet fuel production for aviation: A review. Fuel 2019;254. https://doi.org/10.1016/j.fuel.2019.06.007.</w:t>
      </w:r>
    </w:p>
    <w:p w14:paraId="68C3714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[69]</w:t>
      </w:r>
      <w:r w:rsidRPr="006D6AF9">
        <w:rPr>
          <w:rFonts w:ascii="Times New Roman" w:hAnsi="Times New Roman" w:cs="Times New Roman"/>
          <w:sz w:val="20"/>
          <w:szCs w:val="20"/>
        </w:rPr>
        <w:tab/>
        <w:t>Karan SK, Hamelin L. Crop residues may be a key feedstock to bioeconomy but how reliable are current estimation methods? Resources, Conservation and Recycling 2021;164:105211. https://doi.org/10.1016/j.resconrec.2020.105211.</w:t>
      </w:r>
    </w:p>
    <w:p w14:paraId="2CDC89D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[70]</w:t>
      </w:r>
      <w:r w:rsidRPr="006D6AF9">
        <w:rPr>
          <w:rFonts w:ascii="Times New Roman" w:hAnsi="Times New Roman" w:cs="Times New Roman"/>
          <w:sz w:val="20"/>
          <w:szCs w:val="20"/>
        </w:rPr>
        <w:tab/>
        <w:t>Slade R, Bauen A, Gross R. Global bioenergy resources. Nature Climate Change 2014;4:99–105. https://doi.org/10.1038/nclimate2097.</w:t>
      </w:r>
    </w:p>
    <w:p w14:paraId="23A155B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[71]</w:t>
      </w:r>
      <w:r w:rsidRPr="006D6AF9">
        <w:rPr>
          <w:rFonts w:ascii="Times New Roman" w:hAnsi="Times New Roman" w:cs="Times New Roman"/>
          <w:sz w:val="20"/>
          <w:szCs w:val="20"/>
        </w:rPr>
        <w:tab/>
        <w:t>Karan SK, Hamelin L. Towards local bioeconomy: A stepwise framework for high-resolution spatial quantification of forestry residues. Renewable and Sustainable Energy Reviews 2020;134:110350. https://doi.org/10.1016/j.rser.2020.110350.</w:t>
      </w:r>
    </w:p>
    <w:p w14:paraId="7F6278C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[72]</w:t>
      </w:r>
      <w:r w:rsidRPr="006D6AF9">
        <w:rPr>
          <w:rFonts w:ascii="Times New Roman" w:hAnsi="Times New Roman" w:cs="Times New Roman"/>
          <w:sz w:val="20"/>
          <w:szCs w:val="20"/>
        </w:rPr>
        <w:tab/>
        <w:t>Hamelin L, Borzęcka M, Kozak M, Pudełko R. A spatial approach to bioeconomy: Quantifying the residual biomass potential in the EU-27. Renewable and Sustainable Energy Reviews 2019;100:127–42. https://doi.org/10.1016/j.rser.2018.10.017.</w:t>
      </w:r>
    </w:p>
    <w:p w14:paraId="7FBFD9E1" w14:textId="77777777" w:rsidR="00CB3233" w:rsidRPr="006D6AF9" w:rsidRDefault="00CB3233" w:rsidP="00CB3233">
      <w:pPr>
        <w:pStyle w:val="Bibliography"/>
        <w:rPr>
          <w:rFonts w:ascii="Times New Roman" w:hAnsi="Times New Roman" w:cs="Times New Roman"/>
          <w:sz w:val="20"/>
          <w:szCs w:val="20"/>
          <w:lang w:val="fr-FR"/>
        </w:rPr>
      </w:pPr>
      <w:r w:rsidRPr="006D6AF9">
        <w:rPr>
          <w:rFonts w:ascii="Times New Roman" w:hAnsi="Times New Roman" w:cs="Times New Roman"/>
          <w:sz w:val="20"/>
          <w:szCs w:val="20"/>
        </w:rPr>
        <w:t>[73]</w:t>
      </w:r>
      <w:r w:rsidRPr="006D6AF9">
        <w:rPr>
          <w:rFonts w:ascii="Times New Roman" w:hAnsi="Times New Roman" w:cs="Times New Roman"/>
          <w:sz w:val="20"/>
          <w:szCs w:val="20"/>
        </w:rPr>
        <w:tab/>
        <w:t xml:space="preserve">Hamelin L, Naroznova I, Wenzel H. Environmental consequences of different carbon alternatives for increased manure-based biogas. </w:t>
      </w:r>
      <w:r w:rsidRPr="006D6AF9">
        <w:rPr>
          <w:rFonts w:ascii="Times New Roman" w:hAnsi="Times New Roman" w:cs="Times New Roman"/>
          <w:sz w:val="20"/>
          <w:szCs w:val="20"/>
          <w:lang w:val="fr-FR"/>
        </w:rPr>
        <w:t>Applied Energy 2014;114:774–82. https://doi.org/10.1016/j.apenergy.2013.09.033.</w:t>
      </w:r>
    </w:p>
    <w:p w14:paraId="7E16957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lang w:val="fr-FR"/>
        </w:rPr>
        <w:t>[74]</w:t>
      </w:r>
      <w:r w:rsidRPr="006D6AF9">
        <w:rPr>
          <w:rFonts w:ascii="Times New Roman" w:hAnsi="Times New Roman" w:cs="Times New Roman"/>
          <w:sz w:val="20"/>
          <w:szCs w:val="20"/>
          <w:lang w:val="fr-FR"/>
        </w:rPr>
        <w:tab/>
        <w:t xml:space="preserve">Amaro J, Rosado DJM, Mendiburu AZ, dos Santos LR, de Carvalho Jr. JA. </w:t>
      </w:r>
      <w:r w:rsidRPr="006D6AF9">
        <w:rPr>
          <w:rFonts w:ascii="Times New Roman" w:hAnsi="Times New Roman" w:cs="Times New Roman"/>
          <w:sz w:val="20"/>
          <w:szCs w:val="20"/>
        </w:rPr>
        <w:t>Modeling of syngas composition obtained from fixed bed gasifiers using Kuhn–Tucker multipliers. Fuel 2021;287:119068. https://doi.org/10.1016/j.fuel.2020.119068.</w:t>
      </w:r>
    </w:p>
    <w:p w14:paraId="43717C8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[75]</w:t>
      </w:r>
      <w:r w:rsidRPr="006D6AF9">
        <w:rPr>
          <w:rFonts w:ascii="Times New Roman" w:hAnsi="Times New Roman" w:cs="Times New Roman"/>
          <w:sz w:val="20"/>
          <w:szCs w:val="20"/>
        </w:rPr>
        <w:tab/>
        <w:t>Hu J, Yu F, Lu Y. Application of fischer-tropsch synthesis in biomass to liquid conversion. Catalysts 2012;2:303–26. https://doi.org/10.3390/catal2020303.</w:t>
      </w:r>
    </w:p>
    <w:p w14:paraId="73C42A9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[76]</w:t>
      </w:r>
      <w:r w:rsidRPr="006D6AF9">
        <w:rPr>
          <w:rFonts w:ascii="Times New Roman" w:hAnsi="Times New Roman" w:cs="Times New Roman"/>
          <w:sz w:val="20"/>
          <w:szCs w:val="20"/>
        </w:rPr>
        <w:tab/>
        <w:t>Chiodini A, Bua L, Carnelli L, Zwart R, Vreugdenhil B, Vocciante M. Enhancements in Biomass-to-Liquid processes: Gasification aiming at high hydrogen/carbon monoxide ratios for direct Fischer-Tropsch synthesis applications. Biomass and Bioenergy 2017;106:104–14. https://doi.org/10.1016/j.biombioe.2017.08.022.</w:t>
      </w:r>
    </w:p>
    <w:p w14:paraId="47A2452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[77]</w:t>
      </w:r>
      <w:r w:rsidRPr="006D6AF9">
        <w:rPr>
          <w:rFonts w:ascii="Times New Roman" w:hAnsi="Times New Roman" w:cs="Times New Roman"/>
          <w:sz w:val="20"/>
          <w:szCs w:val="20"/>
        </w:rPr>
        <w:tab/>
        <w:t>Susastriawan AAP, Saptoadi H, Purnomo. Small-scale downdraft gasifiers for biomass gasification: A review. Renewable and Sustainable Energy Reviews 2017;76:989–1003. https://doi.org/10.1016/j.rser.2017.03.112.</w:t>
      </w:r>
    </w:p>
    <w:p w14:paraId="3744F89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[78]</w:t>
      </w:r>
      <w:r w:rsidRPr="006D6AF9">
        <w:rPr>
          <w:rFonts w:ascii="Times New Roman" w:hAnsi="Times New Roman" w:cs="Times New Roman"/>
          <w:sz w:val="20"/>
          <w:szCs w:val="20"/>
        </w:rPr>
        <w:tab/>
        <w:t>Luo X, Wu T, Shi K, Song M, Rao Y. Biomass gasification: An overview of technological barriers and socio-environmental impact. In: Yun Y, editor. Gasification for low-grade feedstock, 2018. https://doi.org/10.5772/intechopen.74191.</w:t>
      </w:r>
    </w:p>
    <w:p w14:paraId="6C025F0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[79]</w:t>
      </w:r>
      <w:r w:rsidRPr="006D6AF9">
        <w:rPr>
          <w:rFonts w:ascii="Times New Roman" w:hAnsi="Times New Roman" w:cs="Times New Roman"/>
          <w:sz w:val="20"/>
          <w:szCs w:val="20"/>
        </w:rPr>
        <w:tab/>
        <w:t>Klinghoffer NB, Castaldi MJ, Nzihou A. Influence of char composition and inorganics on catalytic activity of char from biomass gasification. Fuel 2015;157:37–47. https://doi.org/10.1016/j.fuel.2015.04.036.</w:t>
      </w:r>
    </w:p>
    <w:p w14:paraId="320447A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[80]</w:t>
      </w:r>
      <w:r w:rsidRPr="006D6AF9">
        <w:rPr>
          <w:rFonts w:ascii="Times New Roman" w:hAnsi="Times New Roman" w:cs="Times New Roman"/>
          <w:sz w:val="20"/>
          <w:szCs w:val="20"/>
        </w:rPr>
        <w:tab/>
        <w:t>Abdoulmoumine N, Adhikari S, Kulkarni A, Chattanathan S. A review on biomass gasification syngas cleanup. Applied Energy 2015;155:294–307. https://doi.org/10.1016/j.apenergy.2015.05.095.</w:t>
      </w:r>
    </w:p>
    <w:p w14:paraId="693E208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[81]</w:t>
      </w:r>
      <w:r w:rsidRPr="006D6AF9">
        <w:rPr>
          <w:rFonts w:ascii="Times New Roman" w:hAnsi="Times New Roman" w:cs="Times New Roman"/>
          <w:sz w:val="20"/>
          <w:szCs w:val="20"/>
        </w:rPr>
        <w:tab/>
        <w:t>Sun X, Atiyeh HK, Huhnke RL, Tanner RS. Syngas fermentation process development for production of biofuels and chemicals: A review. Bioresource Technology Reports 2019;7:100279. https://doi.org/10.1016/j.biteb.2019.100279.</w:t>
      </w:r>
    </w:p>
    <w:p w14:paraId="0F7361E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[82]</w:t>
      </w:r>
      <w:r w:rsidRPr="006D6AF9">
        <w:rPr>
          <w:rFonts w:ascii="Times New Roman" w:hAnsi="Times New Roman" w:cs="Times New Roman"/>
          <w:sz w:val="20"/>
          <w:szCs w:val="20"/>
        </w:rPr>
        <w:tab/>
        <w:t>Mohammadi M, Younesi H, Najafpour G, Mohamed AR. Sustainable ethanol fermentation from synthesis gas by Clostridium ljungdahlii in a continuous stirred tank bioreactor. Journal of Chemical Technology and Biotechnology 2012;87:837–43. https://doi.org/10.1002/jctb.3712.</w:t>
      </w:r>
    </w:p>
    <w:p w14:paraId="587F492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[83]</w:t>
      </w:r>
      <w:r w:rsidRPr="006D6AF9">
        <w:rPr>
          <w:rFonts w:ascii="Times New Roman" w:hAnsi="Times New Roman" w:cs="Times New Roman"/>
          <w:sz w:val="20"/>
          <w:szCs w:val="20"/>
        </w:rPr>
        <w:tab/>
        <w:t>Handler RM, Shonnard DR, Griffing EM, Lai A, Palou-Rivera I. Life Cycle Assessments of Ethanol Production via Gas Fermentation: Anticipated Greenhouse Gas Emissions for Cellulosic and Waste Gas Feedstocks. Industrial and Engineering Chemistry Research 2016;55:3253–61. https://doi.org/10.1021/acs.iecr.5b03215.</w:t>
      </w:r>
    </w:p>
    <w:p w14:paraId="262681D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[84]</w:t>
      </w:r>
      <w:r w:rsidRPr="006D6AF9">
        <w:rPr>
          <w:rFonts w:ascii="Times New Roman" w:hAnsi="Times New Roman" w:cs="Times New Roman"/>
          <w:sz w:val="20"/>
          <w:szCs w:val="20"/>
        </w:rPr>
        <w:tab/>
        <w:t>Kundiyana DK, Huhnke RL, Wilkins MR. Syngas fermentation in a 100-L pilot scale fermentor: Design and process considerations. Journal of Bioscience and Bioengineering 2010;109:492–8. https://doi.org/10.1016/j.jbiosc.2009.10.022.</w:t>
      </w:r>
    </w:p>
    <w:p w14:paraId="2E50B83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[85]</w:t>
      </w:r>
      <w:r w:rsidRPr="006D6AF9">
        <w:rPr>
          <w:rFonts w:ascii="Times New Roman" w:hAnsi="Times New Roman" w:cs="Times New Roman"/>
          <w:sz w:val="20"/>
          <w:szCs w:val="20"/>
        </w:rPr>
        <w:tab/>
        <w:t>Schultz M, Obern J. Methods and systems for the production of hydrocarbon products. WO 2010/058508 A2, 2012. https://doi.org/10.7868/s0002337x14020092.</w:t>
      </w:r>
    </w:p>
    <w:p w14:paraId="69B7703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[86]</w:t>
      </w:r>
      <w:r w:rsidRPr="006D6AF9">
        <w:rPr>
          <w:rFonts w:ascii="Times New Roman" w:hAnsi="Times New Roman" w:cs="Times New Roman"/>
          <w:sz w:val="20"/>
          <w:szCs w:val="20"/>
        </w:rPr>
        <w:tab/>
        <w:t>Ave L. A hybrid catalytic route to fuels from biomas syngas: Final report. 2017.</w:t>
      </w:r>
    </w:p>
    <w:p w14:paraId="3D58D93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[87]</w:t>
      </w:r>
      <w:r w:rsidRPr="006D6AF9">
        <w:rPr>
          <w:rFonts w:ascii="Times New Roman" w:hAnsi="Times New Roman" w:cs="Times New Roman"/>
          <w:sz w:val="20"/>
          <w:szCs w:val="20"/>
        </w:rPr>
        <w:tab/>
        <w:t>LanzaTech. LanzaTech | Capturing carbon. Fueling growth. LanzaTech 2019. https://www.lanzatech.com/ (accessed November 15, 2019).</w:t>
      </w:r>
    </w:p>
    <w:p w14:paraId="149176F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[88]</w:t>
      </w:r>
      <w:r w:rsidRPr="006D6AF9">
        <w:rPr>
          <w:rFonts w:ascii="Times New Roman" w:hAnsi="Times New Roman" w:cs="Times New Roman"/>
          <w:sz w:val="20"/>
          <w:szCs w:val="20"/>
        </w:rPr>
        <w:tab/>
        <w:t>Morschbacker A. Bio-ethanol based ethylene. Polymer Reviews 2009;49:79–84. https://doi.org/10.1080/15583720902834791.</w:t>
      </w:r>
    </w:p>
    <w:p w14:paraId="2B8D716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[89]</w:t>
      </w:r>
      <w:r w:rsidRPr="006D6AF9">
        <w:rPr>
          <w:rFonts w:ascii="Times New Roman" w:hAnsi="Times New Roman" w:cs="Times New Roman"/>
          <w:sz w:val="20"/>
          <w:szCs w:val="20"/>
        </w:rPr>
        <w:tab/>
        <w:t>Finiels A, Fajula F, Hulea V. Nickel-based solid catalysts for ethylene oligomerization-a review. Catalysis Science and Technology 2014;4:2412–26. https://doi.org/10.1039/c4cy00305e.</w:t>
      </w:r>
    </w:p>
    <w:p w14:paraId="6C43E1B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[90]</w:t>
      </w:r>
      <w:r w:rsidRPr="006D6AF9">
        <w:rPr>
          <w:rFonts w:ascii="Times New Roman" w:hAnsi="Times New Roman" w:cs="Times New Roman"/>
          <w:sz w:val="20"/>
          <w:szCs w:val="20"/>
        </w:rPr>
        <w:tab/>
        <w:t>Pechstein J, Kaltschmitt M. Liquid Hydrocarbon Fuels Derived from Alcohols. Energy from Organic Materials (Biomass) 2019:1023–46. https://doi.org/10.1007/978-1-4939-7813-7_1039.</w:t>
      </w:r>
    </w:p>
    <w:p w14:paraId="03381CC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[91]</w:t>
      </w:r>
      <w:r w:rsidRPr="006D6AF9">
        <w:rPr>
          <w:rFonts w:ascii="Times New Roman" w:hAnsi="Times New Roman" w:cs="Times New Roman"/>
          <w:sz w:val="20"/>
          <w:szCs w:val="20"/>
        </w:rPr>
        <w:tab/>
        <w:t>Griffin DW, Schultz MA. Fuel and chemical products from biomass syngas: A comparison of gas fermentation to thermochemical conversion routes. Environmental Progress and Sustainable Energy 2012;31:219–24. https://doi.org/10.1002/ep.11613.</w:t>
      </w:r>
    </w:p>
    <w:p w14:paraId="1AB3CCC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[92]</w:t>
      </w:r>
      <w:r w:rsidRPr="006D6AF9">
        <w:rPr>
          <w:rFonts w:ascii="Times New Roman" w:hAnsi="Times New Roman" w:cs="Times New Roman"/>
          <w:sz w:val="20"/>
          <w:szCs w:val="20"/>
        </w:rPr>
        <w:tab/>
        <w:t>Liu K, Atiyeh HK, Tanner RS, Wilkins MR, Huhnke RL. Fermentative production of ethanol from syngas using novel moderately alkaliphilic strains of Alkalibaculum bacchi. Bioresource Technology 2012;104:336–41. https://doi.org/10.1016/j.biortech.2011.10.054.</w:t>
      </w:r>
    </w:p>
    <w:p w14:paraId="7EC42F7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[93]</w:t>
      </w:r>
      <w:r w:rsidRPr="006D6AF9">
        <w:rPr>
          <w:rFonts w:ascii="Times New Roman" w:hAnsi="Times New Roman" w:cs="Times New Roman"/>
          <w:sz w:val="20"/>
          <w:szCs w:val="20"/>
        </w:rPr>
        <w:tab/>
        <w:t>Devarapalli M, Atiyeh HK, Phillips JR, Lewis RS, Huhnke RL. Ethanol production during semi-continuous syngas fermentation in a trickle bed reactor using Clostridium ragsdalei. Bioresource Technology 2016;209:56–65. https://doi.org/10.1016/j.biortech.2016.02.086.</w:t>
      </w:r>
    </w:p>
    <w:p w14:paraId="475D96B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[94]</w:t>
      </w:r>
      <w:r w:rsidRPr="006D6AF9">
        <w:rPr>
          <w:rFonts w:ascii="Times New Roman" w:hAnsi="Times New Roman" w:cs="Times New Roman"/>
          <w:sz w:val="20"/>
          <w:szCs w:val="20"/>
        </w:rPr>
        <w:tab/>
        <w:t>Shen N, Dai K, Xia XY, Zeng RJ, Zhang F. Conversion of syngas (CO and H2) to biochemicals by mixed culture fermentation in mesophilic and thermophilic hollow-fiber membrane biofilm reactors. Journal of Cleaner Production 2018;202:536–42. https://doi.org/10.1016/j.jclepro.2018.08.162.</w:t>
      </w:r>
    </w:p>
    <w:p w14:paraId="6C6AA91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[95]</w:t>
      </w:r>
      <w:r w:rsidRPr="006D6AF9">
        <w:rPr>
          <w:rFonts w:ascii="Times New Roman" w:hAnsi="Times New Roman" w:cs="Times New Roman"/>
          <w:sz w:val="20"/>
          <w:szCs w:val="20"/>
        </w:rPr>
        <w:tab/>
        <w:t>Boerrigter H. Economy of Biomass-to-Liquids ( BTL ) plants An engineering assessment 2006:29.</w:t>
      </w:r>
    </w:p>
    <w:p w14:paraId="52E5B85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[96]</w:t>
      </w:r>
      <w:r w:rsidRPr="006D6AF9">
        <w:rPr>
          <w:rFonts w:ascii="Times New Roman" w:hAnsi="Times New Roman" w:cs="Times New Roman"/>
          <w:sz w:val="20"/>
          <w:szCs w:val="20"/>
        </w:rPr>
        <w:tab/>
        <w:t>Gruber H, Groß P, Rauch R, Reichhold A, Zweiler R, Aichernig C, et al. Fischer-Tropsch products from biomass-derived syngas and renewable hydrogen. Biomass Conversion and Biorefinery 2019. https://doi.org/10.1007/s13399-019-00459-5.</w:t>
      </w:r>
    </w:p>
    <w:p w14:paraId="51DCB0B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[97]</w:t>
      </w:r>
      <w:r w:rsidRPr="006D6AF9">
        <w:rPr>
          <w:rFonts w:ascii="Times New Roman" w:hAnsi="Times New Roman" w:cs="Times New Roman"/>
          <w:sz w:val="20"/>
          <w:szCs w:val="20"/>
        </w:rPr>
        <w:tab/>
        <w:t>Gruber H, Groß P, Rauch R, Reichhold A, Zweiler R, Aichernig C, et al. Fischer-Tropsch products from biomass-derived syngas and renewable hydrogen. Biomass Conversion and Biorefinery 2019. https://doi.org/10.1007/s13399-019-00459-5.</w:t>
      </w:r>
    </w:p>
    <w:p w14:paraId="1A73A27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[98]</w:t>
      </w:r>
      <w:r w:rsidRPr="006D6AF9">
        <w:rPr>
          <w:rFonts w:ascii="Times New Roman" w:hAnsi="Times New Roman" w:cs="Times New Roman"/>
          <w:sz w:val="20"/>
          <w:szCs w:val="20"/>
        </w:rPr>
        <w:tab/>
        <w:t>Hanaoka T, Miyazawa T, Shimura K, Hirata S. Jet fuel synthesis from Fischer-Tropsch product under mild hydrocracking conditions using Pt-loaded catalysts. Chemical Engineering Journal 2015;263:178–85. https://doi.org/10.1016/j.cej.2014.11.042.</w:t>
      </w:r>
    </w:p>
    <w:p w14:paraId="612D589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[99]</w:t>
      </w:r>
      <w:r w:rsidRPr="006D6AF9">
        <w:rPr>
          <w:rFonts w:ascii="Times New Roman" w:hAnsi="Times New Roman" w:cs="Times New Roman"/>
          <w:sz w:val="20"/>
          <w:szCs w:val="20"/>
        </w:rPr>
        <w:tab/>
        <w:t>Bradin D. Process for producing renewable jet fuel composition. US 9,422,494 B2, 2016.</w:t>
      </w:r>
    </w:p>
    <w:p w14:paraId="23ADA2F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[100]</w:t>
      </w:r>
      <w:r w:rsidRPr="006D6AF9">
        <w:rPr>
          <w:rFonts w:ascii="Times New Roman" w:hAnsi="Times New Roman" w:cs="Times New Roman"/>
          <w:sz w:val="20"/>
          <w:szCs w:val="20"/>
        </w:rPr>
        <w:tab/>
        <w:t>Dayton, David C, Turk B, Gupta R. Syngas cleanup, conditioning, and utilization. In: Brown RC, editor. Thermochemical processing of biomass: conversion into fuels, chemicals, and power, Wiley and Sons Ltd; 2019. https://doi.org/10.1002/9781119417637.ch5.</w:t>
      </w:r>
    </w:p>
    <w:p w14:paraId="57523B2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[101]</w:t>
      </w:r>
      <w:r w:rsidRPr="006D6AF9">
        <w:rPr>
          <w:rFonts w:ascii="Times New Roman" w:hAnsi="Times New Roman" w:cs="Times New Roman"/>
          <w:sz w:val="20"/>
          <w:szCs w:val="20"/>
        </w:rPr>
        <w:tab/>
        <w:t>Rahardjo BS. The Assessment of Syngas Utilization by Fischer Tropsch Synthesis in the Slurry-Bed Reactor Using Co/SiO2 Catalyst. International Journal of Engineering and Applied Sciences 2012;4:20–39.</w:t>
      </w:r>
    </w:p>
    <w:p w14:paraId="08B3CA9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[102]</w:t>
      </w:r>
      <w:r w:rsidRPr="006D6AF9">
        <w:rPr>
          <w:rFonts w:ascii="Times New Roman" w:hAnsi="Times New Roman" w:cs="Times New Roman"/>
          <w:sz w:val="20"/>
          <w:szCs w:val="20"/>
        </w:rPr>
        <w:tab/>
        <w:t>de Klerk A. Fischer-Tropsch fuels refinery design. Energy and Environmental Science 2011;4:1177–205. https://doi.org/10.1039/c0ee00692k.</w:t>
      </w:r>
    </w:p>
    <w:p w14:paraId="7470D08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[103]</w:t>
      </w:r>
      <w:r w:rsidRPr="006D6AF9">
        <w:rPr>
          <w:rFonts w:ascii="Times New Roman" w:hAnsi="Times New Roman" w:cs="Times New Roman"/>
          <w:sz w:val="20"/>
          <w:szCs w:val="20"/>
        </w:rPr>
        <w:tab/>
        <w:t>Marchese M, Giglio E, Santarelli M, Lanzini A. Energy performance of Power-to-Liquid applications integrating biogas upgrading, reverse water gas shift, solid oxide electrolysis and Fischer-Tropsch technologies. Energy Conversion and Management: X 2020;6:100041. https://doi.org/10.1016/j.ecmx.2020.100041.</w:t>
      </w:r>
    </w:p>
    <w:p w14:paraId="26FC058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[104]</w:t>
      </w:r>
      <w:r w:rsidRPr="006D6AF9">
        <w:rPr>
          <w:rFonts w:ascii="Times New Roman" w:hAnsi="Times New Roman" w:cs="Times New Roman"/>
          <w:sz w:val="20"/>
          <w:szCs w:val="20"/>
        </w:rPr>
        <w:tab/>
        <w:t>A.M. Subiranas. Combining Fischer-Tropsch Synthesis (FTS) and Hydrocarbon Reactions in one Reactor. 2009.</w:t>
      </w:r>
    </w:p>
    <w:p w14:paraId="2D6C36D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[105]</w:t>
      </w:r>
      <w:r w:rsidRPr="006D6AF9">
        <w:rPr>
          <w:rFonts w:ascii="Times New Roman" w:hAnsi="Times New Roman" w:cs="Times New Roman"/>
          <w:sz w:val="20"/>
          <w:szCs w:val="20"/>
        </w:rPr>
        <w:tab/>
        <w:t>Bouchy C, Hastoy G, Guillon E, Martens JA. Fischer-Tropsch waxes upgrading via hydrocracking and selective hydroisomerization. Oil and Gas Science and Technology 2009;64:91–112. https://doi.org/10.2516/ogst/2008047.</w:t>
      </w:r>
    </w:p>
    <w:p w14:paraId="2B810EE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[106]</w:t>
      </w:r>
      <w:r w:rsidRPr="006D6AF9">
        <w:rPr>
          <w:rFonts w:ascii="Times New Roman" w:hAnsi="Times New Roman" w:cs="Times New Roman"/>
          <w:sz w:val="20"/>
          <w:szCs w:val="20"/>
        </w:rPr>
        <w:tab/>
        <w:t>Srinivas S, Malik RK, Mahajani SM. Fischer-Tropsch synthesis using bio-syngas and CO2. Energy for Sustainable Development 2007;11:66–71. https://doi.org/10.1016/S0973-0826(08)60411-1.</w:t>
      </w:r>
    </w:p>
    <w:p w14:paraId="1124A4B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[107]</w:t>
      </w:r>
      <w:r w:rsidRPr="006D6AF9">
        <w:rPr>
          <w:rFonts w:ascii="Times New Roman" w:hAnsi="Times New Roman" w:cs="Times New Roman"/>
          <w:sz w:val="20"/>
          <w:szCs w:val="20"/>
        </w:rPr>
        <w:tab/>
        <w:t>van Steen E, Claeys M. Fischer-Tropsch catalysts for the biomass-to-liquid process. Chemical Engineering and Technology 2008;31:655–66. https://doi.org/10.1002/ceat.200800067.</w:t>
      </w:r>
    </w:p>
    <w:p w14:paraId="45D06F5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[108]</w:t>
      </w:r>
      <w:r w:rsidRPr="006D6AF9">
        <w:rPr>
          <w:rFonts w:ascii="Times New Roman" w:hAnsi="Times New Roman" w:cs="Times New Roman"/>
          <w:sz w:val="20"/>
          <w:szCs w:val="20"/>
        </w:rPr>
        <w:tab/>
        <w:t>Fulcrum Bioenergy. Fulcrum BioEnergy. 2020 2015. http://fulcrum-bioenergy.com/ (accessed March 4, 2020).</w:t>
      </w:r>
    </w:p>
    <w:p w14:paraId="684CAC3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[109]</w:t>
      </w:r>
      <w:r w:rsidRPr="006D6AF9">
        <w:rPr>
          <w:rFonts w:ascii="Times New Roman" w:hAnsi="Times New Roman" w:cs="Times New Roman"/>
          <w:sz w:val="20"/>
          <w:szCs w:val="20"/>
        </w:rPr>
        <w:tab/>
        <w:t>de Klerk A. Fischer-Tropsch jet fuel process. US 2010/0108568 A1, 2010.</w:t>
      </w:r>
    </w:p>
    <w:p w14:paraId="607839C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[110]</w:t>
      </w:r>
      <w:r w:rsidRPr="006D6AF9">
        <w:rPr>
          <w:rFonts w:ascii="Times New Roman" w:hAnsi="Times New Roman" w:cs="Times New Roman"/>
          <w:sz w:val="20"/>
          <w:szCs w:val="20"/>
        </w:rPr>
        <w:tab/>
        <w:t>Red Rock Biofuels. Red Rock Biofuels 2018. https://www.redrockbio.com/ (accessed March 4, 2020).</w:t>
      </w:r>
    </w:p>
    <w:p w14:paraId="7F4DB28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[111]</w:t>
      </w:r>
      <w:r w:rsidRPr="006D6AF9">
        <w:rPr>
          <w:rFonts w:ascii="Times New Roman" w:hAnsi="Times New Roman" w:cs="Times New Roman"/>
          <w:sz w:val="20"/>
          <w:szCs w:val="20"/>
        </w:rPr>
        <w:tab/>
        <w:t>Brassard P, Godbout S, Hamelin L. Framework for consequential life cycle assessment of pyrolysis biorefineries: A case study for the conversion of primary forestry residues. Renewable and Sustainable Energy Reviews 2021;138:110549. https://doi.org/10.1016/j.rser.2020.110549.</w:t>
      </w:r>
    </w:p>
    <w:p w14:paraId="62C5DA9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[112]</w:t>
      </w:r>
      <w:r w:rsidRPr="006D6AF9">
        <w:rPr>
          <w:rFonts w:ascii="Times New Roman" w:hAnsi="Times New Roman" w:cs="Times New Roman"/>
          <w:sz w:val="20"/>
          <w:szCs w:val="20"/>
        </w:rPr>
        <w:tab/>
        <w:t>Jeong YW, Choi SK, Choi YS, Kim SJ. Production of biocrude-oil from swine manure by fast pyrolysis and analysis of its characteristics. Renewable Energy 2015;79:14–9. https://doi.org/10.1016/j.renene.2014.08.041.</w:t>
      </w:r>
    </w:p>
    <w:p w14:paraId="5B5F1FD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[113]</w:t>
      </w:r>
      <w:r w:rsidRPr="006D6AF9">
        <w:rPr>
          <w:rFonts w:ascii="Times New Roman" w:hAnsi="Times New Roman" w:cs="Times New Roman"/>
          <w:sz w:val="20"/>
          <w:szCs w:val="20"/>
        </w:rPr>
        <w:tab/>
        <w:t>Wang T, Qiu S, Weng Y, Chen L, Liu Q, Long J, et al. Liquid fuel production by aqueous phase catalytic transformation of biomass for aviation. Applied Energy 2015;160:329–35. https://doi.org/10.1016/j.apenergy.2015.08.116.</w:t>
      </w:r>
    </w:p>
    <w:p w14:paraId="6B54ED7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[114]</w:t>
      </w:r>
      <w:r w:rsidRPr="006D6AF9">
        <w:rPr>
          <w:rFonts w:ascii="Times New Roman" w:hAnsi="Times New Roman" w:cs="Times New Roman"/>
          <w:sz w:val="20"/>
          <w:szCs w:val="20"/>
        </w:rPr>
        <w:tab/>
        <w:t>Baldino AC, Berg R, Pavlenko N, Searle S. Advanced alternative fuel pathways: Technology overview and status 2019.</w:t>
      </w:r>
    </w:p>
    <w:p w14:paraId="3426EC3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[115]</w:t>
      </w:r>
      <w:r w:rsidRPr="006D6AF9">
        <w:rPr>
          <w:rFonts w:ascii="Times New Roman" w:hAnsi="Times New Roman" w:cs="Times New Roman"/>
          <w:sz w:val="20"/>
          <w:szCs w:val="20"/>
        </w:rPr>
        <w:tab/>
        <w:t>Mohan D, Pittman CU, Steele PH. Pyrolysis of wood/biomass for bio-oil: A critical review. Energy and Fuels 2006;20:848–89. https://doi.org/10.1021/ef0502397.</w:t>
      </w:r>
    </w:p>
    <w:p w14:paraId="543FADF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[116]</w:t>
      </w:r>
      <w:r w:rsidRPr="006D6AF9">
        <w:rPr>
          <w:rFonts w:ascii="Times New Roman" w:hAnsi="Times New Roman" w:cs="Times New Roman"/>
          <w:sz w:val="20"/>
          <w:szCs w:val="20"/>
        </w:rPr>
        <w:tab/>
        <w:t>Bridgwater A V., Czernik S, Piskorz J. An Overview of Fast Pyrolysis. Progress in Thermochemical Biomass Conversion 2008:977–97. https://doi.org/10.1002/9780470694954.ch80.</w:t>
      </w:r>
    </w:p>
    <w:p w14:paraId="2A012C2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[117]</w:t>
      </w:r>
      <w:r w:rsidRPr="006D6AF9">
        <w:rPr>
          <w:rFonts w:ascii="Times New Roman" w:hAnsi="Times New Roman" w:cs="Times New Roman"/>
          <w:sz w:val="20"/>
          <w:szCs w:val="20"/>
        </w:rPr>
        <w:tab/>
        <w:t>Ramirez JA, Brown RJ, Rainey TJ. A review of hydrothermal liquefaction bio-crude properties and prospects for upgrading to transportation fuels. Energies 2015;8:6765–94. https://doi.org/10.3390/en8076765.</w:t>
      </w:r>
    </w:p>
    <w:p w14:paraId="0A089F9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[118]</w:t>
      </w:r>
      <w:r w:rsidRPr="006D6AF9">
        <w:rPr>
          <w:rFonts w:ascii="Times New Roman" w:hAnsi="Times New Roman" w:cs="Times New Roman"/>
          <w:sz w:val="20"/>
          <w:szCs w:val="20"/>
        </w:rPr>
        <w:tab/>
        <w:t>Vardon DR, Sharma BK, Scott J, Yu G, Wang Z, Schideman L, et al. Chemical properties of biocrude oil from the hydrothermal liquefaction of Spirulina algae, swine manure, and digested anaerobic sludge. Bioresource Technology 2011;102:8295–303. https://doi.org/10.1016/j.biortech.2011.06.041.</w:t>
      </w:r>
    </w:p>
    <w:p w14:paraId="07DEB37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[119]</w:t>
      </w:r>
      <w:r w:rsidRPr="006D6AF9">
        <w:rPr>
          <w:rFonts w:ascii="Times New Roman" w:hAnsi="Times New Roman" w:cs="Times New Roman"/>
          <w:sz w:val="20"/>
          <w:szCs w:val="20"/>
        </w:rPr>
        <w:tab/>
        <w:t>Shi W, Gao Y, Song S, Zhao Y. One-pot conversion of bio-oil to diesel- and jet-fuel-range hydrocarbons in supercritical cyclohexane. Industrial and Engineering Chemistry Research 2014;53:11557–65. https://doi.org/10.1021/ie501682r.</w:t>
      </w:r>
    </w:p>
    <w:p w14:paraId="059735F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[120]</w:t>
      </w:r>
      <w:r w:rsidRPr="006D6AF9">
        <w:rPr>
          <w:rFonts w:ascii="Times New Roman" w:hAnsi="Times New Roman" w:cs="Times New Roman"/>
          <w:sz w:val="20"/>
          <w:szCs w:val="20"/>
        </w:rPr>
        <w:tab/>
        <w:t>Watson J, Wang T, Si B, Chen WT, Aierzhati A, Zhang Y. Valorization of hydrothermal liquefaction aqueous phase: pathways towards commercial viability. Progress in Energy and Combustion Science 2020;77. https://doi.org/10.1016/j.pecs.2019.100819.</w:t>
      </w:r>
    </w:p>
    <w:p w14:paraId="14FD3F5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[121]</w:t>
      </w:r>
      <w:r w:rsidRPr="006D6AF9">
        <w:rPr>
          <w:rFonts w:ascii="Times New Roman" w:hAnsi="Times New Roman" w:cs="Times New Roman"/>
          <w:sz w:val="20"/>
          <w:szCs w:val="20"/>
        </w:rPr>
        <w:tab/>
        <w:t>Nazari L, Yuan Z, Souzanchi S, Ray MB, Xu C. Hydrothermal liquefaction of woody biomass in hot-compressed water: Catalyst screening and comprehensive characterization of bio-crude oils. Fuel 2015;162:74–83. https://doi.org/10.1016/j.fuel.2015.08.055.</w:t>
      </w:r>
    </w:p>
    <w:p w14:paraId="527479F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[122]</w:t>
      </w:r>
      <w:r w:rsidRPr="006D6AF9">
        <w:rPr>
          <w:rFonts w:ascii="Times New Roman" w:hAnsi="Times New Roman" w:cs="Times New Roman"/>
          <w:sz w:val="20"/>
          <w:szCs w:val="20"/>
        </w:rPr>
        <w:tab/>
        <w:t>Dimitriadis A, Bezergianni S. Hydrothermal liquefaction of various biomass and waste feedstocks for biocrude production: A state of the art review. Renewable and Sustainable Energy Reviews 2017;68:113–25. https://doi.org/10.1016/j.rser.2016.09.120.</w:t>
      </w:r>
    </w:p>
    <w:p w14:paraId="59781F3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[123]</w:t>
      </w:r>
      <w:r w:rsidRPr="006D6AF9">
        <w:rPr>
          <w:rFonts w:ascii="Times New Roman" w:hAnsi="Times New Roman" w:cs="Times New Roman"/>
          <w:sz w:val="20"/>
          <w:szCs w:val="20"/>
        </w:rPr>
        <w:tab/>
        <w:t>Zhang Q, Chang J, Wang T, Xu Y. Review of biomass pyrolysis oil properties and upgrading research. Energy Conversion and Management 2007;48:87–92. https://doi.org/10.1016/j.enconman.2006.05.010.</w:t>
      </w:r>
    </w:p>
    <w:p w14:paraId="7052986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[124]</w:t>
      </w:r>
      <w:r w:rsidRPr="006D6AF9">
        <w:rPr>
          <w:rFonts w:ascii="Times New Roman" w:hAnsi="Times New Roman" w:cs="Times New Roman"/>
          <w:sz w:val="20"/>
          <w:szCs w:val="20"/>
        </w:rPr>
        <w:tab/>
        <w:t>Karaj S, Müller J. Optimizing mechanical oil extraction of Jatropha curcas L. seeds with respect to press capacity, oil recovery and energy efficiency. Industrial Crops and Products 2011;34:1010–6. https://doi.org/10.1016/j.indcrop.2011.03.009.</w:t>
      </w:r>
    </w:p>
    <w:p w14:paraId="2BADD1A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[125]</w:t>
      </w:r>
      <w:r w:rsidRPr="006D6AF9">
        <w:rPr>
          <w:rFonts w:ascii="Times New Roman" w:hAnsi="Times New Roman" w:cs="Times New Roman"/>
          <w:sz w:val="20"/>
          <w:szCs w:val="20"/>
        </w:rPr>
        <w:tab/>
        <w:t>Ben Amara A, Kaoubi S, Starck L. Toward an optimal formulation of alternative jet fuels: Enhanced oxidation and thermal stability by the addition of cyclic molecules. Fuel 2016;173:98–105. https://doi.org/10.1016/j.fuel.2016.01.040.</w:t>
      </w:r>
    </w:p>
    <w:p w14:paraId="4650E7E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[126]</w:t>
      </w:r>
      <w:r w:rsidRPr="006D6AF9">
        <w:rPr>
          <w:rFonts w:ascii="Times New Roman" w:hAnsi="Times New Roman" w:cs="Times New Roman"/>
          <w:sz w:val="20"/>
          <w:szCs w:val="20"/>
        </w:rPr>
        <w:tab/>
        <w:t>Buffi, M., Valera-Medina, A., Marsh, R., Pugh, D., Giles, A., Runyon, J., chiaramonti. D. Emissions characterization tests for HRJ fuel from used cooking oil and its blends.pdf. Applied Energy 2017;201:84–93. https://doi.org/10.1016/j.apenergy.2017.05.104.</w:t>
      </w:r>
    </w:p>
    <w:p w14:paraId="28DC986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[127]</w:t>
      </w:r>
      <w:r w:rsidRPr="006D6AF9">
        <w:rPr>
          <w:rFonts w:ascii="Times New Roman" w:hAnsi="Times New Roman" w:cs="Times New Roman"/>
          <w:sz w:val="20"/>
          <w:szCs w:val="20"/>
        </w:rPr>
        <w:tab/>
        <w:t>Li T, Cheng J, Huang R, Zhou J, Cen K. Conversion of waste cooking oil to jet biofuel with nickel-based mesoporous zeolite Y catalyst. Bioresource Technology 2015;197:289–94. https://doi.org/10.1016/j.biortech.2015.08.115.</w:t>
      </w:r>
    </w:p>
    <w:p w14:paraId="31CE7B7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[128]</w:t>
      </w:r>
      <w:r w:rsidRPr="006D6AF9">
        <w:rPr>
          <w:rFonts w:ascii="Times New Roman" w:hAnsi="Times New Roman" w:cs="Times New Roman"/>
          <w:sz w:val="20"/>
          <w:szCs w:val="20"/>
        </w:rPr>
        <w:tab/>
        <w:t>Chen RX, Wang WC. The production of renewable aviation fuel from waste cooking oil. Part I: Bio-alkane conversion through hydro-processing of oil. Renewable Energy 2019;135:819–35. https://doi.org/10.1016/j.renene.2018.12.048.</w:t>
      </w:r>
    </w:p>
    <w:p w14:paraId="5963168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[129]</w:t>
      </w:r>
      <w:r w:rsidRPr="006D6AF9">
        <w:rPr>
          <w:rFonts w:ascii="Times New Roman" w:hAnsi="Times New Roman" w:cs="Times New Roman"/>
          <w:sz w:val="20"/>
          <w:szCs w:val="20"/>
        </w:rPr>
        <w:tab/>
        <w:t>Yang J, Xin Z, He Q (Sophia), Corscadden K, Niu H. An overview on performance characteristics of bio-jet fuels. Fuel 2019;237:916–36. https://doi.org/10.1016/j.fuel.2018.10.079.</w:t>
      </w:r>
    </w:p>
    <w:p w14:paraId="496385B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[130]</w:t>
      </w:r>
      <w:r w:rsidRPr="006D6AF9">
        <w:rPr>
          <w:rFonts w:ascii="Times New Roman" w:hAnsi="Times New Roman" w:cs="Times New Roman"/>
          <w:sz w:val="20"/>
          <w:szCs w:val="20"/>
        </w:rPr>
        <w:tab/>
        <w:t>Verma D, Rana BS, Kumar R, Sibi MG, Sinha AK. Diesel and aviation kerosene with desired aromatics from hydroprocessing of jatropha oil over hydrogenation catalysts supported on hierarchical mesoporous SAPO-11. Applied Catalysis A: General 2015;490:108–16. https://doi.org/10.1016/j.apcata.2014.11.007.</w:t>
      </w:r>
    </w:p>
    <w:p w14:paraId="0A0DAD6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[131]</w:t>
      </w:r>
      <w:r w:rsidRPr="006D6AF9">
        <w:rPr>
          <w:rFonts w:ascii="Times New Roman" w:hAnsi="Times New Roman" w:cs="Times New Roman"/>
          <w:sz w:val="20"/>
          <w:szCs w:val="20"/>
        </w:rPr>
        <w:tab/>
        <w:t>Ameen M, Azizan MT, Yusup S, Ramli A, Yasir M. Catalytic hydrodeoxygenation of triglycerides: An approach to clean diesel fuel production. Renewable and Sustainable Energy Reviews 2017;80:1072–88. https://doi.org/10.1016/j.rser.2017.05.268.</w:t>
      </w:r>
    </w:p>
    <w:p w14:paraId="49C2F04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[132]</w:t>
      </w:r>
      <w:r w:rsidRPr="006D6AF9">
        <w:rPr>
          <w:rFonts w:ascii="Times New Roman" w:hAnsi="Times New Roman" w:cs="Times New Roman"/>
          <w:sz w:val="20"/>
          <w:szCs w:val="20"/>
        </w:rPr>
        <w:tab/>
        <w:t>Rabaev M, Landau M V., Vidruk-Nehemya R, Koukouliev V, Zarchin R, Herskowitz M. Conversion of vegetable oils on Pt/Al2O3/SAPO-11 to diesel and jet fuels containing aromatics. Fuel 2015;161:287–94. https://doi.org/10.1016/j.fuel.2015.08.063.</w:t>
      </w:r>
    </w:p>
    <w:p w14:paraId="5689EC0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[133]</w:t>
      </w:r>
      <w:r w:rsidRPr="006D6AF9">
        <w:rPr>
          <w:rFonts w:ascii="Times New Roman" w:hAnsi="Times New Roman" w:cs="Times New Roman"/>
          <w:sz w:val="20"/>
          <w:szCs w:val="20"/>
        </w:rPr>
        <w:tab/>
        <w:t>Zhao X, Wei L, Julson J, Qiao Q, Dubey A, Anderson G. Catalytic cracking of non-edible sunflower oil over ZSM-5 for hydrocarbon bio-jet fuel. New Biotechnology 2015;32:300–12. https://doi.org/10.1016/j.nbt.2015.01.004.</w:t>
      </w:r>
    </w:p>
    <w:p w14:paraId="042FAC0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[134]</w:t>
      </w:r>
      <w:r w:rsidRPr="006D6AF9">
        <w:rPr>
          <w:rFonts w:ascii="Times New Roman" w:hAnsi="Times New Roman" w:cs="Times New Roman"/>
          <w:sz w:val="20"/>
          <w:szCs w:val="20"/>
        </w:rPr>
        <w:tab/>
        <w:t>Li L, Coppola E, Rine J, Miller JL, Walker D. Catalytic hydrothermal conversion of triglycerides to non-ester biofuels. Energy and Fuels 2010;24:1305–15. https://doi.org/10.1021/ef901163a.</w:t>
      </w:r>
    </w:p>
    <w:p w14:paraId="33E7047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[135]</w:t>
      </w:r>
      <w:r w:rsidRPr="006D6AF9">
        <w:rPr>
          <w:rFonts w:ascii="Times New Roman" w:hAnsi="Times New Roman" w:cs="Times New Roman"/>
          <w:sz w:val="20"/>
          <w:szCs w:val="20"/>
        </w:rPr>
        <w:tab/>
        <w:t>Li L. Method of converting triglycerides to biofuels. US 7,691,159 B2, 2010.</w:t>
      </w:r>
    </w:p>
    <w:p w14:paraId="40A45D5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[136]</w:t>
      </w:r>
      <w:r w:rsidRPr="006D6AF9">
        <w:rPr>
          <w:rFonts w:ascii="Times New Roman" w:hAnsi="Times New Roman" w:cs="Times New Roman"/>
          <w:sz w:val="20"/>
          <w:szCs w:val="20"/>
        </w:rPr>
        <w:tab/>
        <w:t>McGarvey E, Tyner WE. A stochastic techno-economic analysis of the catalytic hydrothermolysis aviation biofuel technology. Biofuels, Bioproducts and Biorefining 2018;12:474–84. https://doi.org/10.1002/bbb.1863.</w:t>
      </w:r>
    </w:p>
    <w:p w14:paraId="7C9CDCD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[137]</w:t>
      </w:r>
      <w:r w:rsidRPr="006D6AF9">
        <w:rPr>
          <w:rFonts w:ascii="Times New Roman" w:hAnsi="Times New Roman" w:cs="Times New Roman"/>
          <w:sz w:val="20"/>
          <w:szCs w:val="20"/>
        </w:rPr>
        <w:tab/>
        <w:t>ATAG. Sustainable Aviation Fuel (SAF) 2019. https://www.atag.org/our-activities/sustainable-aviation-fuels.html (accessed November 10, 2019).</w:t>
      </w:r>
    </w:p>
    <w:p w14:paraId="28D0297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[138]</w:t>
      </w:r>
      <w:r w:rsidRPr="006D6AF9">
        <w:rPr>
          <w:rFonts w:ascii="Times New Roman" w:hAnsi="Times New Roman" w:cs="Times New Roman"/>
          <w:sz w:val="20"/>
          <w:szCs w:val="20"/>
        </w:rPr>
        <w:tab/>
        <w:t>Guo XM, Trably E, Latrille E, Carrre H, Steyer JP. Hydrogen production from agricultural waste by dark fermentation: A review. International Journal of Hydrogen Energy 2010;35:10660–73. https://doi.org/10.1016/j.ijhydene.2010.03.008.</w:t>
      </w:r>
    </w:p>
    <w:p w14:paraId="54D2ED6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lang w:val="fr-FR"/>
        </w:rPr>
        <w:t>[139]</w:t>
      </w:r>
      <w:r w:rsidRPr="006D6AF9">
        <w:rPr>
          <w:rFonts w:ascii="Times New Roman" w:hAnsi="Times New Roman" w:cs="Times New Roman"/>
          <w:sz w:val="20"/>
          <w:szCs w:val="20"/>
          <w:lang w:val="fr-FR"/>
        </w:rPr>
        <w:tab/>
        <w:t xml:space="preserve">Marxer D, Furler P, Scheffe J, Geerlings H, Falter C, Batteiger V, et al. </w:t>
      </w:r>
      <w:r w:rsidRPr="006D6AF9">
        <w:rPr>
          <w:rFonts w:ascii="Times New Roman" w:hAnsi="Times New Roman" w:cs="Times New Roman"/>
          <w:sz w:val="20"/>
          <w:szCs w:val="20"/>
        </w:rPr>
        <w:t>Demonstration of the entire production chain to renewable kerosene via solar thermochemical splitting of H2O and CO2. Energy and Fuels 2015;29:3241–50. https://doi.org/10.1021/acs.energyfuels.5b00351.</w:t>
      </w:r>
    </w:p>
    <w:p w14:paraId="3AEB67D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[140]</w:t>
      </w:r>
      <w:r w:rsidRPr="006D6AF9">
        <w:rPr>
          <w:rFonts w:ascii="Times New Roman" w:hAnsi="Times New Roman" w:cs="Times New Roman"/>
          <w:sz w:val="20"/>
          <w:szCs w:val="20"/>
        </w:rPr>
        <w:tab/>
        <w:t>Nabgan W, Tuan Abdullah TA, Mat R, Nabgan B, Gambo Y, Ibrahim M, et al. Renewable hydrogen production from bio-oil derivative via catalytic steam reforming: An overview. Renewable and Sustainable Energy Reviews 2017;79:347–57. https://doi.org/10.1016/j.rser.2017.05.069.</w:t>
      </w:r>
    </w:p>
    <w:p w14:paraId="73FB2C2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[141]</w:t>
      </w:r>
      <w:r w:rsidRPr="006D6AF9">
        <w:rPr>
          <w:rFonts w:ascii="Times New Roman" w:hAnsi="Times New Roman" w:cs="Times New Roman"/>
          <w:sz w:val="20"/>
          <w:szCs w:val="20"/>
        </w:rPr>
        <w:tab/>
        <w:t>Nikolaidis P, Poullikkas A. A comparative overview of hydrogen production processes. Renewable and Sustainable Energy Reviews 2017;67:597–611. https://doi.org/10.1016/j.rser.2016.09.044.</w:t>
      </w:r>
    </w:p>
    <w:p w14:paraId="05DA6D0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[142]</w:t>
      </w:r>
      <w:r w:rsidRPr="006D6AF9">
        <w:rPr>
          <w:rFonts w:ascii="Times New Roman" w:hAnsi="Times New Roman" w:cs="Times New Roman"/>
          <w:sz w:val="20"/>
          <w:szCs w:val="20"/>
        </w:rPr>
        <w:tab/>
        <w:t>Hoes M, Ackermann S, Theiler D, Furler P, Steinfeld A. Additive-Manufactured Ordered Porous Structures Made of Ceria for Concentrating Solar Applications. Energy Technology 2019;7. https://doi.org/10.1002/ente.201900484.</w:t>
      </w:r>
    </w:p>
    <w:p w14:paraId="27946AC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[143]</w:t>
      </w:r>
      <w:r w:rsidRPr="006D6AF9">
        <w:rPr>
          <w:rFonts w:ascii="Times New Roman" w:hAnsi="Times New Roman" w:cs="Times New Roman"/>
          <w:sz w:val="20"/>
          <w:szCs w:val="20"/>
        </w:rPr>
        <w:tab/>
        <w:t>International Energy Agency. The future of hydrogen Seizing today’s opportunities. 2019.</w:t>
      </w:r>
    </w:p>
    <w:p w14:paraId="03D001C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[144]</w:t>
      </w:r>
      <w:r w:rsidRPr="006D6AF9">
        <w:rPr>
          <w:rFonts w:ascii="Times New Roman" w:hAnsi="Times New Roman" w:cs="Times New Roman"/>
          <w:sz w:val="20"/>
          <w:szCs w:val="20"/>
        </w:rPr>
        <w:tab/>
        <w:t>Campanari S, Guandalini G, Coolegem J, Ten Have J, Hayes P, Pichel AH. Modeling, Development, and Testing of a 2 MW Polymeric Electrolyte Membrane Fuel Cell Plant Fueled with Hydrogen from a Chlor-Alkali Industry. Journal of Electrochemical Energy Conversion and Storage 2019;16:1–9. https://doi.org/10.1115/1.4042923.</w:t>
      </w:r>
    </w:p>
    <w:p w14:paraId="5DDFC67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[145]</w:t>
      </w:r>
      <w:r w:rsidRPr="006D6AF9">
        <w:rPr>
          <w:rFonts w:ascii="Times New Roman" w:hAnsi="Times New Roman" w:cs="Times New Roman"/>
          <w:sz w:val="20"/>
          <w:szCs w:val="20"/>
        </w:rPr>
        <w:tab/>
        <w:t>Haneda T, Akisawa A. Technological assessment of PEFC power generation system using by-product hydrogen produced from a caustic soda plant. International Journal of Hydrogen Energy 2017;42:3240–9. https://doi.org/10.1016/j.ijhydene.2016.10.142.</w:t>
      </w:r>
    </w:p>
    <w:p w14:paraId="6CCE9BE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[146]</w:t>
      </w:r>
      <w:r w:rsidRPr="006D6AF9">
        <w:rPr>
          <w:rFonts w:ascii="Times New Roman" w:hAnsi="Times New Roman" w:cs="Times New Roman"/>
          <w:sz w:val="20"/>
          <w:szCs w:val="20"/>
        </w:rPr>
        <w:tab/>
        <w:t>Park JH, Kim S, Bard AJ. Novel carbon-doped TiO 2 nanotube arrays with high aspect ratios for efficient solar water splitting. Nano Letters 2006;6:24–8. https://doi.org/10.1021/nl051807y.</w:t>
      </w:r>
    </w:p>
    <w:p w14:paraId="4D3FB56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[147]</w:t>
      </w:r>
      <w:r w:rsidRPr="006D6AF9">
        <w:rPr>
          <w:rFonts w:ascii="Times New Roman" w:hAnsi="Times New Roman" w:cs="Times New Roman"/>
          <w:sz w:val="20"/>
          <w:szCs w:val="20"/>
        </w:rPr>
        <w:tab/>
        <w:t>Joy J, Mathew J, George SC. Nanomaterials for photoelectrochemical water splitting – review. International Journal of Hydrogen Energy 2018;43:4804–17. https://doi.org/10.1016/j.ijhydene.2018.01.099.</w:t>
      </w:r>
    </w:p>
    <w:p w14:paraId="201DF03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[148]</w:t>
      </w:r>
      <w:r w:rsidRPr="006D6AF9">
        <w:rPr>
          <w:rFonts w:ascii="Times New Roman" w:hAnsi="Times New Roman" w:cs="Times New Roman"/>
          <w:sz w:val="20"/>
          <w:szCs w:val="20"/>
        </w:rPr>
        <w:tab/>
        <w:t>Safari F, Dincer I. A review and comparative evaluation of thermochemical water splitting cycles for hydrogen production. Energy Conversion and Management 2020;205:112182. https://doi.org/10.1016/j.enconman.2019.112182.</w:t>
      </w:r>
    </w:p>
    <w:p w14:paraId="3795BE6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[149]</w:t>
      </w:r>
      <w:r w:rsidRPr="006D6AF9">
        <w:rPr>
          <w:rFonts w:ascii="Times New Roman" w:hAnsi="Times New Roman" w:cs="Times New Roman"/>
          <w:sz w:val="20"/>
          <w:szCs w:val="20"/>
        </w:rPr>
        <w:tab/>
        <w:t>Acar C, Dincer I. Review and evaluation of hydrogen production options for better environment. Journal of Cleaner Production 2019;218:835–49. https://doi.org/10.1016/j.jclepro.2019.02.046.</w:t>
      </w:r>
    </w:p>
    <w:p w14:paraId="06B7683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[150]</w:t>
      </w:r>
      <w:r w:rsidRPr="006D6AF9">
        <w:rPr>
          <w:rFonts w:ascii="Times New Roman" w:hAnsi="Times New Roman" w:cs="Times New Roman"/>
          <w:sz w:val="20"/>
          <w:szCs w:val="20"/>
        </w:rPr>
        <w:tab/>
        <w:t>Ursúa A, Gandía LM, Sanchis P. Hydrogen production from water electrolysis: Current status and future trends. Proceedings of the IEEE 2012;100:410–26. https://doi.org/10.1109/JPROC.2011.2156750.</w:t>
      </w:r>
    </w:p>
    <w:p w14:paraId="4526C3A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[151]</w:t>
      </w:r>
      <w:r w:rsidRPr="006D6AF9">
        <w:rPr>
          <w:rFonts w:ascii="Times New Roman" w:hAnsi="Times New Roman" w:cs="Times New Roman"/>
          <w:sz w:val="20"/>
          <w:szCs w:val="20"/>
        </w:rPr>
        <w:tab/>
        <w:t>Carmo M, Fritz DL, Mergel J, Stolten D. A comprehensive review on PEM water electrolysis. International Journal of Hydrogen Energy 2013;38:4901–34. https://doi.org/10.1016/j.ijhydene.2013.01.151.</w:t>
      </w:r>
    </w:p>
    <w:p w14:paraId="7B2DA3A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[152]</w:t>
      </w:r>
      <w:r w:rsidRPr="006D6AF9">
        <w:rPr>
          <w:rFonts w:ascii="Times New Roman" w:hAnsi="Times New Roman" w:cs="Times New Roman"/>
          <w:sz w:val="20"/>
          <w:szCs w:val="20"/>
        </w:rPr>
        <w:tab/>
        <w:t>Choi IH, Hwang KR, Han JS, Lee KH, Yun JS, Lee JS. The direct production of jet-fuel from non-edible oil in a single-step process. Fuel 2015;158:98–104. https://doi.org/10.1016/j.fuel.2015.05.020.</w:t>
      </w:r>
    </w:p>
    <w:p w14:paraId="20ED304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[153]</w:t>
      </w:r>
      <w:r w:rsidRPr="006D6AF9">
        <w:rPr>
          <w:rFonts w:ascii="Times New Roman" w:hAnsi="Times New Roman" w:cs="Times New Roman"/>
          <w:sz w:val="20"/>
          <w:szCs w:val="20"/>
        </w:rPr>
        <w:tab/>
        <w:t>Song Y, Zhang X, Xie K, Wang G, Bao X. High-Temperature CO2 Electrolysis in Solid Oxide Electrolysis Cells: Developments, Challenges, and Prospects. Advanced Materials 2019;1902033:1–18. https://doi.org/10.1002/adma.201902033.</w:t>
      </w:r>
    </w:p>
    <w:p w14:paraId="4661637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[154]</w:t>
      </w:r>
      <w:r w:rsidRPr="006D6AF9">
        <w:rPr>
          <w:rFonts w:ascii="Times New Roman" w:hAnsi="Times New Roman" w:cs="Times New Roman"/>
          <w:sz w:val="20"/>
          <w:szCs w:val="20"/>
        </w:rPr>
        <w:tab/>
        <w:t>Malins C. What role is there for electrofuel technologies in European transport’s low carbon future? Cerulogy 2017.</w:t>
      </w:r>
    </w:p>
    <w:p w14:paraId="2131A00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[155]</w:t>
      </w:r>
      <w:r w:rsidRPr="006D6AF9">
        <w:rPr>
          <w:rFonts w:ascii="Times New Roman" w:hAnsi="Times New Roman" w:cs="Times New Roman"/>
          <w:sz w:val="20"/>
          <w:szCs w:val="20"/>
        </w:rPr>
        <w:tab/>
        <w:t>Li B, Duan Y, Luebke D, Morreale B. Advances in CO2 capture technology: A patent review. Applied Energy 2013;102:1439–47. https://doi.org/10.1016/j.apenergy.2012.09.009.</w:t>
      </w:r>
    </w:p>
    <w:p w14:paraId="07D3FCB1" w14:textId="77777777" w:rsidR="00CB3233" w:rsidRPr="006D6AF9" w:rsidRDefault="00CB3233" w:rsidP="00CB3233">
      <w:pPr>
        <w:pStyle w:val="Bibliography"/>
        <w:rPr>
          <w:rFonts w:ascii="Times New Roman" w:hAnsi="Times New Roman" w:cs="Times New Roman"/>
          <w:sz w:val="20"/>
          <w:szCs w:val="20"/>
          <w:lang w:val="fr-FR"/>
        </w:rPr>
      </w:pPr>
      <w:r w:rsidRPr="006D6AF9">
        <w:rPr>
          <w:rFonts w:ascii="Times New Roman" w:hAnsi="Times New Roman" w:cs="Times New Roman"/>
          <w:sz w:val="20"/>
          <w:szCs w:val="20"/>
        </w:rPr>
        <w:t>[156]</w:t>
      </w:r>
      <w:r w:rsidRPr="006D6AF9">
        <w:rPr>
          <w:rFonts w:ascii="Times New Roman" w:hAnsi="Times New Roman" w:cs="Times New Roman"/>
          <w:sz w:val="20"/>
          <w:szCs w:val="20"/>
        </w:rPr>
        <w:tab/>
        <w:t xml:space="preserve">Keith DW. Why capture CO2 from the atmosphere? </w:t>
      </w:r>
      <w:r w:rsidRPr="006D6AF9">
        <w:rPr>
          <w:rFonts w:ascii="Times New Roman" w:hAnsi="Times New Roman" w:cs="Times New Roman"/>
          <w:sz w:val="20"/>
          <w:szCs w:val="20"/>
          <w:lang w:val="fr-FR"/>
        </w:rPr>
        <w:t>Science 2009;325:1654–5. https://doi.org/10.1126/science.1175680.</w:t>
      </w:r>
    </w:p>
    <w:p w14:paraId="6A91B9D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lang w:val="fr-FR"/>
        </w:rPr>
        <w:t>[157]</w:t>
      </w:r>
      <w:r w:rsidRPr="006D6AF9">
        <w:rPr>
          <w:rFonts w:ascii="Times New Roman" w:hAnsi="Times New Roman" w:cs="Times New Roman"/>
          <w:sz w:val="20"/>
          <w:szCs w:val="20"/>
          <w:lang w:val="fr-FR"/>
        </w:rPr>
        <w:tab/>
        <w:t xml:space="preserve">Zheng Y, Wang J, Yu B, Zhang W, Chen J, Qiao J, et al. </w:t>
      </w:r>
      <w:r w:rsidRPr="006D6AF9">
        <w:rPr>
          <w:rFonts w:ascii="Times New Roman" w:hAnsi="Times New Roman" w:cs="Times New Roman"/>
          <w:sz w:val="20"/>
          <w:szCs w:val="20"/>
        </w:rPr>
        <w:t>A review of high temperature co-electrolysis of H2O and CO2 to produce sustainable fuels using solid oxide electrolysis cells (SOECs): Advanced materials and technology. Chemical Society Reviews 2017;46:1427–63. https://doi.org/10.1039/c6cs00403b.</w:t>
      </w:r>
    </w:p>
    <w:p w14:paraId="7394298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[158]</w:t>
      </w:r>
      <w:r w:rsidRPr="006D6AF9">
        <w:rPr>
          <w:rFonts w:ascii="Times New Roman" w:hAnsi="Times New Roman" w:cs="Times New Roman"/>
          <w:sz w:val="20"/>
          <w:szCs w:val="20"/>
        </w:rPr>
        <w:tab/>
        <w:t>Bhandari R, Trudewind CA, Zapp P. Life cycle assessment of hydrogen production via electrolysis - A review. Journal of Cleaner Production 2014;85:151–63. https://doi.org/10.1016/j.jclepro.2013.07.048.</w:t>
      </w:r>
    </w:p>
    <w:p w14:paraId="1609FC8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[159]</w:t>
      </w:r>
      <w:r w:rsidRPr="006D6AF9">
        <w:rPr>
          <w:rFonts w:ascii="Times New Roman" w:hAnsi="Times New Roman" w:cs="Times New Roman"/>
          <w:sz w:val="20"/>
          <w:szCs w:val="20"/>
        </w:rPr>
        <w:tab/>
        <w:t>Bhandari R, Trudewind CA, Zapp P. Life cycle assessment of hydrogen production via electrolysis - A review. Journal of Cleaner Production 2014;85:151–63. https://doi.org/10.1016/j.jclepro.2013.07.048.</w:t>
      </w:r>
    </w:p>
    <w:p w14:paraId="1828C06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[160]</w:t>
      </w:r>
      <w:r w:rsidRPr="006D6AF9">
        <w:rPr>
          <w:rFonts w:ascii="Times New Roman" w:hAnsi="Times New Roman" w:cs="Times New Roman"/>
          <w:sz w:val="20"/>
          <w:szCs w:val="20"/>
        </w:rPr>
        <w:tab/>
        <w:t>Parhad PS, Nirukhe AB. Hydrogen production method by multi-step copper-chlorine thermochemical cycle. WO 2013/054340 A2, 2013.</w:t>
      </w:r>
    </w:p>
    <w:p w14:paraId="6E69D33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[161]</w:t>
      </w:r>
      <w:r w:rsidRPr="006D6AF9">
        <w:rPr>
          <w:rFonts w:ascii="Times New Roman" w:hAnsi="Times New Roman" w:cs="Times New Roman"/>
          <w:sz w:val="20"/>
          <w:szCs w:val="20"/>
        </w:rPr>
        <w:tab/>
        <w:t>Furler P, Scheffe JR, Steinfeld A. Syngas production by simultaneous splitting of H 2O and CO 2via ceria redox reactions in a high-temperature solar reactor. Energy and Environmental Science 2012;5:6098–103. https://doi.org/10.1039/c1ee02620h.</w:t>
      </w:r>
    </w:p>
    <w:p w14:paraId="6CD977E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[162]</w:t>
      </w:r>
      <w:r w:rsidRPr="006D6AF9">
        <w:rPr>
          <w:rFonts w:ascii="Times New Roman" w:hAnsi="Times New Roman" w:cs="Times New Roman"/>
          <w:sz w:val="20"/>
          <w:szCs w:val="20"/>
        </w:rPr>
        <w:tab/>
        <w:t>SUN to LIQUID project - SUN to LIQUID project n.d. http://www.sun-to-liquid.eu/ (accessed February 27, 2020).</w:t>
      </w:r>
    </w:p>
    <w:p w14:paraId="6DD9509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[163]</w:t>
      </w:r>
      <w:r w:rsidRPr="006D6AF9">
        <w:rPr>
          <w:rFonts w:ascii="Times New Roman" w:hAnsi="Times New Roman" w:cs="Times New Roman"/>
          <w:sz w:val="20"/>
          <w:szCs w:val="20"/>
        </w:rPr>
        <w:tab/>
        <w:t>Hankin A, Shah N. Process exploration and assessment for the production of methanol and dimethyl ether from carbon dioxide and water. Sustainable Energy &amp; Fuels 2017;1:1541–56. https://doi.org/10.1039/c7se00206h.</w:t>
      </w:r>
    </w:p>
    <w:p w14:paraId="44F5F7A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[164]</w:t>
      </w:r>
      <w:r w:rsidRPr="006D6AF9">
        <w:rPr>
          <w:rFonts w:ascii="Times New Roman" w:hAnsi="Times New Roman" w:cs="Times New Roman"/>
          <w:sz w:val="20"/>
          <w:szCs w:val="20"/>
        </w:rPr>
        <w:tab/>
        <w:t>Andika R, Nandiyanto ABD, Putra ZA, Bilad MR, Kim Y, Yun CM, et al. Co-electrolysis for power-to-methanol applications. Renewable and Sustainable Energy Reviews 2018;95:227–41. https://doi.org/10.1016/j.rser.2018.07.030.</w:t>
      </w:r>
    </w:p>
    <w:p w14:paraId="2B2A245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[165]</w:t>
      </w:r>
      <w:r w:rsidRPr="006D6AF9">
        <w:rPr>
          <w:rFonts w:ascii="Times New Roman" w:hAnsi="Times New Roman" w:cs="Times New Roman"/>
          <w:sz w:val="20"/>
          <w:szCs w:val="20"/>
        </w:rPr>
        <w:tab/>
        <w:t>Yurchak S. Developmbnt of mobil’s H-IXBD-HKD methanol-to-gasoline (MTG) process. vol. 36. 1988. https://doi.org/10.1016/S0167-2991(09)60521-8.</w:t>
      </w:r>
    </w:p>
    <w:p w14:paraId="0AC2298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[166]</w:t>
      </w:r>
      <w:r w:rsidRPr="006D6AF9">
        <w:rPr>
          <w:rFonts w:ascii="Times New Roman" w:hAnsi="Times New Roman" w:cs="Times New Roman"/>
          <w:sz w:val="20"/>
          <w:szCs w:val="20"/>
        </w:rPr>
        <w:tab/>
        <w:t>ExxonMobil. Synthetic Fuel Process | ExxonMobil Chemical 2019. https://www.exxonmobilchemical.com/en/catalysts-and-technology-licensing/synthetic-fuels (accessed February 18, 2020).</w:t>
      </w:r>
    </w:p>
    <w:p w14:paraId="55BFF1C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[167]</w:t>
      </w:r>
      <w:r w:rsidRPr="006D6AF9">
        <w:rPr>
          <w:rFonts w:ascii="Times New Roman" w:hAnsi="Times New Roman" w:cs="Times New Roman"/>
          <w:sz w:val="20"/>
          <w:szCs w:val="20"/>
        </w:rPr>
        <w:tab/>
        <w:t>Ashok B, Denis Ashok S, Ramesh Kumar C. LPG diesel dual fuel engine - A critical review. Alexandria Engineering Journal 2015;54:105–26. https://doi.org/10.1016/j.aej.2015.03.002.</w:t>
      </w:r>
    </w:p>
    <w:p w14:paraId="3FABB2B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[168]</w:t>
      </w:r>
      <w:r w:rsidRPr="006D6AF9">
        <w:rPr>
          <w:rFonts w:ascii="Times New Roman" w:hAnsi="Times New Roman" w:cs="Times New Roman"/>
          <w:sz w:val="20"/>
          <w:szCs w:val="20"/>
        </w:rPr>
        <w:tab/>
        <w:t>Neste. Neste delivers first batch of 100% renewable propane to European market - Green Car Congress. Green Car Congress 2018. https://www.neste.com/releases-and-news/renewable-solutions/neste-delivers-first-batch-100-renewable-propane-european-market (accessed November 19, 2019).</w:t>
      </w:r>
    </w:p>
    <w:p w14:paraId="38F4ED2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[169]</w:t>
      </w:r>
      <w:r w:rsidRPr="006D6AF9">
        <w:rPr>
          <w:rFonts w:ascii="Times New Roman" w:hAnsi="Times New Roman" w:cs="Times New Roman"/>
          <w:sz w:val="20"/>
          <w:szCs w:val="20"/>
        </w:rPr>
        <w:tab/>
        <w:t>Pyl SP, Schietekat CM, Reyniers MF, Abhari R, Marin GB, Van Geem KM. Biomass to olefins: Cracking of renewable naphtha. Chemical Engineering Journal 2011;176–177:178–87. https://doi.org/10.1016/j.cej.2011.04.062.</w:t>
      </w:r>
    </w:p>
    <w:p w14:paraId="2739D71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[170]</w:t>
      </w:r>
      <w:r w:rsidRPr="006D6AF9">
        <w:rPr>
          <w:rFonts w:ascii="Times New Roman" w:hAnsi="Times New Roman" w:cs="Times New Roman"/>
          <w:sz w:val="20"/>
          <w:szCs w:val="20"/>
        </w:rPr>
        <w:tab/>
        <w:t>Piehl JA, Zyada A, Bravo L, Samimi-Abianeh O. Review of Oxidation of Gasoline Surrogates and Its Components. Journal of Combustion 2018;2018. https://doi.org/10.1155/2018/8406754.</w:t>
      </w:r>
    </w:p>
    <w:p w14:paraId="70FE625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[171]</w:t>
      </w:r>
      <w:r w:rsidRPr="006D6AF9">
        <w:rPr>
          <w:rFonts w:ascii="Times New Roman" w:hAnsi="Times New Roman" w:cs="Times New Roman"/>
          <w:sz w:val="20"/>
          <w:szCs w:val="20"/>
        </w:rPr>
        <w:tab/>
        <w:t>Tamm DC, Devenish GN, Finelt DR, Kalt AL. Analysis of Gasoline Octane Costs Prepared for. 2018.</w:t>
      </w:r>
    </w:p>
    <w:p w14:paraId="6A10095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[172]</w:t>
      </w:r>
      <w:r w:rsidRPr="006D6AF9">
        <w:rPr>
          <w:rFonts w:ascii="Times New Roman" w:hAnsi="Times New Roman" w:cs="Times New Roman"/>
          <w:sz w:val="20"/>
          <w:szCs w:val="20"/>
        </w:rPr>
        <w:tab/>
        <w:t>Neste. Neste MY Renewable Naphtha</w:t>
      </w:r>
      <w:r w:rsidRPr="006D6AF9">
        <w:rPr>
          <w:rFonts w:ascii="Times New Roman" w:hAnsi="Times New Roman" w:cs="Times New Roman"/>
          <w:sz w:val="20"/>
          <w:szCs w:val="20"/>
          <w:vertAlign w:val="superscript"/>
        </w:rPr>
        <w:t>TM</w:t>
      </w:r>
      <w:r w:rsidRPr="006D6AF9">
        <w:rPr>
          <w:rFonts w:ascii="Times New Roman" w:hAnsi="Times New Roman" w:cs="Times New Roman"/>
          <w:sz w:val="20"/>
          <w:szCs w:val="20"/>
        </w:rPr>
        <w:t xml:space="preserve"> – a more sustainable component | Neste. Neste 2019. https://www.neste.com/companies/products/renewable-products/neste-renewable-naphtha-0 (accessed November 25, 2019).</w:t>
      </w:r>
    </w:p>
    <w:p w14:paraId="0442FEC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[173]</w:t>
      </w:r>
      <w:r w:rsidRPr="006D6AF9">
        <w:rPr>
          <w:rFonts w:ascii="Times New Roman" w:hAnsi="Times New Roman" w:cs="Times New Roman"/>
          <w:sz w:val="20"/>
          <w:szCs w:val="20"/>
        </w:rPr>
        <w:tab/>
        <w:t>Simpson SD, Tran PL, Mihalcea CD, Fung JMY, Liew F. Production of butanediol by anaerobic microbial fermentation on carbon monoxide 2009;2:46pp.</w:t>
      </w:r>
    </w:p>
    <w:p w14:paraId="193536F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[174]</w:t>
      </w:r>
      <w:r w:rsidRPr="006D6AF9">
        <w:rPr>
          <w:rFonts w:ascii="Times New Roman" w:hAnsi="Times New Roman" w:cs="Times New Roman"/>
          <w:sz w:val="20"/>
          <w:szCs w:val="20"/>
        </w:rPr>
        <w:tab/>
        <w:t>U.S. Food and Drug Administration. CFR - Code of Federal Regulations Title 21 n.d. https://www.accessdata.fda.gov/scripts/cdrh/cfdocs/cfcfr/CFRSearch.cfm?fr=173.220 (accessed October 19, 2020).</w:t>
      </w:r>
    </w:p>
    <w:p w14:paraId="298B7D2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[175]</w:t>
      </w:r>
      <w:r w:rsidRPr="006D6AF9">
        <w:rPr>
          <w:rFonts w:ascii="Times New Roman" w:hAnsi="Times New Roman" w:cs="Times New Roman"/>
          <w:sz w:val="20"/>
          <w:szCs w:val="20"/>
        </w:rPr>
        <w:tab/>
        <w:t>Białkowska AM. Strategies for efficient and economical 2,3-butanediol production: new trends in this field. World Journal of Microbiology and Biotechnology 2016;32. https://doi.org/10.1007/s11274-016-2161-x.</w:t>
      </w:r>
    </w:p>
    <w:p w14:paraId="674DE51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[176]</w:t>
      </w:r>
      <w:r w:rsidRPr="006D6AF9">
        <w:rPr>
          <w:rFonts w:ascii="Times New Roman" w:hAnsi="Times New Roman" w:cs="Times New Roman"/>
          <w:sz w:val="20"/>
          <w:szCs w:val="20"/>
        </w:rPr>
        <w:tab/>
        <w:t>TransparencyMarketResearch. Market Research Report. Albany, New York, USA: 2019.</w:t>
      </w:r>
    </w:p>
    <w:p w14:paraId="325A709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[177]</w:t>
      </w:r>
      <w:r w:rsidRPr="006D6AF9">
        <w:rPr>
          <w:rFonts w:ascii="Times New Roman" w:hAnsi="Times New Roman" w:cs="Times New Roman"/>
          <w:sz w:val="20"/>
          <w:szCs w:val="20"/>
        </w:rPr>
        <w:tab/>
        <w:t>Chen, S.C., Chu, C. C., Lin, F.S., Chou JY. Process for preparing 1,4-butanediol. 5426250, 1995.</w:t>
      </w:r>
    </w:p>
    <w:p w14:paraId="529ECE9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[178]</w:t>
      </w:r>
      <w:r w:rsidRPr="006D6AF9">
        <w:rPr>
          <w:rFonts w:ascii="Times New Roman" w:hAnsi="Times New Roman" w:cs="Times New Roman"/>
          <w:sz w:val="20"/>
          <w:szCs w:val="20"/>
        </w:rPr>
        <w:tab/>
        <w:t>Inc. N. Butanediol THF - Report abstract 2009.</w:t>
      </w:r>
    </w:p>
    <w:p w14:paraId="3167458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[179]</w:t>
      </w:r>
      <w:r w:rsidRPr="006D6AF9">
        <w:rPr>
          <w:rFonts w:ascii="Times New Roman" w:hAnsi="Times New Roman" w:cs="Times New Roman"/>
          <w:sz w:val="20"/>
          <w:szCs w:val="20"/>
        </w:rPr>
        <w:tab/>
        <w:t>Ji XJ, Huang H, Ouyang PK. Microbial 2,3-butanediol production: A state-of-the-art review. Biotechnology Advances 2011;29:351–64. https://doi.org/10.1016/j.biotechadv.2011.01.007.</w:t>
      </w:r>
    </w:p>
    <w:p w14:paraId="61E21B8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[180]</w:t>
      </w:r>
      <w:r w:rsidRPr="006D6AF9">
        <w:rPr>
          <w:rFonts w:ascii="Times New Roman" w:hAnsi="Times New Roman" w:cs="Times New Roman"/>
          <w:sz w:val="20"/>
          <w:szCs w:val="20"/>
        </w:rPr>
        <w:tab/>
        <w:t>Van Leeuwen BNM, Van Der Wulp AM, Duijnstee I, Van Maris AJA, Straathof AJJ. Fermentative production of isobutene. Applied Microbiology and Biotechnology 2012;93:1377–87. https://doi.org/10.1007/s00253-011-3853-7.</w:t>
      </w:r>
    </w:p>
    <w:p w14:paraId="3A464C8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[181]</w:t>
      </w:r>
      <w:r w:rsidRPr="006D6AF9">
        <w:rPr>
          <w:rFonts w:ascii="Times New Roman" w:hAnsi="Times New Roman" w:cs="Times New Roman"/>
          <w:sz w:val="20"/>
          <w:szCs w:val="20"/>
        </w:rPr>
        <w:tab/>
        <w:t>GlobalBioenergies. First batch of isobutene from renewable resources delivered to Arkema. Global Bioenergies 2015. https://www.global-bioenergies.com/first-batch-of-isobutene-from-renewable-resources-delivered-to-arkema/?lang=en (accessed January 29, 2020).</w:t>
      </w:r>
    </w:p>
    <w:p w14:paraId="35F2AC0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[182]</w:t>
      </w:r>
      <w:r w:rsidRPr="006D6AF9">
        <w:rPr>
          <w:rFonts w:ascii="Times New Roman" w:hAnsi="Times New Roman" w:cs="Times New Roman"/>
          <w:sz w:val="20"/>
          <w:szCs w:val="20"/>
        </w:rPr>
        <w:tab/>
        <w:t>Goortani BM, Gaurav A, Deshpande A, Ng FTT, Rempel GL. Production of isooctane from isobutene: Energy integration and carbon dioxide abatement via catalytic distillation. Industrial and Engineering Chemistry Research 2015;54:3570–81. https://doi.org/10.1021/ie5032056.</w:t>
      </w:r>
    </w:p>
    <w:p w14:paraId="39BDC82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[183]</w:t>
      </w:r>
      <w:r w:rsidRPr="006D6AF9">
        <w:rPr>
          <w:rFonts w:ascii="Times New Roman" w:hAnsi="Times New Roman" w:cs="Times New Roman"/>
          <w:sz w:val="20"/>
          <w:szCs w:val="20"/>
        </w:rPr>
        <w:tab/>
        <w:t>Gevo. Bio-Based Gasoline for High-Performance Engines. Gevo Inc 2019. https://gevo.com/products/renewable-gasoline/ (accessed January 29, 2020).</w:t>
      </w:r>
    </w:p>
    <w:p w14:paraId="40B5656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[184]</w:t>
      </w:r>
      <w:r w:rsidRPr="006D6AF9">
        <w:rPr>
          <w:rFonts w:ascii="Times New Roman" w:hAnsi="Times New Roman" w:cs="Times New Roman"/>
          <w:sz w:val="20"/>
          <w:szCs w:val="20"/>
        </w:rPr>
        <w:tab/>
        <w:t>Bhoot K. Isooctane Market to Increase Considerably. Communal News 2019. https://communalnews.com/isooctane-market-to-increase-considerably/ (accessed March 4, 2020).</w:t>
      </w:r>
    </w:p>
    <w:p w14:paraId="0A00E2D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[185]</w:t>
      </w:r>
      <w:r w:rsidRPr="006D6AF9">
        <w:rPr>
          <w:rFonts w:ascii="Times New Roman" w:hAnsi="Times New Roman" w:cs="Times New Roman"/>
          <w:sz w:val="20"/>
          <w:szCs w:val="20"/>
        </w:rPr>
        <w:tab/>
        <w:t>HCS Group. HCS Group signs purchase agreement with Gevo on renewable isooctane. HCS Group 2019. https://www.h-c-s-group.com/hcs-group-signs-purchase-agreement-with-gevo-on-renewable-isooctane/ (accessed November 27, 2019).</w:t>
      </w:r>
    </w:p>
    <w:p w14:paraId="5F0AF63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[186]</w:t>
      </w:r>
      <w:r w:rsidRPr="006D6AF9">
        <w:rPr>
          <w:rFonts w:ascii="Times New Roman" w:hAnsi="Times New Roman" w:cs="Times New Roman"/>
          <w:sz w:val="20"/>
          <w:szCs w:val="20"/>
        </w:rPr>
        <w:tab/>
        <w:t>Samimi A, Kavousi K, Zarinabadi S, Bozorgian A. Optimization of the Gasoline Production Plant in order to Increase Feed. Progress in Chemical and Biochemical Research 2020;3:7–19. https://doi.org/10.33945/sami/pcbr.2020.1.2.</w:t>
      </w:r>
    </w:p>
    <w:p w14:paraId="4294B15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[187]</w:t>
      </w:r>
      <w:r w:rsidRPr="006D6AF9">
        <w:rPr>
          <w:rFonts w:ascii="Times New Roman" w:hAnsi="Times New Roman" w:cs="Times New Roman"/>
          <w:sz w:val="20"/>
          <w:szCs w:val="20"/>
        </w:rPr>
        <w:tab/>
        <w:t>de Klerk A. Aviation Turbine Fuels Through the Fischer–Tropsch Process. Elsevier Inc.; 2016. https://doi.org/10.1016/b978-0-12-804568-8.00010-x.</w:t>
      </w:r>
    </w:p>
    <w:p w14:paraId="5D63244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[188]</w:t>
      </w:r>
      <w:r w:rsidRPr="006D6AF9">
        <w:rPr>
          <w:rFonts w:ascii="Times New Roman" w:hAnsi="Times New Roman" w:cs="Times New Roman"/>
          <w:sz w:val="20"/>
          <w:szCs w:val="20"/>
        </w:rPr>
        <w:tab/>
        <w:t>honeywell. Honeywell Green Diesel</w:t>
      </w:r>
      <w:r w:rsidRPr="006D6AF9">
        <w:rPr>
          <w:rFonts w:ascii="Times New Roman" w:hAnsi="Times New Roman" w:cs="Times New Roman"/>
          <w:sz w:val="20"/>
          <w:szCs w:val="20"/>
          <w:vertAlign w:val="superscript"/>
        </w:rPr>
        <w:t>TM</w:t>
      </w:r>
      <w:r w:rsidRPr="006D6AF9">
        <w:rPr>
          <w:rFonts w:ascii="Times New Roman" w:hAnsi="Times New Roman" w:cs="Times New Roman"/>
          <w:sz w:val="20"/>
          <w:szCs w:val="20"/>
        </w:rPr>
        <w:t xml:space="preserve"> Ecofining Process. Honeywell 2016:2016. https://www.uop.com/processing-solutions/renewables/green-diesel/ (accessed January 29, 2020).</w:t>
      </w:r>
    </w:p>
    <w:p w14:paraId="3F7385F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[189]</w:t>
      </w:r>
      <w:r w:rsidRPr="006D6AF9">
        <w:rPr>
          <w:rFonts w:ascii="Times New Roman" w:hAnsi="Times New Roman" w:cs="Times New Roman"/>
          <w:sz w:val="20"/>
          <w:szCs w:val="20"/>
        </w:rPr>
        <w:tab/>
        <w:t xml:space="preserve">Durkin T, Kersey K, Paolini J. Synthesis of Green Hydrocarbons Using the AIR TO FUELS </w:t>
      </w:r>
      <w:r w:rsidRPr="006D6AF9">
        <w:rPr>
          <w:rFonts w:ascii="Times New Roman" w:hAnsi="Times New Roman" w:cs="Times New Roman"/>
          <w:sz w:val="20"/>
          <w:szCs w:val="20"/>
          <w:vertAlign w:val="superscript"/>
        </w:rPr>
        <w:t>TM</w:t>
      </w:r>
      <w:r w:rsidRPr="006D6AF9">
        <w:rPr>
          <w:rFonts w:ascii="Times New Roman" w:hAnsi="Times New Roman" w:cs="Times New Roman"/>
          <w:sz w:val="20"/>
          <w:szCs w:val="20"/>
        </w:rPr>
        <w:t xml:space="preserve"> Technology Synthesis of Green Hydrocarbons Using the AIR TO FUELS </w:t>
      </w:r>
      <w:r w:rsidRPr="006D6AF9">
        <w:rPr>
          <w:rFonts w:ascii="Times New Roman" w:hAnsi="Times New Roman" w:cs="Times New Roman"/>
          <w:sz w:val="20"/>
          <w:szCs w:val="20"/>
          <w:vertAlign w:val="superscript"/>
        </w:rPr>
        <w:t>TM</w:t>
      </w:r>
      <w:r w:rsidRPr="006D6AF9">
        <w:rPr>
          <w:rFonts w:ascii="Times New Roman" w:hAnsi="Times New Roman" w:cs="Times New Roman"/>
          <w:sz w:val="20"/>
          <w:szCs w:val="20"/>
        </w:rPr>
        <w:t xml:space="preserve"> 2019.</w:t>
      </w:r>
    </w:p>
    <w:p w14:paraId="4DE659B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[190]</w:t>
      </w:r>
      <w:r w:rsidRPr="006D6AF9">
        <w:rPr>
          <w:rFonts w:ascii="Times New Roman" w:hAnsi="Times New Roman" w:cs="Times New Roman"/>
          <w:sz w:val="20"/>
          <w:szCs w:val="20"/>
        </w:rPr>
        <w:tab/>
        <w:t>BusinessWire. Gevo and Land O’Lakes Purina Feed Sign Off-Take and Marketing Agreement | Business Wire. Business Wire 2012. https://www.businesswire.com/news/home/20120110005824/en/Gevo-Land-O’Lakes-Purina-Feed-Sign-Off-Take (accessed December 12, 2019).</w:t>
      </w:r>
    </w:p>
    <w:p w14:paraId="190BF82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[191]</w:t>
      </w:r>
      <w:r w:rsidRPr="006D6AF9">
        <w:rPr>
          <w:rFonts w:ascii="Times New Roman" w:hAnsi="Times New Roman" w:cs="Times New Roman"/>
          <w:sz w:val="20"/>
          <w:szCs w:val="20"/>
        </w:rPr>
        <w:tab/>
        <w:t>Baumeister S, Leung A, Ryley T. The emission reduction potentials of First Generation Electric Aircraft (FGEA) in Finland. Journal of Transport Geography 2020;85:102730. https://doi.org/10.1016/j.jtrangeo.2020.102730.</w:t>
      </w:r>
    </w:p>
    <w:p w14:paraId="7B3AC42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[192]</w:t>
      </w:r>
      <w:r w:rsidRPr="006D6AF9">
        <w:rPr>
          <w:rFonts w:ascii="Times New Roman" w:hAnsi="Times New Roman" w:cs="Times New Roman"/>
          <w:sz w:val="20"/>
          <w:szCs w:val="20"/>
        </w:rPr>
        <w:tab/>
        <w:t>Domone J. The challenges and benefits of the electrification of aircraft. 2018.</w:t>
      </w:r>
    </w:p>
    <w:p w14:paraId="1883246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[193]</w:t>
      </w:r>
      <w:r w:rsidRPr="006D6AF9">
        <w:rPr>
          <w:rFonts w:ascii="Times New Roman" w:hAnsi="Times New Roman" w:cs="Times New Roman"/>
          <w:sz w:val="20"/>
          <w:szCs w:val="20"/>
        </w:rPr>
        <w:tab/>
        <w:t>Rossi N. Conceptual Design of Hybrid-Electric Aircraft. Politecnico di Milano, 2017.</w:t>
      </w:r>
    </w:p>
    <w:p w14:paraId="7A17FAA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[194]</w:t>
      </w:r>
      <w:r w:rsidRPr="006D6AF9">
        <w:rPr>
          <w:rFonts w:ascii="Times New Roman" w:hAnsi="Times New Roman" w:cs="Times New Roman"/>
          <w:sz w:val="20"/>
          <w:szCs w:val="20"/>
        </w:rPr>
        <w:tab/>
        <w:t>Ribeiro J, Afonso F, Ribeiro I, Ferreira B, Policarpo H, Peças P, et al. Environmental assessment of hybrid-electric propulsion in conceptual aircraft design. Journal of Cleaner Production 2020;247. https://doi.org/10.1016/j.jclepro.2019.119477.</w:t>
      </w:r>
    </w:p>
    <w:p w14:paraId="04F7A8D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[195]</w:t>
      </w:r>
      <w:r w:rsidRPr="006D6AF9">
        <w:rPr>
          <w:rFonts w:ascii="Times New Roman" w:hAnsi="Times New Roman" w:cs="Times New Roman"/>
          <w:sz w:val="20"/>
          <w:szCs w:val="20"/>
        </w:rPr>
        <w:tab/>
        <w:t>Vratny PC. Conceptual Design Methods of Electric Power Architectures for Hybrid Energy Aircraft 2018:1–166.</w:t>
      </w:r>
    </w:p>
    <w:p w14:paraId="2C1527B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[196]</w:t>
      </w:r>
      <w:r w:rsidRPr="006D6AF9">
        <w:rPr>
          <w:rFonts w:ascii="Times New Roman" w:hAnsi="Times New Roman" w:cs="Times New Roman"/>
          <w:sz w:val="20"/>
          <w:szCs w:val="20"/>
        </w:rPr>
        <w:tab/>
        <w:t>The Faraday Institute. Faraday Report: High-energy battery technologies. 2020.</w:t>
      </w:r>
    </w:p>
    <w:p w14:paraId="42A212C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[197]</w:t>
      </w:r>
      <w:r w:rsidRPr="006D6AF9">
        <w:rPr>
          <w:rFonts w:ascii="Times New Roman" w:hAnsi="Times New Roman" w:cs="Times New Roman"/>
          <w:sz w:val="20"/>
          <w:szCs w:val="20"/>
        </w:rPr>
        <w:tab/>
        <w:t>Thomson R, Sachdeva N, Nazukin M, Martinez N. Aircraft Electrical Propulsion – The Next Chapter of Aviation? Think: Act 2017:1–32.</w:t>
      </w:r>
    </w:p>
    <w:p w14:paraId="5EB7B1C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[198]</w:t>
      </w:r>
      <w:r w:rsidRPr="006D6AF9">
        <w:rPr>
          <w:rFonts w:ascii="Times New Roman" w:hAnsi="Times New Roman" w:cs="Times New Roman"/>
          <w:sz w:val="20"/>
          <w:szCs w:val="20"/>
        </w:rPr>
        <w:tab/>
        <w:t>Gil AA, Silva HL. Hybrid-Electric Aircraft: Conceptual Design, Structural and Aeroelastic Analyses. 2017.</w:t>
      </w:r>
    </w:p>
    <w:p w14:paraId="482B72A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[199]</w:t>
      </w:r>
      <w:r w:rsidRPr="006D6AF9">
        <w:rPr>
          <w:rFonts w:ascii="Times New Roman" w:hAnsi="Times New Roman" w:cs="Times New Roman"/>
          <w:sz w:val="20"/>
          <w:szCs w:val="20"/>
        </w:rPr>
        <w:tab/>
        <w:t>Modular Approach to Hybrid Electric Propulsion Architecture (MAHEPA). D1 . 1 : Concept of Modular Architecture for Hybrid Electric Propulsion of Aircraft December , 2017. 2017.</w:t>
      </w:r>
    </w:p>
    <w:p w14:paraId="45D9A72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[200]</w:t>
      </w:r>
      <w:r w:rsidRPr="006D6AF9">
        <w:rPr>
          <w:rFonts w:ascii="Times New Roman" w:hAnsi="Times New Roman" w:cs="Times New Roman"/>
          <w:sz w:val="20"/>
          <w:szCs w:val="20"/>
        </w:rPr>
        <w:tab/>
        <w:t>XIE Y, SAVVARISAL, ANTONIOS T, DAN Z, JASON G. Review of hybrid electric powered aircraft, its conceptual design and energy management methodologies. Chinese Journal of Aeronautics 2020. https://doi.org/10.1016/j.cja.2020.07.017.</w:t>
      </w:r>
    </w:p>
    <w:p w14:paraId="49EEC8D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[201]</w:t>
      </w:r>
      <w:r w:rsidRPr="006D6AF9">
        <w:rPr>
          <w:rFonts w:ascii="Times New Roman" w:hAnsi="Times New Roman" w:cs="Times New Roman"/>
          <w:sz w:val="20"/>
          <w:szCs w:val="20"/>
        </w:rPr>
        <w:tab/>
        <w:t>Boggero L, Corpino S, De Martin A, Evangelista G, Fioriti M, Sorli M. A virtual test bench of a parallel hybrid propulsion system for UAVs. Aerospace 2019;6. https://doi.org/10.3390/AEROSPACE6070077.</w:t>
      </w:r>
    </w:p>
    <w:p w14:paraId="689B4D4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[202]</w:t>
      </w:r>
      <w:r w:rsidRPr="006D6AF9">
        <w:rPr>
          <w:rFonts w:ascii="Times New Roman" w:hAnsi="Times New Roman" w:cs="Times New Roman"/>
          <w:sz w:val="20"/>
          <w:szCs w:val="20"/>
        </w:rPr>
        <w:tab/>
        <w:t>Chen PT, Pai PH, Yang CJ, Huang KD. Development of transmission systems for parallel hybrid electric vehicles. Applied Sciences (Switzerland) 2019;9. https://doi.org/10.3390/app9081538.</w:t>
      </w:r>
    </w:p>
    <w:p w14:paraId="28F1461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[203]</w:t>
      </w:r>
      <w:r w:rsidRPr="006D6AF9">
        <w:rPr>
          <w:rFonts w:ascii="Times New Roman" w:hAnsi="Times New Roman" w:cs="Times New Roman"/>
          <w:sz w:val="20"/>
          <w:szCs w:val="20"/>
        </w:rPr>
        <w:tab/>
        <w:t>Elmousadik S, Ridard V, Secrieru N, Joksimovic A, Maury C, Carbonneau X, et al. New Preliminary Sizing Methodology for a Commuter Airplane with Hybrid-Electric Distributed Propulsion Souha. Advanced Aircraft Efficiency in a Global Air Transport System (AEGATS 18) 2018:1–11.</w:t>
      </w:r>
    </w:p>
    <w:p w14:paraId="4B1B706B" w14:textId="77777777" w:rsidR="00CB3233" w:rsidRPr="006D6AF9" w:rsidRDefault="00CB3233" w:rsidP="00CB3233">
      <w:pPr>
        <w:pStyle w:val="Bibliography"/>
        <w:rPr>
          <w:rFonts w:ascii="Times New Roman" w:hAnsi="Times New Roman" w:cs="Times New Roman"/>
          <w:sz w:val="20"/>
          <w:szCs w:val="20"/>
          <w:lang w:val="fr-FR"/>
        </w:rPr>
      </w:pPr>
      <w:r w:rsidRPr="006D6AF9">
        <w:rPr>
          <w:rFonts w:ascii="Times New Roman" w:hAnsi="Times New Roman" w:cs="Times New Roman"/>
          <w:sz w:val="20"/>
          <w:szCs w:val="20"/>
        </w:rPr>
        <w:t>[204]</w:t>
      </w:r>
      <w:r w:rsidRPr="006D6AF9">
        <w:rPr>
          <w:rFonts w:ascii="Times New Roman" w:hAnsi="Times New Roman" w:cs="Times New Roman"/>
          <w:sz w:val="20"/>
          <w:szCs w:val="20"/>
        </w:rPr>
        <w:tab/>
        <w:t xml:space="preserve">Roland Berger. A future fuel for aviation? </w:t>
      </w:r>
      <w:r w:rsidRPr="006D6AF9">
        <w:rPr>
          <w:rFonts w:ascii="Times New Roman" w:hAnsi="Times New Roman" w:cs="Times New Roman"/>
          <w:sz w:val="20"/>
          <w:szCs w:val="20"/>
          <w:lang w:val="fr-FR"/>
        </w:rPr>
        <w:t>2020.</w:t>
      </w:r>
    </w:p>
    <w:p w14:paraId="76B4A75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lang w:val="fr-FR"/>
        </w:rPr>
        <w:t>[205]</w:t>
      </w:r>
      <w:r w:rsidRPr="006D6AF9">
        <w:rPr>
          <w:rFonts w:ascii="Times New Roman" w:hAnsi="Times New Roman" w:cs="Times New Roman"/>
          <w:sz w:val="20"/>
          <w:szCs w:val="20"/>
          <w:lang w:val="fr-FR"/>
        </w:rPr>
        <w:tab/>
        <w:t xml:space="preserve">International Air Transport Association (IATA). </w:t>
      </w:r>
      <w:r w:rsidRPr="006D6AF9">
        <w:rPr>
          <w:rFonts w:ascii="Times New Roman" w:hAnsi="Times New Roman" w:cs="Times New Roman"/>
          <w:sz w:val="20"/>
          <w:szCs w:val="20"/>
        </w:rPr>
        <w:t>Aircraft Technology Roadmap to 2050 2019:1–51.</w:t>
      </w:r>
    </w:p>
    <w:p w14:paraId="0B839E3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[206]</w:t>
      </w:r>
      <w:r w:rsidRPr="006D6AF9">
        <w:rPr>
          <w:rFonts w:ascii="Times New Roman" w:hAnsi="Times New Roman" w:cs="Times New Roman"/>
          <w:sz w:val="20"/>
          <w:szCs w:val="20"/>
        </w:rPr>
        <w:tab/>
        <w:t>Zackrisson M, Fransson K, Hildenbrand J, Lampic G, O’Dwyer C. Life cycle assessment of lithium-air battery cells. Journal of Cleaner Production 2016;135:299–311. https://doi.org/10.1016/j.jclepro.2016.06.104.</w:t>
      </w:r>
    </w:p>
    <w:p w14:paraId="5359DBC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[207]</w:t>
      </w:r>
      <w:r w:rsidRPr="006D6AF9">
        <w:rPr>
          <w:rFonts w:ascii="Times New Roman" w:hAnsi="Times New Roman" w:cs="Times New Roman"/>
          <w:sz w:val="20"/>
          <w:szCs w:val="20"/>
        </w:rPr>
        <w:tab/>
        <w:t>ASTM. ASTM D1655-19a, Standard Specification for Aviation Turbine Fuels. West Conshohocken, Pennsylvania, U.S.: 2019. https://doi.org/10.1520/D1655-19A.</w:t>
      </w:r>
    </w:p>
    <w:p w14:paraId="395150C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[208]</w:t>
      </w:r>
      <w:r w:rsidRPr="006D6AF9">
        <w:rPr>
          <w:rFonts w:ascii="Times New Roman" w:hAnsi="Times New Roman" w:cs="Times New Roman"/>
          <w:sz w:val="20"/>
          <w:szCs w:val="20"/>
        </w:rPr>
        <w:tab/>
        <w:t>ASTM. ASTM D7566-19b, Standard Specification for Aviation Turbine Fuel Containing Synthesized Hydrocarbons. West Conshohocken, Pennsylvania, U.S.: 2019. https://doi.org/10.1520/D7566-19B.</w:t>
      </w:r>
    </w:p>
    <w:p w14:paraId="7F9513A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[209]</w:t>
      </w:r>
      <w:r w:rsidRPr="006D6AF9">
        <w:rPr>
          <w:rFonts w:ascii="Times New Roman" w:hAnsi="Times New Roman" w:cs="Times New Roman"/>
          <w:sz w:val="20"/>
          <w:szCs w:val="20"/>
        </w:rPr>
        <w:tab/>
        <w:t>The National academies press. Commercial aircraft propulsion and energy systems research: Reducing global carbon emissions. National Academies Press; 2016. https://doi.org/10.17226/23490.</w:t>
      </w:r>
    </w:p>
    <w:p w14:paraId="151F9EF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[210]</w:t>
      </w:r>
      <w:r w:rsidRPr="006D6AF9">
        <w:rPr>
          <w:rFonts w:ascii="Times New Roman" w:hAnsi="Times New Roman" w:cs="Times New Roman"/>
          <w:sz w:val="20"/>
          <w:szCs w:val="20"/>
        </w:rPr>
        <w:tab/>
        <w:t>magniX. magniX. MagniX 2019. https://www.magnix.aero/ (accessed December 12, 2019).</w:t>
      </w:r>
    </w:p>
    <w:p w14:paraId="79227E0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[211]</w:t>
      </w:r>
      <w:r w:rsidRPr="006D6AF9">
        <w:rPr>
          <w:rFonts w:ascii="Times New Roman" w:hAnsi="Times New Roman" w:cs="Times New Roman"/>
          <w:sz w:val="20"/>
          <w:szCs w:val="20"/>
        </w:rPr>
        <w:tab/>
        <w:t>Grad P. Groundbreaking all-electric plane paving way to greener aviation. Tech Xplore 2020. https://techxplore.com/news/2020-05-groundbreaking-all-electric-plane-paving-greener.html (accessed August 25, 2020).</w:t>
      </w:r>
    </w:p>
    <w:p w14:paraId="3B4924D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[212]</w:t>
      </w:r>
      <w:r w:rsidRPr="006D6AF9">
        <w:rPr>
          <w:rFonts w:ascii="Times New Roman" w:hAnsi="Times New Roman" w:cs="Times New Roman"/>
          <w:sz w:val="20"/>
          <w:szCs w:val="20"/>
        </w:rPr>
        <w:tab/>
        <w:t>Campbell M. World’s largest all-electric plane generates zero carbon emissions | Living. LIVING 2020. https://www.euronews.com/living/2020/06/01/world-s-largest-all-electric-plane-generates-zero-carbon-emissions (accessed August 25, 2020).</w:t>
      </w:r>
    </w:p>
    <w:p w14:paraId="0017076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[213]</w:t>
      </w:r>
      <w:r w:rsidRPr="006D6AF9">
        <w:rPr>
          <w:rFonts w:ascii="Times New Roman" w:hAnsi="Times New Roman" w:cs="Times New Roman"/>
          <w:sz w:val="20"/>
          <w:szCs w:val="20"/>
        </w:rPr>
        <w:tab/>
        <w:t>Eviation. Alice | Eviation. Eviation 2019. https://www.eviation.co/alice/ (accessed December 13, 2019).</w:t>
      </w:r>
    </w:p>
    <w:p w14:paraId="0E82BB5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[214]</w:t>
      </w:r>
      <w:r w:rsidRPr="006D6AF9">
        <w:rPr>
          <w:rFonts w:ascii="Times New Roman" w:hAnsi="Times New Roman" w:cs="Times New Roman"/>
          <w:sz w:val="20"/>
          <w:szCs w:val="20"/>
        </w:rPr>
        <w:tab/>
        <w:t>Alcock C. Eviation’s Alice Electric Aircraft Caught Fire in Prescott, Arizona | Business Aviation News: Aviation International News. AIN Online 2020. https://www.ainonline.com/aviation-news/business-aviation/2020-01-24/eviations-electric-alice-aircraft-catches-fire-during-ground-tests (accessed August 25, 2020).</w:t>
      </w:r>
    </w:p>
    <w:p w14:paraId="485A3E7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[215]</w:t>
      </w:r>
      <w:r w:rsidRPr="006D6AF9">
        <w:rPr>
          <w:rFonts w:ascii="Times New Roman" w:hAnsi="Times New Roman" w:cs="Times New Roman"/>
          <w:sz w:val="20"/>
          <w:szCs w:val="20"/>
        </w:rPr>
        <w:tab/>
        <w:t>easyJet. easyJet’s partner Wright Electric begins engine development program for 186 seat electric aircraft. EasyJet 2020. https://mediacentre.easyjet.com/story/13660/easyjet-s-partner-wright-electric-begins-engine-development-program-for-186-seat-electric-aircraft (accessed February 1, 2020).</w:t>
      </w:r>
    </w:p>
    <w:p w14:paraId="491C444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[216]</w:t>
      </w:r>
      <w:r w:rsidRPr="006D6AF9">
        <w:rPr>
          <w:rFonts w:ascii="Times New Roman" w:hAnsi="Times New Roman" w:cs="Times New Roman"/>
          <w:sz w:val="20"/>
          <w:szCs w:val="20"/>
        </w:rPr>
        <w:tab/>
        <w:t>Meeus M. Overview of Battery Cell Technologies Overview of battery technologies Bridging the Innovation Gap, 2018.</w:t>
      </w:r>
    </w:p>
    <w:p w14:paraId="5C73492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[217]</w:t>
      </w:r>
      <w:r w:rsidRPr="006D6AF9">
        <w:rPr>
          <w:rFonts w:ascii="Times New Roman" w:hAnsi="Times New Roman" w:cs="Times New Roman"/>
          <w:sz w:val="20"/>
          <w:szCs w:val="20"/>
        </w:rPr>
        <w:tab/>
        <w:t>Ulvestad A. A Brief Review of Current Lithium Ion Battery Technology and Potential Solid State Battery Technologies 2018.</w:t>
      </w:r>
    </w:p>
    <w:p w14:paraId="4DC956D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[218]</w:t>
      </w:r>
      <w:r w:rsidRPr="006D6AF9">
        <w:rPr>
          <w:rFonts w:ascii="Times New Roman" w:hAnsi="Times New Roman" w:cs="Times New Roman"/>
          <w:sz w:val="20"/>
          <w:szCs w:val="20"/>
        </w:rPr>
        <w:tab/>
        <w:t>Deng Y, Li J, Li T, Gao X, Yuan C. Life cycle assessment of lithium sulfur battery for electric vehicles. Journal of Power Sources 2017;343:284–95. https://doi.org/10.1016/j.jpowsour.2017.01.036.</w:t>
      </w:r>
    </w:p>
    <w:p w14:paraId="40149C5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[219]</w:t>
      </w:r>
      <w:r w:rsidRPr="006D6AF9">
        <w:rPr>
          <w:rFonts w:ascii="Times New Roman" w:hAnsi="Times New Roman" w:cs="Times New Roman"/>
          <w:sz w:val="20"/>
          <w:szCs w:val="20"/>
        </w:rPr>
        <w:tab/>
        <w:t>Perathoner S, Centi G. Advanced nanocarbon materials for future energy applications. Emerging Materials for Energy Conversion and Storage 2018:305–25. https://doi.org/10.1016/B978-0-12-813794-9.00009-0.</w:t>
      </w:r>
    </w:p>
    <w:p w14:paraId="71BE9E9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[220]</w:t>
      </w:r>
      <w:r w:rsidRPr="006D6AF9">
        <w:rPr>
          <w:rFonts w:ascii="Times New Roman" w:hAnsi="Times New Roman" w:cs="Times New Roman"/>
          <w:sz w:val="20"/>
          <w:szCs w:val="20"/>
        </w:rPr>
        <w:tab/>
        <w:t>Hansson N, Bradley M, Campbell M, Cherry DAJ, Cox K, Angelo DD, et al. Boeing Technical Journal Environmental Impacts of Aerospace Batteries International Organization for Standardization. Boeing Technical Journal Environmental 2018:1–12.</w:t>
      </w:r>
    </w:p>
    <w:p w14:paraId="38D67FF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[221]</w:t>
      </w:r>
      <w:r w:rsidRPr="006D6AF9">
        <w:rPr>
          <w:rFonts w:ascii="Times New Roman" w:hAnsi="Times New Roman" w:cs="Times New Roman"/>
          <w:sz w:val="20"/>
          <w:szCs w:val="20"/>
        </w:rPr>
        <w:tab/>
        <w:t>Imanishi N, Yamamoto O. Perspectives and challenges of rechargeable lithium–air batteries. Materials Today Advances 2019;4. https://doi.org/10.1016/j.mtadv.2019.100031.</w:t>
      </w:r>
    </w:p>
    <w:p w14:paraId="17F7E54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[222]</w:t>
      </w:r>
      <w:r w:rsidRPr="006D6AF9">
        <w:rPr>
          <w:rFonts w:ascii="Times New Roman" w:hAnsi="Times New Roman" w:cs="Times New Roman"/>
          <w:sz w:val="20"/>
          <w:szCs w:val="20"/>
        </w:rPr>
        <w:tab/>
        <w:t>Sahoo S, Zhao X, Kyprianidis K. A review of concepts, benefits, and challenges for future electrical propulsion-based aircraft. Aerospace 2020;7. https://doi.org/10.3390/aerospace7040044.</w:t>
      </w:r>
    </w:p>
    <w:p w14:paraId="1C2461C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[223]</w:t>
      </w:r>
      <w:r w:rsidRPr="006D6AF9">
        <w:rPr>
          <w:rFonts w:ascii="Times New Roman" w:hAnsi="Times New Roman" w:cs="Times New Roman"/>
          <w:sz w:val="20"/>
          <w:szCs w:val="20"/>
        </w:rPr>
        <w:tab/>
        <w:t>Duffy KP, Jansen RH. Turboelectricand Hybrid Electric Aircraft Drive Key Performance Parameters. 2018 AIAA/IEEE Electric Aircraft Technologies Symposium, EATS 2018 2018. https://doi.org/10.2514/6.2018-5023.</w:t>
      </w:r>
    </w:p>
    <w:p w14:paraId="3AC8394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[224]</w:t>
      </w:r>
      <w:r w:rsidRPr="006D6AF9">
        <w:rPr>
          <w:rFonts w:ascii="Times New Roman" w:hAnsi="Times New Roman" w:cs="Times New Roman"/>
          <w:sz w:val="20"/>
          <w:szCs w:val="20"/>
        </w:rPr>
        <w:tab/>
        <w:t>Welstead JR, Felder JL. Conceptual design of a single-aisle turboelectric commercial transport with fuselage boundary layer ingestion. 54th AIAA Aerospace Sciences Meeting 2016;0:1–17. https://doi.org/10.2514/6.2016-1027.</w:t>
      </w:r>
    </w:p>
    <w:p w14:paraId="2E4B44A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[225]</w:t>
      </w:r>
      <w:r w:rsidRPr="006D6AF9">
        <w:rPr>
          <w:rFonts w:ascii="Times New Roman" w:hAnsi="Times New Roman" w:cs="Times New Roman"/>
          <w:sz w:val="20"/>
          <w:szCs w:val="20"/>
        </w:rPr>
        <w:tab/>
        <w:t>Jansen RH, Brown G V., Felder JL, Duffy KP. Turboelectric aircraft drive key performance parameters and functional requirements. 51st AIAA/SAE/ASEE Joint Propulsion Conference 2015. https://doi.org/10.2514/6.2015-3890.</w:t>
      </w:r>
    </w:p>
    <w:p w14:paraId="1895499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[226]</w:t>
      </w:r>
      <w:r w:rsidRPr="006D6AF9">
        <w:rPr>
          <w:rFonts w:ascii="Times New Roman" w:hAnsi="Times New Roman" w:cs="Times New Roman"/>
          <w:sz w:val="20"/>
          <w:szCs w:val="20"/>
        </w:rPr>
        <w:tab/>
        <w:t>Rosario R Del. A Future with Hybrid Electric Propulsion Systems: A NASA Perspective. Turbine Engine Technology Symposium 2014:1–21.</w:t>
      </w:r>
    </w:p>
    <w:p w14:paraId="3234923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[227]</w:t>
      </w:r>
      <w:r w:rsidRPr="006D6AF9">
        <w:rPr>
          <w:rFonts w:ascii="Times New Roman" w:hAnsi="Times New Roman" w:cs="Times New Roman"/>
          <w:sz w:val="20"/>
          <w:szCs w:val="20"/>
        </w:rPr>
        <w:tab/>
        <w:t>Nalianda D, Singh R. Turbo-Electric distributed propulsion - Opportunities, benefits and challenges. Aircraft Engineering and Aerospace Technology 2014;86:543–9. https://doi.org/10.1108/AEAT-03-2014-0035.</w:t>
      </w:r>
    </w:p>
    <w:p w14:paraId="25DA7E4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[228]</w:t>
      </w:r>
      <w:r w:rsidRPr="006D6AF9">
        <w:rPr>
          <w:rFonts w:ascii="Times New Roman" w:hAnsi="Times New Roman" w:cs="Times New Roman"/>
          <w:sz w:val="20"/>
          <w:szCs w:val="20"/>
        </w:rPr>
        <w:tab/>
        <w:t>United Nation. Special issue on strategic battery raw materials. 2020.</w:t>
      </w:r>
    </w:p>
    <w:p w14:paraId="4A2B675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[229]</w:t>
      </w:r>
      <w:r w:rsidRPr="006D6AF9">
        <w:rPr>
          <w:rFonts w:ascii="Times New Roman" w:hAnsi="Times New Roman" w:cs="Times New Roman"/>
          <w:sz w:val="20"/>
          <w:szCs w:val="20"/>
        </w:rPr>
        <w:tab/>
        <w:t>Igogo T, Sandor D, Mayyas A, Engel-cox J. Supply chain of raw materials used in the manufacturing of light-duty vehicle lithium-ion batteries. Clean Energy Manufacturing Analysis Center, National Renewable Energy Laboratory; 2019.</w:t>
      </w:r>
    </w:p>
    <w:p w14:paraId="7E2991D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[230]</w:t>
      </w:r>
      <w:r w:rsidRPr="006D6AF9">
        <w:rPr>
          <w:rFonts w:ascii="Times New Roman" w:hAnsi="Times New Roman" w:cs="Times New Roman"/>
          <w:sz w:val="20"/>
          <w:szCs w:val="20"/>
        </w:rPr>
        <w:tab/>
        <w:t>Schmuch R, Wagner R, Hörpel G, Placke T, Winter M. Performance and cost of materials for lithium-based rechargeable automotive batteries. Nature Energy 2018;3:267–78. https://doi.org/10.1038/s41560-018-0107-2.</w:t>
      </w:r>
    </w:p>
    <w:p w14:paraId="1BCC8EE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[231]</w:t>
      </w:r>
      <w:r w:rsidRPr="006D6AF9">
        <w:rPr>
          <w:rFonts w:ascii="Times New Roman" w:hAnsi="Times New Roman" w:cs="Times New Roman"/>
          <w:sz w:val="20"/>
          <w:szCs w:val="20"/>
        </w:rPr>
        <w:tab/>
        <w:t>Wang L, Wu H, Hu Y, Yu Y, Huang K. Environmental sustainability assessment of typical cathode materials of lithium-ion battery based on three LCA approaches. Processes 2019;7. https://doi.org/10.3390/pr7020083.</w:t>
      </w:r>
    </w:p>
    <w:p w14:paraId="11938EA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[232]</w:t>
      </w:r>
      <w:r w:rsidRPr="006D6AF9">
        <w:rPr>
          <w:rFonts w:ascii="Times New Roman" w:hAnsi="Times New Roman" w:cs="Times New Roman"/>
          <w:sz w:val="20"/>
          <w:szCs w:val="20"/>
        </w:rPr>
        <w:tab/>
        <w:t>Azimi N, Xue Z, Zhang SS, Zhang Z. 5 - Materials and technologies for rechargeable lithium-sulfur batteries. Elsevier Ltd.; 2015. https://doi.org/10.1016/B978-1-78242-090-3.00005-5.</w:t>
      </w:r>
    </w:p>
    <w:p w14:paraId="64D3BEB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[233]</w:t>
      </w:r>
      <w:r w:rsidRPr="006D6AF9">
        <w:rPr>
          <w:rFonts w:ascii="Times New Roman" w:hAnsi="Times New Roman" w:cs="Times New Roman"/>
          <w:sz w:val="20"/>
          <w:szCs w:val="20"/>
        </w:rPr>
        <w:tab/>
        <w:t>Wang F, Deng Y, Yuan C. Life cycle assessment of lithium oxygen battery for electric vehicles. Journal of Cleaner Production 2020;264:121339–121339. https://doi.org/10.1016/j.jclepro.2020.121339.</w:t>
      </w:r>
    </w:p>
    <w:p w14:paraId="2A48082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[234]</w:t>
      </w:r>
      <w:r w:rsidRPr="006D6AF9">
        <w:rPr>
          <w:rFonts w:ascii="Times New Roman" w:hAnsi="Times New Roman" w:cs="Times New Roman"/>
          <w:sz w:val="20"/>
          <w:szCs w:val="20"/>
        </w:rPr>
        <w:tab/>
        <w:t>Wu Z, Kong D. Comparative life cycle assessment of lithium ‑ ion batteries with lithium metal , silicon nanowire , and graphite anodes. Clean Technologies and Environmental Policy 2018;20:1233–44.</w:t>
      </w:r>
    </w:p>
    <w:p w14:paraId="286CED2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[235]</w:t>
      </w:r>
      <w:r w:rsidRPr="006D6AF9">
        <w:rPr>
          <w:rFonts w:ascii="Times New Roman" w:hAnsi="Times New Roman" w:cs="Times New Roman"/>
          <w:sz w:val="20"/>
          <w:szCs w:val="20"/>
        </w:rPr>
        <w:tab/>
        <w:t>Yuan H, Huang JQ, Peng HJ, Titirici MM, Xiang R, Chen R, et al. A Review of Functional Binders in Lithium–Sulfur Batteries. Advanced Energy Materials 2018;8:1–20. https://doi.org/10.1002/aenm.201802107.</w:t>
      </w:r>
    </w:p>
    <w:p w14:paraId="75D29AC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[236]</w:t>
      </w:r>
      <w:r w:rsidRPr="006D6AF9">
        <w:rPr>
          <w:rFonts w:ascii="Times New Roman" w:hAnsi="Times New Roman" w:cs="Times New Roman"/>
          <w:sz w:val="20"/>
          <w:szCs w:val="20"/>
        </w:rPr>
        <w:tab/>
        <w:t>Dobley A. Catalytic Batteries. Elsevier B.V.; 2013. https://doi.org/10.1016/B978-0-444-53880-2.00001-6.</w:t>
      </w:r>
    </w:p>
    <w:p w14:paraId="2B87B0B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[237]</w:t>
      </w:r>
      <w:r w:rsidRPr="006D6AF9">
        <w:rPr>
          <w:rFonts w:ascii="Times New Roman" w:hAnsi="Times New Roman" w:cs="Times New Roman"/>
          <w:sz w:val="20"/>
          <w:szCs w:val="20"/>
        </w:rPr>
        <w:tab/>
        <w:t>The Faraday Institution. Solid-State Batteries: The Technology of the 2030s but the Research Challenge of the 2020s 2020.</w:t>
      </w:r>
    </w:p>
    <w:p w14:paraId="0F920A0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[238]</w:t>
      </w:r>
      <w:r w:rsidRPr="006D6AF9">
        <w:rPr>
          <w:rFonts w:ascii="Times New Roman" w:hAnsi="Times New Roman" w:cs="Times New Roman"/>
          <w:sz w:val="20"/>
          <w:szCs w:val="20"/>
        </w:rPr>
        <w:tab/>
        <w:t>Meeus M. Overview of Battery Cell Technologies Overview of battery technologies Bridging the Innovation Gap, 2018.</w:t>
      </w:r>
    </w:p>
    <w:p w14:paraId="7096BFC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[239]</w:t>
      </w:r>
      <w:r w:rsidRPr="006D6AF9">
        <w:rPr>
          <w:rFonts w:ascii="Times New Roman" w:hAnsi="Times New Roman" w:cs="Times New Roman"/>
          <w:sz w:val="20"/>
          <w:szCs w:val="20"/>
        </w:rPr>
        <w:tab/>
        <w:t>Rao AG, Yin F, Werij HGC. Energy Transition in Aviation: The Role of Cryogenic Fuels. Aerospace 2020;7:181. https://doi.org/10.3390/aerospace7120181.</w:t>
      </w:r>
    </w:p>
    <w:p w14:paraId="6248E37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[240]</w:t>
      </w:r>
      <w:r w:rsidRPr="006D6AF9">
        <w:rPr>
          <w:rFonts w:ascii="Times New Roman" w:hAnsi="Times New Roman" w:cs="Times New Roman"/>
          <w:sz w:val="20"/>
          <w:szCs w:val="20"/>
        </w:rPr>
        <w:tab/>
        <w:t>Zohuri B. Hydrogen energy: Challenges and solutions for a cleaner future. Hydrogen Energy: Challenges and Solutions for a Cleaner Future 2018:1–283. https://doi.org/10.1007/978-3-319-93461-7.</w:t>
      </w:r>
    </w:p>
    <w:p w14:paraId="214BAE9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[241]</w:t>
      </w:r>
      <w:r w:rsidRPr="006D6AF9">
        <w:rPr>
          <w:rFonts w:ascii="Times New Roman" w:hAnsi="Times New Roman" w:cs="Times New Roman"/>
          <w:sz w:val="20"/>
          <w:szCs w:val="20"/>
        </w:rPr>
        <w:tab/>
        <w:t>Barnes P. General Aviation Aircraft : Fuel cell hybrids for electric propulsion. 2019.</w:t>
      </w:r>
    </w:p>
    <w:p w14:paraId="6F75A69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[242]</w:t>
      </w:r>
      <w:r w:rsidRPr="006D6AF9">
        <w:rPr>
          <w:rFonts w:ascii="Times New Roman" w:hAnsi="Times New Roman" w:cs="Times New Roman"/>
          <w:sz w:val="20"/>
          <w:szCs w:val="20"/>
        </w:rPr>
        <w:tab/>
        <w:t>Bruce S, Temminghoff M, Hayward J, Palfreyman D, Munnings C, Burke N. Opportunities for Hydrogen in Commercial Aviation. Csiro 2020.</w:t>
      </w:r>
    </w:p>
    <w:p w14:paraId="0F845FC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[243]</w:t>
      </w:r>
      <w:r w:rsidRPr="006D6AF9">
        <w:rPr>
          <w:rFonts w:ascii="Times New Roman" w:hAnsi="Times New Roman" w:cs="Times New Roman"/>
          <w:sz w:val="20"/>
          <w:szCs w:val="20"/>
        </w:rPr>
        <w:tab/>
        <w:t>McKinsey. Hydrogen-powered aviation A fact-based study of hydrogen technology, economics, and climate impact by 2050. 2020. https://doi.org/10.2843/766989.</w:t>
      </w:r>
    </w:p>
    <w:p w14:paraId="645BDB7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[244]</w:t>
      </w:r>
      <w:r w:rsidRPr="006D6AF9">
        <w:rPr>
          <w:rFonts w:ascii="Times New Roman" w:hAnsi="Times New Roman" w:cs="Times New Roman"/>
          <w:sz w:val="20"/>
          <w:szCs w:val="20"/>
        </w:rPr>
        <w:tab/>
        <w:t>Airbus. ZEROe - Hydrogen - Airbus 2020. https://www.airbus.com/innovation/zero-emission/hydrogen/zeroe.html (accessed November 12, 2020).</w:t>
      </w:r>
    </w:p>
    <w:p w14:paraId="32FF539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[245]</w:t>
      </w:r>
      <w:r w:rsidRPr="006D6AF9">
        <w:rPr>
          <w:rFonts w:ascii="Times New Roman" w:hAnsi="Times New Roman" w:cs="Times New Roman"/>
          <w:sz w:val="20"/>
          <w:szCs w:val="20"/>
        </w:rPr>
        <w:tab/>
        <w:t>Browne M. Clean Hydrogen Beckons Aviation Engineers. The New York Times 1988.</w:t>
      </w:r>
    </w:p>
    <w:p w14:paraId="0836051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[246]</w:t>
      </w:r>
      <w:r w:rsidRPr="006D6AF9">
        <w:rPr>
          <w:rFonts w:ascii="Times New Roman" w:hAnsi="Times New Roman" w:cs="Times New Roman"/>
          <w:sz w:val="20"/>
          <w:szCs w:val="20"/>
        </w:rPr>
        <w:tab/>
        <w:t>Huygevelde N, Garruzzo F. Hydrogen for Aviation: Webinar 2020.</w:t>
      </w:r>
    </w:p>
    <w:p w14:paraId="1B6E49A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[247]</w:t>
      </w:r>
      <w:r w:rsidRPr="006D6AF9">
        <w:rPr>
          <w:rFonts w:ascii="Times New Roman" w:hAnsi="Times New Roman" w:cs="Times New Roman"/>
          <w:sz w:val="20"/>
          <w:szCs w:val="20"/>
        </w:rPr>
        <w:tab/>
        <w:t>Airbus. Zephyr - UAV - Airbus. Airbus 2020. https://www.airbus.com/defence/uav/zephyr.html (accessed January 10, 2020).</w:t>
      </w:r>
    </w:p>
    <w:p w14:paraId="710B6C2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[248]</w:t>
      </w:r>
      <w:r w:rsidRPr="006D6AF9">
        <w:rPr>
          <w:rFonts w:ascii="Times New Roman" w:hAnsi="Times New Roman" w:cs="Times New Roman"/>
          <w:sz w:val="20"/>
          <w:szCs w:val="20"/>
        </w:rPr>
        <w:tab/>
        <w:t>Aurora Flight Sciences. Odysseus -- High Altitude, Ultra-long Endurance, Pseudo-Satellite -- HAPS -- Aurora Flight Sciences. Aurora Flight Sciences 2019. https://www.aurora.aero/odysseus-high-altitude-pseudo-satellite-haps/ (accessed January 11, 2020).</w:t>
      </w:r>
    </w:p>
    <w:p w14:paraId="5E40AC4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[249]</w:t>
      </w:r>
      <w:r w:rsidRPr="006D6AF9">
        <w:rPr>
          <w:rFonts w:ascii="Times New Roman" w:hAnsi="Times New Roman" w:cs="Times New Roman"/>
          <w:sz w:val="20"/>
          <w:szCs w:val="20"/>
        </w:rPr>
        <w:tab/>
        <w:t>SolarImpulse. Solar Impulse Foundation: 1000 profitable solutions for the environment. Solar Impulse 2020. https://solarimpulse.com/ (accessed January 13, 2020).</w:t>
      </w:r>
    </w:p>
    <w:p w14:paraId="721EA5F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[250]</w:t>
      </w:r>
      <w:r w:rsidRPr="006D6AF9">
        <w:rPr>
          <w:rFonts w:ascii="Times New Roman" w:hAnsi="Times New Roman" w:cs="Times New Roman"/>
          <w:sz w:val="20"/>
          <w:szCs w:val="20"/>
        </w:rPr>
        <w:tab/>
        <w:t>EU. Directive 2009/38/EC - Works Council 2009:28–44.</w:t>
      </w:r>
    </w:p>
    <w:p w14:paraId="1CD1E41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[251]</w:t>
      </w:r>
      <w:r w:rsidRPr="006D6AF9">
        <w:rPr>
          <w:rFonts w:ascii="Times New Roman" w:hAnsi="Times New Roman" w:cs="Times New Roman"/>
          <w:sz w:val="20"/>
          <w:szCs w:val="20"/>
        </w:rPr>
        <w:tab/>
        <w:t>Council of the European Union EP. Directive (EU) 2015/1513 of the European Parliament and of the Council of 9 September 2015 amending Directive 98/70/EC relating to the quality of petrol and diesel fuels and amending Directive 2009/28/EC on the promotion of the use of energy from renewabl. 2015. http://eur-lex.europa.eu/pri/en/oj/dat/2003/l_285/l_28520031101en00330037.pdf.</w:t>
      </w:r>
    </w:p>
    <w:p w14:paraId="3B2783B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[252]</w:t>
      </w:r>
      <w:r w:rsidRPr="006D6AF9">
        <w:rPr>
          <w:rFonts w:ascii="Times New Roman" w:hAnsi="Times New Roman" w:cs="Times New Roman"/>
          <w:sz w:val="20"/>
          <w:szCs w:val="20"/>
        </w:rPr>
        <w:tab/>
        <w:t>Meijerink O, Valk M, Junginger M. The voluntary RED opt-in for aviation biofuels 2016:1–101.</w:t>
      </w:r>
    </w:p>
    <w:p w14:paraId="75F5FDD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[253]</w:t>
      </w:r>
      <w:r w:rsidRPr="006D6AF9">
        <w:rPr>
          <w:rFonts w:ascii="Times New Roman" w:hAnsi="Times New Roman" w:cs="Times New Roman"/>
          <w:sz w:val="20"/>
          <w:szCs w:val="20"/>
        </w:rPr>
        <w:tab/>
        <w:t>EEA, EASA, EUROCONTROL. European Aviation Environmental Report 2019. 2019. https://doi.org/10.2822/309946.</w:t>
      </w:r>
    </w:p>
    <w:p w14:paraId="7919126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[254]</w:t>
      </w:r>
      <w:r w:rsidRPr="006D6AF9">
        <w:rPr>
          <w:rFonts w:ascii="Times New Roman" w:hAnsi="Times New Roman" w:cs="Times New Roman"/>
          <w:sz w:val="20"/>
          <w:szCs w:val="20"/>
        </w:rPr>
        <w:tab/>
        <w:t>European Union. Directive (EU) 2018/2001 of the European Parliament and of the Council on the promotion of the use of energy from renewable sources. Official Journal of the European Union 2018;2018:1–128.</w:t>
      </w:r>
    </w:p>
    <w:p w14:paraId="51E4C54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[255]</w:t>
      </w:r>
      <w:r w:rsidRPr="006D6AF9">
        <w:rPr>
          <w:rFonts w:ascii="Times New Roman" w:hAnsi="Times New Roman" w:cs="Times New Roman"/>
          <w:sz w:val="20"/>
          <w:szCs w:val="20"/>
        </w:rPr>
        <w:tab/>
        <w:t>European Parliament. Directive 2008/101/EC of the European Parliament and of the Council of 19 November 2008 amending Directive 2003 87 EC so as to include aviation activities in the scheme for greenhouse gas emission allowance trading within the Community. Official Journal of the European Union 2008;L:3–21. https://doi.org/ISSN 1725-2555.</w:t>
      </w:r>
    </w:p>
    <w:p w14:paraId="5070FB0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[256]</w:t>
      </w:r>
      <w:r w:rsidRPr="006D6AF9">
        <w:rPr>
          <w:rFonts w:ascii="Times New Roman" w:hAnsi="Times New Roman" w:cs="Times New Roman"/>
          <w:sz w:val="20"/>
          <w:szCs w:val="20"/>
        </w:rPr>
        <w:tab/>
        <w:t>State of the aviation ETS _ Transport &amp; Environment n.d.</w:t>
      </w:r>
    </w:p>
    <w:p w14:paraId="195A106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[257]</w:t>
      </w:r>
      <w:r w:rsidRPr="006D6AF9">
        <w:rPr>
          <w:rFonts w:ascii="Times New Roman" w:hAnsi="Times New Roman" w:cs="Times New Roman"/>
          <w:sz w:val="20"/>
          <w:szCs w:val="20"/>
        </w:rPr>
        <w:tab/>
        <w:t>Graver B, Rutherford DAN, Zheng S. CO 2 EMISSIONS FROM COMMERCIAL AVIATION 2020.</w:t>
      </w:r>
    </w:p>
    <w:p w14:paraId="2F3444B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[258]</w:t>
      </w:r>
      <w:r w:rsidRPr="006D6AF9">
        <w:rPr>
          <w:rFonts w:ascii="Times New Roman" w:hAnsi="Times New Roman" w:cs="Times New Roman"/>
          <w:sz w:val="20"/>
          <w:szCs w:val="20"/>
        </w:rPr>
        <w:tab/>
        <w:t>IATA. Air Passenger Demand Analysis- September 2020. IATA Economics 2020:1–4.</w:t>
      </w:r>
    </w:p>
    <w:p w14:paraId="033CFFA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[259]</w:t>
      </w:r>
      <w:r w:rsidRPr="006D6AF9">
        <w:rPr>
          <w:rFonts w:ascii="Times New Roman" w:hAnsi="Times New Roman" w:cs="Times New Roman"/>
          <w:sz w:val="20"/>
          <w:szCs w:val="20"/>
        </w:rPr>
        <w:tab/>
        <w:t>Ministry of Ecological and Solidarity Transition. French strategy for energy and climate: Multi annual energy plan 2019-2023 and 2024-2028. 2020.</w:t>
      </w:r>
    </w:p>
    <w:p w14:paraId="5628044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[260]</w:t>
      </w:r>
      <w:r w:rsidRPr="006D6AF9">
        <w:rPr>
          <w:rFonts w:ascii="Times New Roman" w:hAnsi="Times New Roman" w:cs="Times New Roman"/>
          <w:sz w:val="20"/>
          <w:szCs w:val="20"/>
        </w:rPr>
        <w:tab/>
        <w:t>European Union. Regulation (EU) 2017/2392 of the European Parliment and of the Council. Official Journal of the European Union 2017;2017:12–25. https://doi.org/10.1016/j.jclepro.2010.02.014.</w:t>
      </w:r>
    </w:p>
    <w:p w14:paraId="5838FF7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[261]</w:t>
      </w:r>
      <w:r w:rsidRPr="006D6AF9">
        <w:rPr>
          <w:rFonts w:ascii="Times New Roman" w:hAnsi="Times New Roman" w:cs="Times New Roman"/>
          <w:sz w:val="20"/>
          <w:szCs w:val="20"/>
        </w:rPr>
        <w:tab/>
        <w:t>Reuters. EU nations aim high with plan to tax air travel. Sustainable Business 2019. https://www.reuters.com/article/us-climate-change-eu-airlines/eu-nations-aim-high-with-plan-to-tax-air-travel-idUSKCN1TL1I7 (accessed March 5, 2020).</w:t>
      </w:r>
    </w:p>
    <w:p w14:paraId="1DAE849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[262]</w:t>
      </w:r>
      <w:r w:rsidRPr="006D6AF9">
        <w:rPr>
          <w:rFonts w:ascii="Times New Roman" w:hAnsi="Times New Roman" w:cs="Times New Roman"/>
          <w:sz w:val="20"/>
          <w:szCs w:val="20"/>
        </w:rPr>
        <w:tab/>
        <w:t>European Commission. Launch of the European Advanced Biofuels Flightpath. European Commission 2011:2–3.</w:t>
      </w:r>
    </w:p>
    <w:p w14:paraId="4B21DD2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[263]</w:t>
      </w:r>
      <w:r w:rsidRPr="006D6AF9">
        <w:rPr>
          <w:rFonts w:ascii="Times New Roman" w:hAnsi="Times New Roman" w:cs="Times New Roman"/>
          <w:sz w:val="20"/>
          <w:szCs w:val="20"/>
        </w:rPr>
        <w:tab/>
        <w:t>Cesar V. The European Advanced Biofuels Flight path Initiative. Montreal, Canada: 2011.</w:t>
      </w:r>
    </w:p>
    <w:p w14:paraId="6D2D75B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[264]</w:t>
      </w:r>
      <w:r w:rsidRPr="006D6AF9">
        <w:rPr>
          <w:rFonts w:ascii="Times New Roman" w:hAnsi="Times New Roman" w:cs="Times New Roman"/>
          <w:sz w:val="20"/>
          <w:szCs w:val="20"/>
        </w:rPr>
        <w:tab/>
        <w:t>EC. 2 million tons per year : A performing biofuels supply chain for EU aviation August 2013 Update 2013:1–37.</w:t>
      </w:r>
    </w:p>
    <w:p w14:paraId="0409937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[265]</w:t>
      </w:r>
      <w:r w:rsidRPr="006D6AF9">
        <w:rPr>
          <w:rFonts w:ascii="Times New Roman" w:hAnsi="Times New Roman" w:cs="Times New Roman"/>
          <w:sz w:val="20"/>
          <w:szCs w:val="20"/>
        </w:rPr>
        <w:tab/>
        <w:t>European Commission. Proposal for a regulation of the European Parliament and of the Council: EU 2018/1999 (European Climate Law). 2020.</w:t>
      </w:r>
    </w:p>
    <w:p w14:paraId="7E6B400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[266]</w:t>
      </w:r>
      <w:r w:rsidRPr="006D6AF9">
        <w:rPr>
          <w:rFonts w:ascii="Times New Roman" w:hAnsi="Times New Roman" w:cs="Times New Roman"/>
          <w:sz w:val="20"/>
          <w:szCs w:val="20"/>
        </w:rPr>
        <w:tab/>
        <w:t>Tanzer SE, Ramírez A. When are negative emissions negative emissions? Energy and Environmental Science 2019;12:1210–8. https://doi.org/10.1039/c8ee03338b.</w:t>
      </w:r>
    </w:p>
    <w:p w14:paraId="738439C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[267]</w:t>
      </w:r>
      <w:r w:rsidRPr="006D6AF9">
        <w:rPr>
          <w:rFonts w:ascii="Times New Roman" w:hAnsi="Times New Roman" w:cs="Times New Roman"/>
          <w:sz w:val="20"/>
          <w:szCs w:val="20"/>
        </w:rPr>
        <w:tab/>
        <w:t>Ministry of Ecological and Solidarity Transition, Ministry of Economy and Finance. Engagements pour la croissance verte. 2017.</w:t>
      </w:r>
    </w:p>
    <w:p w14:paraId="32A9CDEE" w14:textId="77777777" w:rsidR="00CB3233" w:rsidRPr="006D6AF9" w:rsidRDefault="00CB3233" w:rsidP="00CB3233">
      <w:pPr>
        <w:pStyle w:val="Bibliography"/>
        <w:rPr>
          <w:rFonts w:ascii="Times New Roman" w:hAnsi="Times New Roman" w:cs="Times New Roman"/>
          <w:sz w:val="20"/>
          <w:szCs w:val="20"/>
          <w:lang w:val="fr-FR"/>
        </w:rPr>
      </w:pPr>
      <w:r w:rsidRPr="006D6AF9">
        <w:rPr>
          <w:rFonts w:ascii="Times New Roman" w:hAnsi="Times New Roman" w:cs="Times New Roman"/>
          <w:sz w:val="20"/>
          <w:szCs w:val="20"/>
        </w:rPr>
        <w:t>[268]</w:t>
      </w:r>
      <w:r w:rsidRPr="006D6AF9">
        <w:rPr>
          <w:rFonts w:ascii="Times New Roman" w:hAnsi="Times New Roman" w:cs="Times New Roman"/>
          <w:sz w:val="20"/>
          <w:szCs w:val="20"/>
        </w:rPr>
        <w:tab/>
        <w:t xml:space="preserve">Ministry of Ecological and Solidarity Transition, Ministry in Charge of Transport, Ministry of Agriculture and Food. </w:t>
      </w:r>
      <w:r w:rsidRPr="006D6AF9">
        <w:rPr>
          <w:rFonts w:ascii="Times New Roman" w:hAnsi="Times New Roman" w:cs="Times New Roman"/>
          <w:sz w:val="20"/>
          <w:szCs w:val="20"/>
          <w:lang w:val="fr-FR"/>
        </w:rPr>
        <w:t>Feuille de route française pour le déploiement des biocarburants aéronautiques durables. n.d.</w:t>
      </w:r>
    </w:p>
    <w:p w14:paraId="374DEB51" w14:textId="77777777" w:rsidR="00CB3233" w:rsidRPr="006D6AF9" w:rsidRDefault="00CB3233" w:rsidP="00CB3233">
      <w:pPr>
        <w:pStyle w:val="Bibliography"/>
        <w:rPr>
          <w:rFonts w:ascii="Times New Roman" w:hAnsi="Times New Roman" w:cs="Times New Roman"/>
          <w:sz w:val="20"/>
          <w:szCs w:val="20"/>
          <w:lang w:val="fr-FR"/>
        </w:rPr>
      </w:pPr>
      <w:r w:rsidRPr="006D6AF9">
        <w:rPr>
          <w:rFonts w:ascii="Times New Roman" w:hAnsi="Times New Roman" w:cs="Times New Roman"/>
          <w:sz w:val="20"/>
          <w:szCs w:val="20"/>
          <w:lang w:val="fr-FR"/>
        </w:rPr>
        <w:t>[269]</w:t>
      </w:r>
      <w:r w:rsidRPr="006D6AF9">
        <w:rPr>
          <w:rFonts w:ascii="Times New Roman" w:hAnsi="Times New Roman" w:cs="Times New Roman"/>
          <w:sz w:val="20"/>
          <w:szCs w:val="20"/>
          <w:lang w:val="fr-FR"/>
        </w:rPr>
        <w:tab/>
        <w:t>Présentation du plan de soutien à l’aéronautique | economie.gouv.fr n.d. https://www.economie.gouv.fr/plan-soutien-aeronautique# (accessed November 10, 2020).</w:t>
      </w:r>
    </w:p>
    <w:p w14:paraId="434963A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[270]</w:t>
      </w:r>
      <w:r w:rsidRPr="006D6AF9">
        <w:rPr>
          <w:rFonts w:ascii="Times New Roman" w:hAnsi="Times New Roman" w:cs="Times New Roman"/>
          <w:sz w:val="20"/>
          <w:szCs w:val="20"/>
        </w:rPr>
        <w:tab/>
        <w:t>ICAO. ICAO document INTERNATIONAL CIVIL AVIATION ORGANIZATION CORSIA Sustainability Criteria for CORSIA Eligible Fuels C RSIA Carbon Offsetting and Reduction Scheme for International Aviation 2019.</w:t>
      </w:r>
    </w:p>
    <w:p w14:paraId="7182019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[271]</w:t>
      </w:r>
      <w:r w:rsidRPr="006D6AF9">
        <w:rPr>
          <w:rFonts w:ascii="Times New Roman" w:hAnsi="Times New Roman" w:cs="Times New Roman"/>
          <w:sz w:val="20"/>
          <w:szCs w:val="20"/>
        </w:rPr>
        <w:tab/>
        <w:t>International Civil Aviation Organization (ICAO). ICAO document CORSIA methodology for calculating actual life cycle emissions values. 2019.</w:t>
      </w:r>
    </w:p>
    <w:p w14:paraId="2383257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[272]</w:t>
      </w:r>
      <w:r w:rsidRPr="006D6AF9">
        <w:rPr>
          <w:rFonts w:ascii="Times New Roman" w:hAnsi="Times New Roman" w:cs="Times New Roman"/>
          <w:sz w:val="20"/>
          <w:szCs w:val="20"/>
        </w:rPr>
        <w:tab/>
        <w:t>ICAO. Carbon Offsetting and Reduction Scheme for International Aviation (CORSIA). 2019.</w:t>
      </w:r>
    </w:p>
    <w:p w14:paraId="79402D0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[273]</w:t>
      </w:r>
      <w:r w:rsidRPr="006D6AF9">
        <w:rPr>
          <w:rFonts w:ascii="Times New Roman" w:hAnsi="Times New Roman" w:cs="Times New Roman"/>
          <w:sz w:val="20"/>
          <w:szCs w:val="20"/>
        </w:rPr>
        <w:tab/>
        <w:t>ICAO CAEP. CORSIA Eligible Fuels – Life Cycle Assessment Methodology. 2019.</w:t>
      </w:r>
    </w:p>
    <w:p w14:paraId="2E0B47B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[274]</w:t>
      </w:r>
      <w:r w:rsidRPr="006D6AF9">
        <w:rPr>
          <w:rFonts w:ascii="Times New Roman" w:hAnsi="Times New Roman" w:cs="Times New Roman"/>
          <w:sz w:val="20"/>
          <w:szCs w:val="20"/>
        </w:rPr>
        <w:tab/>
        <w:t>Stafford W, Lotter A, Brent A, Maltitz G von. Biofuels technology: A look forward. 2017.</w:t>
      </w:r>
    </w:p>
    <w:p w14:paraId="01CC2FD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[275]</w:t>
      </w:r>
      <w:r w:rsidRPr="006D6AF9">
        <w:rPr>
          <w:rFonts w:ascii="Times New Roman" w:hAnsi="Times New Roman" w:cs="Times New Roman"/>
          <w:sz w:val="20"/>
          <w:szCs w:val="20"/>
        </w:rPr>
        <w:tab/>
        <w:t>IATA. IATA Sustainable aviation fuel roadmap. 2015.</w:t>
      </w:r>
    </w:p>
    <w:p w14:paraId="115459E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[276]</w:t>
      </w:r>
      <w:r w:rsidRPr="006D6AF9">
        <w:rPr>
          <w:rFonts w:ascii="Times New Roman" w:hAnsi="Times New Roman" w:cs="Times New Roman"/>
          <w:sz w:val="20"/>
          <w:szCs w:val="20"/>
        </w:rPr>
        <w:tab/>
        <w:t>Teigiserova DA, Hamelin L, Thomsen M. Review of high-value food waste and food residues biorefineries with focus on unavoidable wastes from processing. Resources, Conservation and Recycling 2019;149:413–26. https://doi.org/10.1016/j.resconrec.2019.05.003.</w:t>
      </w:r>
    </w:p>
    <w:p w14:paraId="6C0A6E2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[277]</w:t>
      </w:r>
      <w:r w:rsidRPr="006D6AF9">
        <w:rPr>
          <w:rFonts w:ascii="Times New Roman" w:hAnsi="Times New Roman" w:cs="Times New Roman"/>
          <w:sz w:val="20"/>
          <w:szCs w:val="20"/>
        </w:rPr>
        <w:tab/>
        <w:t>Tonini D, Hamelin L, Astrup TF. Environmental implications of the use of agro-industrial residues for biorefineries: application of a deterministic model for indirect land-use changes. GCB Bioenergy 2016;8:690–706. https://doi.org/10.1111/gcbb.12290.</w:t>
      </w:r>
    </w:p>
    <w:p w14:paraId="6730C09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[278]</w:t>
      </w:r>
      <w:r w:rsidRPr="006D6AF9">
        <w:rPr>
          <w:rFonts w:ascii="Times New Roman" w:hAnsi="Times New Roman" w:cs="Times New Roman"/>
          <w:sz w:val="20"/>
          <w:szCs w:val="20"/>
        </w:rPr>
        <w:tab/>
        <w:t>Chen WT, Zhang Y, Zhang J, Yu G, Schideman LC, Zhang P, et al. Hydrothermal liquefaction of mixed-culture algal biomass from wastewater treatment system into bio-crude oil. Bioresource Technology 2014;152:130–9. https://doi.org/10.1016/j.biortech.2013.10.111.</w:t>
      </w:r>
    </w:p>
    <w:p w14:paraId="5458FC0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[279]</w:t>
      </w:r>
      <w:r w:rsidRPr="006D6AF9">
        <w:rPr>
          <w:rFonts w:ascii="Times New Roman" w:hAnsi="Times New Roman" w:cs="Times New Roman"/>
          <w:sz w:val="20"/>
          <w:szCs w:val="20"/>
        </w:rPr>
        <w:tab/>
        <w:t>Energy CL. Evaluation of Amyris Direct Sugar to Hydrocarbon (DSHC) Fuel 2014.</w:t>
      </w:r>
    </w:p>
    <w:p w14:paraId="74CA7C7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[280]</w:t>
      </w:r>
      <w:r w:rsidRPr="006D6AF9">
        <w:rPr>
          <w:rFonts w:ascii="Times New Roman" w:hAnsi="Times New Roman" w:cs="Times New Roman"/>
          <w:sz w:val="20"/>
          <w:szCs w:val="20"/>
        </w:rPr>
        <w:tab/>
        <w:t>Xing R, Subrahmanyam A V., Olcay H, Qi W, Van Walsum GP, Pendse H, et al. Production of jet and diesel fuel range alkanes from waste hemicellulose-derived aqueous solutions. Green Chemistry 2010;12:1933–46. https://doi.org/10.1039/c0gc00263a.</w:t>
      </w:r>
    </w:p>
    <w:p w14:paraId="1715400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[281]</w:t>
      </w:r>
      <w:r w:rsidRPr="006D6AF9">
        <w:rPr>
          <w:rFonts w:ascii="Times New Roman" w:hAnsi="Times New Roman" w:cs="Times New Roman"/>
          <w:sz w:val="20"/>
          <w:szCs w:val="20"/>
        </w:rPr>
        <w:tab/>
        <w:t>Weng Y, Qiu S, Ma L, Liu Q, Ding M, Zhang Q, et al. Jet-Fuel range hydrocarbons from biomass-derived sorbitol over Ni-HZSM-5/SBA-15 catalyst. Catalysts 2015;5:2147–60. https://doi.org/10.3390/catal5042147.</w:t>
      </w:r>
    </w:p>
    <w:p w14:paraId="254687A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[282]</w:t>
      </w:r>
      <w:r w:rsidRPr="006D6AF9">
        <w:rPr>
          <w:rFonts w:ascii="Times New Roman" w:hAnsi="Times New Roman" w:cs="Times New Roman"/>
          <w:sz w:val="20"/>
          <w:szCs w:val="20"/>
        </w:rPr>
        <w:tab/>
        <w:t>Li T, Cheng J, Huang R, Zhou J, Cen K. Conversion of waste cooking oil to jet biofuel with nickel-based mesoporous zeolite Y catalyst. Bioresource Technology 2015;197:289–94. https://doi.org/10.1016/j.biortech.2015.08.115.</w:t>
      </w:r>
    </w:p>
    <w:p w14:paraId="1DCE676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[283]</w:t>
      </w:r>
      <w:r w:rsidRPr="006D6AF9">
        <w:rPr>
          <w:rFonts w:ascii="Times New Roman" w:hAnsi="Times New Roman" w:cs="Times New Roman"/>
          <w:sz w:val="20"/>
          <w:szCs w:val="20"/>
        </w:rPr>
        <w:tab/>
        <w:t>Xu JNFU. Xu_2019 Integrated catalytic conversion of waste triglycerides to liquid hydrocarbons for aviation biofuels.pdf n.d.</w:t>
      </w:r>
    </w:p>
    <w:p w14:paraId="1261EFE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[284]</w:t>
      </w:r>
      <w:r w:rsidRPr="006D6AF9">
        <w:rPr>
          <w:rFonts w:ascii="Times New Roman" w:hAnsi="Times New Roman" w:cs="Times New Roman"/>
          <w:sz w:val="20"/>
          <w:szCs w:val="20"/>
        </w:rPr>
        <w:tab/>
        <w:t>Neste. Neste. Neste 2019. https://www.neste.us/ (accessed January 29, 2020).</w:t>
      </w:r>
    </w:p>
    <w:p w14:paraId="523D32B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[285]</w:t>
      </w:r>
      <w:r w:rsidRPr="006D6AF9">
        <w:rPr>
          <w:rFonts w:ascii="Times New Roman" w:hAnsi="Times New Roman" w:cs="Times New Roman"/>
          <w:sz w:val="20"/>
          <w:szCs w:val="20"/>
        </w:rPr>
        <w:tab/>
        <w:t>International Civil Aviation Organization (ICAO). ICAO Long-Term Traffic Forecasts: Passenger and Cargo. vol. April. International Civil Aviation Organization (ICAO); 2018.</w:t>
      </w:r>
    </w:p>
    <w:p w14:paraId="10CF0FA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[286]</w:t>
      </w:r>
      <w:r w:rsidRPr="006D6AF9">
        <w:rPr>
          <w:rFonts w:ascii="Times New Roman" w:hAnsi="Times New Roman" w:cs="Times New Roman"/>
          <w:sz w:val="20"/>
          <w:szCs w:val="20"/>
        </w:rPr>
        <w:tab/>
        <w:t>Ellen Mac Arthur Foundation. The new plastics economy: rethinking the future of plastics &amp; catalysing action. 2017.</w:t>
      </w:r>
    </w:p>
    <w:p w14:paraId="7298B24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[287]</w:t>
      </w:r>
      <w:r w:rsidRPr="006D6AF9">
        <w:rPr>
          <w:rFonts w:ascii="Times New Roman" w:hAnsi="Times New Roman" w:cs="Times New Roman"/>
          <w:sz w:val="20"/>
          <w:szCs w:val="20"/>
        </w:rPr>
        <w:tab/>
        <w:t>O’Connell A, Kousoulidou M, Lonza L, Weindorf W. Considerations on GHG emissions and energy balances of promising aviation biofuel pathways. Renewable and Sustainable Energy Reviews 2019;101:504–15. https://doi.org/10.1016/j.rser.2018.11.033.</w:t>
      </w:r>
    </w:p>
    <w:p w14:paraId="66FCB04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[288]</w:t>
      </w:r>
      <w:r w:rsidRPr="006D6AF9">
        <w:rPr>
          <w:rFonts w:ascii="Times New Roman" w:hAnsi="Times New Roman" w:cs="Times New Roman"/>
          <w:sz w:val="20"/>
          <w:szCs w:val="20"/>
        </w:rPr>
        <w:tab/>
        <w:t>The Royal Society. Sustainable synthetic carbon based fuels for transport POLICY BRIEFING Sustainable synthetic carbon based fuels for transport: Policy briefing. 2019.</w:t>
      </w:r>
    </w:p>
    <w:p w14:paraId="070457B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[289]</w:t>
      </w:r>
      <w:r w:rsidRPr="006D6AF9">
        <w:rPr>
          <w:rFonts w:ascii="Times New Roman" w:hAnsi="Times New Roman" w:cs="Times New Roman"/>
          <w:sz w:val="20"/>
          <w:szCs w:val="20"/>
        </w:rPr>
        <w:tab/>
        <w:t>Staples MD, Malina R, Barrett SRH. The limits of bioenergy for mitigating global life-cycle greenhouse gas emissions from fossil fuels. Nature Energy 2017;2:1–8. https://doi.org/10.1038/nenergy.2016.202.</w:t>
      </w:r>
    </w:p>
    <w:p w14:paraId="4CA59D8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[290]</w:t>
      </w:r>
      <w:r w:rsidRPr="006D6AF9">
        <w:rPr>
          <w:rFonts w:ascii="Times New Roman" w:hAnsi="Times New Roman" w:cs="Times New Roman"/>
          <w:sz w:val="20"/>
          <w:szCs w:val="20"/>
        </w:rPr>
        <w:tab/>
        <w:t>Moretti C, Junginger M, Shen L. Environmental life cycle assessment of polypropylene made from used cooking oil. Resources, Conservation and Recycling 2020;157:104750. https://doi.org/10.1016/j.resconrec.2020.104750.</w:t>
      </w:r>
    </w:p>
    <w:p w14:paraId="08986D81" w14:textId="77777777" w:rsidR="00CB3233" w:rsidRPr="006D6AF9" w:rsidRDefault="00CB3233" w:rsidP="00CB3233">
      <w:pPr>
        <w:pStyle w:val="Bibliography"/>
        <w:rPr>
          <w:rFonts w:ascii="Times New Roman" w:hAnsi="Times New Roman" w:cs="Times New Roman"/>
          <w:sz w:val="20"/>
          <w:szCs w:val="20"/>
          <w:lang w:val="fr-FR"/>
        </w:rPr>
      </w:pPr>
      <w:r w:rsidRPr="006D6AF9">
        <w:rPr>
          <w:rFonts w:ascii="Times New Roman" w:hAnsi="Times New Roman" w:cs="Times New Roman"/>
          <w:sz w:val="20"/>
          <w:szCs w:val="20"/>
        </w:rPr>
        <w:t>[291]</w:t>
      </w:r>
      <w:r w:rsidRPr="006D6AF9">
        <w:rPr>
          <w:rFonts w:ascii="Times New Roman" w:hAnsi="Times New Roman" w:cs="Times New Roman"/>
          <w:sz w:val="20"/>
          <w:szCs w:val="20"/>
        </w:rPr>
        <w:tab/>
        <w:t xml:space="preserve">International Energy Agency (IEA). </w:t>
      </w:r>
      <w:r w:rsidRPr="006D6AF9">
        <w:rPr>
          <w:rFonts w:ascii="Times New Roman" w:hAnsi="Times New Roman" w:cs="Times New Roman"/>
          <w:sz w:val="20"/>
          <w:szCs w:val="20"/>
          <w:lang w:val="fr-FR"/>
        </w:rPr>
        <w:t>Direct Air Capture. IEA 2020.</w:t>
      </w:r>
    </w:p>
    <w:p w14:paraId="5AADA93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lang w:val="fr-FR"/>
        </w:rPr>
        <w:t>[292]</w:t>
      </w:r>
      <w:r w:rsidRPr="006D6AF9">
        <w:rPr>
          <w:rFonts w:ascii="Times New Roman" w:hAnsi="Times New Roman" w:cs="Times New Roman"/>
          <w:sz w:val="20"/>
          <w:szCs w:val="20"/>
          <w:lang w:val="fr-FR"/>
        </w:rPr>
        <w:tab/>
        <w:t xml:space="preserve">Sanz-Pérez ES, Murdock CR, Didas SA, Jones CW. </w:t>
      </w:r>
      <w:r w:rsidRPr="006D6AF9">
        <w:rPr>
          <w:rFonts w:ascii="Times New Roman" w:hAnsi="Times New Roman" w:cs="Times New Roman"/>
          <w:sz w:val="20"/>
          <w:szCs w:val="20"/>
        </w:rPr>
        <w:t>Direct Capture of CO2 from Ambient Air. Chemical Reviews 2016;116:11840–76. https://doi.org/10.1021/acs.chemrev.6b00173.</w:t>
      </w:r>
    </w:p>
    <w:p w14:paraId="53412AB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[293]</w:t>
      </w:r>
      <w:r w:rsidRPr="006D6AF9">
        <w:rPr>
          <w:rFonts w:ascii="Times New Roman" w:hAnsi="Times New Roman" w:cs="Times New Roman"/>
          <w:sz w:val="20"/>
          <w:szCs w:val="20"/>
        </w:rPr>
        <w:tab/>
        <w:t>Supekar SD, Lim T-H, Skerlos SJ. Costs to achieve target net emissions reductions in the US electric sector using direct air capture. Environ Res Lett 2019;14:084013. https://doi.org/10.1088/1748-9326/ab30aa.</w:t>
      </w:r>
    </w:p>
    <w:p w14:paraId="060FE3B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[294]</w:t>
      </w:r>
      <w:r w:rsidRPr="006D6AF9">
        <w:rPr>
          <w:rFonts w:ascii="Times New Roman" w:hAnsi="Times New Roman" w:cs="Times New Roman"/>
          <w:sz w:val="20"/>
          <w:szCs w:val="20"/>
        </w:rPr>
        <w:tab/>
        <w:t>Pritchard C, Yang A, Holmes P, Wilkinson M. Thermodynamics, economics and systems thinking: What role for air capture of CO2? Process Safety and Environmental Protection 2015;94:188–95. https://doi.org/10.1016/j.psep.2014.06.011.</w:t>
      </w:r>
    </w:p>
    <w:p w14:paraId="2A9F3F9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[295]</w:t>
      </w:r>
      <w:r w:rsidRPr="006D6AF9">
        <w:rPr>
          <w:rFonts w:ascii="Times New Roman" w:hAnsi="Times New Roman" w:cs="Times New Roman"/>
          <w:sz w:val="20"/>
          <w:szCs w:val="20"/>
        </w:rPr>
        <w:tab/>
        <w:t>Fasihi M, Efimova O, Breyer C. Techno-economic assessment of CO2 direct air capture plants. Journal of Cleaner Production 2019;224:957–80. https://doi.org/10.1016/j.jclepro.2019.03.086.</w:t>
      </w:r>
    </w:p>
    <w:p w14:paraId="3A575D7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[296]</w:t>
      </w:r>
      <w:r w:rsidRPr="006D6AF9">
        <w:rPr>
          <w:rFonts w:ascii="Times New Roman" w:hAnsi="Times New Roman" w:cs="Times New Roman"/>
          <w:sz w:val="20"/>
          <w:szCs w:val="20"/>
        </w:rPr>
        <w:tab/>
        <w:t>Breyer C, Fasihi M, Aghahosseini A. Carbon dioxide direct air capture for effective climate change mitigation based on renewable electricity: a new type of energy system sector coupling. Mitig Adapt Strateg Glob Change 2020;25:43–65. https://doi.org/10.1007/s11027-019-9847-y.</w:t>
      </w:r>
    </w:p>
    <w:p w14:paraId="44A9A7B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[297]</w:t>
      </w:r>
      <w:r w:rsidRPr="006D6AF9">
        <w:rPr>
          <w:rFonts w:ascii="Times New Roman" w:hAnsi="Times New Roman" w:cs="Times New Roman"/>
          <w:sz w:val="20"/>
          <w:szCs w:val="20"/>
        </w:rPr>
        <w:tab/>
        <w:t>Fuss S, Lamb WF, Callaghan MW, Hilaire J, Creutzig F, Amann T, et al. Negative emissions—Part 2: Costs, potentials and side effects. Environ Res Lett 2018;13:063002. https://doi.org/10.1088/1748-9326/aabf9f.</w:t>
      </w:r>
    </w:p>
    <w:p w14:paraId="3B9449F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[298]</w:t>
      </w:r>
      <w:r w:rsidRPr="006D6AF9">
        <w:rPr>
          <w:rFonts w:ascii="Times New Roman" w:hAnsi="Times New Roman" w:cs="Times New Roman"/>
          <w:sz w:val="20"/>
          <w:szCs w:val="20"/>
        </w:rPr>
        <w:tab/>
        <w:t>Mortensen AW, Mathiesen BV, Hansen AB, Pedersen SL, Grandal RD, Wenzel H. The role of electrification and hydrogen in breaking the biomass bottleneck of the renewable energy system – A study on the Danish energy system. Applied Energy 2020;275:115331. https://doi.org/10.1016/j.apenergy.2020.115331.</w:t>
      </w:r>
    </w:p>
    <w:p w14:paraId="42E62F7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[299]</w:t>
      </w:r>
      <w:r w:rsidRPr="006D6AF9">
        <w:rPr>
          <w:rFonts w:ascii="Times New Roman" w:hAnsi="Times New Roman" w:cs="Times New Roman"/>
          <w:sz w:val="20"/>
          <w:szCs w:val="20"/>
        </w:rPr>
        <w:tab/>
        <w:t>Hanna R, Abdulla A, Xu Y, Victor DG. Emergency deployment of direct air capture as a response to the climate crisis. Nature Communications 2021;12:368. https://doi.org/10.1038/s41467-020-20437-0.</w:t>
      </w:r>
    </w:p>
    <w:p w14:paraId="13B7E4E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[300]</w:t>
      </w:r>
      <w:r w:rsidRPr="006D6AF9">
        <w:rPr>
          <w:rFonts w:ascii="Times New Roman" w:hAnsi="Times New Roman" w:cs="Times New Roman"/>
          <w:sz w:val="20"/>
          <w:szCs w:val="20"/>
        </w:rPr>
        <w:tab/>
        <w:t>Rogelj J, Luderer G, Pietzcker RC, Kriegler E, Schaeffer M, Krey V, et al. Energy system transformations for limiting end-of-century warming to below 1.5 °C. Nature Climate Change 2015;5:519–27. https://doi.org/10.1038/nclimate2572.</w:t>
      </w:r>
    </w:p>
    <w:p w14:paraId="10D5A21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[301]</w:t>
      </w:r>
      <w:r w:rsidRPr="006D6AF9">
        <w:rPr>
          <w:rFonts w:ascii="Times New Roman" w:hAnsi="Times New Roman" w:cs="Times New Roman"/>
          <w:sz w:val="20"/>
          <w:szCs w:val="20"/>
        </w:rPr>
        <w:tab/>
        <w:t>Millar RJ, Fuglestvedt JS, Friedlingstein P, Rogelj J, Grubb MJ, Matthews HD, et al. Emission budgets and pathways consistent with limiting warming to 1.5 °C. Nature Geoscience 2017;10:741–7. https://doi.org/10.1038/ngeo3031.</w:t>
      </w:r>
    </w:p>
    <w:p w14:paraId="6EB78E2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[302]</w:t>
      </w:r>
      <w:r w:rsidRPr="006D6AF9">
        <w:rPr>
          <w:rFonts w:ascii="Times New Roman" w:hAnsi="Times New Roman" w:cs="Times New Roman"/>
          <w:sz w:val="20"/>
          <w:szCs w:val="20"/>
        </w:rPr>
        <w:tab/>
        <w:t>Rogelj J, Popp A, Calvin KV, Luderer G, Emmerling J, Gernaat D, et al. Scenarios towards limiting global mean temperature increase below 1.5 °C. Nature Climate Change 2018;8:325–32. https://doi.org/10.1038/s41558-018-0091-3.</w:t>
      </w:r>
    </w:p>
    <w:p w14:paraId="12D5C43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[303]</w:t>
      </w:r>
      <w:r w:rsidRPr="006D6AF9">
        <w:rPr>
          <w:rFonts w:ascii="Times New Roman" w:hAnsi="Times New Roman" w:cs="Times New Roman"/>
          <w:sz w:val="20"/>
          <w:szCs w:val="20"/>
        </w:rPr>
        <w:tab/>
        <w:t>Jones CW. CO2 capture from dilute gases as a component of modern global carbon management. Annual Review of Chemical and Biomolecular Engineering 2011;2:31–52. https://doi.org/10.1146/annurev-chembioeng-061010-114252.</w:t>
      </w:r>
    </w:p>
    <w:p w14:paraId="2DD6300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[304]</w:t>
      </w:r>
      <w:r w:rsidRPr="006D6AF9">
        <w:rPr>
          <w:rFonts w:ascii="Times New Roman" w:hAnsi="Times New Roman" w:cs="Times New Roman"/>
          <w:sz w:val="20"/>
          <w:szCs w:val="20"/>
        </w:rPr>
        <w:tab/>
        <w:t>Didas SA, Choi S, Chaikittisilp W, Jones CW. Amine-Oxide Hybrid Materials for CO2 Capture from Ambient Air. Accounts of Chemical Research 2015;48:2680–7. https://doi.org/10.1021/acs.accounts.5b00284.</w:t>
      </w:r>
    </w:p>
    <w:p w14:paraId="0CFE3F0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[305]</w:t>
      </w:r>
      <w:r w:rsidRPr="006D6AF9">
        <w:rPr>
          <w:rFonts w:ascii="Times New Roman" w:hAnsi="Times New Roman" w:cs="Times New Roman"/>
          <w:sz w:val="20"/>
          <w:szCs w:val="20"/>
        </w:rPr>
        <w:tab/>
        <w:t>Stern MC, Simeon F, Herzog H, Hatton TA. Post-combustion carbon dioxide capture using electrochemically mediated amine regeneration. Energy and Environmental Science 2013;6:2505–17. https://doi.org/10.1039/c3ee41165f.</w:t>
      </w:r>
    </w:p>
    <w:p w14:paraId="10C50DB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[306]</w:t>
      </w:r>
      <w:r w:rsidRPr="006D6AF9">
        <w:rPr>
          <w:rFonts w:ascii="Times New Roman" w:hAnsi="Times New Roman" w:cs="Times New Roman"/>
          <w:sz w:val="20"/>
          <w:szCs w:val="20"/>
        </w:rPr>
        <w:tab/>
        <w:t>Chen C, Tavoni M. Direct air capture of CO2 and climate stabilization: A model based assessment. Climatic Change 2013;118:59–72. https://doi.org/10.1007/s10584-013-0714-7.</w:t>
      </w:r>
    </w:p>
    <w:p w14:paraId="72AC105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[307]</w:t>
      </w:r>
      <w:r w:rsidRPr="006D6AF9">
        <w:rPr>
          <w:rFonts w:ascii="Times New Roman" w:hAnsi="Times New Roman" w:cs="Times New Roman"/>
          <w:sz w:val="20"/>
          <w:szCs w:val="20"/>
        </w:rPr>
        <w:tab/>
        <w:t>Friedlingstein P, O’Sullivan M, Jones MW, Andrew RM, Hauck J, Olsen A, et al. Global Carbon Budget 2020. Earth System Science Data 2020;12:3269–340. https://doi.org/10.5194/essd-12-3269-2020.</w:t>
      </w:r>
    </w:p>
    <w:p w14:paraId="4DFB411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[308]</w:t>
      </w:r>
      <w:r w:rsidRPr="006D6AF9">
        <w:rPr>
          <w:rFonts w:ascii="Times New Roman" w:hAnsi="Times New Roman" w:cs="Times New Roman"/>
          <w:sz w:val="20"/>
          <w:szCs w:val="20"/>
        </w:rPr>
        <w:tab/>
        <w:t>Lanning W C, Okala B. Process and catalyst for hydrogenation of kerosene to remove color and fluorescence, 1957. https://doi.org/10.1145/178951.178972.</w:t>
      </w:r>
    </w:p>
    <w:p w14:paraId="3AFD738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[309]</w:t>
      </w:r>
      <w:r w:rsidRPr="006D6AF9">
        <w:rPr>
          <w:rFonts w:ascii="Times New Roman" w:hAnsi="Times New Roman" w:cs="Times New Roman"/>
          <w:sz w:val="20"/>
          <w:szCs w:val="20"/>
        </w:rPr>
        <w:tab/>
        <w:t>United States Department of Energy. Hydrogen strategy enabling a low-carbon economy. 2020.</w:t>
      </w:r>
    </w:p>
    <w:p w14:paraId="2845461A"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[310]</w:t>
      </w:r>
      <w:r w:rsidRPr="006D6AF9">
        <w:rPr>
          <w:rFonts w:ascii="Times New Roman" w:hAnsi="Times New Roman" w:cs="Times New Roman"/>
          <w:sz w:val="20"/>
          <w:szCs w:val="20"/>
        </w:rPr>
        <w:tab/>
        <w:t>Ritchie H, Roser M. Water Use and Stress. Our World in Data 2017. https://ourworldindata.org/water-use-stress (accessed June 29, 2021).</w:t>
      </w:r>
    </w:p>
    <w:p w14:paraId="049F214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[311]</w:t>
      </w:r>
      <w:r w:rsidRPr="006D6AF9">
        <w:rPr>
          <w:rFonts w:ascii="Times New Roman" w:hAnsi="Times New Roman" w:cs="Times New Roman"/>
          <w:sz w:val="20"/>
          <w:szCs w:val="20"/>
        </w:rPr>
        <w:tab/>
        <w:t>Baharudin L, Watson MJ. Hydrogen applications and research activities in its production routes through catalytic hydrocarbon conversion. Reviews in Chemical Engineering 2017;34:43–72. https://doi.org/10.1515/revce-2016-0040.</w:t>
      </w:r>
    </w:p>
    <w:p w14:paraId="67CD2FE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[312]</w:t>
      </w:r>
      <w:r w:rsidRPr="006D6AF9">
        <w:rPr>
          <w:rFonts w:ascii="Times New Roman" w:hAnsi="Times New Roman" w:cs="Times New Roman"/>
          <w:sz w:val="20"/>
          <w:szCs w:val="20"/>
        </w:rPr>
        <w:tab/>
        <w:t>IEA. Data and statistics. Explore energy data by category, indicator, country or region. Electricity consumption, People’s Republic of China 1990-2018. 2021. https://www.iea.org/data-and-statistics/?country=CHINA&amp;fuel=Electricity%20and%20heat&amp;indicator=TotElecCons (accessed March 10, 2021).</w:t>
      </w:r>
    </w:p>
    <w:p w14:paraId="45B2D1A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[313]</w:t>
      </w:r>
      <w:r w:rsidRPr="006D6AF9">
        <w:rPr>
          <w:rFonts w:ascii="Times New Roman" w:hAnsi="Times New Roman" w:cs="Times New Roman"/>
          <w:sz w:val="20"/>
          <w:szCs w:val="20"/>
        </w:rPr>
        <w:tab/>
        <w:t>Michailos S. Process design, economic evaluation and life cycle assessment of jet fuel production from sugar cane residue. Environmental Progress and Sustainable Energy 2018;37:1227–35. https://doi.org/10.1002/ep.12840.</w:t>
      </w:r>
    </w:p>
    <w:p w14:paraId="7823059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[314]</w:t>
      </w:r>
      <w:r w:rsidRPr="006D6AF9">
        <w:rPr>
          <w:rFonts w:ascii="Times New Roman" w:hAnsi="Times New Roman" w:cs="Times New Roman"/>
          <w:sz w:val="20"/>
          <w:szCs w:val="20"/>
        </w:rPr>
        <w:tab/>
        <w:t>Ganguly I. ‘Woods-to-Wake’ Life Cycle Assessment of residual woody biomass based jet-fuel using mild bisulfite pretreatment. Biomass and Bioenergy 2018:10.</w:t>
      </w:r>
    </w:p>
    <w:p w14:paraId="729A0B4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[315]</w:t>
      </w:r>
      <w:r w:rsidRPr="006D6AF9">
        <w:rPr>
          <w:rFonts w:ascii="Times New Roman" w:hAnsi="Times New Roman" w:cs="Times New Roman"/>
          <w:sz w:val="20"/>
          <w:szCs w:val="20"/>
        </w:rPr>
        <w:tab/>
        <w:t>de Jong S. On the production costs, climate impact and future supply of renewable jet fuels 2018.</w:t>
      </w:r>
    </w:p>
    <w:p w14:paraId="1AAEACA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[316]</w:t>
      </w:r>
      <w:r w:rsidRPr="006D6AF9">
        <w:rPr>
          <w:rFonts w:ascii="Times New Roman" w:hAnsi="Times New Roman" w:cs="Times New Roman"/>
          <w:sz w:val="20"/>
          <w:szCs w:val="20"/>
        </w:rPr>
        <w:tab/>
        <w:t>Lee DS. The contribution of global aviation to anthropogenic climate forcing for 2000 to 2018. Atmospheric Environment 2021:29.</w:t>
      </w:r>
    </w:p>
    <w:p w14:paraId="3A218B9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[317]</w:t>
      </w:r>
      <w:r w:rsidRPr="006D6AF9">
        <w:rPr>
          <w:rFonts w:ascii="Times New Roman" w:hAnsi="Times New Roman" w:cs="Times New Roman"/>
          <w:sz w:val="20"/>
          <w:szCs w:val="20"/>
        </w:rPr>
        <w:tab/>
        <w:t>Gauss M, Isaken ISA, Wong S, Wang WC. Impact of H2O emissions from cryoplanes and kerosene aircraft on the atmosphere. Journal of Geophysical Research: Atmospheres 2003;108:1–11. https://doi.org/10.1029/2002jd002623.</w:t>
      </w:r>
    </w:p>
    <w:p w14:paraId="33F5A17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[318]</w:t>
      </w:r>
      <w:r w:rsidRPr="006D6AF9">
        <w:rPr>
          <w:rFonts w:ascii="Times New Roman" w:hAnsi="Times New Roman" w:cs="Times New Roman"/>
          <w:sz w:val="20"/>
          <w:szCs w:val="20"/>
        </w:rPr>
        <w:tab/>
        <w:t>Grassl H, Brockhagen D. Climate forcing of aviation emissions in high altitudes and comparison of metrics. An update according to the Fourth Assessment Report, IPCC 2007. 2007.</w:t>
      </w:r>
    </w:p>
    <w:p w14:paraId="713FF1C6"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[319]</w:t>
      </w:r>
      <w:r w:rsidRPr="006D6AF9">
        <w:rPr>
          <w:rFonts w:ascii="Times New Roman" w:hAnsi="Times New Roman" w:cs="Times New Roman"/>
          <w:sz w:val="20"/>
          <w:szCs w:val="20"/>
        </w:rPr>
        <w:tab/>
        <w:t>European Commission. Study on the EU’s list of Critical Raw Materials (2020), Factsheets on Critical Raw Materials. 2020. https://doi.org/10.2873/11619.</w:t>
      </w:r>
    </w:p>
    <w:p w14:paraId="3D2B24D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[320]</w:t>
      </w:r>
      <w:r w:rsidRPr="006D6AF9">
        <w:rPr>
          <w:rFonts w:ascii="Times New Roman" w:hAnsi="Times New Roman" w:cs="Times New Roman"/>
          <w:sz w:val="20"/>
          <w:szCs w:val="20"/>
        </w:rPr>
        <w:tab/>
        <w:t>ICAO. Electric, Hybrid, and Hydrogen Aircraft-State of Play 2016:124–30.</w:t>
      </w:r>
    </w:p>
    <w:p w14:paraId="3B30A21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[321]</w:t>
      </w:r>
      <w:r w:rsidRPr="006D6AF9">
        <w:rPr>
          <w:rFonts w:ascii="Times New Roman" w:hAnsi="Times New Roman" w:cs="Times New Roman"/>
          <w:sz w:val="20"/>
          <w:szCs w:val="20"/>
        </w:rPr>
        <w:tab/>
        <w:t>Guynn MD, Freh JE, Olson ED. Evaluation of a Hydrogen Fuel Cell Powered Blended-Wing-Body Aircraft Concept for Reduced Noise and Emissions 2004.</w:t>
      </w:r>
    </w:p>
    <w:p w14:paraId="53C66A33"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[322]</w:t>
      </w:r>
      <w:r w:rsidRPr="006D6AF9">
        <w:rPr>
          <w:rFonts w:ascii="Times New Roman" w:hAnsi="Times New Roman" w:cs="Times New Roman"/>
          <w:sz w:val="20"/>
          <w:szCs w:val="20"/>
        </w:rPr>
        <w:tab/>
        <w:t>Rondinelli S, Sabatini R, Gardi A. Challenges and Benefits offered by Liquid Hydrogen Fuels in Commercial Aviation Aviation 2014. https://doi.org/10.13140/2.1.2658.9764.</w:t>
      </w:r>
    </w:p>
    <w:p w14:paraId="7DE5025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lastRenderedPageBreak/>
        <w:t>[323]</w:t>
      </w:r>
      <w:r w:rsidRPr="006D6AF9">
        <w:rPr>
          <w:rFonts w:ascii="Times New Roman" w:hAnsi="Times New Roman" w:cs="Times New Roman"/>
          <w:sz w:val="20"/>
          <w:szCs w:val="20"/>
        </w:rPr>
        <w:tab/>
        <w:t>Rao AG. Advanced hybrid engines for aircraft development: AHEAD project. 2015.</w:t>
      </w:r>
    </w:p>
    <w:p w14:paraId="5596A47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[324]</w:t>
      </w:r>
      <w:r w:rsidRPr="006D6AF9">
        <w:rPr>
          <w:rFonts w:ascii="Times New Roman" w:hAnsi="Times New Roman" w:cs="Times New Roman"/>
          <w:sz w:val="20"/>
          <w:szCs w:val="20"/>
        </w:rPr>
        <w:tab/>
        <w:t>Szondy D. Reaction Engines testing ammonia as carbon-free aviation fuel. NEW ATLAS 2020.</w:t>
      </w:r>
    </w:p>
    <w:p w14:paraId="0F2FFDD7"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[325]</w:t>
      </w:r>
      <w:r w:rsidRPr="006D6AF9">
        <w:rPr>
          <w:rFonts w:ascii="Times New Roman" w:hAnsi="Times New Roman" w:cs="Times New Roman"/>
          <w:sz w:val="20"/>
          <w:szCs w:val="20"/>
        </w:rPr>
        <w:tab/>
        <w:t>Moses CA. Comparative evaluation of semi-synthetic jet fuels: Final Report. 2008.</w:t>
      </w:r>
    </w:p>
    <w:p w14:paraId="3F29D2B5"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[326]</w:t>
      </w:r>
      <w:r w:rsidRPr="006D6AF9">
        <w:rPr>
          <w:rFonts w:ascii="Times New Roman" w:hAnsi="Times New Roman" w:cs="Times New Roman"/>
          <w:sz w:val="20"/>
          <w:szCs w:val="20"/>
        </w:rPr>
        <w:tab/>
        <w:t>Kosir S, Heyne J, Graham J. A machine learning framework for drop-in volume swell characteristics of sustainable aviation fuel. Fuel 2020;274:117832. https://doi.org/10.1016/j.fuel.2020.117832.</w:t>
      </w:r>
    </w:p>
    <w:p w14:paraId="42854D0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[327]</w:t>
      </w:r>
      <w:r w:rsidRPr="006D6AF9">
        <w:rPr>
          <w:rFonts w:ascii="Times New Roman" w:hAnsi="Times New Roman" w:cs="Times New Roman"/>
          <w:sz w:val="20"/>
          <w:szCs w:val="20"/>
        </w:rPr>
        <w:tab/>
        <w:t>FAA, Boeing, University of Dayton Research Institue. Impact of Alternative Jet Fuel and Fuel Blends on Non-Metallic Materials Used in Commercial Aircraft Fuel Systems CLEEN Project Final Report – Submitted by The Boeing Company. n.d.</w:t>
      </w:r>
    </w:p>
    <w:p w14:paraId="0EE91F9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[328]</w:t>
      </w:r>
      <w:r w:rsidRPr="006D6AF9">
        <w:rPr>
          <w:rFonts w:ascii="Times New Roman" w:hAnsi="Times New Roman" w:cs="Times New Roman"/>
          <w:sz w:val="20"/>
          <w:szCs w:val="20"/>
        </w:rPr>
        <w:tab/>
        <w:t>Miller B, Johnson D, Thompson T, Rosenberg FL, Driver J, Biscardi GP, et al. R&amp;D Control Study: Plan for Future Jet Fuel Distribution Quality Control and Description of Fuel. U.S. Department of Transportation Federal Aviation Admistration; 2014.</w:t>
      </w:r>
    </w:p>
    <w:p w14:paraId="206DF572"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[329]</w:t>
      </w:r>
      <w:r w:rsidRPr="006D6AF9">
        <w:rPr>
          <w:rFonts w:ascii="Times New Roman" w:hAnsi="Times New Roman" w:cs="Times New Roman"/>
          <w:sz w:val="20"/>
          <w:szCs w:val="20"/>
        </w:rPr>
        <w:tab/>
        <w:t>Canteenwalla P, Davison CR, Chishty WA, Ginestra C, Dally B. Testing of Synthesized Aromatic Kerosene (SAK) Aviation Fuel Blends at Simulated Altitudes. Proceedings of the ASME Turbo Expo, vol. 3, 2016. https://doi.org/10.1115/GT2016-57570.</w:t>
      </w:r>
    </w:p>
    <w:p w14:paraId="356DC71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[330]</w:t>
      </w:r>
      <w:r w:rsidRPr="006D6AF9">
        <w:rPr>
          <w:rFonts w:ascii="Times New Roman" w:hAnsi="Times New Roman" w:cs="Times New Roman"/>
          <w:sz w:val="20"/>
          <w:szCs w:val="20"/>
        </w:rPr>
        <w:tab/>
        <w:t>Virent Inc. Catalytic Upgrading of Thermochemical Intermediates to Hydrocarbons: Conversion of Lignocellulosic Feedstocks to Aromatic Fuels and High Value Chemicals. 2017.</w:t>
      </w:r>
    </w:p>
    <w:p w14:paraId="4F7CA64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[331]</w:t>
      </w:r>
      <w:r w:rsidRPr="006D6AF9">
        <w:rPr>
          <w:rFonts w:ascii="Times New Roman" w:hAnsi="Times New Roman" w:cs="Times New Roman"/>
          <w:sz w:val="20"/>
          <w:szCs w:val="20"/>
        </w:rPr>
        <w:tab/>
        <w:t>Virent Inc. BioForm ® SAK Jet Fuel. 2015.</w:t>
      </w:r>
    </w:p>
    <w:p w14:paraId="7C0416E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[332]</w:t>
      </w:r>
      <w:r w:rsidRPr="006D6AF9">
        <w:rPr>
          <w:rFonts w:ascii="Times New Roman" w:hAnsi="Times New Roman" w:cs="Times New Roman"/>
          <w:sz w:val="20"/>
          <w:szCs w:val="20"/>
        </w:rPr>
        <w:tab/>
        <w:t>Kosir ST, Behnke L, Heyne JS, Stachler RD, Flora G, Zabarnick S, et al. Improvement in jet aircraft operation with the use of high-performance drop-in fuels. AIAA Scitech 2019 Forum 2019:1–27. https://doi.org/10.2514/6.2019-0993.</w:t>
      </w:r>
    </w:p>
    <w:p w14:paraId="43F0B58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[333]</w:t>
      </w:r>
      <w:r w:rsidRPr="006D6AF9">
        <w:rPr>
          <w:rFonts w:ascii="Times New Roman" w:hAnsi="Times New Roman" w:cs="Times New Roman"/>
          <w:sz w:val="20"/>
          <w:szCs w:val="20"/>
        </w:rPr>
        <w:tab/>
        <w:t>Cheng F, Brewer CE. Producing jet fuel from biomass lignin: Potential pathways to alkyl-benzenes and cycloalkanes. Renewable and Sustainable Energy Reviews 2017;72:673–722. https://doi.org/10.1016/j.rser.2017.01.030.</w:t>
      </w:r>
    </w:p>
    <w:p w14:paraId="0471BD4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[334]</w:t>
      </w:r>
      <w:r w:rsidRPr="006D6AF9">
        <w:rPr>
          <w:rFonts w:ascii="Times New Roman" w:hAnsi="Times New Roman" w:cs="Times New Roman"/>
          <w:sz w:val="20"/>
          <w:szCs w:val="20"/>
        </w:rPr>
        <w:tab/>
        <w:t>Zhang X, Lei H, Zhu L, Wu J, Chen S. From lignocellulosic biomass to renewable cycloalkanes for jet fuels. Green Chemistry 2015;17:4736–47. https://doi.org/10.1039/c5gc01583a.</w:t>
      </w:r>
    </w:p>
    <w:p w14:paraId="1A76816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[335]</w:t>
      </w:r>
      <w:r w:rsidRPr="006D6AF9">
        <w:rPr>
          <w:rFonts w:ascii="Times New Roman" w:hAnsi="Times New Roman" w:cs="Times New Roman"/>
          <w:sz w:val="20"/>
          <w:szCs w:val="20"/>
        </w:rPr>
        <w:tab/>
        <w:t>National Academies of Sciences, Enginerring  and M. Reducing Global Carbon Emissions Commercial Aircraft Propulsion and Energy Systems Research. National Academies Press; 2016. https://doi.org/10.17226/23490.</w:t>
      </w:r>
    </w:p>
    <w:p w14:paraId="4F4FA3B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[336]</w:t>
      </w:r>
      <w:r w:rsidRPr="006D6AF9">
        <w:rPr>
          <w:rFonts w:ascii="Times New Roman" w:hAnsi="Times New Roman" w:cs="Times New Roman"/>
          <w:sz w:val="20"/>
          <w:szCs w:val="20"/>
        </w:rPr>
        <w:tab/>
        <w:t>Foss CEL, Müssig S, Svensson AM, Vie PJS, Ulvestad A, Mæhlen JP, et al. Anodes for Li-ion batteries prepared from microcrystalline silicon and enabled by binder’s chemistry and pseudo-self-healing. Scientific Reports 2020;10:1–8. https://doi.org/10.1038/s41598-020-70001-5.</w:t>
      </w:r>
    </w:p>
    <w:p w14:paraId="3D476B2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[337]</w:t>
      </w:r>
      <w:r w:rsidRPr="006D6AF9">
        <w:rPr>
          <w:rFonts w:ascii="Times New Roman" w:hAnsi="Times New Roman" w:cs="Times New Roman"/>
          <w:sz w:val="20"/>
          <w:szCs w:val="20"/>
        </w:rPr>
        <w:tab/>
        <w:t>Sundén B. Battery technologies. Elsevier; 2019. https://doi.org/10.1016/B978-0-12-816950-6.00004-X.</w:t>
      </w:r>
    </w:p>
    <w:p w14:paraId="77E6BDA9"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[338]</w:t>
      </w:r>
      <w:r w:rsidRPr="006D6AF9">
        <w:rPr>
          <w:rFonts w:ascii="Times New Roman" w:hAnsi="Times New Roman" w:cs="Times New Roman"/>
          <w:sz w:val="20"/>
          <w:szCs w:val="20"/>
        </w:rPr>
        <w:tab/>
        <w:t>Wang C, Zhu K, Chi Z, Ke F, Yang Y, Wang A, et al. How far away are lithium-sulfur batteries from commercialization? Frontiers in Energy Research 2019. https://doi.org/10.3389/fenrg.2019.00123.</w:t>
      </w:r>
    </w:p>
    <w:p w14:paraId="6A06FE51"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[339]</w:t>
      </w:r>
      <w:r w:rsidRPr="006D6AF9">
        <w:rPr>
          <w:rFonts w:ascii="Times New Roman" w:hAnsi="Times New Roman" w:cs="Times New Roman"/>
          <w:sz w:val="20"/>
          <w:szCs w:val="20"/>
        </w:rPr>
        <w:tab/>
        <w:t>Li OL, Ishizaki T. Development , Challenges , and Prospects of Carbon-Based Electrode for Lithium-Air Batteries. Elsevier Inc.; 2018. https://doi.org/10.1016/B978-0-12-813794-9.00004-1.</w:t>
      </w:r>
    </w:p>
    <w:p w14:paraId="2957686E"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[340]</w:t>
      </w:r>
      <w:r w:rsidRPr="006D6AF9">
        <w:rPr>
          <w:rFonts w:ascii="Times New Roman" w:hAnsi="Times New Roman" w:cs="Times New Roman"/>
          <w:sz w:val="20"/>
          <w:szCs w:val="20"/>
        </w:rPr>
        <w:tab/>
        <w:t>Roland Berger. Aircraft Electrical Propulsion – Onwards and Upwards. 2018.</w:t>
      </w:r>
    </w:p>
    <w:p w14:paraId="194E193B"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[341]</w:t>
      </w:r>
      <w:r w:rsidRPr="006D6AF9">
        <w:rPr>
          <w:rFonts w:ascii="Times New Roman" w:hAnsi="Times New Roman" w:cs="Times New Roman"/>
          <w:sz w:val="20"/>
          <w:szCs w:val="20"/>
        </w:rPr>
        <w:tab/>
        <w:t>Heidmann J, Bowman C, Kascak P, Jankovsky A, Jansen R. A NASA Perspective on electric propulsion technologies for commercial aviation. 2016.</w:t>
      </w:r>
    </w:p>
    <w:p w14:paraId="642ABB0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[342]</w:t>
      </w:r>
      <w:r w:rsidRPr="006D6AF9">
        <w:rPr>
          <w:rFonts w:ascii="Times New Roman" w:hAnsi="Times New Roman" w:cs="Times New Roman"/>
          <w:sz w:val="20"/>
          <w:szCs w:val="20"/>
        </w:rPr>
        <w:tab/>
        <w:t>Khandelwal B, Karakurt A, Sekaran PR, Sethi V, Singh R. Progress in Aerospace Sciences Hydrogen powered aircraft : The future of air transport. Progress in Aerospace Sciences 2013;60:45–59. https://doi.org/10.1016/j.paerosci.2012.12.002.</w:t>
      </w:r>
    </w:p>
    <w:p w14:paraId="56561080"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[343]</w:t>
      </w:r>
      <w:r w:rsidRPr="006D6AF9">
        <w:rPr>
          <w:rFonts w:ascii="Times New Roman" w:hAnsi="Times New Roman" w:cs="Times New Roman"/>
          <w:sz w:val="20"/>
          <w:szCs w:val="20"/>
        </w:rPr>
        <w:tab/>
        <w:t>Mital SK, Gyekenyesi JZ, Arnold SM, Sullivan RM, Manderscheid JM, Murthy PLN. Review of Current State of the Art and Key Design Issues With Potential Solutions for Liquid Hydrogen Cryogenic Storage Tank Structures for Aircraft Applications October 2006. NASA 2006.</w:t>
      </w:r>
    </w:p>
    <w:p w14:paraId="3EC3DC3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[344]</w:t>
      </w:r>
      <w:r w:rsidRPr="006D6AF9">
        <w:rPr>
          <w:rFonts w:ascii="Times New Roman" w:hAnsi="Times New Roman" w:cs="Times New Roman"/>
          <w:sz w:val="20"/>
          <w:szCs w:val="20"/>
        </w:rPr>
        <w:tab/>
        <w:t>Winnefeld C, Kadyk T, Hanke-rauschenbach R. Modelling and Designing Cryogenic Hydrogen Tanks for Future Aircraft Applications. Energies 2018:1–23. https://doi.org/10.3390/en11010105.</w:t>
      </w:r>
    </w:p>
    <w:p w14:paraId="7AE4CC8D"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[345]</w:t>
      </w:r>
      <w:r w:rsidRPr="006D6AF9">
        <w:rPr>
          <w:rFonts w:ascii="Times New Roman" w:hAnsi="Times New Roman" w:cs="Times New Roman"/>
          <w:sz w:val="20"/>
          <w:szCs w:val="20"/>
        </w:rPr>
        <w:tab/>
        <w:t>Marek CJ, Smith TD, Kundu K. Using Lean Direct Injection 2005:1–27.</w:t>
      </w:r>
    </w:p>
    <w:p w14:paraId="3688267F"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[346]</w:t>
      </w:r>
      <w:r w:rsidRPr="006D6AF9">
        <w:rPr>
          <w:rFonts w:ascii="Times New Roman" w:hAnsi="Times New Roman" w:cs="Times New Roman"/>
          <w:sz w:val="20"/>
          <w:szCs w:val="20"/>
        </w:rPr>
        <w:tab/>
        <w:t>Smart Airport Systems (SAS). TaxiBot Semi-Robotic Towing Tractor to Trial at Schiphol Airport. 2021.</w:t>
      </w:r>
    </w:p>
    <w:p w14:paraId="2039B7EC"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[347]</w:t>
      </w:r>
      <w:r w:rsidRPr="006D6AF9">
        <w:rPr>
          <w:rFonts w:ascii="Times New Roman" w:hAnsi="Times New Roman" w:cs="Times New Roman"/>
          <w:sz w:val="20"/>
          <w:szCs w:val="20"/>
        </w:rPr>
        <w:tab/>
        <w:t>Airport International. Airports International: TaxiBot trials first production vehicle. Airports International 2013:1–4.</w:t>
      </w:r>
    </w:p>
    <w:p w14:paraId="61518DC8"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[348]</w:t>
      </w:r>
      <w:r w:rsidRPr="006D6AF9">
        <w:rPr>
          <w:rFonts w:ascii="Times New Roman" w:hAnsi="Times New Roman" w:cs="Times New Roman"/>
          <w:sz w:val="20"/>
          <w:szCs w:val="20"/>
        </w:rPr>
        <w:tab/>
        <w:t>Times of India. Air India becomes first airline to use “TaxiBot” on A320 aircraft with passengers onboard - Times of India. 2019.</w:t>
      </w:r>
    </w:p>
    <w:p w14:paraId="10B92294" w14:textId="77777777" w:rsidR="00CB3233" w:rsidRPr="006D6AF9" w:rsidRDefault="00CB3233" w:rsidP="00CB3233">
      <w:pPr>
        <w:pStyle w:val="Bibliography"/>
        <w:rPr>
          <w:rFonts w:ascii="Times New Roman" w:hAnsi="Times New Roman" w:cs="Times New Roman"/>
          <w:sz w:val="20"/>
          <w:szCs w:val="20"/>
        </w:rPr>
      </w:pPr>
      <w:r w:rsidRPr="006D6AF9">
        <w:rPr>
          <w:rFonts w:ascii="Times New Roman" w:hAnsi="Times New Roman" w:cs="Times New Roman"/>
          <w:sz w:val="20"/>
          <w:szCs w:val="20"/>
        </w:rPr>
        <w:t>[349]</w:t>
      </w:r>
      <w:r w:rsidRPr="006D6AF9">
        <w:rPr>
          <w:rFonts w:ascii="Times New Roman" w:hAnsi="Times New Roman" w:cs="Times New Roman"/>
          <w:sz w:val="20"/>
          <w:szCs w:val="20"/>
        </w:rPr>
        <w:tab/>
        <w:t>Lufthansa LEOS. TaxiBot Information - Lufthansa LEOS- Pilot controlled dispatch towing - without engines running. n.d.</w:t>
      </w:r>
    </w:p>
    <w:p w14:paraId="72C73DEF" w14:textId="1C9E7DA3" w:rsidR="00116BDD" w:rsidRDefault="0048714F" w:rsidP="00D27CCF">
      <w:pPr>
        <w:widowControl w:val="0"/>
        <w:autoSpaceDE w:val="0"/>
        <w:autoSpaceDN w:val="0"/>
        <w:adjustRightInd w:val="0"/>
        <w:spacing w:after="120" w:line="240" w:lineRule="auto"/>
        <w:jc w:val="both"/>
        <w:rPr>
          <w:rFonts w:ascii="Times New Roman" w:hAnsi="Times New Roman" w:cs="Times New Roman"/>
          <w:b/>
          <w:bCs/>
          <w:sz w:val="20"/>
          <w:szCs w:val="20"/>
        </w:rPr>
      </w:pPr>
      <w:r w:rsidRPr="006D6AF9">
        <w:rPr>
          <w:rFonts w:ascii="Times New Roman" w:hAnsi="Times New Roman" w:cs="Times New Roman"/>
          <w:b/>
          <w:bCs/>
          <w:sz w:val="20"/>
          <w:szCs w:val="20"/>
        </w:rPr>
        <w:fldChar w:fldCharType="end"/>
      </w:r>
    </w:p>
    <w:p w14:paraId="7F1AED0B" w14:textId="77777777" w:rsidR="00DA45DF" w:rsidRDefault="00DA45DF" w:rsidP="00DA45DF">
      <w:pPr>
        <w:ind w:left="540" w:hanging="540"/>
        <w:jc w:val="both"/>
        <w:rPr>
          <w:rFonts w:ascii="Times New Roman" w:hAnsi="Times New Roman" w:cs="Times New Roman"/>
          <w:sz w:val="20"/>
        </w:rPr>
      </w:pPr>
      <w:r>
        <w:rPr>
          <w:rFonts w:ascii="Times New Roman" w:hAnsi="Times New Roman" w:cs="Times New Roman"/>
          <w:b/>
          <w:sz w:val="20"/>
        </w:rPr>
        <w:lastRenderedPageBreak/>
        <w:t>Fig. 1</w:t>
      </w:r>
      <w:r>
        <w:rPr>
          <w:rFonts w:ascii="Times New Roman" w:hAnsi="Times New Roman" w:cs="Times New Roman"/>
          <w:sz w:val="20"/>
        </w:rPr>
        <w:t xml:space="preserve"> Main conversion pathways</w:t>
      </w:r>
      <w:r w:rsidRPr="00F24D43">
        <w:rPr>
          <w:rFonts w:ascii="Times New Roman" w:hAnsi="Times New Roman" w:cs="Times New Roman"/>
          <w:sz w:val="20"/>
        </w:rPr>
        <w:t xml:space="preserve"> in the production of </w:t>
      </w:r>
      <w:r>
        <w:rPr>
          <w:rFonts w:ascii="Times New Roman" w:hAnsi="Times New Roman" w:cs="Times New Roman"/>
          <w:sz w:val="20"/>
        </w:rPr>
        <w:t>aviation biofuels. (</w:t>
      </w:r>
      <w:r w:rsidRPr="00E26630">
        <w:rPr>
          <w:rFonts w:ascii="Times New Roman" w:hAnsi="Times New Roman" w:cs="Times New Roman"/>
          <w:sz w:val="20"/>
          <w:vertAlign w:val="superscript"/>
        </w:rPr>
        <w:t>*</w:t>
      </w:r>
      <w:r>
        <w:rPr>
          <w:rFonts w:ascii="Times New Roman" w:hAnsi="Times New Roman" w:cs="Times New Roman"/>
          <w:sz w:val="20"/>
        </w:rPr>
        <w:t xml:space="preserve">) Indicates that the pathway is certified by ASTM. </w:t>
      </w:r>
    </w:p>
    <w:p w14:paraId="4704C9EA" w14:textId="77777777" w:rsidR="00DA45DF" w:rsidRDefault="00DA45DF" w:rsidP="00DA45DF">
      <w:pPr>
        <w:spacing w:after="120" w:line="276" w:lineRule="auto"/>
        <w:jc w:val="both"/>
        <w:rPr>
          <w:rFonts w:ascii="Times New Roman" w:hAnsi="Times New Roman" w:cs="Times New Roman"/>
          <w:sz w:val="20"/>
        </w:rPr>
      </w:pPr>
      <w:r>
        <w:rPr>
          <w:rFonts w:ascii="Times New Roman" w:hAnsi="Times New Roman" w:cs="Times New Roman"/>
          <w:b/>
          <w:sz w:val="20"/>
        </w:rPr>
        <w:t>Fig. 2</w:t>
      </w:r>
      <w:r>
        <w:rPr>
          <w:rFonts w:ascii="Times New Roman" w:hAnsi="Times New Roman" w:cs="Times New Roman"/>
          <w:sz w:val="20"/>
        </w:rPr>
        <w:t xml:space="preserve"> Process flow diagram for the aqueous phase reforming (APR) pathway</w:t>
      </w:r>
    </w:p>
    <w:p w14:paraId="1DC2E6DC" w14:textId="77777777" w:rsidR="00DA45DF" w:rsidRDefault="00DA45DF" w:rsidP="00DA45DF">
      <w:pPr>
        <w:spacing w:after="120" w:line="276" w:lineRule="auto"/>
        <w:jc w:val="both"/>
        <w:rPr>
          <w:rFonts w:ascii="Times New Roman" w:hAnsi="Times New Roman"/>
          <w:sz w:val="20"/>
          <w:szCs w:val="20"/>
        </w:rPr>
      </w:pPr>
      <w:r>
        <w:rPr>
          <w:rFonts w:ascii="Times New Roman" w:hAnsi="Times New Roman"/>
          <w:b/>
          <w:bCs/>
          <w:sz w:val="20"/>
          <w:szCs w:val="20"/>
        </w:rPr>
        <w:t>Fig. 3</w:t>
      </w:r>
      <w:r w:rsidRPr="00633E06">
        <w:rPr>
          <w:rFonts w:ascii="Times New Roman" w:hAnsi="Times New Roman"/>
          <w:sz w:val="20"/>
          <w:szCs w:val="20"/>
        </w:rPr>
        <w:t xml:space="preserve"> </w:t>
      </w:r>
      <w:r>
        <w:rPr>
          <w:rFonts w:ascii="Times New Roman" w:hAnsi="Times New Roman"/>
          <w:sz w:val="20"/>
          <w:szCs w:val="20"/>
        </w:rPr>
        <w:t>Process flow</w:t>
      </w:r>
      <w:r w:rsidRPr="00633E06">
        <w:rPr>
          <w:rFonts w:ascii="Times New Roman" w:hAnsi="Times New Roman"/>
          <w:sz w:val="20"/>
          <w:szCs w:val="20"/>
        </w:rPr>
        <w:t xml:space="preserve"> diagram </w:t>
      </w:r>
      <w:r>
        <w:rPr>
          <w:rFonts w:ascii="Times New Roman" w:hAnsi="Times New Roman"/>
          <w:sz w:val="20"/>
          <w:szCs w:val="20"/>
        </w:rPr>
        <w:t>for</w:t>
      </w:r>
      <w:r w:rsidRPr="00633E06">
        <w:rPr>
          <w:rFonts w:ascii="Times New Roman" w:hAnsi="Times New Roman"/>
          <w:sz w:val="20"/>
          <w:szCs w:val="20"/>
        </w:rPr>
        <w:t xml:space="preserve"> direct sugar to hydrocarbon (DSHC)</w:t>
      </w:r>
      <w:r>
        <w:rPr>
          <w:rFonts w:ascii="Times New Roman" w:hAnsi="Times New Roman"/>
          <w:sz w:val="20"/>
          <w:szCs w:val="20"/>
        </w:rPr>
        <w:t xml:space="preserve"> pathway</w:t>
      </w:r>
    </w:p>
    <w:p w14:paraId="591F3906" w14:textId="77777777" w:rsidR="00DA45DF" w:rsidRDefault="00DA45DF" w:rsidP="00DA45DF">
      <w:pPr>
        <w:spacing w:after="120" w:line="276" w:lineRule="auto"/>
        <w:ind w:left="540" w:hanging="540"/>
        <w:jc w:val="both"/>
        <w:rPr>
          <w:rFonts w:ascii="Times New Roman" w:hAnsi="Times New Roman"/>
          <w:sz w:val="20"/>
          <w:szCs w:val="20"/>
        </w:rPr>
      </w:pPr>
      <w:r>
        <w:rPr>
          <w:rFonts w:ascii="Times New Roman" w:hAnsi="Times New Roman"/>
          <w:b/>
          <w:bCs/>
          <w:sz w:val="20"/>
          <w:szCs w:val="20"/>
        </w:rPr>
        <w:t>Fig. 4</w:t>
      </w:r>
      <w:r>
        <w:rPr>
          <w:rFonts w:ascii="Times New Roman" w:hAnsi="Times New Roman"/>
          <w:sz w:val="20"/>
          <w:szCs w:val="20"/>
        </w:rPr>
        <w:t xml:space="preserve"> Process flow diagram for </w:t>
      </w:r>
      <w:r w:rsidRPr="00D31065">
        <w:rPr>
          <w:rFonts w:ascii="Times New Roman" w:hAnsi="Times New Roman"/>
          <w:sz w:val="20"/>
          <w:szCs w:val="20"/>
        </w:rPr>
        <w:t>the alcoholic fermentation</w:t>
      </w:r>
      <w:r>
        <w:rPr>
          <w:rFonts w:ascii="Times New Roman" w:hAnsi="Times New Roman"/>
          <w:sz w:val="20"/>
          <w:szCs w:val="20"/>
        </w:rPr>
        <w:t xml:space="preserve"> (AF) from different types of feedstocks (a, b and c)</w:t>
      </w:r>
    </w:p>
    <w:p w14:paraId="1DDB7060" w14:textId="77777777" w:rsidR="00DA45DF" w:rsidRDefault="00DA45DF" w:rsidP="00DA45DF">
      <w:pPr>
        <w:spacing w:after="120" w:line="276" w:lineRule="auto"/>
        <w:jc w:val="both"/>
        <w:rPr>
          <w:rFonts w:ascii="Times New Roman" w:hAnsi="Times New Roman"/>
          <w:sz w:val="20"/>
          <w:szCs w:val="20"/>
        </w:rPr>
      </w:pPr>
      <w:r>
        <w:rPr>
          <w:rFonts w:ascii="Times New Roman" w:hAnsi="Times New Roman"/>
          <w:b/>
          <w:bCs/>
          <w:sz w:val="20"/>
          <w:szCs w:val="20"/>
        </w:rPr>
        <w:t>Fig. 5</w:t>
      </w:r>
      <w:r w:rsidRPr="00BE795B">
        <w:rPr>
          <w:rFonts w:ascii="Times New Roman" w:hAnsi="Times New Roman"/>
          <w:sz w:val="20"/>
          <w:szCs w:val="20"/>
        </w:rPr>
        <w:t xml:space="preserve"> </w:t>
      </w:r>
      <w:r>
        <w:rPr>
          <w:rFonts w:ascii="Times New Roman" w:hAnsi="Times New Roman"/>
          <w:sz w:val="20"/>
          <w:szCs w:val="20"/>
        </w:rPr>
        <w:t>Process flow</w:t>
      </w:r>
      <w:r w:rsidRPr="00BE795B">
        <w:rPr>
          <w:rFonts w:ascii="Times New Roman" w:hAnsi="Times New Roman"/>
          <w:sz w:val="20"/>
          <w:szCs w:val="20"/>
        </w:rPr>
        <w:t xml:space="preserve"> diagram </w:t>
      </w:r>
      <w:r>
        <w:rPr>
          <w:rFonts w:ascii="Times New Roman" w:hAnsi="Times New Roman"/>
          <w:sz w:val="20"/>
          <w:szCs w:val="20"/>
        </w:rPr>
        <w:t xml:space="preserve">for biomass gasification and </w:t>
      </w:r>
      <w:r w:rsidRPr="00BE795B">
        <w:rPr>
          <w:rFonts w:ascii="Times New Roman" w:hAnsi="Times New Roman"/>
          <w:sz w:val="20"/>
          <w:szCs w:val="20"/>
        </w:rPr>
        <w:t xml:space="preserve">syngas fermentation </w:t>
      </w:r>
      <w:r>
        <w:rPr>
          <w:rFonts w:ascii="Times New Roman" w:hAnsi="Times New Roman"/>
          <w:sz w:val="20"/>
          <w:szCs w:val="20"/>
        </w:rPr>
        <w:t>(SF) pathway</w:t>
      </w:r>
    </w:p>
    <w:p w14:paraId="0672DA83" w14:textId="77777777" w:rsidR="00DA45DF" w:rsidRDefault="00DA45DF" w:rsidP="00DA45DF">
      <w:pPr>
        <w:spacing w:line="276" w:lineRule="auto"/>
        <w:jc w:val="thaiDistribute"/>
        <w:rPr>
          <w:rFonts w:ascii="Times New Roman" w:hAnsi="Times New Roman"/>
          <w:sz w:val="20"/>
          <w:szCs w:val="20"/>
        </w:rPr>
      </w:pPr>
      <w:r>
        <w:rPr>
          <w:rFonts w:ascii="Times New Roman" w:hAnsi="Times New Roman"/>
          <w:b/>
          <w:bCs/>
          <w:sz w:val="20"/>
          <w:szCs w:val="20"/>
        </w:rPr>
        <w:t>Fig. 6</w:t>
      </w:r>
      <w:r w:rsidRPr="00BE795B">
        <w:rPr>
          <w:rFonts w:ascii="Times New Roman" w:hAnsi="Times New Roman"/>
          <w:sz w:val="20"/>
          <w:szCs w:val="20"/>
        </w:rPr>
        <w:t xml:space="preserve"> </w:t>
      </w:r>
      <w:r>
        <w:rPr>
          <w:rFonts w:ascii="Times New Roman" w:hAnsi="Times New Roman"/>
          <w:sz w:val="20"/>
          <w:szCs w:val="20"/>
        </w:rPr>
        <w:t>Process flow</w:t>
      </w:r>
      <w:r w:rsidRPr="00BE795B">
        <w:rPr>
          <w:rFonts w:ascii="Times New Roman" w:hAnsi="Times New Roman"/>
          <w:sz w:val="20"/>
          <w:szCs w:val="20"/>
        </w:rPr>
        <w:t xml:space="preserve"> diagram for </w:t>
      </w:r>
      <w:r>
        <w:rPr>
          <w:rFonts w:ascii="Times New Roman" w:hAnsi="Times New Roman"/>
          <w:sz w:val="20"/>
          <w:szCs w:val="20"/>
        </w:rPr>
        <w:t>biomass gasification</w:t>
      </w:r>
      <w:r w:rsidRPr="00BE795B">
        <w:rPr>
          <w:rFonts w:ascii="Times New Roman" w:hAnsi="Times New Roman"/>
          <w:sz w:val="20"/>
          <w:szCs w:val="20"/>
        </w:rPr>
        <w:t xml:space="preserve"> and </w:t>
      </w:r>
      <w:r>
        <w:rPr>
          <w:rFonts w:ascii="Times New Roman" w:hAnsi="Times New Roman"/>
          <w:sz w:val="20"/>
          <w:szCs w:val="20"/>
        </w:rPr>
        <w:t>Fischer-Tropsch (FT) pathway</w:t>
      </w:r>
    </w:p>
    <w:p w14:paraId="7F357993" w14:textId="77777777" w:rsidR="00DA45DF" w:rsidRDefault="00DA45DF" w:rsidP="00DA45DF">
      <w:pPr>
        <w:spacing w:after="120" w:line="276" w:lineRule="auto"/>
        <w:jc w:val="both"/>
        <w:rPr>
          <w:rFonts w:ascii="Times New Roman" w:hAnsi="Times New Roman" w:cs="Times New Roman"/>
          <w:sz w:val="20"/>
          <w:szCs w:val="20"/>
        </w:rPr>
      </w:pPr>
      <w:r>
        <w:rPr>
          <w:rFonts w:ascii="Times New Roman" w:hAnsi="Times New Roman" w:cs="Times New Roman"/>
          <w:b/>
          <w:bCs/>
          <w:sz w:val="20"/>
          <w:szCs w:val="20"/>
        </w:rPr>
        <w:t>Fig. 7</w:t>
      </w:r>
      <w:r>
        <w:rPr>
          <w:rFonts w:ascii="Times New Roman" w:hAnsi="Times New Roman" w:cs="Times New Roman"/>
          <w:sz w:val="20"/>
          <w:szCs w:val="20"/>
        </w:rPr>
        <w:t xml:space="preserve"> Process flow diagram for </w:t>
      </w:r>
      <w:r w:rsidRPr="00BE795B">
        <w:rPr>
          <w:rFonts w:ascii="Times New Roman" w:hAnsi="Times New Roman" w:cs="Times New Roman"/>
          <w:sz w:val="20"/>
          <w:szCs w:val="20"/>
        </w:rPr>
        <w:t>hydro</w:t>
      </w:r>
      <w:r>
        <w:rPr>
          <w:rFonts w:ascii="Times New Roman" w:hAnsi="Times New Roman" w:cs="Times New Roman"/>
          <w:sz w:val="20"/>
          <w:szCs w:val="20"/>
        </w:rPr>
        <w:t>treated</w:t>
      </w:r>
      <w:r w:rsidRPr="00BE795B">
        <w:rPr>
          <w:rFonts w:ascii="Times New Roman" w:hAnsi="Times New Roman" w:cs="Times New Roman"/>
          <w:sz w:val="20"/>
          <w:szCs w:val="20"/>
        </w:rPr>
        <w:t xml:space="preserve"> depolymerized cellulosic jet (HDCJ)</w:t>
      </w:r>
      <w:r>
        <w:rPr>
          <w:rFonts w:ascii="Times New Roman" w:hAnsi="Times New Roman" w:cs="Times New Roman"/>
          <w:sz w:val="20"/>
          <w:szCs w:val="20"/>
        </w:rPr>
        <w:t xml:space="preserve"> pathway</w:t>
      </w:r>
    </w:p>
    <w:p w14:paraId="41860020" w14:textId="77777777" w:rsidR="00DA45DF" w:rsidRDefault="00DA45DF" w:rsidP="00DA45DF">
      <w:pPr>
        <w:spacing w:after="120" w:line="276" w:lineRule="auto"/>
        <w:ind w:left="630" w:hanging="630"/>
        <w:jc w:val="both"/>
        <w:rPr>
          <w:rFonts w:ascii="Times New Roman" w:hAnsi="Times New Roman" w:cs="Times New Roman"/>
          <w:sz w:val="20"/>
          <w:szCs w:val="20"/>
        </w:rPr>
      </w:pPr>
      <w:r>
        <w:rPr>
          <w:rFonts w:ascii="Times New Roman" w:hAnsi="Times New Roman" w:cs="Times New Roman"/>
          <w:b/>
          <w:bCs/>
          <w:sz w:val="20"/>
          <w:szCs w:val="20"/>
        </w:rPr>
        <w:t>Fig. 8</w:t>
      </w:r>
      <w:r>
        <w:rPr>
          <w:rFonts w:ascii="Times New Roman" w:hAnsi="Times New Roman" w:cs="Times New Roman"/>
          <w:sz w:val="20"/>
          <w:szCs w:val="20"/>
        </w:rPr>
        <w:t xml:space="preserve"> Process flow diagram for</w:t>
      </w:r>
      <w:r w:rsidRPr="00BE795B">
        <w:rPr>
          <w:rFonts w:ascii="Times New Roman" w:hAnsi="Times New Roman" w:cs="Times New Roman"/>
          <w:sz w:val="20"/>
          <w:szCs w:val="20"/>
        </w:rPr>
        <w:t xml:space="preserve"> </w:t>
      </w:r>
      <w:r>
        <w:rPr>
          <w:rFonts w:ascii="Times New Roman" w:hAnsi="Times New Roman" w:cs="Times New Roman"/>
          <w:sz w:val="20"/>
          <w:szCs w:val="20"/>
        </w:rPr>
        <w:t>hydroprocessed renewable jet/</w:t>
      </w:r>
      <w:r w:rsidRPr="00BE795B">
        <w:rPr>
          <w:rFonts w:ascii="Times New Roman" w:hAnsi="Times New Roman" w:cs="Times New Roman"/>
          <w:sz w:val="20"/>
          <w:szCs w:val="20"/>
        </w:rPr>
        <w:t>hydroprocessed</w:t>
      </w:r>
      <w:r>
        <w:rPr>
          <w:rFonts w:ascii="Times New Roman" w:hAnsi="Times New Roman" w:cs="Times New Roman"/>
          <w:sz w:val="20"/>
          <w:szCs w:val="20"/>
        </w:rPr>
        <w:t xml:space="preserve"> esters and fatty acids (HRJ/HEFA) pathway</w:t>
      </w:r>
    </w:p>
    <w:p w14:paraId="4CBFB20D" w14:textId="77777777" w:rsidR="00DA45DF" w:rsidRDefault="00DA45DF" w:rsidP="00DA45DF">
      <w:pPr>
        <w:spacing w:after="120" w:line="276" w:lineRule="auto"/>
        <w:jc w:val="both"/>
        <w:rPr>
          <w:rFonts w:ascii="Times New Roman" w:hAnsi="Times New Roman" w:cs="Times New Roman"/>
          <w:sz w:val="20"/>
          <w:szCs w:val="20"/>
        </w:rPr>
      </w:pPr>
      <w:r>
        <w:rPr>
          <w:rFonts w:ascii="Times New Roman" w:hAnsi="Times New Roman" w:cs="Times New Roman"/>
          <w:b/>
          <w:bCs/>
          <w:sz w:val="20"/>
          <w:szCs w:val="20"/>
        </w:rPr>
        <w:t>Fig. 9</w:t>
      </w:r>
      <w:r>
        <w:rPr>
          <w:rFonts w:ascii="Times New Roman" w:hAnsi="Times New Roman" w:cs="Times New Roman"/>
          <w:sz w:val="20"/>
          <w:szCs w:val="20"/>
        </w:rPr>
        <w:t xml:space="preserve"> Process flow diagram for catalytic hydrothermolysis jet (CHJ) pathway</w:t>
      </w:r>
    </w:p>
    <w:p w14:paraId="711E822C" w14:textId="77777777" w:rsidR="00DA45DF" w:rsidRDefault="00DA45DF" w:rsidP="00DA45DF">
      <w:pPr>
        <w:spacing w:after="120" w:line="276" w:lineRule="auto"/>
        <w:ind w:left="720" w:hanging="720"/>
        <w:jc w:val="both"/>
        <w:rPr>
          <w:rFonts w:ascii="Times New Roman" w:hAnsi="Times New Roman" w:cs="Times New Roman"/>
          <w:sz w:val="20"/>
          <w:szCs w:val="20"/>
        </w:rPr>
      </w:pPr>
      <w:r>
        <w:rPr>
          <w:rFonts w:ascii="Times New Roman" w:hAnsi="Times New Roman" w:cs="Times New Roman"/>
          <w:b/>
          <w:sz w:val="20"/>
          <w:szCs w:val="20"/>
        </w:rPr>
        <w:t>Fig. 10</w:t>
      </w:r>
      <w:r>
        <w:rPr>
          <w:rFonts w:ascii="Times New Roman" w:hAnsi="Times New Roman" w:cs="Times New Roman"/>
          <w:sz w:val="20"/>
          <w:szCs w:val="20"/>
        </w:rPr>
        <w:t xml:space="preserve"> Electrofuels production process by water electrolysis (a), co-electrolysis (b) and solar thermochemical process (c)</w:t>
      </w:r>
    </w:p>
    <w:p w14:paraId="3A74CFF1" w14:textId="77777777" w:rsidR="00DA45DF" w:rsidRDefault="00DA45DF" w:rsidP="00DA45DF">
      <w:pPr>
        <w:spacing w:after="120" w:line="276" w:lineRule="auto"/>
        <w:ind w:left="630" w:hanging="630"/>
        <w:jc w:val="both"/>
        <w:rPr>
          <w:rFonts w:ascii="Times New Roman" w:hAnsi="Times New Roman" w:cs="Times New Roman"/>
          <w:sz w:val="20"/>
          <w:szCs w:val="20"/>
        </w:rPr>
      </w:pPr>
      <w:r>
        <w:rPr>
          <w:rFonts w:ascii="Times New Roman" w:hAnsi="Times New Roman" w:cs="Times New Roman"/>
          <w:b/>
          <w:sz w:val="20"/>
          <w:szCs w:val="20"/>
        </w:rPr>
        <w:t>Fig. 11</w:t>
      </w:r>
      <w:r w:rsidRPr="007754F3">
        <w:rPr>
          <w:rFonts w:ascii="Times New Roman" w:hAnsi="Times New Roman" w:cs="Times New Roman"/>
          <w:b/>
          <w:sz w:val="20"/>
          <w:szCs w:val="20"/>
        </w:rPr>
        <w:t xml:space="preserve"> </w:t>
      </w:r>
      <w:r w:rsidRPr="007754F3">
        <w:rPr>
          <w:rFonts w:ascii="Times New Roman" w:hAnsi="Times New Roman" w:cs="Times New Roman"/>
          <w:sz w:val="20"/>
          <w:szCs w:val="20"/>
        </w:rPr>
        <w:t>Water splitting hydrogen production technologies</w:t>
      </w:r>
      <w:r>
        <w:rPr>
          <w:rFonts w:ascii="Times New Roman" w:hAnsi="Times New Roman" w:cs="Times New Roman"/>
          <w:sz w:val="20"/>
          <w:szCs w:val="20"/>
        </w:rPr>
        <w:t>. AED: Average Energy Demand, calculated from a of compilation of several references (see Table S4 in SM).</w:t>
      </w:r>
    </w:p>
    <w:p w14:paraId="2E5A1111" w14:textId="77777777" w:rsidR="00DA45DF" w:rsidRDefault="00DA45DF" w:rsidP="00DA45DF">
      <w:pPr>
        <w:spacing w:after="120" w:line="276" w:lineRule="auto"/>
        <w:ind w:left="630" w:hanging="630"/>
        <w:jc w:val="both"/>
        <w:rPr>
          <w:rFonts w:ascii="Times New Roman" w:hAnsi="Times New Roman" w:cs="Times New Roman"/>
          <w:sz w:val="20"/>
          <w:szCs w:val="20"/>
        </w:rPr>
      </w:pPr>
      <w:r>
        <w:rPr>
          <w:rFonts w:ascii="Times New Roman" w:hAnsi="Times New Roman" w:cs="Times New Roman"/>
          <w:b/>
          <w:sz w:val="20"/>
          <w:szCs w:val="20"/>
        </w:rPr>
        <w:t>Fig. 12</w:t>
      </w:r>
      <w:r>
        <w:rPr>
          <w:rFonts w:ascii="Times New Roman" w:hAnsi="Times New Roman" w:cs="Times New Roman"/>
          <w:sz w:val="20"/>
          <w:szCs w:val="20"/>
        </w:rPr>
        <w:t xml:space="preserve"> Summary of inventoried electric and carbon-free aviation projects announced to date (December 2020)</w:t>
      </w:r>
    </w:p>
    <w:p w14:paraId="504D7BB6" w14:textId="77777777" w:rsidR="00DA45DF" w:rsidRDefault="00DA45DF" w:rsidP="00DA45DF">
      <w:pPr>
        <w:spacing w:after="120" w:line="276" w:lineRule="auto"/>
        <w:ind w:left="720" w:hanging="720"/>
        <w:jc w:val="both"/>
        <w:rPr>
          <w:rFonts w:ascii="Times New Roman" w:hAnsi="Times New Roman" w:cs="Times New Roman"/>
          <w:sz w:val="20"/>
          <w:szCs w:val="20"/>
        </w:rPr>
      </w:pPr>
      <w:r>
        <w:rPr>
          <w:rFonts w:ascii="Times New Roman" w:hAnsi="Times New Roman" w:cs="Times New Roman"/>
          <w:b/>
          <w:sz w:val="20"/>
          <w:szCs w:val="20"/>
        </w:rPr>
        <w:t>Fig. 13</w:t>
      </w:r>
      <w:r>
        <w:rPr>
          <w:rFonts w:ascii="Times New Roman" w:hAnsi="Times New Roman" w:cs="Times New Roman"/>
          <w:sz w:val="20"/>
          <w:szCs w:val="20"/>
        </w:rPr>
        <w:t xml:space="preserve"> Basic configuration schemes for aviation propulsion systems. Dotted lines and boxes represent the hydrogen fuel cell configuration. DC stands for direct current, AC for alternative current. </w:t>
      </w:r>
      <w:r w:rsidRPr="00564332">
        <w:rPr>
          <w:rFonts w:ascii="Times New Roman" w:hAnsi="Times New Roman" w:cs="Times New Roman"/>
          <w:sz w:val="20"/>
          <w:szCs w:val="20"/>
          <w:vertAlign w:val="superscript"/>
        </w:rPr>
        <w:t>*</w:t>
      </w:r>
      <w:r>
        <w:rPr>
          <w:rFonts w:ascii="Times New Roman" w:hAnsi="Times New Roman" w:cs="Times New Roman"/>
          <w:sz w:val="20"/>
          <w:szCs w:val="20"/>
        </w:rPr>
        <w:t xml:space="preserve">Gas turbine here denotes whether turboshaft, turboprop and turbofan engines. </w:t>
      </w:r>
    </w:p>
    <w:p w14:paraId="478FDA58" w14:textId="77777777" w:rsidR="00DA45DF" w:rsidRDefault="00DA45DF" w:rsidP="00DA45DF">
      <w:pPr>
        <w:jc w:val="both"/>
        <w:rPr>
          <w:rFonts w:ascii="Times New Roman" w:hAnsi="Times New Roman" w:cs="Times New Roman"/>
          <w:noProof/>
          <w:sz w:val="20"/>
        </w:rPr>
      </w:pPr>
      <w:r w:rsidRPr="00947D1C">
        <w:rPr>
          <w:rFonts w:ascii="Times New Roman" w:hAnsi="Times New Roman" w:cs="Times New Roman"/>
          <w:b/>
          <w:noProof/>
          <w:sz w:val="20"/>
        </w:rPr>
        <w:t>Fig. 1</w:t>
      </w:r>
      <w:r>
        <w:rPr>
          <w:rFonts w:ascii="Times New Roman" w:hAnsi="Times New Roman" w:cs="Times New Roman"/>
          <w:b/>
          <w:noProof/>
          <w:sz w:val="20"/>
        </w:rPr>
        <w:t>4</w:t>
      </w:r>
      <w:r>
        <w:rPr>
          <w:rFonts w:ascii="Times New Roman" w:hAnsi="Times New Roman" w:cs="Times New Roman"/>
          <w:noProof/>
          <w:sz w:val="20"/>
        </w:rPr>
        <w:t xml:space="preserve"> Strengths and challenges/prospects of three existing approaches for low fossil-carbon aviation </w:t>
      </w:r>
    </w:p>
    <w:p w14:paraId="07468EE7" w14:textId="4B6DA470" w:rsidR="00DA45DF" w:rsidRDefault="00DA45DF" w:rsidP="00D27CCF">
      <w:pPr>
        <w:widowControl w:val="0"/>
        <w:autoSpaceDE w:val="0"/>
        <w:autoSpaceDN w:val="0"/>
        <w:adjustRightInd w:val="0"/>
        <w:spacing w:after="120" w:line="240" w:lineRule="auto"/>
        <w:jc w:val="both"/>
        <w:rPr>
          <w:rFonts w:ascii="Times New Roman" w:hAnsi="Times New Roman" w:cs="Times New Roman"/>
          <w:sz w:val="20"/>
          <w:szCs w:val="20"/>
        </w:rPr>
      </w:pPr>
      <w:r>
        <w:rPr>
          <w:rFonts w:ascii="Times New Roman" w:hAnsi="Times New Roman" w:cs="Times New Roman"/>
          <w:noProof/>
          <w:sz w:val="20"/>
        </w:rPr>
        <w:lastRenderedPageBreak/>
        <w:drawing>
          <wp:inline distT="0" distB="0" distL="0" distR="0" wp14:anchorId="5F9A4BFC" wp14:editId="3D61FBDB">
            <wp:extent cx="5617633" cy="406571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34315" cy="4077785"/>
                    </a:xfrm>
                    <a:prstGeom prst="rect">
                      <a:avLst/>
                    </a:prstGeom>
                    <a:noFill/>
                  </pic:spPr>
                </pic:pic>
              </a:graphicData>
            </a:graphic>
          </wp:inline>
        </w:drawing>
      </w:r>
    </w:p>
    <w:p w14:paraId="6440728F" w14:textId="77777777" w:rsidR="00DA45DF" w:rsidRDefault="00DA45DF" w:rsidP="00DA45DF">
      <w:pPr>
        <w:ind w:left="540" w:hanging="540"/>
        <w:jc w:val="both"/>
        <w:rPr>
          <w:rFonts w:ascii="Times New Roman" w:hAnsi="Times New Roman" w:cs="Times New Roman"/>
          <w:sz w:val="20"/>
        </w:rPr>
      </w:pPr>
      <w:r>
        <w:rPr>
          <w:rFonts w:ascii="Times New Roman" w:hAnsi="Times New Roman" w:cs="Times New Roman"/>
          <w:b/>
          <w:sz w:val="20"/>
        </w:rPr>
        <w:t>Fig. 1</w:t>
      </w:r>
      <w:r>
        <w:rPr>
          <w:rFonts w:ascii="Times New Roman" w:hAnsi="Times New Roman" w:cs="Times New Roman"/>
          <w:sz w:val="20"/>
        </w:rPr>
        <w:t xml:space="preserve"> Main conversion pathways</w:t>
      </w:r>
      <w:r w:rsidRPr="00F24D43">
        <w:rPr>
          <w:rFonts w:ascii="Times New Roman" w:hAnsi="Times New Roman" w:cs="Times New Roman"/>
          <w:sz w:val="20"/>
        </w:rPr>
        <w:t xml:space="preserve"> in the production of </w:t>
      </w:r>
      <w:r>
        <w:rPr>
          <w:rFonts w:ascii="Times New Roman" w:hAnsi="Times New Roman" w:cs="Times New Roman"/>
          <w:sz w:val="20"/>
        </w:rPr>
        <w:t>aviation biofuels. (</w:t>
      </w:r>
      <w:r w:rsidRPr="00E26630">
        <w:rPr>
          <w:rFonts w:ascii="Times New Roman" w:hAnsi="Times New Roman" w:cs="Times New Roman"/>
          <w:sz w:val="20"/>
          <w:vertAlign w:val="superscript"/>
        </w:rPr>
        <w:t>*</w:t>
      </w:r>
      <w:r>
        <w:rPr>
          <w:rFonts w:ascii="Times New Roman" w:hAnsi="Times New Roman" w:cs="Times New Roman"/>
          <w:sz w:val="20"/>
        </w:rPr>
        <w:t xml:space="preserve">) Indicates that the pathway is certified by ASTM. </w:t>
      </w:r>
    </w:p>
    <w:p w14:paraId="484A4031" w14:textId="18D9A3EF" w:rsidR="00DA45DF" w:rsidRDefault="005C5C48" w:rsidP="00D27CCF">
      <w:pPr>
        <w:widowControl w:val="0"/>
        <w:autoSpaceDE w:val="0"/>
        <w:autoSpaceDN w:val="0"/>
        <w:adjustRightInd w:val="0"/>
        <w:spacing w:after="120" w:line="240" w:lineRule="auto"/>
        <w:jc w:val="both"/>
        <w:rPr>
          <w:rFonts w:ascii="Times New Roman" w:hAnsi="Times New Roman" w:cs="Times New Roman"/>
          <w:sz w:val="20"/>
          <w:szCs w:val="20"/>
        </w:rPr>
      </w:pPr>
      <w:r>
        <w:rPr>
          <w:rFonts w:ascii="Times New Roman" w:hAnsi="Times New Roman" w:cs="Times New Roman"/>
          <w:noProof/>
          <w:sz w:val="20"/>
        </w:rPr>
        <w:drawing>
          <wp:inline distT="0" distB="0" distL="0" distR="0" wp14:anchorId="62E76C89" wp14:editId="633BB882">
            <wp:extent cx="5752786" cy="3233057"/>
            <wp:effectExtent l="0" t="0" r="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44" cy="3237529"/>
                    </a:xfrm>
                    <a:prstGeom prst="rect">
                      <a:avLst/>
                    </a:prstGeom>
                    <a:noFill/>
                  </pic:spPr>
                </pic:pic>
              </a:graphicData>
            </a:graphic>
          </wp:inline>
        </w:drawing>
      </w:r>
    </w:p>
    <w:p w14:paraId="0027D1A0" w14:textId="77777777" w:rsidR="005C5C48" w:rsidRDefault="005C5C48" w:rsidP="005C5C48">
      <w:pPr>
        <w:spacing w:after="120" w:line="276" w:lineRule="auto"/>
        <w:jc w:val="both"/>
        <w:rPr>
          <w:rFonts w:ascii="Times New Roman" w:hAnsi="Times New Roman" w:cs="Times New Roman"/>
          <w:sz w:val="20"/>
        </w:rPr>
      </w:pPr>
      <w:r>
        <w:rPr>
          <w:rFonts w:ascii="Times New Roman" w:hAnsi="Times New Roman" w:cs="Times New Roman"/>
          <w:b/>
          <w:sz w:val="20"/>
        </w:rPr>
        <w:t>Fig. 2</w:t>
      </w:r>
      <w:r>
        <w:rPr>
          <w:rFonts w:ascii="Times New Roman" w:hAnsi="Times New Roman" w:cs="Times New Roman"/>
          <w:sz w:val="20"/>
        </w:rPr>
        <w:t xml:space="preserve"> Process flow diagram for the aqueous phase reforming (APR) pathway</w:t>
      </w:r>
    </w:p>
    <w:p w14:paraId="02EF0C88" w14:textId="11BCB7C6" w:rsidR="005C5C48" w:rsidRDefault="005C5C48" w:rsidP="005C5C48">
      <w:pPr>
        <w:spacing w:after="120" w:line="276" w:lineRule="auto"/>
        <w:jc w:val="both"/>
        <w:rPr>
          <w:rFonts w:ascii="Times New Roman" w:hAnsi="Times New Roman"/>
          <w:b/>
          <w:bCs/>
          <w:sz w:val="20"/>
          <w:szCs w:val="20"/>
        </w:rPr>
      </w:pPr>
      <w:r>
        <w:rPr>
          <w:rFonts w:ascii="Times New Roman" w:hAnsi="Times New Roman" w:cs="Times New Roman"/>
          <w:noProof/>
          <w:sz w:val="20"/>
        </w:rPr>
        <w:lastRenderedPageBreak/>
        <w:drawing>
          <wp:inline distT="0" distB="0" distL="0" distR="0" wp14:anchorId="0FE2E3B3" wp14:editId="0E46096C">
            <wp:extent cx="5910943" cy="16992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6618" cy="1706641"/>
                    </a:xfrm>
                    <a:prstGeom prst="rect">
                      <a:avLst/>
                    </a:prstGeom>
                    <a:noFill/>
                  </pic:spPr>
                </pic:pic>
              </a:graphicData>
            </a:graphic>
          </wp:inline>
        </w:drawing>
      </w:r>
    </w:p>
    <w:p w14:paraId="12A192A9" w14:textId="08AD7F08" w:rsidR="005C5C48" w:rsidRDefault="005C5C48" w:rsidP="005C5C48">
      <w:pPr>
        <w:spacing w:after="120" w:line="276" w:lineRule="auto"/>
        <w:jc w:val="both"/>
        <w:rPr>
          <w:rFonts w:ascii="Times New Roman" w:hAnsi="Times New Roman"/>
          <w:sz w:val="20"/>
          <w:szCs w:val="20"/>
        </w:rPr>
      </w:pPr>
      <w:r>
        <w:rPr>
          <w:rFonts w:ascii="Times New Roman" w:hAnsi="Times New Roman"/>
          <w:b/>
          <w:bCs/>
          <w:sz w:val="20"/>
          <w:szCs w:val="20"/>
        </w:rPr>
        <w:t>Fig. 3</w:t>
      </w:r>
      <w:r w:rsidRPr="00633E06">
        <w:rPr>
          <w:rFonts w:ascii="Times New Roman" w:hAnsi="Times New Roman"/>
          <w:sz w:val="20"/>
          <w:szCs w:val="20"/>
        </w:rPr>
        <w:t xml:space="preserve"> </w:t>
      </w:r>
      <w:r>
        <w:rPr>
          <w:rFonts w:ascii="Times New Roman" w:hAnsi="Times New Roman"/>
          <w:sz w:val="20"/>
          <w:szCs w:val="20"/>
        </w:rPr>
        <w:t>Process flow</w:t>
      </w:r>
      <w:r w:rsidRPr="00633E06">
        <w:rPr>
          <w:rFonts w:ascii="Times New Roman" w:hAnsi="Times New Roman"/>
          <w:sz w:val="20"/>
          <w:szCs w:val="20"/>
        </w:rPr>
        <w:t xml:space="preserve"> diagram </w:t>
      </w:r>
      <w:r>
        <w:rPr>
          <w:rFonts w:ascii="Times New Roman" w:hAnsi="Times New Roman"/>
          <w:sz w:val="20"/>
          <w:szCs w:val="20"/>
        </w:rPr>
        <w:t>for</w:t>
      </w:r>
      <w:r w:rsidRPr="00633E06">
        <w:rPr>
          <w:rFonts w:ascii="Times New Roman" w:hAnsi="Times New Roman"/>
          <w:sz w:val="20"/>
          <w:szCs w:val="20"/>
        </w:rPr>
        <w:t xml:space="preserve"> direct sugar to hydrocarbon (DSHC)</w:t>
      </w:r>
      <w:r>
        <w:rPr>
          <w:rFonts w:ascii="Times New Roman" w:hAnsi="Times New Roman"/>
          <w:sz w:val="20"/>
          <w:szCs w:val="20"/>
        </w:rPr>
        <w:t xml:space="preserve"> pathway</w:t>
      </w:r>
    </w:p>
    <w:p w14:paraId="5A7DFB58" w14:textId="2CFAA7C2" w:rsidR="005C5C48" w:rsidRDefault="005C5C48" w:rsidP="005C5C48">
      <w:pPr>
        <w:spacing w:after="120" w:line="276" w:lineRule="auto"/>
        <w:ind w:left="540" w:hanging="540"/>
        <w:jc w:val="both"/>
        <w:rPr>
          <w:rFonts w:ascii="Times New Roman" w:hAnsi="Times New Roman"/>
          <w:b/>
          <w:bCs/>
          <w:sz w:val="20"/>
          <w:szCs w:val="20"/>
        </w:rPr>
      </w:pPr>
      <w:r>
        <w:rPr>
          <w:rFonts w:ascii="Times New Roman" w:hAnsi="Times New Roman"/>
          <w:noProof/>
          <w:sz w:val="20"/>
          <w:szCs w:val="20"/>
        </w:rPr>
        <w:drawing>
          <wp:inline distT="0" distB="0" distL="0" distR="0" wp14:anchorId="270294FF" wp14:editId="291AB41C">
            <wp:extent cx="5722843" cy="1967753"/>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47352" cy="1976180"/>
                    </a:xfrm>
                    <a:prstGeom prst="rect">
                      <a:avLst/>
                    </a:prstGeom>
                    <a:noFill/>
                  </pic:spPr>
                </pic:pic>
              </a:graphicData>
            </a:graphic>
          </wp:inline>
        </w:drawing>
      </w:r>
    </w:p>
    <w:p w14:paraId="5B842553" w14:textId="795F5CF4" w:rsidR="005C5C48" w:rsidRDefault="005C5C48" w:rsidP="005C5C48">
      <w:pPr>
        <w:spacing w:after="120" w:line="276" w:lineRule="auto"/>
        <w:ind w:left="540" w:hanging="540"/>
        <w:jc w:val="both"/>
        <w:rPr>
          <w:rFonts w:ascii="Times New Roman" w:hAnsi="Times New Roman"/>
          <w:sz w:val="20"/>
          <w:szCs w:val="20"/>
        </w:rPr>
      </w:pPr>
      <w:r>
        <w:rPr>
          <w:rFonts w:ascii="Times New Roman" w:hAnsi="Times New Roman"/>
          <w:b/>
          <w:bCs/>
          <w:sz w:val="20"/>
          <w:szCs w:val="20"/>
        </w:rPr>
        <w:t>Fig. 4</w:t>
      </w:r>
      <w:r>
        <w:rPr>
          <w:rFonts w:ascii="Times New Roman" w:hAnsi="Times New Roman"/>
          <w:sz w:val="20"/>
          <w:szCs w:val="20"/>
        </w:rPr>
        <w:t xml:space="preserve"> Process flow diagram for </w:t>
      </w:r>
      <w:r w:rsidRPr="00D31065">
        <w:rPr>
          <w:rFonts w:ascii="Times New Roman" w:hAnsi="Times New Roman"/>
          <w:sz w:val="20"/>
          <w:szCs w:val="20"/>
        </w:rPr>
        <w:t>the alcoholic fermentation</w:t>
      </w:r>
      <w:r>
        <w:rPr>
          <w:rFonts w:ascii="Times New Roman" w:hAnsi="Times New Roman"/>
          <w:sz w:val="20"/>
          <w:szCs w:val="20"/>
        </w:rPr>
        <w:t xml:space="preserve"> (AF) from different types of feedstocks (a, b and c)</w:t>
      </w:r>
    </w:p>
    <w:p w14:paraId="2A6CB64B" w14:textId="1620062E" w:rsidR="005C5C48" w:rsidRDefault="005C5C48" w:rsidP="005C5C48">
      <w:pPr>
        <w:spacing w:after="120" w:line="276" w:lineRule="auto"/>
        <w:jc w:val="both"/>
        <w:rPr>
          <w:rFonts w:ascii="Times New Roman" w:hAnsi="Times New Roman"/>
          <w:b/>
          <w:bCs/>
          <w:sz w:val="20"/>
          <w:szCs w:val="20"/>
        </w:rPr>
      </w:pPr>
      <w:r>
        <w:rPr>
          <w:rFonts w:ascii="Times New Roman" w:hAnsi="Times New Roman"/>
          <w:noProof/>
          <w:sz w:val="20"/>
          <w:szCs w:val="20"/>
        </w:rPr>
        <w:drawing>
          <wp:inline distT="0" distB="0" distL="0" distR="0" wp14:anchorId="6599C416" wp14:editId="570474BB">
            <wp:extent cx="5676332" cy="1737472"/>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07005" cy="1746861"/>
                    </a:xfrm>
                    <a:prstGeom prst="rect">
                      <a:avLst/>
                    </a:prstGeom>
                    <a:noFill/>
                  </pic:spPr>
                </pic:pic>
              </a:graphicData>
            </a:graphic>
          </wp:inline>
        </w:drawing>
      </w:r>
    </w:p>
    <w:p w14:paraId="7798D7BE" w14:textId="0B85E346" w:rsidR="005C5C48" w:rsidRDefault="005C5C48" w:rsidP="005C5C48">
      <w:pPr>
        <w:spacing w:after="120" w:line="276" w:lineRule="auto"/>
        <w:jc w:val="both"/>
        <w:rPr>
          <w:rFonts w:ascii="Times New Roman" w:hAnsi="Times New Roman"/>
          <w:sz w:val="20"/>
          <w:szCs w:val="20"/>
        </w:rPr>
      </w:pPr>
      <w:r>
        <w:rPr>
          <w:rFonts w:ascii="Times New Roman" w:hAnsi="Times New Roman"/>
          <w:b/>
          <w:bCs/>
          <w:sz w:val="20"/>
          <w:szCs w:val="20"/>
        </w:rPr>
        <w:t>Fig. 5</w:t>
      </w:r>
      <w:r w:rsidRPr="00BE795B">
        <w:rPr>
          <w:rFonts w:ascii="Times New Roman" w:hAnsi="Times New Roman"/>
          <w:sz w:val="20"/>
          <w:szCs w:val="20"/>
        </w:rPr>
        <w:t xml:space="preserve"> </w:t>
      </w:r>
      <w:r>
        <w:rPr>
          <w:rFonts w:ascii="Times New Roman" w:hAnsi="Times New Roman"/>
          <w:sz w:val="20"/>
          <w:szCs w:val="20"/>
        </w:rPr>
        <w:t>Process flow</w:t>
      </w:r>
      <w:r w:rsidRPr="00BE795B">
        <w:rPr>
          <w:rFonts w:ascii="Times New Roman" w:hAnsi="Times New Roman"/>
          <w:sz w:val="20"/>
          <w:szCs w:val="20"/>
        </w:rPr>
        <w:t xml:space="preserve"> diagram </w:t>
      </w:r>
      <w:r>
        <w:rPr>
          <w:rFonts w:ascii="Times New Roman" w:hAnsi="Times New Roman"/>
          <w:sz w:val="20"/>
          <w:szCs w:val="20"/>
        </w:rPr>
        <w:t xml:space="preserve">for biomass gasification and </w:t>
      </w:r>
      <w:r w:rsidRPr="00BE795B">
        <w:rPr>
          <w:rFonts w:ascii="Times New Roman" w:hAnsi="Times New Roman"/>
          <w:sz w:val="20"/>
          <w:szCs w:val="20"/>
        </w:rPr>
        <w:t xml:space="preserve">syngas fermentation </w:t>
      </w:r>
      <w:r>
        <w:rPr>
          <w:rFonts w:ascii="Times New Roman" w:hAnsi="Times New Roman"/>
          <w:sz w:val="20"/>
          <w:szCs w:val="20"/>
        </w:rPr>
        <w:t>(SF) pathway</w:t>
      </w:r>
    </w:p>
    <w:p w14:paraId="520923D2" w14:textId="3D35B698" w:rsidR="005C5C48" w:rsidRDefault="005C5C48" w:rsidP="005C5C48">
      <w:pPr>
        <w:spacing w:line="276" w:lineRule="auto"/>
        <w:jc w:val="thaiDistribute"/>
        <w:rPr>
          <w:rFonts w:ascii="Times New Roman" w:hAnsi="Times New Roman"/>
          <w:b/>
          <w:bCs/>
          <w:sz w:val="20"/>
          <w:szCs w:val="20"/>
        </w:rPr>
      </w:pPr>
      <w:r>
        <w:rPr>
          <w:rFonts w:ascii="Times New Roman" w:hAnsi="Times New Roman"/>
          <w:noProof/>
          <w:sz w:val="20"/>
          <w:szCs w:val="20"/>
        </w:rPr>
        <w:lastRenderedPageBreak/>
        <w:drawing>
          <wp:inline distT="0" distB="0" distL="0" distR="0" wp14:anchorId="50AAC32E" wp14:editId="420E8D02">
            <wp:extent cx="5426535" cy="2224144"/>
            <wp:effectExtent l="0" t="0" r="3175" b="508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78702" cy="2245526"/>
                    </a:xfrm>
                    <a:prstGeom prst="rect">
                      <a:avLst/>
                    </a:prstGeom>
                    <a:noFill/>
                  </pic:spPr>
                </pic:pic>
              </a:graphicData>
            </a:graphic>
          </wp:inline>
        </w:drawing>
      </w:r>
    </w:p>
    <w:p w14:paraId="3D998A56" w14:textId="44FDA754" w:rsidR="005C5C48" w:rsidRDefault="005C5C48" w:rsidP="005C5C48">
      <w:pPr>
        <w:spacing w:line="276" w:lineRule="auto"/>
        <w:jc w:val="thaiDistribute"/>
        <w:rPr>
          <w:rFonts w:ascii="Times New Roman" w:hAnsi="Times New Roman"/>
          <w:sz w:val="20"/>
          <w:szCs w:val="20"/>
        </w:rPr>
      </w:pPr>
      <w:r>
        <w:rPr>
          <w:rFonts w:ascii="Times New Roman" w:hAnsi="Times New Roman"/>
          <w:b/>
          <w:bCs/>
          <w:sz w:val="20"/>
          <w:szCs w:val="20"/>
        </w:rPr>
        <w:t>Fig. 6</w:t>
      </w:r>
      <w:r w:rsidRPr="00BE795B">
        <w:rPr>
          <w:rFonts w:ascii="Times New Roman" w:hAnsi="Times New Roman"/>
          <w:sz w:val="20"/>
          <w:szCs w:val="20"/>
        </w:rPr>
        <w:t xml:space="preserve"> </w:t>
      </w:r>
      <w:r>
        <w:rPr>
          <w:rFonts w:ascii="Times New Roman" w:hAnsi="Times New Roman"/>
          <w:sz w:val="20"/>
          <w:szCs w:val="20"/>
        </w:rPr>
        <w:t>Process flow</w:t>
      </w:r>
      <w:r w:rsidRPr="00BE795B">
        <w:rPr>
          <w:rFonts w:ascii="Times New Roman" w:hAnsi="Times New Roman"/>
          <w:sz w:val="20"/>
          <w:szCs w:val="20"/>
        </w:rPr>
        <w:t xml:space="preserve"> diagram for </w:t>
      </w:r>
      <w:r>
        <w:rPr>
          <w:rFonts w:ascii="Times New Roman" w:hAnsi="Times New Roman"/>
          <w:sz w:val="20"/>
          <w:szCs w:val="20"/>
        </w:rPr>
        <w:t>biomass gasification</w:t>
      </w:r>
      <w:r w:rsidRPr="00BE795B">
        <w:rPr>
          <w:rFonts w:ascii="Times New Roman" w:hAnsi="Times New Roman"/>
          <w:sz w:val="20"/>
          <w:szCs w:val="20"/>
        </w:rPr>
        <w:t xml:space="preserve"> and </w:t>
      </w:r>
      <w:r>
        <w:rPr>
          <w:rFonts w:ascii="Times New Roman" w:hAnsi="Times New Roman"/>
          <w:sz w:val="20"/>
          <w:szCs w:val="20"/>
        </w:rPr>
        <w:t>Fischer-Tropsch (FT) pathway</w:t>
      </w:r>
    </w:p>
    <w:p w14:paraId="762CFB33" w14:textId="6D3484A5" w:rsidR="005C5C48" w:rsidRDefault="00594B38" w:rsidP="005C5C48">
      <w:pPr>
        <w:spacing w:after="120" w:line="276" w:lineRule="auto"/>
        <w:jc w:val="both"/>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12D1AE72" wp14:editId="111E12AD">
            <wp:extent cx="5732870" cy="1642641"/>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255" cy="1650488"/>
                    </a:xfrm>
                    <a:prstGeom prst="rect">
                      <a:avLst/>
                    </a:prstGeom>
                    <a:noFill/>
                  </pic:spPr>
                </pic:pic>
              </a:graphicData>
            </a:graphic>
          </wp:inline>
        </w:drawing>
      </w:r>
    </w:p>
    <w:p w14:paraId="465CD7E3" w14:textId="2072FBA7" w:rsidR="005C5C48" w:rsidRDefault="005C5C48" w:rsidP="005C5C48">
      <w:pPr>
        <w:spacing w:after="120" w:line="276" w:lineRule="auto"/>
        <w:jc w:val="both"/>
        <w:rPr>
          <w:rFonts w:ascii="Times New Roman" w:hAnsi="Times New Roman" w:cs="Times New Roman"/>
          <w:sz w:val="20"/>
          <w:szCs w:val="20"/>
        </w:rPr>
      </w:pPr>
      <w:r>
        <w:rPr>
          <w:rFonts w:ascii="Times New Roman" w:hAnsi="Times New Roman" w:cs="Times New Roman"/>
          <w:b/>
          <w:bCs/>
          <w:sz w:val="20"/>
          <w:szCs w:val="20"/>
        </w:rPr>
        <w:t>Fig. 7</w:t>
      </w:r>
      <w:r>
        <w:rPr>
          <w:rFonts w:ascii="Times New Roman" w:hAnsi="Times New Roman" w:cs="Times New Roman"/>
          <w:sz w:val="20"/>
          <w:szCs w:val="20"/>
        </w:rPr>
        <w:t xml:space="preserve"> Process flow diagram for </w:t>
      </w:r>
      <w:r w:rsidRPr="00BE795B">
        <w:rPr>
          <w:rFonts w:ascii="Times New Roman" w:hAnsi="Times New Roman" w:cs="Times New Roman"/>
          <w:sz w:val="20"/>
          <w:szCs w:val="20"/>
        </w:rPr>
        <w:t>hydro</w:t>
      </w:r>
      <w:r>
        <w:rPr>
          <w:rFonts w:ascii="Times New Roman" w:hAnsi="Times New Roman" w:cs="Times New Roman"/>
          <w:sz w:val="20"/>
          <w:szCs w:val="20"/>
        </w:rPr>
        <w:t>treated</w:t>
      </w:r>
      <w:r w:rsidRPr="00BE795B">
        <w:rPr>
          <w:rFonts w:ascii="Times New Roman" w:hAnsi="Times New Roman" w:cs="Times New Roman"/>
          <w:sz w:val="20"/>
          <w:szCs w:val="20"/>
        </w:rPr>
        <w:t xml:space="preserve"> depolymerized cellulosic jet (HDCJ)</w:t>
      </w:r>
      <w:r>
        <w:rPr>
          <w:rFonts w:ascii="Times New Roman" w:hAnsi="Times New Roman" w:cs="Times New Roman"/>
          <w:sz w:val="20"/>
          <w:szCs w:val="20"/>
        </w:rPr>
        <w:t xml:space="preserve"> pathway</w:t>
      </w:r>
    </w:p>
    <w:p w14:paraId="0041C9A9" w14:textId="405173CA" w:rsidR="005C5C48" w:rsidRDefault="00594B38" w:rsidP="005C5C48">
      <w:pPr>
        <w:spacing w:after="120" w:line="276" w:lineRule="auto"/>
        <w:ind w:left="630" w:hanging="630"/>
        <w:jc w:val="both"/>
        <w:rPr>
          <w:rFonts w:ascii="Times New Roman" w:hAnsi="Times New Roman" w:cs="Times New Roman"/>
          <w:b/>
          <w:bCs/>
          <w:sz w:val="20"/>
          <w:szCs w:val="20"/>
        </w:rPr>
      </w:pPr>
      <w:r>
        <w:rPr>
          <w:rFonts w:ascii="Times New Roman" w:hAnsi="Times New Roman" w:cs="Times New Roman"/>
          <w:noProof/>
          <w:sz w:val="20"/>
          <w:szCs w:val="20"/>
        </w:rPr>
        <w:drawing>
          <wp:inline distT="0" distB="0" distL="0" distR="0" wp14:anchorId="0FD3D42B" wp14:editId="4C7F298C">
            <wp:extent cx="5783913" cy="944880"/>
            <wp:effectExtent l="0" t="0" r="762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64499" cy="958045"/>
                    </a:xfrm>
                    <a:prstGeom prst="rect">
                      <a:avLst/>
                    </a:prstGeom>
                    <a:noFill/>
                  </pic:spPr>
                </pic:pic>
              </a:graphicData>
            </a:graphic>
          </wp:inline>
        </w:drawing>
      </w:r>
    </w:p>
    <w:p w14:paraId="72D306B7" w14:textId="3B7485E7" w:rsidR="005C5C48" w:rsidRDefault="005C5C48" w:rsidP="005C5C48">
      <w:pPr>
        <w:spacing w:after="120" w:line="276" w:lineRule="auto"/>
        <w:ind w:left="630" w:hanging="630"/>
        <w:jc w:val="both"/>
        <w:rPr>
          <w:rFonts w:ascii="Times New Roman" w:hAnsi="Times New Roman" w:cs="Times New Roman"/>
          <w:sz w:val="20"/>
          <w:szCs w:val="20"/>
        </w:rPr>
      </w:pPr>
      <w:r>
        <w:rPr>
          <w:rFonts w:ascii="Times New Roman" w:hAnsi="Times New Roman" w:cs="Times New Roman"/>
          <w:b/>
          <w:bCs/>
          <w:sz w:val="20"/>
          <w:szCs w:val="20"/>
        </w:rPr>
        <w:t>Fig. 8</w:t>
      </w:r>
      <w:r>
        <w:rPr>
          <w:rFonts w:ascii="Times New Roman" w:hAnsi="Times New Roman" w:cs="Times New Roman"/>
          <w:sz w:val="20"/>
          <w:szCs w:val="20"/>
        </w:rPr>
        <w:t xml:space="preserve"> Process flow diagram for</w:t>
      </w:r>
      <w:r w:rsidRPr="00BE795B">
        <w:rPr>
          <w:rFonts w:ascii="Times New Roman" w:hAnsi="Times New Roman" w:cs="Times New Roman"/>
          <w:sz w:val="20"/>
          <w:szCs w:val="20"/>
        </w:rPr>
        <w:t xml:space="preserve"> </w:t>
      </w:r>
      <w:r>
        <w:rPr>
          <w:rFonts w:ascii="Times New Roman" w:hAnsi="Times New Roman" w:cs="Times New Roman"/>
          <w:sz w:val="20"/>
          <w:szCs w:val="20"/>
        </w:rPr>
        <w:t>hydroprocessed renewable jet/</w:t>
      </w:r>
      <w:r w:rsidRPr="00BE795B">
        <w:rPr>
          <w:rFonts w:ascii="Times New Roman" w:hAnsi="Times New Roman" w:cs="Times New Roman"/>
          <w:sz w:val="20"/>
          <w:szCs w:val="20"/>
        </w:rPr>
        <w:t>hydroprocessed</w:t>
      </w:r>
      <w:r>
        <w:rPr>
          <w:rFonts w:ascii="Times New Roman" w:hAnsi="Times New Roman" w:cs="Times New Roman"/>
          <w:sz w:val="20"/>
          <w:szCs w:val="20"/>
        </w:rPr>
        <w:t xml:space="preserve"> esters and fatty acids (HRJ/HEFA) pathway</w:t>
      </w:r>
    </w:p>
    <w:p w14:paraId="58484FAC" w14:textId="5FB05DA6" w:rsidR="005C5C48" w:rsidRDefault="00594B38" w:rsidP="005C5C48">
      <w:pPr>
        <w:spacing w:after="120" w:line="276" w:lineRule="auto"/>
        <w:jc w:val="both"/>
        <w:rPr>
          <w:rFonts w:ascii="Times New Roman" w:hAnsi="Times New Roman" w:cs="Times New Roman"/>
          <w:b/>
          <w:bCs/>
          <w:sz w:val="20"/>
          <w:szCs w:val="20"/>
        </w:rPr>
      </w:pPr>
      <w:r>
        <w:rPr>
          <w:rFonts w:ascii="Times New Roman" w:hAnsi="Times New Roman" w:cs="Times New Roman"/>
          <w:noProof/>
          <w:sz w:val="20"/>
          <w:szCs w:val="20"/>
        </w:rPr>
        <w:drawing>
          <wp:inline distT="0" distB="0" distL="0" distR="0" wp14:anchorId="0C05A47E" wp14:editId="6CADD79F">
            <wp:extent cx="5943600" cy="1803540"/>
            <wp:effectExtent l="0" t="0" r="0" b="635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1803540"/>
                    </a:xfrm>
                    <a:prstGeom prst="rect">
                      <a:avLst/>
                    </a:prstGeom>
                    <a:noFill/>
                  </pic:spPr>
                </pic:pic>
              </a:graphicData>
            </a:graphic>
          </wp:inline>
        </w:drawing>
      </w:r>
    </w:p>
    <w:p w14:paraId="24B57FDC" w14:textId="4FBB1CAF" w:rsidR="005C5C48" w:rsidRDefault="005C5C48" w:rsidP="005C5C48">
      <w:pPr>
        <w:spacing w:after="120" w:line="276" w:lineRule="auto"/>
        <w:jc w:val="both"/>
        <w:rPr>
          <w:rFonts w:ascii="Times New Roman" w:hAnsi="Times New Roman" w:cs="Times New Roman"/>
          <w:sz w:val="20"/>
          <w:szCs w:val="20"/>
        </w:rPr>
      </w:pPr>
      <w:r>
        <w:rPr>
          <w:rFonts w:ascii="Times New Roman" w:hAnsi="Times New Roman" w:cs="Times New Roman"/>
          <w:b/>
          <w:bCs/>
          <w:sz w:val="20"/>
          <w:szCs w:val="20"/>
        </w:rPr>
        <w:t>Fig. 9</w:t>
      </w:r>
      <w:r>
        <w:rPr>
          <w:rFonts w:ascii="Times New Roman" w:hAnsi="Times New Roman" w:cs="Times New Roman"/>
          <w:sz w:val="20"/>
          <w:szCs w:val="20"/>
        </w:rPr>
        <w:t xml:space="preserve"> Process flow diagram for catalytic hydrothermolysis jet (CHJ) pathway</w:t>
      </w:r>
    </w:p>
    <w:p w14:paraId="487AE521" w14:textId="09953B65" w:rsidR="005C5C48" w:rsidRDefault="00594B38" w:rsidP="005C5C48">
      <w:pPr>
        <w:spacing w:after="120" w:line="276" w:lineRule="auto"/>
        <w:ind w:left="720" w:hanging="720"/>
        <w:jc w:val="both"/>
        <w:rPr>
          <w:rFonts w:ascii="Times New Roman" w:hAnsi="Times New Roman" w:cs="Times New Roman"/>
          <w:b/>
          <w:sz w:val="20"/>
          <w:szCs w:val="20"/>
        </w:rPr>
      </w:pPr>
      <w:r>
        <w:rPr>
          <w:rFonts w:ascii="Times New Roman" w:hAnsi="Times New Roman" w:cs="Times New Roman"/>
          <w:noProof/>
          <w:sz w:val="20"/>
          <w:szCs w:val="20"/>
        </w:rPr>
        <w:lastRenderedPageBreak/>
        <w:drawing>
          <wp:inline distT="0" distB="0" distL="0" distR="0" wp14:anchorId="4B963F39" wp14:editId="5E043E7A">
            <wp:extent cx="5925717" cy="179959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2300" cy="1801589"/>
                    </a:xfrm>
                    <a:prstGeom prst="rect">
                      <a:avLst/>
                    </a:prstGeom>
                    <a:noFill/>
                  </pic:spPr>
                </pic:pic>
              </a:graphicData>
            </a:graphic>
          </wp:inline>
        </w:drawing>
      </w:r>
    </w:p>
    <w:p w14:paraId="3D14502F" w14:textId="0F9A3234" w:rsidR="00594B38" w:rsidRDefault="00594B38" w:rsidP="005C5C48">
      <w:pPr>
        <w:spacing w:after="120" w:line="276" w:lineRule="auto"/>
        <w:ind w:left="720" w:hanging="720"/>
        <w:jc w:val="both"/>
        <w:rPr>
          <w:rFonts w:ascii="Times New Roman" w:hAnsi="Times New Roman" w:cs="Times New Roman"/>
          <w:b/>
          <w:sz w:val="20"/>
          <w:szCs w:val="20"/>
        </w:rPr>
      </w:pPr>
      <w:r>
        <w:rPr>
          <w:rFonts w:ascii="Times New Roman" w:hAnsi="Times New Roman" w:cs="Times New Roman"/>
          <w:noProof/>
          <w:sz w:val="20"/>
          <w:szCs w:val="20"/>
        </w:rPr>
        <w:drawing>
          <wp:inline distT="0" distB="0" distL="0" distR="0" wp14:anchorId="4598DC4A" wp14:editId="1447DBAD">
            <wp:extent cx="5898054" cy="1819910"/>
            <wp:effectExtent l="0" t="0" r="0" b="889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05426" cy="1822185"/>
                    </a:xfrm>
                    <a:prstGeom prst="rect">
                      <a:avLst/>
                    </a:prstGeom>
                    <a:noFill/>
                  </pic:spPr>
                </pic:pic>
              </a:graphicData>
            </a:graphic>
          </wp:inline>
        </w:drawing>
      </w:r>
    </w:p>
    <w:p w14:paraId="2984B88D" w14:textId="6DE8BFC8" w:rsidR="00594B38" w:rsidRDefault="00594B38" w:rsidP="005C5C48">
      <w:pPr>
        <w:spacing w:after="120" w:line="276" w:lineRule="auto"/>
        <w:ind w:left="720" w:hanging="720"/>
        <w:jc w:val="both"/>
        <w:rPr>
          <w:rFonts w:ascii="Times New Roman" w:hAnsi="Times New Roman" w:cs="Times New Roman"/>
          <w:b/>
          <w:sz w:val="20"/>
          <w:szCs w:val="20"/>
        </w:rPr>
      </w:pPr>
      <w:r>
        <w:rPr>
          <w:rFonts w:ascii="Times New Roman" w:hAnsi="Times New Roman" w:cs="Times New Roman"/>
          <w:noProof/>
          <w:sz w:val="20"/>
          <w:szCs w:val="20"/>
        </w:rPr>
        <w:drawing>
          <wp:inline distT="0" distB="0" distL="0" distR="0" wp14:anchorId="1512471B" wp14:editId="1B5C2852">
            <wp:extent cx="5943600" cy="166189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661895"/>
                    </a:xfrm>
                    <a:prstGeom prst="rect">
                      <a:avLst/>
                    </a:prstGeom>
                    <a:noFill/>
                  </pic:spPr>
                </pic:pic>
              </a:graphicData>
            </a:graphic>
          </wp:inline>
        </w:drawing>
      </w:r>
    </w:p>
    <w:p w14:paraId="61F6EB9E" w14:textId="78FACC41" w:rsidR="005C5C48" w:rsidRDefault="005C5C48" w:rsidP="005C5C48">
      <w:pPr>
        <w:spacing w:after="120" w:line="276" w:lineRule="auto"/>
        <w:ind w:left="720" w:hanging="720"/>
        <w:jc w:val="both"/>
        <w:rPr>
          <w:rFonts w:ascii="Times New Roman" w:hAnsi="Times New Roman" w:cs="Times New Roman"/>
          <w:sz w:val="20"/>
          <w:szCs w:val="20"/>
        </w:rPr>
      </w:pPr>
      <w:r>
        <w:rPr>
          <w:rFonts w:ascii="Times New Roman" w:hAnsi="Times New Roman" w:cs="Times New Roman"/>
          <w:b/>
          <w:sz w:val="20"/>
          <w:szCs w:val="20"/>
        </w:rPr>
        <w:t>Fig. 10</w:t>
      </w:r>
      <w:r>
        <w:rPr>
          <w:rFonts w:ascii="Times New Roman" w:hAnsi="Times New Roman" w:cs="Times New Roman"/>
          <w:sz w:val="20"/>
          <w:szCs w:val="20"/>
        </w:rPr>
        <w:t xml:space="preserve"> Electrofuels production process by water electrolysis (a), co-electrolysis (b) and solar thermochemical process (c)</w:t>
      </w:r>
    </w:p>
    <w:p w14:paraId="75AB0C79" w14:textId="357851C2" w:rsidR="005C5C48" w:rsidRDefault="00DE44BC" w:rsidP="005C5C48">
      <w:pPr>
        <w:spacing w:after="120" w:line="276" w:lineRule="auto"/>
        <w:ind w:left="630" w:hanging="630"/>
        <w:jc w:val="both"/>
        <w:rPr>
          <w:rFonts w:ascii="Times New Roman" w:hAnsi="Times New Roman" w:cs="Times New Roman"/>
          <w:b/>
          <w:sz w:val="20"/>
          <w:szCs w:val="20"/>
        </w:rPr>
      </w:pPr>
      <w:r>
        <w:rPr>
          <w:rFonts w:ascii="Times New Roman" w:hAnsi="Times New Roman" w:cs="Times New Roman"/>
          <w:noProof/>
          <w:sz w:val="20"/>
          <w:szCs w:val="20"/>
        </w:rPr>
        <w:lastRenderedPageBreak/>
        <w:drawing>
          <wp:inline distT="0" distB="0" distL="0" distR="0" wp14:anchorId="63E54AED" wp14:editId="6E7862ED">
            <wp:extent cx="5795433" cy="2650659"/>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12888" cy="2658643"/>
                    </a:xfrm>
                    <a:prstGeom prst="rect">
                      <a:avLst/>
                    </a:prstGeom>
                    <a:noFill/>
                  </pic:spPr>
                </pic:pic>
              </a:graphicData>
            </a:graphic>
          </wp:inline>
        </w:drawing>
      </w:r>
    </w:p>
    <w:p w14:paraId="58B9FE4A" w14:textId="2F694C90" w:rsidR="005C5C48" w:rsidRDefault="005C5C48" w:rsidP="005C5C48">
      <w:pPr>
        <w:spacing w:after="120" w:line="276" w:lineRule="auto"/>
        <w:ind w:left="630" w:hanging="630"/>
        <w:jc w:val="both"/>
        <w:rPr>
          <w:rFonts w:ascii="Times New Roman" w:hAnsi="Times New Roman" w:cs="Times New Roman"/>
          <w:sz w:val="20"/>
          <w:szCs w:val="20"/>
        </w:rPr>
      </w:pPr>
      <w:r>
        <w:rPr>
          <w:rFonts w:ascii="Times New Roman" w:hAnsi="Times New Roman" w:cs="Times New Roman"/>
          <w:b/>
          <w:sz w:val="20"/>
          <w:szCs w:val="20"/>
        </w:rPr>
        <w:t>Fig. 11</w:t>
      </w:r>
      <w:r w:rsidRPr="007754F3">
        <w:rPr>
          <w:rFonts w:ascii="Times New Roman" w:hAnsi="Times New Roman" w:cs="Times New Roman"/>
          <w:b/>
          <w:sz w:val="20"/>
          <w:szCs w:val="20"/>
        </w:rPr>
        <w:t xml:space="preserve"> </w:t>
      </w:r>
      <w:r w:rsidRPr="007754F3">
        <w:rPr>
          <w:rFonts w:ascii="Times New Roman" w:hAnsi="Times New Roman" w:cs="Times New Roman"/>
          <w:sz w:val="20"/>
          <w:szCs w:val="20"/>
        </w:rPr>
        <w:t>Water splitting hydrogen production technologies</w:t>
      </w:r>
      <w:r>
        <w:rPr>
          <w:rFonts w:ascii="Times New Roman" w:hAnsi="Times New Roman" w:cs="Times New Roman"/>
          <w:sz w:val="20"/>
          <w:szCs w:val="20"/>
        </w:rPr>
        <w:t>. AED: Average Energy Demand, calculated from a of compilation of several references (see Table S4 in SM).</w:t>
      </w:r>
    </w:p>
    <w:p w14:paraId="6611EB29" w14:textId="427F1D55" w:rsidR="005C5C48" w:rsidRDefault="00DE44BC" w:rsidP="005C5C48">
      <w:pPr>
        <w:spacing w:after="120" w:line="276" w:lineRule="auto"/>
        <w:ind w:left="630" w:hanging="630"/>
        <w:jc w:val="both"/>
        <w:rPr>
          <w:rFonts w:ascii="Times New Roman" w:hAnsi="Times New Roman" w:cs="Times New Roman"/>
          <w:b/>
          <w:sz w:val="20"/>
          <w:szCs w:val="20"/>
        </w:rPr>
      </w:pPr>
      <w:r>
        <w:rPr>
          <w:noProof/>
        </w:rPr>
        <w:drawing>
          <wp:inline distT="0" distB="0" distL="0" distR="0" wp14:anchorId="219518C0" wp14:editId="6FE3538A">
            <wp:extent cx="5745480" cy="3227365"/>
            <wp:effectExtent l="0" t="0" r="762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558" r="5291" b="7975"/>
                    <a:stretch/>
                  </pic:blipFill>
                  <pic:spPr bwMode="auto">
                    <a:xfrm>
                      <a:off x="0" y="0"/>
                      <a:ext cx="5751111" cy="3230528"/>
                    </a:xfrm>
                    <a:prstGeom prst="rect">
                      <a:avLst/>
                    </a:prstGeom>
                    <a:ln>
                      <a:noFill/>
                    </a:ln>
                    <a:extLst>
                      <a:ext uri="{53640926-AAD7-44D8-BBD7-CCE9431645EC}">
                        <a14:shadowObscured xmlns:a14="http://schemas.microsoft.com/office/drawing/2010/main"/>
                      </a:ext>
                    </a:extLst>
                  </pic:spPr>
                </pic:pic>
              </a:graphicData>
            </a:graphic>
          </wp:inline>
        </w:drawing>
      </w:r>
    </w:p>
    <w:p w14:paraId="725D3A51" w14:textId="0FC079EB" w:rsidR="005C5C48" w:rsidRDefault="005C5C48" w:rsidP="005C5C48">
      <w:pPr>
        <w:spacing w:after="120" w:line="276" w:lineRule="auto"/>
        <w:ind w:left="630" w:hanging="630"/>
        <w:jc w:val="both"/>
        <w:rPr>
          <w:rFonts w:ascii="Times New Roman" w:hAnsi="Times New Roman" w:cs="Times New Roman"/>
          <w:sz w:val="20"/>
          <w:szCs w:val="20"/>
        </w:rPr>
      </w:pPr>
      <w:r>
        <w:rPr>
          <w:rFonts w:ascii="Times New Roman" w:hAnsi="Times New Roman" w:cs="Times New Roman"/>
          <w:b/>
          <w:sz w:val="20"/>
          <w:szCs w:val="20"/>
        </w:rPr>
        <w:t>Fig. 12</w:t>
      </w:r>
      <w:r>
        <w:rPr>
          <w:rFonts w:ascii="Times New Roman" w:hAnsi="Times New Roman" w:cs="Times New Roman"/>
          <w:sz w:val="20"/>
          <w:szCs w:val="20"/>
        </w:rPr>
        <w:t xml:space="preserve"> Summary of inventoried electric and carbon-free aviation projects announced to date (December 2020)</w:t>
      </w:r>
    </w:p>
    <w:p w14:paraId="43FFD624" w14:textId="2E0C3D21" w:rsidR="005C5C48" w:rsidRDefault="00DE44BC" w:rsidP="005C5C48">
      <w:pPr>
        <w:spacing w:after="120" w:line="276" w:lineRule="auto"/>
        <w:ind w:left="720" w:hanging="720"/>
        <w:jc w:val="both"/>
        <w:rPr>
          <w:rFonts w:ascii="Times New Roman" w:hAnsi="Times New Roman" w:cs="Times New Roman"/>
          <w:b/>
          <w:sz w:val="20"/>
          <w:szCs w:val="20"/>
        </w:rPr>
      </w:pPr>
      <w:r>
        <w:rPr>
          <w:rFonts w:ascii="Times New Roman" w:hAnsi="Times New Roman" w:cs="Times New Roman"/>
          <w:noProof/>
          <w:sz w:val="20"/>
          <w:szCs w:val="20"/>
        </w:rPr>
        <w:lastRenderedPageBreak/>
        <w:drawing>
          <wp:inline distT="0" distB="0" distL="0" distR="0" wp14:anchorId="2691E64B" wp14:editId="463C93C7">
            <wp:extent cx="5759633" cy="6091555"/>
            <wp:effectExtent l="0" t="0" r="0" b="444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6309" cy="6098616"/>
                    </a:xfrm>
                    <a:prstGeom prst="rect">
                      <a:avLst/>
                    </a:prstGeom>
                    <a:noFill/>
                  </pic:spPr>
                </pic:pic>
              </a:graphicData>
            </a:graphic>
          </wp:inline>
        </w:drawing>
      </w:r>
    </w:p>
    <w:p w14:paraId="7D9322AB" w14:textId="68C40BA6" w:rsidR="005C5C48" w:rsidRDefault="005C5C48" w:rsidP="005C5C48">
      <w:pPr>
        <w:spacing w:after="120" w:line="276" w:lineRule="auto"/>
        <w:ind w:left="720" w:hanging="720"/>
        <w:jc w:val="both"/>
        <w:rPr>
          <w:rFonts w:ascii="Times New Roman" w:hAnsi="Times New Roman" w:cs="Times New Roman"/>
          <w:sz w:val="20"/>
          <w:szCs w:val="20"/>
        </w:rPr>
      </w:pPr>
      <w:r>
        <w:rPr>
          <w:rFonts w:ascii="Times New Roman" w:hAnsi="Times New Roman" w:cs="Times New Roman"/>
          <w:b/>
          <w:sz w:val="20"/>
          <w:szCs w:val="20"/>
        </w:rPr>
        <w:t>Fig. 13</w:t>
      </w:r>
      <w:r>
        <w:rPr>
          <w:rFonts w:ascii="Times New Roman" w:hAnsi="Times New Roman" w:cs="Times New Roman"/>
          <w:sz w:val="20"/>
          <w:szCs w:val="20"/>
        </w:rPr>
        <w:t xml:space="preserve"> Basic configuration schemes for aviation propulsion systems. Dotted lines and boxes represent the hydrogen fuel cell configuration. DC stands for direct current, AC for alternative current. </w:t>
      </w:r>
      <w:r w:rsidRPr="00564332">
        <w:rPr>
          <w:rFonts w:ascii="Times New Roman" w:hAnsi="Times New Roman" w:cs="Times New Roman"/>
          <w:sz w:val="20"/>
          <w:szCs w:val="20"/>
          <w:vertAlign w:val="superscript"/>
        </w:rPr>
        <w:t>*</w:t>
      </w:r>
      <w:r>
        <w:rPr>
          <w:rFonts w:ascii="Times New Roman" w:hAnsi="Times New Roman" w:cs="Times New Roman"/>
          <w:sz w:val="20"/>
          <w:szCs w:val="20"/>
        </w:rPr>
        <w:t xml:space="preserve">Gas turbine here denotes whether turboshaft, turboprop and turbofan engines. </w:t>
      </w:r>
    </w:p>
    <w:p w14:paraId="0784FD62" w14:textId="544BB7C8" w:rsidR="005C5C48" w:rsidRDefault="00DE44BC" w:rsidP="005C5C48">
      <w:pPr>
        <w:widowControl w:val="0"/>
        <w:autoSpaceDE w:val="0"/>
        <w:autoSpaceDN w:val="0"/>
        <w:adjustRightInd w:val="0"/>
        <w:spacing w:after="120" w:line="240" w:lineRule="auto"/>
        <w:jc w:val="both"/>
        <w:rPr>
          <w:rFonts w:ascii="Times New Roman" w:hAnsi="Times New Roman" w:cs="Times New Roman"/>
          <w:b/>
          <w:noProof/>
          <w:sz w:val="20"/>
        </w:rPr>
      </w:pPr>
      <w:r>
        <w:rPr>
          <w:rFonts w:ascii="Times New Roman" w:hAnsi="Times New Roman" w:cs="Times New Roman"/>
          <w:noProof/>
          <w:sz w:val="20"/>
          <w:szCs w:val="20"/>
        </w:rPr>
        <w:lastRenderedPageBreak/>
        <w:drawing>
          <wp:inline distT="0" distB="0" distL="0" distR="0" wp14:anchorId="77D64BB2" wp14:editId="7322D5E9">
            <wp:extent cx="5879035" cy="2968768"/>
            <wp:effectExtent l="0" t="0" r="7620" b="317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08870" cy="2983834"/>
                    </a:xfrm>
                    <a:prstGeom prst="rect">
                      <a:avLst/>
                    </a:prstGeom>
                    <a:noFill/>
                  </pic:spPr>
                </pic:pic>
              </a:graphicData>
            </a:graphic>
          </wp:inline>
        </w:drawing>
      </w:r>
      <w:bookmarkStart w:id="0" w:name="_GoBack"/>
      <w:bookmarkEnd w:id="0"/>
    </w:p>
    <w:p w14:paraId="7072BE98" w14:textId="3C0E3145" w:rsidR="005C5C48" w:rsidRPr="006D6AF9" w:rsidRDefault="005C5C48" w:rsidP="005C5C48">
      <w:pPr>
        <w:widowControl w:val="0"/>
        <w:autoSpaceDE w:val="0"/>
        <w:autoSpaceDN w:val="0"/>
        <w:adjustRightInd w:val="0"/>
        <w:spacing w:after="120" w:line="240" w:lineRule="auto"/>
        <w:jc w:val="both"/>
        <w:rPr>
          <w:rFonts w:ascii="Times New Roman" w:hAnsi="Times New Roman" w:cs="Times New Roman"/>
          <w:sz w:val="20"/>
          <w:szCs w:val="20"/>
        </w:rPr>
      </w:pPr>
      <w:r w:rsidRPr="00947D1C">
        <w:rPr>
          <w:rFonts w:ascii="Times New Roman" w:hAnsi="Times New Roman" w:cs="Times New Roman"/>
          <w:b/>
          <w:noProof/>
          <w:sz w:val="20"/>
        </w:rPr>
        <w:t>Fig. 1</w:t>
      </w:r>
      <w:r>
        <w:rPr>
          <w:rFonts w:ascii="Times New Roman" w:hAnsi="Times New Roman" w:cs="Times New Roman"/>
          <w:b/>
          <w:noProof/>
          <w:sz w:val="20"/>
        </w:rPr>
        <w:t>4</w:t>
      </w:r>
      <w:r>
        <w:rPr>
          <w:rFonts w:ascii="Times New Roman" w:hAnsi="Times New Roman" w:cs="Times New Roman"/>
          <w:noProof/>
          <w:sz w:val="20"/>
        </w:rPr>
        <w:t xml:space="preserve"> Strengths and challenges/prospects of three existing approaches for low fossil-carbon aviation</w:t>
      </w:r>
    </w:p>
    <w:sectPr w:rsidR="005C5C48" w:rsidRPr="006D6AF9" w:rsidSect="00DE41A5">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F1F03" w14:textId="77777777" w:rsidR="00331C02" w:rsidRDefault="00331C02" w:rsidP="00AE66E2">
      <w:pPr>
        <w:spacing w:after="0" w:line="240" w:lineRule="auto"/>
      </w:pPr>
      <w:r>
        <w:separator/>
      </w:r>
    </w:p>
  </w:endnote>
  <w:endnote w:type="continuationSeparator" w:id="0">
    <w:p w14:paraId="645FB159" w14:textId="77777777" w:rsidR="00331C02" w:rsidRDefault="00331C02" w:rsidP="00AE66E2">
      <w:pPr>
        <w:spacing w:after="0" w:line="240" w:lineRule="auto"/>
      </w:pPr>
      <w:r>
        <w:continuationSeparator/>
      </w:r>
    </w:p>
  </w:endnote>
  <w:endnote w:type="continuationNotice" w:id="1">
    <w:p w14:paraId="5A74936E" w14:textId="77777777" w:rsidR="00331C02" w:rsidRDefault="00331C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Microsoft Sans Serif"/>
    <w:panose1 w:val="020B03040202020202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83902" w14:textId="77777777" w:rsidR="00331C02" w:rsidRDefault="00331C02" w:rsidP="00AE66E2">
      <w:pPr>
        <w:spacing w:after="0" w:line="240" w:lineRule="auto"/>
      </w:pPr>
      <w:r>
        <w:separator/>
      </w:r>
    </w:p>
  </w:footnote>
  <w:footnote w:type="continuationSeparator" w:id="0">
    <w:p w14:paraId="24A2037F" w14:textId="77777777" w:rsidR="00331C02" w:rsidRDefault="00331C02" w:rsidP="00AE66E2">
      <w:pPr>
        <w:spacing w:after="0" w:line="240" w:lineRule="auto"/>
      </w:pPr>
      <w:r>
        <w:continuationSeparator/>
      </w:r>
    </w:p>
  </w:footnote>
  <w:footnote w:type="continuationNotice" w:id="1">
    <w:p w14:paraId="4C3110A8" w14:textId="77777777" w:rsidR="00331C02" w:rsidRDefault="00331C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43324"/>
    <w:multiLevelType w:val="hybridMultilevel"/>
    <w:tmpl w:val="350C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F165EE"/>
    <w:multiLevelType w:val="hybridMultilevel"/>
    <w:tmpl w:val="BA168CE6"/>
    <w:lvl w:ilvl="0" w:tplc="1150A61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3MTMwMbY0Mze0MDNV0lEKTi0uzszPAykwMqgFACjQxPItAAAA"/>
  </w:docVars>
  <w:rsids>
    <w:rsidRoot w:val="005F4062"/>
    <w:rsid w:val="00000242"/>
    <w:rsid w:val="000008A0"/>
    <w:rsid w:val="00000905"/>
    <w:rsid w:val="00000985"/>
    <w:rsid w:val="00000DA4"/>
    <w:rsid w:val="00000E2A"/>
    <w:rsid w:val="00001356"/>
    <w:rsid w:val="00001464"/>
    <w:rsid w:val="000017A1"/>
    <w:rsid w:val="00001C2E"/>
    <w:rsid w:val="00001F14"/>
    <w:rsid w:val="00002010"/>
    <w:rsid w:val="0000228E"/>
    <w:rsid w:val="00002784"/>
    <w:rsid w:val="00002937"/>
    <w:rsid w:val="000029AC"/>
    <w:rsid w:val="00002A32"/>
    <w:rsid w:val="00002F2A"/>
    <w:rsid w:val="00002F98"/>
    <w:rsid w:val="000032E4"/>
    <w:rsid w:val="000034B3"/>
    <w:rsid w:val="0000362C"/>
    <w:rsid w:val="00003842"/>
    <w:rsid w:val="00003D12"/>
    <w:rsid w:val="0000418E"/>
    <w:rsid w:val="00004803"/>
    <w:rsid w:val="0000495B"/>
    <w:rsid w:val="00004DA0"/>
    <w:rsid w:val="00004DA4"/>
    <w:rsid w:val="00004E51"/>
    <w:rsid w:val="00005037"/>
    <w:rsid w:val="000050BA"/>
    <w:rsid w:val="000051C1"/>
    <w:rsid w:val="000059C2"/>
    <w:rsid w:val="00005C98"/>
    <w:rsid w:val="00005D31"/>
    <w:rsid w:val="000061EB"/>
    <w:rsid w:val="00006367"/>
    <w:rsid w:val="0000641D"/>
    <w:rsid w:val="0000646A"/>
    <w:rsid w:val="000065D2"/>
    <w:rsid w:val="000068E4"/>
    <w:rsid w:val="00006A6E"/>
    <w:rsid w:val="00006F1C"/>
    <w:rsid w:val="0000701D"/>
    <w:rsid w:val="0000732E"/>
    <w:rsid w:val="00007405"/>
    <w:rsid w:val="00007533"/>
    <w:rsid w:val="00007758"/>
    <w:rsid w:val="0001027E"/>
    <w:rsid w:val="000102CD"/>
    <w:rsid w:val="000107AE"/>
    <w:rsid w:val="0001098A"/>
    <w:rsid w:val="00010999"/>
    <w:rsid w:val="000109E1"/>
    <w:rsid w:val="00010A26"/>
    <w:rsid w:val="00010D0F"/>
    <w:rsid w:val="00010F0F"/>
    <w:rsid w:val="00011219"/>
    <w:rsid w:val="00011331"/>
    <w:rsid w:val="00011517"/>
    <w:rsid w:val="00011585"/>
    <w:rsid w:val="00011BDB"/>
    <w:rsid w:val="00011CFA"/>
    <w:rsid w:val="00011F77"/>
    <w:rsid w:val="00012343"/>
    <w:rsid w:val="000123FC"/>
    <w:rsid w:val="00012705"/>
    <w:rsid w:val="00012C18"/>
    <w:rsid w:val="00012C54"/>
    <w:rsid w:val="00012CB2"/>
    <w:rsid w:val="00012DDA"/>
    <w:rsid w:val="000130F4"/>
    <w:rsid w:val="0001318B"/>
    <w:rsid w:val="000135D1"/>
    <w:rsid w:val="000137D9"/>
    <w:rsid w:val="00013DA6"/>
    <w:rsid w:val="00014057"/>
    <w:rsid w:val="00014346"/>
    <w:rsid w:val="000146EC"/>
    <w:rsid w:val="0001493A"/>
    <w:rsid w:val="00014FB7"/>
    <w:rsid w:val="0001540B"/>
    <w:rsid w:val="000154F0"/>
    <w:rsid w:val="00015779"/>
    <w:rsid w:val="0001578F"/>
    <w:rsid w:val="00015C52"/>
    <w:rsid w:val="000162A7"/>
    <w:rsid w:val="00016AD7"/>
    <w:rsid w:val="00016B89"/>
    <w:rsid w:val="00016C3E"/>
    <w:rsid w:val="00016D8D"/>
    <w:rsid w:val="00016FF6"/>
    <w:rsid w:val="0001707B"/>
    <w:rsid w:val="00017497"/>
    <w:rsid w:val="00017560"/>
    <w:rsid w:val="00017680"/>
    <w:rsid w:val="00017CA9"/>
    <w:rsid w:val="00017DEE"/>
    <w:rsid w:val="00017FC2"/>
    <w:rsid w:val="00020EDB"/>
    <w:rsid w:val="00020F3E"/>
    <w:rsid w:val="00020FA1"/>
    <w:rsid w:val="00021234"/>
    <w:rsid w:val="00021521"/>
    <w:rsid w:val="00021CCA"/>
    <w:rsid w:val="0002235E"/>
    <w:rsid w:val="00022456"/>
    <w:rsid w:val="0002277D"/>
    <w:rsid w:val="00022790"/>
    <w:rsid w:val="00022BAB"/>
    <w:rsid w:val="00022DDF"/>
    <w:rsid w:val="00022E23"/>
    <w:rsid w:val="000233A4"/>
    <w:rsid w:val="000234F3"/>
    <w:rsid w:val="00023782"/>
    <w:rsid w:val="00023FEB"/>
    <w:rsid w:val="000247DB"/>
    <w:rsid w:val="0002496E"/>
    <w:rsid w:val="00024DA4"/>
    <w:rsid w:val="00024EB9"/>
    <w:rsid w:val="0002596D"/>
    <w:rsid w:val="00025C27"/>
    <w:rsid w:val="00025CBD"/>
    <w:rsid w:val="000265B8"/>
    <w:rsid w:val="00026839"/>
    <w:rsid w:val="00026962"/>
    <w:rsid w:val="00026A74"/>
    <w:rsid w:val="00026AE5"/>
    <w:rsid w:val="0002704F"/>
    <w:rsid w:val="00027287"/>
    <w:rsid w:val="000272DC"/>
    <w:rsid w:val="0002764C"/>
    <w:rsid w:val="0002765F"/>
    <w:rsid w:val="0002791A"/>
    <w:rsid w:val="000279A9"/>
    <w:rsid w:val="00027CBD"/>
    <w:rsid w:val="00027CF9"/>
    <w:rsid w:val="000300E3"/>
    <w:rsid w:val="0003074C"/>
    <w:rsid w:val="0003119B"/>
    <w:rsid w:val="000311EA"/>
    <w:rsid w:val="0003130D"/>
    <w:rsid w:val="0003135D"/>
    <w:rsid w:val="0003141B"/>
    <w:rsid w:val="000316D5"/>
    <w:rsid w:val="00031B4F"/>
    <w:rsid w:val="00031D74"/>
    <w:rsid w:val="00031E4F"/>
    <w:rsid w:val="000320B5"/>
    <w:rsid w:val="00032262"/>
    <w:rsid w:val="000329F9"/>
    <w:rsid w:val="00032AF8"/>
    <w:rsid w:val="00032CF9"/>
    <w:rsid w:val="00032FE9"/>
    <w:rsid w:val="00033225"/>
    <w:rsid w:val="00033E1E"/>
    <w:rsid w:val="0003412F"/>
    <w:rsid w:val="0003478E"/>
    <w:rsid w:val="000347E8"/>
    <w:rsid w:val="00034AD4"/>
    <w:rsid w:val="00034DF3"/>
    <w:rsid w:val="000350AB"/>
    <w:rsid w:val="000350B7"/>
    <w:rsid w:val="0003536F"/>
    <w:rsid w:val="000353C7"/>
    <w:rsid w:val="00035702"/>
    <w:rsid w:val="0003599A"/>
    <w:rsid w:val="00035C0B"/>
    <w:rsid w:val="00035C8C"/>
    <w:rsid w:val="00036065"/>
    <w:rsid w:val="00036163"/>
    <w:rsid w:val="0003616C"/>
    <w:rsid w:val="00036281"/>
    <w:rsid w:val="00036292"/>
    <w:rsid w:val="00036638"/>
    <w:rsid w:val="00036DA0"/>
    <w:rsid w:val="00036EC4"/>
    <w:rsid w:val="00037023"/>
    <w:rsid w:val="00037245"/>
    <w:rsid w:val="0003734C"/>
    <w:rsid w:val="00037466"/>
    <w:rsid w:val="0003746F"/>
    <w:rsid w:val="000375B1"/>
    <w:rsid w:val="0003774A"/>
    <w:rsid w:val="00037CCB"/>
    <w:rsid w:val="00037DC7"/>
    <w:rsid w:val="00037EE4"/>
    <w:rsid w:val="0004053A"/>
    <w:rsid w:val="000405C0"/>
    <w:rsid w:val="000407C8"/>
    <w:rsid w:val="00040869"/>
    <w:rsid w:val="00040E23"/>
    <w:rsid w:val="00040EBA"/>
    <w:rsid w:val="0004107A"/>
    <w:rsid w:val="0004178C"/>
    <w:rsid w:val="00041962"/>
    <w:rsid w:val="00041AD9"/>
    <w:rsid w:val="00041C04"/>
    <w:rsid w:val="00041EBF"/>
    <w:rsid w:val="0004209B"/>
    <w:rsid w:val="00042134"/>
    <w:rsid w:val="0004213B"/>
    <w:rsid w:val="00042690"/>
    <w:rsid w:val="00042CFB"/>
    <w:rsid w:val="00042DF0"/>
    <w:rsid w:val="00042E5A"/>
    <w:rsid w:val="00042FCC"/>
    <w:rsid w:val="000430AA"/>
    <w:rsid w:val="000430AC"/>
    <w:rsid w:val="00043115"/>
    <w:rsid w:val="0004314D"/>
    <w:rsid w:val="000435AA"/>
    <w:rsid w:val="00043E2D"/>
    <w:rsid w:val="000441B4"/>
    <w:rsid w:val="000441FF"/>
    <w:rsid w:val="00044247"/>
    <w:rsid w:val="00044338"/>
    <w:rsid w:val="0004450A"/>
    <w:rsid w:val="00044561"/>
    <w:rsid w:val="00044696"/>
    <w:rsid w:val="000448A5"/>
    <w:rsid w:val="00044D16"/>
    <w:rsid w:val="00044D1E"/>
    <w:rsid w:val="00045010"/>
    <w:rsid w:val="00045994"/>
    <w:rsid w:val="0004615C"/>
    <w:rsid w:val="000462BA"/>
    <w:rsid w:val="000463C0"/>
    <w:rsid w:val="00046AAB"/>
    <w:rsid w:val="00046D75"/>
    <w:rsid w:val="00047280"/>
    <w:rsid w:val="00047304"/>
    <w:rsid w:val="000476CB"/>
    <w:rsid w:val="00047776"/>
    <w:rsid w:val="00047CCE"/>
    <w:rsid w:val="00047EC6"/>
    <w:rsid w:val="0005002B"/>
    <w:rsid w:val="00050042"/>
    <w:rsid w:val="00050057"/>
    <w:rsid w:val="000501C8"/>
    <w:rsid w:val="0005081F"/>
    <w:rsid w:val="00050BAB"/>
    <w:rsid w:val="00050BD6"/>
    <w:rsid w:val="00050E19"/>
    <w:rsid w:val="00051367"/>
    <w:rsid w:val="00051480"/>
    <w:rsid w:val="000516F2"/>
    <w:rsid w:val="00051FE9"/>
    <w:rsid w:val="00052336"/>
    <w:rsid w:val="000524A6"/>
    <w:rsid w:val="0005261B"/>
    <w:rsid w:val="00052632"/>
    <w:rsid w:val="000526EE"/>
    <w:rsid w:val="00052B60"/>
    <w:rsid w:val="00052F3C"/>
    <w:rsid w:val="00052FF3"/>
    <w:rsid w:val="00053062"/>
    <w:rsid w:val="000538DE"/>
    <w:rsid w:val="00053CCC"/>
    <w:rsid w:val="00053D46"/>
    <w:rsid w:val="00054199"/>
    <w:rsid w:val="000542C8"/>
    <w:rsid w:val="00054354"/>
    <w:rsid w:val="00054368"/>
    <w:rsid w:val="000546E5"/>
    <w:rsid w:val="00054AF0"/>
    <w:rsid w:val="00054C1D"/>
    <w:rsid w:val="00054C4A"/>
    <w:rsid w:val="00054F70"/>
    <w:rsid w:val="000551AD"/>
    <w:rsid w:val="000552D6"/>
    <w:rsid w:val="000552EA"/>
    <w:rsid w:val="00055A77"/>
    <w:rsid w:val="00055B57"/>
    <w:rsid w:val="00056124"/>
    <w:rsid w:val="000562D0"/>
    <w:rsid w:val="000562FE"/>
    <w:rsid w:val="00056384"/>
    <w:rsid w:val="00056B24"/>
    <w:rsid w:val="00056C37"/>
    <w:rsid w:val="0005708F"/>
    <w:rsid w:val="000573E1"/>
    <w:rsid w:val="00057898"/>
    <w:rsid w:val="000578B9"/>
    <w:rsid w:val="000579D9"/>
    <w:rsid w:val="00057FE1"/>
    <w:rsid w:val="0006011D"/>
    <w:rsid w:val="0006022D"/>
    <w:rsid w:val="00060443"/>
    <w:rsid w:val="00060DD2"/>
    <w:rsid w:val="0006115D"/>
    <w:rsid w:val="00061403"/>
    <w:rsid w:val="00061474"/>
    <w:rsid w:val="000616ED"/>
    <w:rsid w:val="00061C7E"/>
    <w:rsid w:val="00061C9A"/>
    <w:rsid w:val="00061DDF"/>
    <w:rsid w:val="00061E68"/>
    <w:rsid w:val="00062228"/>
    <w:rsid w:val="00062571"/>
    <w:rsid w:val="000627E6"/>
    <w:rsid w:val="00062894"/>
    <w:rsid w:val="000629F1"/>
    <w:rsid w:val="00062C50"/>
    <w:rsid w:val="000631E8"/>
    <w:rsid w:val="000637BC"/>
    <w:rsid w:val="00063C32"/>
    <w:rsid w:val="00064160"/>
    <w:rsid w:val="000642D9"/>
    <w:rsid w:val="000642EC"/>
    <w:rsid w:val="000643DC"/>
    <w:rsid w:val="0006458D"/>
    <w:rsid w:val="00064651"/>
    <w:rsid w:val="000647BD"/>
    <w:rsid w:val="00064A52"/>
    <w:rsid w:val="00065348"/>
    <w:rsid w:val="00065890"/>
    <w:rsid w:val="00065FA4"/>
    <w:rsid w:val="000660F9"/>
    <w:rsid w:val="00066452"/>
    <w:rsid w:val="00066BA8"/>
    <w:rsid w:val="00066BE4"/>
    <w:rsid w:val="00066FF4"/>
    <w:rsid w:val="0006708B"/>
    <w:rsid w:val="0006732D"/>
    <w:rsid w:val="00067380"/>
    <w:rsid w:val="00067580"/>
    <w:rsid w:val="00067811"/>
    <w:rsid w:val="000678B4"/>
    <w:rsid w:val="00067A18"/>
    <w:rsid w:val="00067A41"/>
    <w:rsid w:val="00067AE5"/>
    <w:rsid w:val="00067C70"/>
    <w:rsid w:val="00067DCD"/>
    <w:rsid w:val="00067E97"/>
    <w:rsid w:val="0007006F"/>
    <w:rsid w:val="000700FF"/>
    <w:rsid w:val="000704E3"/>
    <w:rsid w:val="0007095B"/>
    <w:rsid w:val="0007097A"/>
    <w:rsid w:val="00070B39"/>
    <w:rsid w:val="0007136A"/>
    <w:rsid w:val="0007146D"/>
    <w:rsid w:val="000714AA"/>
    <w:rsid w:val="0007174C"/>
    <w:rsid w:val="0007183D"/>
    <w:rsid w:val="00071960"/>
    <w:rsid w:val="00071D45"/>
    <w:rsid w:val="000723CE"/>
    <w:rsid w:val="0007242B"/>
    <w:rsid w:val="00072491"/>
    <w:rsid w:val="000724CF"/>
    <w:rsid w:val="000725CB"/>
    <w:rsid w:val="000726DD"/>
    <w:rsid w:val="0007288D"/>
    <w:rsid w:val="00072EB2"/>
    <w:rsid w:val="0007344E"/>
    <w:rsid w:val="0007369D"/>
    <w:rsid w:val="00073733"/>
    <w:rsid w:val="000738FF"/>
    <w:rsid w:val="0007392C"/>
    <w:rsid w:val="0007398B"/>
    <w:rsid w:val="00073AAD"/>
    <w:rsid w:val="00073ABF"/>
    <w:rsid w:val="00073B88"/>
    <w:rsid w:val="00073F03"/>
    <w:rsid w:val="00073F76"/>
    <w:rsid w:val="000744E3"/>
    <w:rsid w:val="00074757"/>
    <w:rsid w:val="00074C40"/>
    <w:rsid w:val="00074E34"/>
    <w:rsid w:val="00074ECD"/>
    <w:rsid w:val="00075342"/>
    <w:rsid w:val="000754DC"/>
    <w:rsid w:val="00075822"/>
    <w:rsid w:val="00075A62"/>
    <w:rsid w:val="00075D22"/>
    <w:rsid w:val="00075D54"/>
    <w:rsid w:val="00075D59"/>
    <w:rsid w:val="000762CB"/>
    <w:rsid w:val="0007682C"/>
    <w:rsid w:val="00076A6D"/>
    <w:rsid w:val="00076AB1"/>
    <w:rsid w:val="00076EA7"/>
    <w:rsid w:val="00077304"/>
    <w:rsid w:val="000775AF"/>
    <w:rsid w:val="000776A0"/>
    <w:rsid w:val="000779DB"/>
    <w:rsid w:val="00077C86"/>
    <w:rsid w:val="00077E92"/>
    <w:rsid w:val="0008017F"/>
    <w:rsid w:val="0008025B"/>
    <w:rsid w:val="00080301"/>
    <w:rsid w:val="0008092C"/>
    <w:rsid w:val="00080BF0"/>
    <w:rsid w:val="00080D72"/>
    <w:rsid w:val="00081074"/>
    <w:rsid w:val="00081127"/>
    <w:rsid w:val="00081154"/>
    <w:rsid w:val="0008128C"/>
    <w:rsid w:val="00081820"/>
    <w:rsid w:val="0008182C"/>
    <w:rsid w:val="00081883"/>
    <w:rsid w:val="0008197A"/>
    <w:rsid w:val="00081BCA"/>
    <w:rsid w:val="00081E6E"/>
    <w:rsid w:val="000823AF"/>
    <w:rsid w:val="000828C9"/>
    <w:rsid w:val="00082FC3"/>
    <w:rsid w:val="00083422"/>
    <w:rsid w:val="00083581"/>
    <w:rsid w:val="000835DE"/>
    <w:rsid w:val="0008383B"/>
    <w:rsid w:val="000839F6"/>
    <w:rsid w:val="00083BA3"/>
    <w:rsid w:val="00083BE4"/>
    <w:rsid w:val="00083EE5"/>
    <w:rsid w:val="000847DF"/>
    <w:rsid w:val="00084808"/>
    <w:rsid w:val="00084B06"/>
    <w:rsid w:val="00084B7D"/>
    <w:rsid w:val="00084FA8"/>
    <w:rsid w:val="0008503B"/>
    <w:rsid w:val="0008518F"/>
    <w:rsid w:val="0008539D"/>
    <w:rsid w:val="000853F3"/>
    <w:rsid w:val="00085472"/>
    <w:rsid w:val="00085550"/>
    <w:rsid w:val="00085666"/>
    <w:rsid w:val="00085B5C"/>
    <w:rsid w:val="00085D71"/>
    <w:rsid w:val="00085F5C"/>
    <w:rsid w:val="00086398"/>
    <w:rsid w:val="000866B5"/>
    <w:rsid w:val="0008694A"/>
    <w:rsid w:val="00086E77"/>
    <w:rsid w:val="000871AD"/>
    <w:rsid w:val="0008765B"/>
    <w:rsid w:val="0008796D"/>
    <w:rsid w:val="00087A8C"/>
    <w:rsid w:val="00087B59"/>
    <w:rsid w:val="00087BC3"/>
    <w:rsid w:val="00087C6F"/>
    <w:rsid w:val="00087E4E"/>
    <w:rsid w:val="000902D1"/>
    <w:rsid w:val="000906F7"/>
    <w:rsid w:val="00090C5B"/>
    <w:rsid w:val="00090DA1"/>
    <w:rsid w:val="00090DFE"/>
    <w:rsid w:val="00090E08"/>
    <w:rsid w:val="00090EDB"/>
    <w:rsid w:val="00090F0A"/>
    <w:rsid w:val="00091238"/>
    <w:rsid w:val="00091317"/>
    <w:rsid w:val="00091366"/>
    <w:rsid w:val="000914C7"/>
    <w:rsid w:val="0009153A"/>
    <w:rsid w:val="0009175C"/>
    <w:rsid w:val="00091865"/>
    <w:rsid w:val="0009209F"/>
    <w:rsid w:val="00092102"/>
    <w:rsid w:val="00092173"/>
    <w:rsid w:val="000922F1"/>
    <w:rsid w:val="0009238D"/>
    <w:rsid w:val="00092433"/>
    <w:rsid w:val="0009254B"/>
    <w:rsid w:val="00092A37"/>
    <w:rsid w:val="00092C18"/>
    <w:rsid w:val="00092DCC"/>
    <w:rsid w:val="00092FEE"/>
    <w:rsid w:val="000931AB"/>
    <w:rsid w:val="00093915"/>
    <w:rsid w:val="00093AD0"/>
    <w:rsid w:val="00094021"/>
    <w:rsid w:val="00094035"/>
    <w:rsid w:val="0009483E"/>
    <w:rsid w:val="00094891"/>
    <w:rsid w:val="00094942"/>
    <w:rsid w:val="00094E97"/>
    <w:rsid w:val="000951F8"/>
    <w:rsid w:val="00095605"/>
    <w:rsid w:val="000959B6"/>
    <w:rsid w:val="00096132"/>
    <w:rsid w:val="000962EB"/>
    <w:rsid w:val="0009654D"/>
    <w:rsid w:val="00096777"/>
    <w:rsid w:val="00096785"/>
    <w:rsid w:val="00096AE7"/>
    <w:rsid w:val="00096C08"/>
    <w:rsid w:val="00096C0A"/>
    <w:rsid w:val="00096E24"/>
    <w:rsid w:val="00096F1D"/>
    <w:rsid w:val="0009706F"/>
    <w:rsid w:val="00097A62"/>
    <w:rsid w:val="000A01F5"/>
    <w:rsid w:val="000A0634"/>
    <w:rsid w:val="000A086F"/>
    <w:rsid w:val="000A09E0"/>
    <w:rsid w:val="000A0A40"/>
    <w:rsid w:val="000A0B17"/>
    <w:rsid w:val="000A1255"/>
    <w:rsid w:val="000A1484"/>
    <w:rsid w:val="000A19C3"/>
    <w:rsid w:val="000A1C40"/>
    <w:rsid w:val="000A1D17"/>
    <w:rsid w:val="000A1D5F"/>
    <w:rsid w:val="000A1EBB"/>
    <w:rsid w:val="000A1F25"/>
    <w:rsid w:val="000A2055"/>
    <w:rsid w:val="000A2119"/>
    <w:rsid w:val="000A2313"/>
    <w:rsid w:val="000A25C9"/>
    <w:rsid w:val="000A2A8E"/>
    <w:rsid w:val="000A2AA9"/>
    <w:rsid w:val="000A2BA5"/>
    <w:rsid w:val="000A2BC6"/>
    <w:rsid w:val="000A3298"/>
    <w:rsid w:val="000A355E"/>
    <w:rsid w:val="000A35BB"/>
    <w:rsid w:val="000A37D7"/>
    <w:rsid w:val="000A3D03"/>
    <w:rsid w:val="000A3EA3"/>
    <w:rsid w:val="000A3F53"/>
    <w:rsid w:val="000A44ED"/>
    <w:rsid w:val="000A47C6"/>
    <w:rsid w:val="000A4A9F"/>
    <w:rsid w:val="000A4B52"/>
    <w:rsid w:val="000A4E8A"/>
    <w:rsid w:val="000A57C9"/>
    <w:rsid w:val="000A5F28"/>
    <w:rsid w:val="000A5F79"/>
    <w:rsid w:val="000A6036"/>
    <w:rsid w:val="000A6085"/>
    <w:rsid w:val="000A61A0"/>
    <w:rsid w:val="000A631A"/>
    <w:rsid w:val="000A67DA"/>
    <w:rsid w:val="000A693D"/>
    <w:rsid w:val="000A6994"/>
    <w:rsid w:val="000A6BD8"/>
    <w:rsid w:val="000A6DDC"/>
    <w:rsid w:val="000A708B"/>
    <w:rsid w:val="000A733F"/>
    <w:rsid w:val="000A7369"/>
    <w:rsid w:val="000A73EA"/>
    <w:rsid w:val="000A74E5"/>
    <w:rsid w:val="000A7745"/>
    <w:rsid w:val="000A77C3"/>
    <w:rsid w:val="000A7AD1"/>
    <w:rsid w:val="000B0355"/>
    <w:rsid w:val="000B0497"/>
    <w:rsid w:val="000B0588"/>
    <w:rsid w:val="000B0658"/>
    <w:rsid w:val="000B0918"/>
    <w:rsid w:val="000B0AD4"/>
    <w:rsid w:val="000B0C00"/>
    <w:rsid w:val="000B1123"/>
    <w:rsid w:val="000B12A5"/>
    <w:rsid w:val="000B1666"/>
    <w:rsid w:val="000B16ED"/>
    <w:rsid w:val="000B1A70"/>
    <w:rsid w:val="000B1BF9"/>
    <w:rsid w:val="000B1D4A"/>
    <w:rsid w:val="000B2282"/>
    <w:rsid w:val="000B2397"/>
    <w:rsid w:val="000B23E9"/>
    <w:rsid w:val="000B259A"/>
    <w:rsid w:val="000B26D1"/>
    <w:rsid w:val="000B2B91"/>
    <w:rsid w:val="000B2C58"/>
    <w:rsid w:val="000B3090"/>
    <w:rsid w:val="000B3AC3"/>
    <w:rsid w:val="000B3DD5"/>
    <w:rsid w:val="000B3FCE"/>
    <w:rsid w:val="000B41FF"/>
    <w:rsid w:val="000B4511"/>
    <w:rsid w:val="000B4621"/>
    <w:rsid w:val="000B4A2E"/>
    <w:rsid w:val="000B4C93"/>
    <w:rsid w:val="000B4D64"/>
    <w:rsid w:val="000B529C"/>
    <w:rsid w:val="000B52D0"/>
    <w:rsid w:val="000B53E3"/>
    <w:rsid w:val="000B55F2"/>
    <w:rsid w:val="000B55FF"/>
    <w:rsid w:val="000B562D"/>
    <w:rsid w:val="000B57CC"/>
    <w:rsid w:val="000B57FB"/>
    <w:rsid w:val="000B5971"/>
    <w:rsid w:val="000B5B61"/>
    <w:rsid w:val="000B63F7"/>
    <w:rsid w:val="000B64E6"/>
    <w:rsid w:val="000B651D"/>
    <w:rsid w:val="000B65CB"/>
    <w:rsid w:val="000B6FB0"/>
    <w:rsid w:val="000B709F"/>
    <w:rsid w:val="000B7D78"/>
    <w:rsid w:val="000B7DD1"/>
    <w:rsid w:val="000C047A"/>
    <w:rsid w:val="000C055E"/>
    <w:rsid w:val="000C0562"/>
    <w:rsid w:val="000C073A"/>
    <w:rsid w:val="000C0859"/>
    <w:rsid w:val="000C0A77"/>
    <w:rsid w:val="000C0AF3"/>
    <w:rsid w:val="000C0C7D"/>
    <w:rsid w:val="000C10AD"/>
    <w:rsid w:val="000C145E"/>
    <w:rsid w:val="000C1786"/>
    <w:rsid w:val="000C1BF0"/>
    <w:rsid w:val="000C23BB"/>
    <w:rsid w:val="000C2421"/>
    <w:rsid w:val="000C2A89"/>
    <w:rsid w:val="000C2B06"/>
    <w:rsid w:val="000C310A"/>
    <w:rsid w:val="000C3496"/>
    <w:rsid w:val="000C3580"/>
    <w:rsid w:val="000C363B"/>
    <w:rsid w:val="000C39F9"/>
    <w:rsid w:val="000C3DC0"/>
    <w:rsid w:val="000C3EE3"/>
    <w:rsid w:val="000C4097"/>
    <w:rsid w:val="000C4126"/>
    <w:rsid w:val="000C4451"/>
    <w:rsid w:val="000C455A"/>
    <w:rsid w:val="000C4712"/>
    <w:rsid w:val="000C4F55"/>
    <w:rsid w:val="000C508D"/>
    <w:rsid w:val="000C512B"/>
    <w:rsid w:val="000C5265"/>
    <w:rsid w:val="000C55A9"/>
    <w:rsid w:val="000C5603"/>
    <w:rsid w:val="000C595C"/>
    <w:rsid w:val="000C597D"/>
    <w:rsid w:val="000C5C8A"/>
    <w:rsid w:val="000C5C95"/>
    <w:rsid w:val="000C6390"/>
    <w:rsid w:val="000C63BD"/>
    <w:rsid w:val="000C6A30"/>
    <w:rsid w:val="000C6C0F"/>
    <w:rsid w:val="000C6D44"/>
    <w:rsid w:val="000C6E6A"/>
    <w:rsid w:val="000C6E91"/>
    <w:rsid w:val="000C72B6"/>
    <w:rsid w:val="000C72CC"/>
    <w:rsid w:val="000C7730"/>
    <w:rsid w:val="000C7B48"/>
    <w:rsid w:val="000C7CA3"/>
    <w:rsid w:val="000C7D5E"/>
    <w:rsid w:val="000C7E9B"/>
    <w:rsid w:val="000D0042"/>
    <w:rsid w:val="000D01F4"/>
    <w:rsid w:val="000D029D"/>
    <w:rsid w:val="000D05FC"/>
    <w:rsid w:val="000D0785"/>
    <w:rsid w:val="000D0919"/>
    <w:rsid w:val="000D0C24"/>
    <w:rsid w:val="000D0DA6"/>
    <w:rsid w:val="000D0E31"/>
    <w:rsid w:val="000D125A"/>
    <w:rsid w:val="000D13CE"/>
    <w:rsid w:val="000D16B2"/>
    <w:rsid w:val="000D1965"/>
    <w:rsid w:val="000D1ACB"/>
    <w:rsid w:val="000D1B33"/>
    <w:rsid w:val="000D1CD4"/>
    <w:rsid w:val="000D1F8B"/>
    <w:rsid w:val="000D2462"/>
    <w:rsid w:val="000D24C9"/>
    <w:rsid w:val="000D24DF"/>
    <w:rsid w:val="000D2933"/>
    <w:rsid w:val="000D2B2D"/>
    <w:rsid w:val="000D34E9"/>
    <w:rsid w:val="000D36CB"/>
    <w:rsid w:val="000D37BE"/>
    <w:rsid w:val="000D39E4"/>
    <w:rsid w:val="000D3AED"/>
    <w:rsid w:val="000D3BA2"/>
    <w:rsid w:val="000D3E6D"/>
    <w:rsid w:val="000D422C"/>
    <w:rsid w:val="000D43FB"/>
    <w:rsid w:val="000D51EA"/>
    <w:rsid w:val="000D54AD"/>
    <w:rsid w:val="000D551A"/>
    <w:rsid w:val="000D5752"/>
    <w:rsid w:val="000D5D59"/>
    <w:rsid w:val="000D653F"/>
    <w:rsid w:val="000D661D"/>
    <w:rsid w:val="000D6A09"/>
    <w:rsid w:val="000D71D6"/>
    <w:rsid w:val="000D7361"/>
    <w:rsid w:val="000D7EB9"/>
    <w:rsid w:val="000E01C7"/>
    <w:rsid w:val="000E0543"/>
    <w:rsid w:val="000E06EE"/>
    <w:rsid w:val="000E0CCA"/>
    <w:rsid w:val="000E0D30"/>
    <w:rsid w:val="000E0DD4"/>
    <w:rsid w:val="000E1083"/>
    <w:rsid w:val="000E182A"/>
    <w:rsid w:val="000E19A3"/>
    <w:rsid w:val="000E1AB7"/>
    <w:rsid w:val="000E1BBD"/>
    <w:rsid w:val="000E1EB6"/>
    <w:rsid w:val="000E1FDB"/>
    <w:rsid w:val="000E2462"/>
    <w:rsid w:val="000E253B"/>
    <w:rsid w:val="000E25A1"/>
    <w:rsid w:val="000E266E"/>
    <w:rsid w:val="000E2898"/>
    <w:rsid w:val="000E3303"/>
    <w:rsid w:val="000E3464"/>
    <w:rsid w:val="000E349E"/>
    <w:rsid w:val="000E359F"/>
    <w:rsid w:val="000E3630"/>
    <w:rsid w:val="000E3661"/>
    <w:rsid w:val="000E38B7"/>
    <w:rsid w:val="000E3B69"/>
    <w:rsid w:val="000E3C07"/>
    <w:rsid w:val="000E4540"/>
    <w:rsid w:val="000E4777"/>
    <w:rsid w:val="000E4A97"/>
    <w:rsid w:val="000E4AB7"/>
    <w:rsid w:val="000E4D16"/>
    <w:rsid w:val="000E53A8"/>
    <w:rsid w:val="000E553D"/>
    <w:rsid w:val="000E562A"/>
    <w:rsid w:val="000E5842"/>
    <w:rsid w:val="000E5861"/>
    <w:rsid w:val="000E5EE9"/>
    <w:rsid w:val="000E6267"/>
    <w:rsid w:val="000E6534"/>
    <w:rsid w:val="000E6585"/>
    <w:rsid w:val="000E67D3"/>
    <w:rsid w:val="000E6B23"/>
    <w:rsid w:val="000E71D9"/>
    <w:rsid w:val="000E7406"/>
    <w:rsid w:val="000E7601"/>
    <w:rsid w:val="000E7813"/>
    <w:rsid w:val="000E7FAA"/>
    <w:rsid w:val="000E7FD8"/>
    <w:rsid w:val="000F0179"/>
    <w:rsid w:val="000F0571"/>
    <w:rsid w:val="000F072A"/>
    <w:rsid w:val="000F0AE6"/>
    <w:rsid w:val="000F0B07"/>
    <w:rsid w:val="000F0B95"/>
    <w:rsid w:val="000F11A3"/>
    <w:rsid w:val="000F13B0"/>
    <w:rsid w:val="000F1525"/>
    <w:rsid w:val="000F181D"/>
    <w:rsid w:val="000F187E"/>
    <w:rsid w:val="000F1A19"/>
    <w:rsid w:val="000F1B2C"/>
    <w:rsid w:val="000F20F0"/>
    <w:rsid w:val="000F2535"/>
    <w:rsid w:val="000F272C"/>
    <w:rsid w:val="000F2A76"/>
    <w:rsid w:val="000F2B0A"/>
    <w:rsid w:val="000F2B30"/>
    <w:rsid w:val="000F2C5D"/>
    <w:rsid w:val="000F2CE0"/>
    <w:rsid w:val="000F2DAF"/>
    <w:rsid w:val="000F3650"/>
    <w:rsid w:val="000F375F"/>
    <w:rsid w:val="000F3A4A"/>
    <w:rsid w:val="000F3CA0"/>
    <w:rsid w:val="000F41AA"/>
    <w:rsid w:val="000F456F"/>
    <w:rsid w:val="000F489E"/>
    <w:rsid w:val="000F4925"/>
    <w:rsid w:val="000F4BCB"/>
    <w:rsid w:val="000F4C1B"/>
    <w:rsid w:val="000F524F"/>
    <w:rsid w:val="000F551D"/>
    <w:rsid w:val="000F5526"/>
    <w:rsid w:val="000F6214"/>
    <w:rsid w:val="000F63F7"/>
    <w:rsid w:val="000F6893"/>
    <w:rsid w:val="000F68AC"/>
    <w:rsid w:val="000F6D43"/>
    <w:rsid w:val="000F71AD"/>
    <w:rsid w:val="000F724E"/>
    <w:rsid w:val="000F73AB"/>
    <w:rsid w:val="000F7A7B"/>
    <w:rsid w:val="000F7EC7"/>
    <w:rsid w:val="001001F1"/>
    <w:rsid w:val="0010030A"/>
    <w:rsid w:val="00100676"/>
    <w:rsid w:val="00100FB8"/>
    <w:rsid w:val="00100FE6"/>
    <w:rsid w:val="00101072"/>
    <w:rsid w:val="00101990"/>
    <w:rsid w:val="00101C6C"/>
    <w:rsid w:val="00101C9F"/>
    <w:rsid w:val="00101D3F"/>
    <w:rsid w:val="00101FD4"/>
    <w:rsid w:val="001021A0"/>
    <w:rsid w:val="001022CA"/>
    <w:rsid w:val="00102591"/>
    <w:rsid w:val="001025A3"/>
    <w:rsid w:val="001025F7"/>
    <w:rsid w:val="00102AB7"/>
    <w:rsid w:val="00102D2C"/>
    <w:rsid w:val="00102E40"/>
    <w:rsid w:val="00102FCB"/>
    <w:rsid w:val="0010324A"/>
    <w:rsid w:val="001032A4"/>
    <w:rsid w:val="001032CC"/>
    <w:rsid w:val="0010364D"/>
    <w:rsid w:val="00103670"/>
    <w:rsid w:val="00103775"/>
    <w:rsid w:val="001037B7"/>
    <w:rsid w:val="001038AE"/>
    <w:rsid w:val="001038FE"/>
    <w:rsid w:val="00103CCE"/>
    <w:rsid w:val="00103CD6"/>
    <w:rsid w:val="00103EC2"/>
    <w:rsid w:val="0010407C"/>
    <w:rsid w:val="001042E0"/>
    <w:rsid w:val="00104351"/>
    <w:rsid w:val="0010468E"/>
    <w:rsid w:val="00104FF9"/>
    <w:rsid w:val="00105182"/>
    <w:rsid w:val="00105423"/>
    <w:rsid w:val="00105677"/>
    <w:rsid w:val="0010590F"/>
    <w:rsid w:val="0010595F"/>
    <w:rsid w:val="00105BAE"/>
    <w:rsid w:val="00105FEA"/>
    <w:rsid w:val="0010614E"/>
    <w:rsid w:val="001062FC"/>
    <w:rsid w:val="00106667"/>
    <w:rsid w:val="001066BE"/>
    <w:rsid w:val="0010677C"/>
    <w:rsid w:val="001069BF"/>
    <w:rsid w:val="001069E7"/>
    <w:rsid w:val="00106AA6"/>
    <w:rsid w:val="00106AEE"/>
    <w:rsid w:val="00106BC6"/>
    <w:rsid w:val="00107193"/>
    <w:rsid w:val="001076BF"/>
    <w:rsid w:val="001076E0"/>
    <w:rsid w:val="0010788C"/>
    <w:rsid w:val="0010788D"/>
    <w:rsid w:val="00107C8A"/>
    <w:rsid w:val="00107D0F"/>
    <w:rsid w:val="00107F55"/>
    <w:rsid w:val="001102DB"/>
    <w:rsid w:val="001104F2"/>
    <w:rsid w:val="00110527"/>
    <w:rsid w:val="00110958"/>
    <w:rsid w:val="001109A4"/>
    <w:rsid w:val="00110CFC"/>
    <w:rsid w:val="00111987"/>
    <w:rsid w:val="001119D9"/>
    <w:rsid w:val="00111DA2"/>
    <w:rsid w:val="00112A03"/>
    <w:rsid w:val="00112B71"/>
    <w:rsid w:val="00113482"/>
    <w:rsid w:val="001134BB"/>
    <w:rsid w:val="001138E5"/>
    <w:rsid w:val="00113DBA"/>
    <w:rsid w:val="00113DFE"/>
    <w:rsid w:val="00113F23"/>
    <w:rsid w:val="0011443C"/>
    <w:rsid w:val="001149E2"/>
    <w:rsid w:val="00114BBF"/>
    <w:rsid w:val="00114E81"/>
    <w:rsid w:val="00114F5D"/>
    <w:rsid w:val="00115076"/>
    <w:rsid w:val="001153A2"/>
    <w:rsid w:val="001155B8"/>
    <w:rsid w:val="00115E37"/>
    <w:rsid w:val="0011635E"/>
    <w:rsid w:val="00116626"/>
    <w:rsid w:val="00116AEA"/>
    <w:rsid w:val="00116BD1"/>
    <w:rsid w:val="00116BDD"/>
    <w:rsid w:val="00116E68"/>
    <w:rsid w:val="00117335"/>
    <w:rsid w:val="001173A8"/>
    <w:rsid w:val="00117CE5"/>
    <w:rsid w:val="00117E75"/>
    <w:rsid w:val="001204DB"/>
    <w:rsid w:val="001206A8"/>
    <w:rsid w:val="001207EF"/>
    <w:rsid w:val="00120E02"/>
    <w:rsid w:val="00120F5B"/>
    <w:rsid w:val="001213CE"/>
    <w:rsid w:val="001213EF"/>
    <w:rsid w:val="001214A3"/>
    <w:rsid w:val="00121661"/>
    <w:rsid w:val="001216CF"/>
    <w:rsid w:val="00121716"/>
    <w:rsid w:val="001218EE"/>
    <w:rsid w:val="00121925"/>
    <w:rsid w:val="00122395"/>
    <w:rsid w:val="00122439"/>
    <w:rsid w:val="001229F9"/>
    <w:rsid w:val="00123496"/>
    <w:rsid w:val="0012379C"/>
    <w:rsid w:val="00123B39"/>
    <w:rsid w:val="00123B53"/>
    <w:rsid w:val="00123CDC"/>
    <w:rsid w:val="00123DB9"/>
    <w:rsid w:val="001241DF"/>
    <w:rsid w:val="00124386"/>
    <w:rsid w:val="00124700"/>
    <w:rsid w:val="00124A52"/>
    <w:rsid w:val="00124A61"/>
    <w:rsid w:val="00124B1A"/>
    <w:rsid w:val="00124F43"/>
    <w:rsid w:val="00125076"/>
    <w:rsid w:val="00125112"/>
    <w:rsid w:val="001255A1"/>
    <w:rsid w:val="0012569C"/>
    <w:rsid w:val="001259BB"/>
    <w:rsid w:val="00125DCB"/>
    <w:rsid w:val="00126123"/>
    <w:rsid w:val="0012631F"/>
    <w:rsid w:val="0012670C"/>
    <w:rsid w:val="00126914"/>
    <w:rsid w:val="00126ED9"/>
    <w:rsid w:val="00127326"/>
    <w:rsid w:val="00127936"/>
    <w:rsid w:val="00127A08"/>
    <w:rsid w:val="00127A83"/>
    <w:rsid w:val="00127BB4"/>
    <w:rsid w:val="00127D07"/>
    <w:rsid w:val="00127EC7"/>
    <w:rsid w:val="001301A9"/>
    <w:rsid w:val="001307BB"/>
    <w:rsid w:val="0013099F"/>
    <w:rsid w:val="00130A14"/>
    <w:rsid w:val="00130BDA"/>
    <w:rsid w:val="00130D79"/>
    <w:rsid w:val="00130F5A"/>
    <w:rsid w:val="00131695"/>
    <w:rsid w:val="001318FA"/>
    <w:rsid w:val="00131A2D"/>
    <w:rsid w:val="00131B94"/>
    <w:rsid w:val="001323AA"/>
    <w:rsid w:val="001324CD"/>
    <w:rsid w:val="00132A94"/>
    <w:rsid w:val="0013315C"/>
    <w:rsid w:val="001332C4"/>
    <w:rsid w:val="001332E9"/>
    <w:rsid w:val="00133681"/>
    <w:rsid w:val="00133717"/>
    <w:rsid w:val="00133758"/>
    <w:rsid w:val="00133895"/>
    <w:rsid w:val="00133917"/>
    <w:rsid w:val="00133CC1"/>
    <w:rsid w:val="0013426D"/>
    <w:rsid w:val="0013433E"/>
    <w:rsid w:val="00134BDB"/>
    <w:rsid w:val="00134D15"/>
    <w:rsid w:val="0013501F"/>
    <w:rsid w:val="00135653"/>
    <w:rsid w:val="00135A92"/>
    <w:rsid w:val="0013609E"/>
    <w:rsid w:val="00136138"/>
    <w:rsid w:val="00136233"/>
    <w:rsid w:val="00136434"/>
    <w:rsid w:val="0013665F"/>
    <w:rsid w:val="001368FF"/>
    <w:rsid w:val="00136BC9"/>
    <w:rsid w:val="00136E3C"/>
    <w:rsid w:val="00137043"/>
    <w:rsid w:val="00137345"/>
    <w:rsid w:val="001373B2"/>
    <w:rsid w:val="001373FC"/>
    <w:rsid w:val="00137573"/>
    <w:rsid w:val="00137E0C"/>
    <w:rsid w:val="00137FAC"/>
    <w:rsid w:val="00137FF2"/>
    <w:rsid w:val="00140010"/>
    <w:rsid w:val="001405A6"/>
    <w:rsid w:val="001406B1"/>
    <w:rsid w:val="00140E37"/>
    <w:rsid w:val="001411A3"/>
    <w:rsid w:val="0014169F"/>
    <w:rsid w:val="00141BA5"/>
    <w:rsid w:val="00142034"/>
    <w:rsid w:val="00142779"/>
    <w:rsid w:val="00142FD3"/>
    <w:rsid w:val="00142FD5"/>
    <w:rsid w:val="00142FE0"/>
    <w:rsid w:val="001431C7"/>
    <w:rsid w:val="00143349"/>
    <w:rsid w:val="00143363"/>
    <w:rsid w:val="001433BD"/>
    <w:rsid w:val="001436E7"/>
    <w:rsid w:val="00144078"/>
    <w:rsid w:val="001441EC"/>
    <w:rsid w:val="001441F0"/>
    <w:rsid w:val="001442AC"/>
    <w:rsid w:val="001446DB"/>
    <w:rsid w:val="0014472D"/>
    <w:rsid w:val="00144E2E"/>
    <w:rsid w:val="00145193"/>
    <w:rsid w:val="001451F6"/>
    <w:rsid w:val="001452E0"/>
    <w:rsid w:val="001452E8"/>
    <w:rsid w:val="0014563A"/>
    <w:rsid w:val="00145778"/>
    <w:rsid w:val="0014579F"/>
    <w:rsid w:val="001457C1"/>
    <w:rsid w:val="001457C5"/>
    <w:rsid w:val="00145B1E"/>
    <w:rsid w:val="00145DB0"/>
    <w:rsid w:val="00145DC0"/>
    <w:rsid w:val="00146144"/>
    <w:rsid w:val="001463C9"/>
    <w:rsid w:val="0014653A"/>
    <w:rsid w:val="00146679"/>
    <w:rsid w:val="001466F9"/>
    <w:rsid w:val="0014686D"/>
    <w:rsid w:val="001469C0"/>
    <w:rsid w:val="001469D5"/>
    <w:rsid w:val="00146DE1"/>
    <w:rsid w:val="0014730E"/>
    <w:rsid w:val="00147721"/>
    <w:rsid w:val="0014773C"/>
    <w:rsid w:val="001478E3"/>
    <w:rsid w:val="00147AA8"/>
    <w:rsid w:val="00147CC0"/>
    <w:rsid w:val="00147F84"/>
    <w:rsid w:val="00150946"/>
    <w:rsid w:val="00150B70"/>
    <w:rsid w:val="00150C7F"/>
    <w:rsid w:val="00150D31"/>
    <w:rsid w:val="00150E2D"/>
    <w:rsid w:val="00151047"/>
    <w:rsid w:val="00151723"/>
    <w:rsid w:val="00151884"/>
    <w:rsid w:val="00151E4B"/>
    <w:rsid w:val="00152068"/>
    <w:rsid w:val="0015241E"/>
    <w:rsid w:val="00152C84"/>
    <w:rsid w:val="00152DB0"/>
    <w:rsid w:val="00152E87"/>
    <w:rsid w:val="00152F14"/>
    <w:rsid w:val="0015300D"/>
    <w:rsid w:val="001531FE"/>
    <w:rsid w:val="0015324D"/>
    <w:rsid w:val="00153520"/>
    <w:rsid w:val="001535DE"/>
    <w:rsid w:val="0015387E"/>
    <w:rsid w:val="001538FE"/>
    <w:rsid w:val="00153E10"/>
    <w:rsid w:val="001544EB"/>
    <w:rsid w:val="00154514"/>
    <w:rsid w:val="00154C04"/>
    <w:rsid w:val="00154D5A"/>
    <w:rsid w:val="00154D86"/>
    <w:rsid w:val="00154D9E"/>
    <w:rsid w:val="001550F3"/>
    <w:rsid w:val="0015523C"/>
    <w:rsid w:val="001554E9"/>
    <w:rsid w:val="00155683"/>
    <w:rsid w:val="00155A95"/>
    <w:rsid w:val="00155E02"/>
    <w:rsid w:val="00155E95"/>
    <w:rsid w:val="00156694"/>
    <w:rsid w:val="001566B8"/>
    <w:rsid w:val="0015683A"/>
    <w:rsid w:val="00156F2D"/>
    <w:rsid w:val="00157825"/>
    <w:rsid w:val="00157F0B"/>
    <w:rsid w:val="001604AD"/>
    <w:rsid w:val="0016061E"/>
    <w:rsid w:val="00160657"/>
    <w:rsid w:val="001606E3"/>
    <w:rsid w:val="00160765"/>
    <w:rsid w:val="00160851"/>
    <w:rsid w:val="001609BA"/>
    <w:rsid w:val="00160D26"/>
    <w:rsid w:val="00161627"/>
    <w:rsid w:val="00161A80"/>
    <w:rsid w:val="00161B39"/>
    <w:rsid w:val="00161D30"/>
    <w:rsid w:val="00161E32"/>
    <w:rsid w:val="00161ED9"/>
    <w:rsid w:val="00162037"/>
    <w:rsid w:val="00162479"/>
    <w:rsid w:val="00162537"/>
    <w:rsid w:val="001628B8"/>
    <w:rsid w:val="001628BD"/>
    <w:rsid w:val="00162D0D"/>
    <w:rsid w:val="001634A8"/>
    <w:rsid w:val="0016355F"/>
    <w:rsid w:val="001635F0"/>
    <w:rsid w:val="00163665"/>
    <w:rsid w:val="0016376D"/>
    <w:rsid w:val="00163D23"/>
    <w:rsid w:val="0016462E"/>
    <w:rsid w:val="00164F6F"/>
    <w:rsid w:val="001650A2"/>
    <w:rsid w:val="001650F2"/>
    <w:rsid w:val="00165226"/>
    <w:rsid w:val="00165316"/>
    <w:rsid w:val="0016596E"/>
    <w:rsid w:val="00165B05"/>
    <w:rsid w:val="00165EC7"/>
    <w:rsid w:val="00166080"/>
    <w:rsid w:val="0016669F"/>
    <w:rsid w:val="00166849"/>
    <w:rsid w:val="0016693E"/>
    <w:rsid w:val="00166D46"/>
    <w:rsid w:val="001673AD"/>
    <w:rsid w:val="0016756B"/>
    <w:rsid w:val="0016762E"/>
    <w:rsid w:val="00167941"/>
    <w:rsid w:val="001679AD"/>
    <w:rsid w:val="00167AA5"/>
    <w:rsid w:val="00167C2E"/>
    <w:rsid w:val="001700D2"/>
    <w:rsid w:val="00170984"/>
    <w:rsid w:val="00170D12"/>
    <w:rsid w:val="00171456"/>
    <w:rsid w:val="001715AA"/>
    <w:rsid w:val="001718D2"/>
    <w:rsid w:val="00171DC8"/>
    <w:rsid w:val="00171F25"/>
    <w:rsid w:val="0017217D"/>
    <w:rsid w:val="00172712"/>
    <w:rsid w:val="001727FE"/>
    <w:rsid w:val="00172A98"/>
    <w:rsid w:val="00172C02"/>
    <w:rsid w:val="00172C21"/>
    <w:rsid w:val="00172DEE"/>
    <w:rsid w:val="0017306C"/>
    <w:rsid w:val="00173180"/>
    <w:rsid w:val="001734E1"/>
    <w:rsid w:val="001734ED"/>
    <w:rsid w:val="001736A6"/>
    <w:rsid w:val="00173A3D"/>
    <w:rsid w:val="00173A42"/>
    <w:rsid w:val="0017423A"/>
    <w:rsid w:val="0017497D"/>
    <w:rsid w:val="00174F06"/>
    <w:rsid w:val="00175017"/>
    <w:rsid w:val="00175377"/>
    <w:rsid w:val="001753EA"/>
    <w:rsid w:val="0017554E"/>
    <w:rsid w:val="00175690"/>
    <w:rsid w:val="001759A8"/>
    <w:rsid w:val="001759E0"/>
    <w:rsid w:val="00175F69"/>
    <w:rsid w:val="001760E6"/>
    <w:rsid w:val="00176401"/>
    <w:rsid w:val="001765F8"/>
    <w:rsid w:val="001765FF"/>
    <w:rsid w:val="0017677F"/>
    <w:rsid w:val="00176A61"/>
    <w:rsid w:val="0017700C"/>
    <w:rsid w:val="00177768"/>
    <w:rsid w:val="00177852"/>
    <w:rsid w:val="00177B38"/>
    <w:rsid w:val="00177DE2"/>
    <w:rsid w:val="001805F0"/>
    <w:rsid w:val="00180642"/>
    <w:rsid w:val="0018072C"/>
    <w:rsid w:val="001807D0"/>
    <w:rsid w:val="0018088B"/>
    <w:rsid w:val="00180F02"/>
    <w:rsid w:val="001811D4"/>
    <w:rsid w:val="001812DD"/>
    <w:rsid w:val="001818E0"/>
    <w:rsid w:val="00181C00"/>
    <w:rsid w:val="00181E9B"/>
    <w:rsid w:val="00181FC7"/>
    <w:rsid w:val="00182212"/>
    <w:rsid w:val="00183293"/>
    <w:rsid w:val="00183488"/>
    <w:rsid w:val="00183586"/>
    <w:rsid w:val="00183942"/>
    <w:rsid w:val="00183D26"/>
    <w:rsid w:val="0018411D"/>
    <w:rsid w:val="001843A3"/>
    <w:rsid w:val="00184497"/>
    <w:rsid w:val="00184581"/>
    <w:rsid w:val="00184590"/>
    <w:rsid w:val="0018472E"/>
    <w:rsid w:val="001847DC"/>
    <w:rsid w:val="00184D60"/>
    <w:rsid w:val="00184DB7"/>
    <w:rsid w:val="00184F54"/>
    <w:rsid w:val="001855C4"/>
    <w:rsid w:val="00185756"/>
    <w:rsid w:val="00185A4E"/>
    <w:rsid w:val="00185C03"/>
    <w:rsid w:val="00185C82"/>
    <w:rsid w:val="00185E5F"/>
    <w:rsid w:val="00185E93"/>
    <w:rsid w:val="0018625E"/>
    <w:rsid w:val="0018627C"/>
    <w:rsid w:val="0018627F"/>
    <w:rsid w:val="00186411"/>
    <w:rsid w:val="00186482"/>
    <w:rsid w:val="0018661D"/>
    <w:rsid w:val="00186634"/>
    <w:rsid w:val="00186B24"/>
    <w:rsid w:val="00187741"/>
    <w:rsid w:val="00187B2D"/>
    <w:rsid w:val="00187F52"/>
    <w:rsid w:val="00187F9E"/>
    <w:rsid w:val="00190549"/>
    <w:rsid w:val="00190621"/>
    <w:rsid w:val="00190BAA"/>
    <w:rsid w:val="00190BE7"/>
    <w:rsid w:val="00190D8E"/>
    <w:rsid w:val="00190F54"/>
    <w:rsid w:val="00191535"/>
    <w:rsid w:val="0019159B"/>
    <w:rsid w:val="00191AE8"/>
    <w:rsid w:val="00191B29"/>
    <w:rsid w:val="00191B9B"/>
    <w:rsid w:val="00191E1C"/>
    <w:rsid w:val="00191E62"/>
    <w:rsid w:val="00191ED3"/>
    <w:rsid w:val="00191FC5"/>
    <w:rsid w:val="0019217C"/>
    <w:rsid w:val="00192696"/>
    <w:rsid w:val="001928BB"/>
    <w:rsid w:val="001928BE"/>
    <w:rsid w:val="00192AEE"/>
    <w:rsid w:val="00193032"/>
    <w:rsid w:val="001930FE"/>
    <w:rsid w:val="001932BE"/>
    <w:rsid w:val="00193A38"/>
    <w:rsid w:val="00193A7E"/>
    <w:rsid w:val="00193AC2"/>
    <w:rsid w:val="00193C78"/>
    <w:rsid w:val="00193DF9"/>
    <w:rsid w:val="00193FC7"/>
    <w:rsid w:val="00194106"/>
    <w:rsid w:val="001942FD"/>
    <w:rsid w:val="001943D3"/>
    <w:rsid w:val="001943F8"/>
    <w:rsid w:val="001945F1"/>
    <w:rsid w:val="00194777"/>
    <w:rsid w:val="00194819"/>
    <w:rsid w:val="00194A1A"/>
    <w:rsid w:val="00194DA3"/>
    <w:rsid w:val="00194DB7"/>
    <w:rsid w:val="00194E0A"/>
    <w:rsid w:val="00194E17"/>
    <w:rsid w:val="00194EC8"/>
    <w:rsid w:val="00195090"/>
    <w:rsid w:val="00195748"/>
    <w:rsid w:val="00195812"/>
    <w:rsid w:val="00195A09"/>
    <w:rsid w:val="00195B2A"/>
    <w:rsid w:val="00195EAE"/>
    <w:rsid w:val="0019605A"/>
    <w:rsid w:val="0019638E"/>
    <w:rsid w:val="001964E5"/>
    <w:rsid w:val="00196B5E"/>
    <w:rsid w:val="001973EB"/>
    <w:rsid w:val="00197B1F"/>
    <w:rsid w:val="00197BED"/>
    <w:rsid w:val="00197CC8"/>
    <w:rsid w:val="00197DFF"/>
    <w:rsid w:val="001A018A"/>
    <w:rsid w:val="001A09CF"/>
    <w:rsid w:val="001A0A1E"/>
    <w:rsid w:val="001A0A97"/>
    <w:rsid w:val="001A0EF2"/>
    <w:rsid w:val="001A0F6C"/>
    <w:rsid w:val="001A0FDF"/>
    <w:rsid w:val="001A1213"/>
    <w:rsid w:val="001A1490"/>
    <w:rsid w:val="001A1845"/>
    <w:rsid w:val="001A1900"/>
    <w:rsid w:val="001A1911"/>
    <w:rsid w:val="001A19B3"/>
    <w:rsid w:val="001A1B05"/>
    <w:rsid w:val="001A1C3A"/>
    <w:rsid w:val="001A1E97"/>
    <w:rsid w:val="001A2865"/>
    <w:rsid w:val="001A2F0F"/>
    <w:rsid w:val="001A31C3"/>
    <w:rsid w:val="001A4833"/>
    <w:rsid w:val="001A498D"/>
    <w:rsid w:val="001A54AD"/>
    <w:rsid w:val="001A56C5"/>
    <w:rsid w:val="001A578B"/>
    <w:rsid w:val="001A5CD2"/>
    <w:rsid w:val="001A5DB4"/>
    <w:rsid w:val="001A6D07"/>
    <w:rsid w:val="001A71BB"/>
    <w:rsid w:val="001A7356"/>
    <w:rsid w:val="001A75F4"/>
    <w:rsid w:val="001A77C5"/>
    <w:rsid w:val="001B031F"/>
    <w:rsid w:val="001B0506"/>
    <w:rsid w:val="001B0663"/>
    <w:rsid w:val="001B09CB"/>
    <w:rsid w:val="001B0A61"/>
    <w:rsid w:val="001B0F20"/>
    <w:rsid w:val="001B111D"/>
    <w:rsid w:val="001B172A"/>
    <w:rsid w:val="001B173A"/>
    <w:rsid w:val="001B199B"/>
    <w:rsid w:val="001B1AF9"/>
    <w:rsid w:val="001B1F56"/>
    <w:rsid w:val="001B244B"/>
    <w:rsid w:val="001B24AB"/>
    <w:rsid w:val="001B264D"/>
    <w:rsid w:val="001B2C49"/>
    <w:rsid w:val="001B2D95"/>
    <w:rsid w:val="001B30D4"/>
    <w:rsid w:val="001B33C7"/>
    <w:rsid w:val="001B383F"/>
    <w:rsid w:val="001B38F0"/>
    <w:rsid w:val="001B3BFD"/>
    <w:rsid w:val="001B3C4E"/>
    <w:rsid w:val="001B4369"/>
    <w:rsid w:val="001B4B96"/>
    <w:rsid w:val="001B5443"/>
    <w:rsid w:val="001B576B"/>
    <w:rsid w:val="001B584C"/>
    <w:rsid w:val="001B6125"/>
    <w:rsid w:val="001B612B"/>
    <w:rsid w:val="001B633F"/>
    <w:rsid w:val="001B643B"/>
    <w:rsid w:val="001B65EF"/>
    <w:rsid w:val="001B6FDE"/>
    <w:rsid w:val="001B7068"/>
    <w:rsid w:val="001B71E3"/>
    <w:rsid w:val="001B792C"/>
    <w:rsid w:val="001B7BE0"/>
    <w:rsid w:val="001B7C32"/>
    <w:rsid w:val="001B7D5F"/>
    <w:rsid w:val="001B7FC0"/>
    <w:rsid w:val="001B7FCB"/>
    <w:rsid w:val="001C006B"/>
    <w:rsid w:val="001C059F"/>
    <w:rsid w:val="001C0A87"/>
    <w:rsid w:val="001C12B3"/>
    <w:rsid w:val="001C1693"/>
    <w:rsid w:val="001C1A8D"/>
    <w:rsid w:val="001C2333"/>
    <w:rsid w:val="001C2683"/>
    <w:rsid w:val="001C2862"/>
    <w:rsid w:val="001C287E"/>
    <w:rsid w:val="001C2B5D"/>
    <w:rsid w:val="001C2CA0"/>
    <w:rsid w:val="001C2D5C"/>
    <w:rsid w:val="001C2EC1"/>
    <w:rsid w:val="001C2F41"/>
    <w:rsid w:val="001C2F49"/>
    <w:rsid w:val="001C2F56"/>
    <w:rsid w:val="001C2FB5"/>
    <w:rsid w:val="001C31EA"/>
    <w:rsid w:val="001C3380"/>
    <w:rsid w:val="001C340A"/>
    <w:rsid w:val="001C3AE8"/>
    <w:rsid w:val="001C3F46"/>
    <w:rsid w:val="001C433B"/>
    <w:rsid w:val="001C45D5"/>
    <w:rsid w:val="001C47C3"/>
    <w:rsid w:val="001C4816"/>
    <w:rsid w:val="001C48E5"/>
    <w:rsid w:val="001C4CC7"/>
    <w:rsid w:val="001C4EF3"/>
    <w:rsid w:val="001C523A"/>
    <w:rsid w:val="001C53B8"/>
    <w:rsid w:val="001C59C6"/>
    <w:rsid w:val="001C5A37"/>
    <w:rsid w:val="001C5B42"/>
    <w:rsid w:val="001C5C75"/>
    <w:rsid w:val="001C607E"/>
    <w:rsid w:val="001C63FB"/>
    <w:rsid w:val="001C6691"/>
    <w:rsid w:val="001C6CC3"/>
    <w:rsid w:val="001C6D14"/>
    <w:rsid w:val="001C6E6E"/>
    <w:rsid w:val="001C7130"/>
    <w:rsid w:val="001C7282"/>
    <w:rsid w:val="001C7B84"/>
    <w:rsid w:val="001C7DD0"/>
    <w:rsid w:val="001D03FB"/>
    <w:rsid w:val="001D0819"/>
    <w:rsid w:val="001D0857"/>
    <w:rsid w:val="001D0909"/>
    <w:rsid w:val="001D0A0F"/>
    <w:rsid w:val="001D0AF6"/>
    <w:rsid w:val="001D0F8C"/>
    <w:rsid w:val="001D1CAF"/>
    <w:rsid w:val="001D22C0"/>
    <w:rsid w:val="001D2369"/>
    <w:rsid w:val="001D24ED"/>
    <w:rsid w:val="001D285A"/>
    <w:rsid w:val="001D2AF3"/>
    <w:rsid w:val="001D2BFA"/>
    <w:rsid w:val="001D3546"/>
    <w:rsid w:val="001D381A"/>
    <w:rsid w:val="001D3C02"/>
    <w:rsid w:val="001D3DC4"/>
    <w:rsid w:val="001D3F1F"/>
    <w:rsid w:val="001D3FD2"/>
    <w:rsid w:val="001D4302"/>
    <w:rsid w:val="001D454F"/>
    <w:rsid w:val="001D4A3F"/>
    <w:rsid w:val="001D4A72"/>
    <w:rsid w:val="001D4D53"/>
    <w:rsid w:val="001D4F19"/>
    <w:rsid w:val="001D507A"/>
    <w:rsid w:val="001D5172"/>
    <w:rsid w:val="001D529C"/>
    <w:rsid w:val="001D571E"/>
    <w:rsid w:val="001D5760"/>
    <w:rsid w:val="001D577E"/>
    <w:rsid w:val="001D5DD6"/>
    <w:rsid w:val="001D5DD8"/>
    <w:rsid w:val="001D60E9"/>
    <w:rsid w:val="001D6792"/>
    <w:rsid w:val="001D67E8"/>
    <w:rsid w:val="001D6B15"/>
    <w:rsid w:val="001D6C8F"/>
    <w:rsid w:val="001D6CE3"/>
    <w:rsid w:val="001D6E22"/>
    <w:rsid w:val="001D6FF3"/>
    <w:rsid w:val="001D7282"/>
    <w:rsid w:val="001D731A"/>
    <w:rsid w:val="001D76F1"/>
    <w:rsid w:val="001D7BFD"/>
    <w:rsid w:val="001D7E19"/>
    <w:rsid w:val="001D7F1F"/>
    <w:rsid w:val="001E015B"/>
    <w:rsid w:val="001E0237"/>
    <w:rsid w:val="001E084A"/>
    <w:rsid w:val="001E0A3E"/>
    <w:rsid w:val="001E0B66"/>
    <w:rsid w:val="001E0C6A"/>
    <w:rsid w:val="001E0EE9"/>
    <w:rsid w:val="001E14C1"/>
    <w:rsid w:val="001E1526"/>
    <w:rsid w:val="001E166C"/>
    <w:rsid w:val="001E18BC"/>
    <w:rsid w:val="001E194D"/>
    <w:rsid w:val="001E1AA6"/>
    <w:rsid w:val="001E238B"/>
    <w:rsid w:val="001E297F"/>
    <w:rsid w:val="001E34E9"/>
    <w:rsid w:val="001E37B2"/>
    <w:rsid w:val="001E3BD1"/>
    <w:rsid w:val="001E3CA5"/>
    <w:rsid w:val="001E3D4D"/>
    <w:rsid w:val="001E3E08"/>
    <w:rsid w:val="001E43E0"/>
    <w:rsid w:val="001E46DE"/>
    <w:rsid w:val="001E4829"/>
    <w:rsid w:val="001E5340"/>
    <w:rsid w:val="001E56C9"/>
    <w:rsid w:val="001E583D"/>
    <w:rsid w:val="001E5866"/>
    <w:rsid w:val="001E59D9"/>
    <w:rsid w:val="001E5C83"/>
    <w:rsid w:val="001E5DC6"/>
    <w:rsid w:val="001E5F29"/>
    <w:rsid w:val="001E5F79"/>
    <w:rsid w:val="001E602F"/>
    <w:rsid w:val="001E6379"/>
    <w:rsid w:val="001E6485"/>
    <w:rsid w:val="001E652A"/>
    <w:rsid w:val="001E6BED"/>
    <w:rsid w:val="001E6C1A"/>
    <w:rsid w:val="001E7145"/>
    <w:rsid w:val="001E7244"/>
    <w:rsid w:val="001F0004"/>
    <w:rsid w:val="001F0005"/>
    <w:rsid w:val="001F023E"/>
    <w:rsid w:val="001F02EC"/>
    <w:rsid w:val="001F04C6"/>
    <w:rsid w:val="001F0752"/>
    <w:rsid w:val="001F079F"/>
    <w:rsid w:val="001F0C72"/>
    <w:rsid w:val="001F0D9A"/>
    <w:rsid w:val="001F1143"/>
    <w:rsid w:val="001F1372"/>
    <w:rsid w:val="001F19D2"/>
    <w:rsid w:val="001F1E00"/>
    <w:rsid w:val="001F1F7B"/>
    <w:rsid w:val="001F2C63"/>
    <w:rsid w:val="001F2E97"/>
    <w:rsid w:val="001F2EEF"/>
    <w:rsid w:val="001F3016"/>
    <w:rsid w:val="001F3169"/>
    <w:rsid w:val="001F405E"/>
    <w:rsid w:val="001F4437"/>
    <w:rsid w:val="001F48F3"/>
    <w:rsid w:val="001F4A18"/>
    <w:rsid w:val="001F4AB4"/>
    <w:rsid w:val="001F4AE4"/>
    <w:rsid w:val="001F4C09"/>
    <w:rsid w:val="001F4E94"/>
    <w:rsid w:val="001F51D3"/>
    <w:rsid w:val="001F5430"/>
    <w:rsid w:val="001F5877"/>
    <w:rsid w:val="001F59C3"/>
    <w:rsid w:val="001F5BFB"/>
    <w:rsid w:val="001F5F20"/>
    <w:rsid w:val="001F5F70"/>
    <w:rsid w:val="001F6BA7"/>
    <w:rsid w:val="001F6CDF"/>
    <w:rsid w:val="001F70D8"/>
    <w:rsid w:val="001F7122"/>
    <w:rsid w:val="001F7331"/>
    <w:rsid w:val="001F7649"/>
    <w:rsid w:val="001F7791"/>
    <w:rsid w:val="001F7884"/>
    <w:rsid w:val="001F7A48"/>
    <w:rsid w:val="0020019B"/>
    <w:rsid w:val="00200579"/>
    <w:rsid w:val="00200C41"/>
    <w:rsid w:val="00200D09"/>
    <w:rsid w:val="00200D56"/>
    <w:rsid w:val="00200F54"/>
    <w:rsid w:val="00201987"/>
    <w:rsid w:val="00201DBB"/>
    <w:rsid w:val="0020225F"/>
    <w:rsid w:val="002023DB"/>
    <w:rsid w:val="00202507"/>
    <w:rsid w:val="0020265A"/>
    <w:rsid w:val="00202901"/>
    <w:rsid w:val="002029DE"/>
    <w:rsid w:val="00202C97"/>
    <w:rsid w:val="00202CAB"/>
    <w:rsid w:val="00202F6C"/>
    <w:rsid w:val="002032C1"/>
    <w:rsid w:val="002033E5"/>
    <w:rsid w:val="00203698"/>
    <w:rsid w:val="002036EC"/>
    <w:rsid w:val="00203A66"/>
    <w:rsid w:val="00203B9A"/>
    <w:rsid w:val="00203C4D"/>
    <w:rsid w:val="002041BE"/>
    <w:rsid w:val="002044B8"/>
    <w:rsid w:val="00204974"/>
    <w:rsid w:val="00204F42"/>
    <w:rsid w:val="002051CD"/>
    <w:rsid w:val="002054DC"/>
    <w:rsid w:val="002061DB"/>
    <w:rsid w:val="00206227"/>
    <w:rsid w:val="002064A1"/>
    <w:rsid w:val="00206555"/>
    <w:rsid w:val="002068DD"/>
    <w:rsid w:val="00206A73"/>
    <w:rsid w:val="00206A82"/>
    <w:rsid w:val="00206E49"/>
    <w:rsid w:val="00206FE8"/>
    <w:rsid w:val="002075FA"/>
    <w:rsid w:val="002079DE"/>
    <w:rsid w:val="00207E58"/>
    <w:rsid w:val="00207E5D"/>
    <w:rsid w:val="00207EFB"/>
    <w:rsid w:val="00207FF5"/>
    <w:rsid w:val="00210305"/>
    <w:rsid w:val="00210337"/>
    <w:rsid w:val="002104AB"/>
    <w:rsid w:val="00210568"/>
    <w:rsid w:val="002109C3"/>
    <w:rsid w:val="00210ADE"/>
    <w:rsid w:val="00210B4C"/>
    <w:rsid w:val="00210BCF"/>
    <w:rsid w:val="00210F13"/>
    <w:rsid w:val="00210FA9"/>
    <w:rsid w:val="0021161E"/>
    <w:rsid w:val="00211655"/>
    <w:rsid w:val="002118A3"/>
    <w:rsid w:val="0021190F"/>
    <w:rsid w:val="00211DBC"/>
    <w:rsid w:val="0021235B"/>
    <w:rsid w:val="00212360"/>
    <w:rsid w:val="002129E3"/>
    <w:rsid w:val="00212C0A"/>
    <w:rsid w:val="00212CF8"/>
    <w:rsid w:val="002132F9"/>
    <w:rsid w:val="00213406"/>
    <w:rsid w:val="00213418"/>
    <w:rsid w:val="00213CE6"/>
    <w:rsid w:val="00214041"/>
    <w:rsid w:val="002145E9"/>
    <w:rsid w:val="00214685"/>
    <w:rsid w:val="00214C13"/>
    <w:rsid w:val="00214C77"/>
    <w:rsid w:val="00214D35"/>
    <w:rsid w:val="00214DA2"/>
    <w:rsid w:val="002151BE"/>
    <w:rsid w:val="00215591"/>
    <w:rsid w:val="0021570C"/>
    <w:rsid w:val="00215899"/>
    <w:rsid w:val="00215B3F"/>
    <w:rsid w:val="00215B58"/>
    <w:rsid w:val="00215BD7"/>
    <w:rsid w:val="002164C5"/>
    <w:rsid w:val="0021665A"/>
    <w:rsid w:val="00216804"/>
    <w:rsid w:val="002169D0"/>
    <w:rsid w:val="00216A9B"/>
    <w:rsid w:val="00216C94"/>
    <w:rsid w:val="00217021"/>
    <w:rsid w:val="00217066"/>
    <w:rsid w:val="002173FD"/>
    <w:rsid w:val="002179BE"/>
    <w:rsid w:val="00217B8E"/>
    <w:rsid w:val="00217D67"/>
    <w:rsid w:val="00217DA3"/>
    <w:rsid w:val="00217F49"/>
    <w:rsid w:val="00220061"/>
    <w:rsid w:val="00220717"/>
    <w:rsid w:val="00220CA4"/>
    <w:rsid w:val="00220CAF"/>
    <w:rsid w:val="00220E5C"/>
    <w:rsid w:val="00220E7B"/>
    <w:rsid w:val="0022117A"/>
    <w:rsid w:val="002212F9"/>
    <w:rsid w:val="00221371"/>
    <w:rsid w:val="0022139F"/>
    <w:rsid w:val="00221513"/>
    <w:rsid w:val="00221536"/>
    <w:rsid w:val="00221A2E"/>
    <w:rsid w:val="00221A9D"/>
    <w:rsid w:val="00221AAE"/>
    <w:rsid w:val="00221BDF"/>
    <w:rsid w:val="00221D7C"/>
    <w:rsid w:val="002222A3"/>
    <w:rsid w:val="0022247B"/>
    <w:rsid w:val="002225F5"/>
    <w:rsid w:val="0022287D"/>
    <w:rsid w:val="0022293B"/>
    <w:rsid w:val="00222AFD"/>
    <w:rsid w:val="00222BBC"/>
    <w:rsid w:val="002231CB"/>
    <w:rsid w:val="002232B7"/>
    <w:rsid w:val="00223547"/>
    <w:rsid w:val="00223661"/>
    <w:rsid w:val="00223AC9"/>
    <w:rsid w:val="00223BA1"/>
    <w:rsid w:val="002242CC"/>
    <w:rsid w:val="0022432A"/>
    <w:rsid w:val="00224882"/>
    <w:rsid w:val="00224B71"/>
    <w:rsid w:val="00224C38"/>
    <w:rsid w:val="00224D40"/>
    <w:rsid w:val="0022555C"/>
    <w:rsid w:val="002255F0"/>
    <w:rsid w:val="0022590E"/>
    <w:rsid w:val="0022593E"/>
    <w:rsid w:val="00225D74"/>
    <w:rsid w:val="002260C3"/>
    <w:rsid w:val="00226450"/>
    <w:rsid w:val="00226860"/>
    <w:rsid w:val="002268CE"/>
    <w:rsid w:val="00226ECB"/>
    <w:rsid w:val="00227017"/>
    <w:rsid w:val="002274EE"/>
    <w:rsid w:val="00227AAA"/>
    <w:rsid w:val="00227B7B"/>
    <w:rsid w:val="00227CDA"/>
    <w:rsid w:val="0023007E"/>
    <w:rsid w:val="00230163"/>
    <w:rsid w:val="002302A0"/>
    <w:rsid w:val="002303E5"/>
    <w:rsid w:val="0023045E"/>
    <w:rsid w:val="00230948"/>
    <w:rsid w:val="0023094A"/>
    <w:rsid w:val="0023099D"/>
    <w:rsid w:val="002309F5"/>
    <w:rsid w:val="00230A32"/>
    <w:rsid w:val="00231171"/>
    <w:rsid w:val="00231446"/>
    <w:rsid w:val="002314F4"/>
    <w:rsid w:val="002317A2"/>
    <w:rsid w:val="002317F5"/>
    <w:rsid w:val="00232398"/>
    <w:rsid w:val="00232565"/>
    <w:rsid w:val="00232638"/>
    <w:rsid w:val="0023280E"/>
    <w:rsid w:val="002328D7"/>
    <w:rsid w:val="00232D54"/>
    <w:rsid w:val="00232EB4"/>
    <w:rsid w:val="00233084"/>
    <w:rsid w:val="00233129"/>
    <w:rsid w:val="00233284"/>
    <w:rsid w:val="00233687"/>
    <w:rsid w:val="00233AD1"/>
    <w:rsid w:val="00233B43"/>
    <w:rsid w:val="00233BF3"/>
    <w:rsid w:val="00233C31"/>
    <w:rsid w:val="00233F12"/>
    <w:rsid w:val="00233F23"/>
    <w:rsid w:val="0023415F"/>
    <w:rsid w:val="002345CB"/>
    <w:rsid w:val="0023552E"/>
    <w:rsid w:val="002355A3"/>
    <w:rsid w:val="00235807"/>
    <w:rsid w:val="00235B0D"/>
    <w:rsid w:val="00235B2C"/>
    <w:rsid w:val="00235C67"/>
    <w:rsid w:val="00235D08"/>
    <w:rsid w:val="00235E52"/>
    <w:rsid w:val="00235F5A"/>
    <w:rsid w:val="00236555"/>
    <w:rsid w:val="0023671B"/>
    <w:rsid w:val="00236815"/>
    <w:rsid w:val="00236F8F"/>
    <w:rsid w:val="0023751C"/>
    <w:rsid w:val="00237539"/>
    <w:rsid w:val="00237961"/>
    <w:rsid w:val="00237B60"/>
    <w:rsid w:val="00237BFD"/>
    <w:rsid w:val="002400F7"/>
    <w:rsid w:val="002404D9"/>
    <w:rsid w:val="00240675"/>
    <w:rsid w:val="00240943"/>
    <w:rsid w:val="00240E12"/>
    <w:rsid w:val="0024110A"/>
    <w:rsid w:val="00241287"/>
    <w:rsid w:val="002416A6"/>
    <w:rsid w:val="00241B6F"/>
    <w:rsid w:val="00241CF0"/>
    <w:rsid w:val="00241D4D"/>
    <w:rsid w:val="00242152"/>
    <w:rsid w:val="00242157"/>
    <w:rsid w:val="002421B2"/>
    <w:rsid w:val="002423A2"/>
    <w:rsid w:val="002423D8"/>
    <w:rsid w:val="002427A9"/>
    <w:rsid w:val="0024287D"/>
    <w:rsid w:val="0024293D"/>
    <w:rsid w:val="00242E63"/>
    <w:rsid w:val="002431AA"/>
    <w:rsid w:val="00243311"/>
    <w:rsid w:val="002439D6"/>
    <w:rsid w:val="00243CFE"/>
    <w:rsid w:val="00243CFF"/>
    <w:rsid w:val="00244233"/>
    <w:rsid w:val="002442FD"/>
    <w:rsid w:val="002444FD"/>
    <w:rsid w:val="00244AFB"/>
    <w:rsid w:val="00244B11"/>
    <w:rsid w:val="00244BE4"/>
    <w:rsid w:val="00244DCB"/>
    <w:rsid w:val="00244E5C"/>
    <w:rsid w:val="00245044"/>
    <w:rsid w:val="002450ED"/>
    <w:rsid w:val="0024513F"/>
    <w:rsid w:val="002452DC"/>
    <w:rsid w:val="00245F89"/>
    <w:rsid w:val="002461CF"/>
    <w:rsid w:val="0024620F"/>
    <w:rsid w:val="00246352"/>
    <w:rsid w:val="00246A78"/>
    <w:rsid w:val="00246E47"/>
    <w:rsid w:val="00247135"/>
    <w:rsid w:val="002471F5"/>
    <w:rsid w:val="002475BE"/>
    <w:rsid w:val="002475EA"/>
    <w:rsid w:val="00247619"/>
    <w:rsid w:val="00247998"/>
    <w:rsid w:val="00247E4A"/>
    <w:rsid w:val="002500EE"/>
    <w:rsid w:val="00250212"/>
    <w:rsid w:val="00250358"/>
    <w:rsid w:val="0025062A"/>
    <w:rsid w:val="002508B5"/>
    <w:rsid w:val="00250B9F"/>
    <w:rsid w:val="00250DA1"/>
    <w:rsid w:val="002510A5"/>
    <w:rsid w:val="002510B2"/>
    <w:rsid w:val="00251403"/>
    <w:rsid w:val="002514D1"/>
    <w:rsid w:val="00251521"/>
    <w:rsid w:val="002518AD"/>
    <w:rsid w:val="00251B1E"/>
    <w:rsid w:val="00251D04"/>
    <w:rsid w:val="00252012"/>
    <w:rsid w:val="00252026"/>
    <w:rsid w:val="00252412"/>
    <w:rsid w:val="002524C0"/>
    <w:rsid w:val="002524C4"/>
    <w:rsid w:val="002527EB"/>
    <w:rsid w:val="0025286F"/>
    <w:rsid w:val="00252A65"/>
    <w:rsid w:val="00252BE3"/>
    <w:rsid w:val="00252C00"/>
    <w:rsid w:val="00252CC8"/>
    <w:rsid w:val="00253A38"/>
    <w:rsid w:val="00253EEF"/>
    <w:rsid w:val="00254150"/>
    <w:rsid w:val="002546BF"/>
    <w:rsid w:val="0025486E"/>
    <w:rsid w:val="00254A63"/>
    <w:rsid w:val="00254AB3"/>
    <w:rsid w:val="00254E14"/>
    <w:rsid w:val="00255341"/>
    <w:rsid w:val="002553B2"/>
    <w:rsid w:val="002554D7"/>
    <w:rsid w:val="00255999"/>
    <w:rsid w:val="00255BDF"/>
    <w:rsid w:val="00255F62"/>
    <w:rsid w:val="002562BB"/>
    <w:rsid w:val="002563DB"/>
    <w:rsid w:val="0025664A"/>
    <w:rsid w:val="00256C91"/>
    <w:rsid w:val="00256D35"/>
    <w:rsid w:val="00256DBA"/>
    <w:rsid w:val="00256F72"/>
    <w:rsid w:val="002571D3"/>
    <w:rsid w:val="00257461"/>
    <w:rsid w:val="00257692"/>
    <w:rsid w:val="00257EB4"/>
    <w:rsid w:val="00257F20"/>
    <w:rsid w:val="00260260"/>
    <w:rsid w:val="00260490"/>
    <w:rsid w:val="002607FC"/>
    <w:rsid w:val="00260998"/>
    <w:rsid w:val="00260A43"/>
    <w:rsid w:val="00260EA0"/>
    <w:rsid w:val="0026131E"/>
    <w:rsid w:val="002615D4"/>
    <w:rsid w:val="00261687"/>
    <w:rsid w:val="00261707"/>
    <w:rsid w:val="002617E3"/>
    <w:rsid w:val="00261C29"/>
    <w:rsid w:val="00261D37"/>
    <w:rsid w:val="00261EB3"/>
    <w:rsid w:val="00261FCD"/>
    <w:rsid w:val="00262228"/>
    <w:rsid w:val="002622DB"/>
    <w:rsid w:val="002624D2"/>
    <w:rsid w:val="002626B3"/>
    <w:rsid w:val="002626F6"/>
    <w:rsid w:val="00262CCD"/>
    <w:rsid w:val="00262EC5"/>
    <w:rsid w:val="00263198"/>
    <w:rsid w:val="002633AD"/>
    <w:rsid w:val="00263595"/>
    <w:rsid w:val="0026366A"/>
    <w:rsid w:val="002639CF"/>
    <w:rsid w:val="00263D3E"/>
    <w:rsid w:val="00263E80"/>
    <w:rsid w:val="002641EE"/>
    <w:rsid w:val="002644C7"/>
    <w:rsid w:val="0026455A"/>
    <w:rsid w:val="002646D9"/>
    <w:rsid w:val="002647CB"/>
    <w:rsid w:val="00264E43"/>
    <w:rsid w:val="00265258"/>
    <w:rsid w:val="00265273"/>
    <w:rsid w:val="00265339"/>
    <w:rsid w:val="00265687"/>
    <w:rsid w:val="0026579B"/>
    <w:rsid w:val="00265893"/>
    <w:rsid w:val="00265A3E"/>
    <w:rsid w:val="00265CEA"/>
    <w:rsid w:val="00265D06"/>
    <w:rsid w:val="00266618"/>
    <w:rsid w:val="00266999"/>
    <w:rsid w:val="00266A1F"/>
    <w:rsid w:val="00267046"/>
    <w:rsid w:val="00267060"/>
    <w:rsid w:val="002679CD"/>
    <w:rsid w:val="00267C6D"/>
    <w:rsid w:val="0027025A"/>
    <w:rsid w:val="0027029C"/>
    <w:rsid w:val="002705AB"/>
    <w:rsid w:val="00270708"/>
    <w:rsid w:val="00270CFF"/>
    <w:rsid w:val="00270FAE"/>
    <w:rsid w:val="0027128C"/>
    <w:rsid w:val="00271394"/>
    <w:rsid w:val="0027176F"/>
    <w:rsid w:val="00271A51"/>
    <w:rsid w:val="00272141"/>
    <w:rsid w:val="0027222A"/>
    <w:rsid w:val="0027223F"/>
    <w:rsid w:val="00272289"/>
    <w:rsid w:val="002725AC"/>
    <w:rsid w:val="00272842"/>
    <w:rsid w:val="00272984"/>
    <w:rsid w:val="0027349C"/>
    <w:rsid w:val="0027361C"/>
    <w:rsid w:val="002736D0"/>
    <w:rsid w:val="00273AE0"/>
    <w:rsid w:val="00273AFE"/>
    <w:rsid w:val="00273F86"/>
    <w:rsid w:val="00274401"/>
    <w:rsid w:val="002754AB"/>
    <w:rsid w:val="002756AA"/>
    <w:rsid w:val="00275ACC"/>
    <w:rsid w:val="00275DFC"/>
    <w:rsid w:val="00276015"/>
    <w:rsid w:val="00276170"/>
    <w:rsid w:val="00276876"/>
    <w:rsid w:val="00276C73"/>
    <w:rsid w:val="00276DA1"/>
    <w:rsid w:val="00276DE6"/>
    <w:rsid w:val="00276DEA"/>
    <w:rsid w:val="00277074"/>
    <w:rsid w:val="0027712C"/>
    <w:rsid w:val="002772A2"/>
    <w:rsid w:val="00277826"/>
    <w:rsid w:val="00277DFB"/>
    <w:rsid w:val="002800AD"/>
    <w:rsid w:val="002800F0"/>
    <w:rsid w:val="002802A0"/>
    <w:rsid w:val="0028063F"/>
    <w:rsid w:val="002806BA"/>
    <w:rsid w:val="00280855"/>
    <w:rsid w:val="0028087C"/>
    <w:rsid w:val="00280DF5"/>
    <w:rsid w:val="00281018"/>
    <w:rsid w:val="0028122B"/>
    <w:rsid w:val="00281B02"/>
    <w:rsid w:val="00281B72"/>
    <w:rsid w:val="002821C7"/>
    <w:rsid w:val="00282360"/>
    <w:rsid w:val="002823C6"/>
    <w:rsid w:val="00282B2D"/>
    <w:rsid w:val="00282D39"/>
    <w:rsid w:val="00282F8C"/>
    <w:rsid w:val="00282FBC"/>
    <w:rsid w:val="002839C2"/>
    <w:rsid w:val="00283CAC"/>
    <w:rsid w:val="00283D48"/>
    <w:rsid w:val="00283DAE"/>
    <w:rsid w:val="00283DBF"/>
    <w:rsid w:val="00283EE1"/>
    <w:rsid w:val="00283F6A"/>
    <w:rsid w:val="002843A2"/>
    <w:rsid w:val="00284563"/>
    <w:rsid w:val="002846FC"/>
    <w:rsid w:val="00284AA8"/>
    <w:rsid w:val="00284C5B"/>
    <w:rsid w:val="00284CEF"/>
    <w:rsid w:val="00284F72"/>
    <w:rsid w:val="00285368"/>
    <w:rsid w:val="00285BD4"/>
    <w:rsid w:val="00286393"/>
    <w:rsid w:val="0028669B"/>
    <w:rsid w:val="00286D9C"/>
    <w:rsid w:val="00287162"/>
    <w:rsid w:val="0028759D"/>
    <w:rsid w:val="002877D5"/>
    <w:rsid w:val="002878DD"/>
    <w:rsid w:val="00287B34"/>
    <w:rsid w:val="00287D69"/>
    <w:rsid w:val="002900FB"/>
    <w:rsid w:val="0029010A"/>
    <w:rsid w:val="00290334"/>
    <w:rsid w:val="002904EA"/>
    <w:rsid w:val="00290530"/>
    <w:rsid w:val="0029067E"/>
    <w:rsid w:val="00290CFF"/>
    <w:rsid w:val="0029114A"/>
    <w:rsid w:val="0029156A"/>
    <w:rsid w:val="00291B04"/>
    <w:rsid w:val="00291D80"/>
    <w:rsid w:val="0029219B"/>
    <w:rsid w:val="002923EB"/>
    <w:rsid w:val="00292814"/>
    <w:rsid w:val="0029296F"/>
    <w:rsid w:val="00292A78"/>
    <w:rsid w:val="00292D0B"/>
    <w:rsid w:val="00292E92"/>
    <w:rsid w:val="0029370F"/>
    <w:rsid w:val="002937B3"/>
    <w:rsid w:val="00293A06"/>
    <w:rsid w:val="00293A0C"/>
    <w:rsid w:val="00293F6D"/>
    <w:rsid w:val="00294518"/>
    <w:rsid w:val="002947F2"/>
    <w:rsid w:val="00294BB5"/>
    <w:rsid w:val="00294CF5"/>
    <w:rsid w:val="00294E84"/>
    <w:rsid w:val="00295145"/>
    <w:rsid w:val="00295B50"/>
    <w:rsid w:val="00295C45"/>
    <w:rsid w:val="00296462"/>
    <w:rsid w:val="00296589"/>
    <w:rsid w:val="0029660C"/>
    <w:rsid w:val="00296A0B"/>
    <w:rsid w:val="00296CBB"/>
    <w:rsid w:val="00296EFB"/>
    <w:rsid w:val="00296F40"/>
    <w:rsid w:val="00297180"/>
    <w:rsid w:val="00297203"/>
    <w:rsid w:val="00297250"/>
    <w:rsid w:val="00297B55"/>
    <w:rsid w:val="00297B73"/>
    <w:rsid w:val="002A0320"/>
    <w:rsid w:val="002A06D9"/>
    <w:rsid w:val="002A0779"/>
    <w:rsid w:val="002A0A23"/>
    <w:rsid w:val="002A0DCF"/>
    <w:rsid w:val="002A0E61"/>
    <w:rsid w:val="002A16D0"/>
    <w:rsid w:val="002A1E94"/>
    <w:rsid w:val="002A21D6"/>
    <w:rsid w:val="002A25F6"/>
    <w:rsid w:val="002A272A"/>
    <w:rsid w:val="002A27BF"/>
    <w:rsid w:val="002A2B42"/>
    <w:rsid w:val="002A325A"/>
    <w:rsid w:val="002A33CA"/>
    <w:rsid w:val="002A3419"/>
    <w:rsid w:val="002A3470"/>
    <w:rsid w:val="002A362A"/>
    <w:rsid w:val="002A3BDF"/>
    <w:rsid w:val="002A3C27"/>
    <w:rsid w:val="002A40F5"/>
    <w:rsid w:val="002A4416"/>
    <w:rsid w:val="002A50B8"/>
    <w:rsid w:val="002A5DD5"/>
    <w:rsid w:val="002A60D5"/>
    <w:rsid w:val="002A610D"/>
    <w:rsid w:val="002A61EA"/>
    <w:rsid w:val="002A620D"/>
    <w:rsid w:val="002A6552"/>
    <w:rsid w:val="002A6743"/>
    <w:rsid w:val="002A6AA6"/>
    <w:rsid w:val="002A71B7"/>
    <w:rsid w:val="002A77A2"/>
    <w:rsid w:val="002A7C75"/>
    <w:rsid w:val="002B0216"/>
    <w:rsid w:val="002B0447"/>
    <w:rsid w:val="002B04EF"/>
    <w:rsid w:val="002B139F"/>
    <w:rsid w:val="002B146A"/>
    <w:rsid w:val="002B165D"/>
    <w:rsid w:val="002B169A"/>
    <w:rsid w:val="002B1994"/>
    <w:rsid w:val="002B1A97"/>
    <w:rsid w:val="002B1B56"/>
    <w:rsid w:val="002B2100"/>
    <w:rsid w:val="002B21A3"/>
    <w:rsid w:val="002B21B3"/>
    <w:rsid w:val="002B2EC0"/>
    <w:rsid w:val="002B36A1"/>
    <w:rsid w:val="002B36CD"/>
    <w:rsid w:val="002B373B"/>
    <w:rsid w:val="002B3A1F"/>
    <w:rsid w:val="002B3B17"/>
    <w:rsid w:val="002B3B35"/>
    <w:rsid w:val="002B43F9"/>
    <w:rsid w:val="002B450E"/>
    <w:rsid w:val="002B5242"/>
    <w:rsid w:val="002B57D4"/>
    <w:rsid w:val="002B59B5"/>
    <w:rsid w:val="002B5CF5"/>
    <w:rsid w:val="002B637E"/>
    <w:rsid w:val="002B640A"/>
    <w:rsid w:val="002B6470"/>
    <w:rsid w:val="002B671F"/>
    <w:rsid w:val="002B6A41"/>
    <w:rsid w:val="002B6CDD"/>
    <w:rsid w:val="002B6CEE"/>
    <w:rsid w:val="002B6D3C"/>
    <w:rsid w:val="002B7410"/>
    <w:rsid w:val="002B7733"/>
    <w:rsid w:val="002B7941"/>
    <w:rsid w:val="002B7D7D"/>
    <w:rsid w:val="002B7D80"/>
    <w:rsid w:val="002B7ED6"/>
    <w:rsid w:val="002C0453"/>
    <w:rsid w:val="002C05B7"/>
    <w:rsid w:val="002C05BE"/>
    <w:rsid w:val="002C05DA"/>
    <w:rsid w:val="002C0C2C"/>
    <w:rsid w:val="002C0D09"/>
    <w:rsid w:val="002C1153"/>
    <w:rsid w:val="002C1236"/>
    <w:rsid w:val="002C1675"/>
    <w:rsid w:val="002C1973"/>
    <w:rsid w:val="002C1D67"/>
    <w:rsid w:val="002C20AB"/>
    <w:rsid w:val="002C22B8"/>
    <w:rsid w:val="002C27BB"/>
    <w:rsid w:val="002C2846"/>
    <w:rsid w:val="002C2D05"/>
    <w:rsid w:val="002C2E94"/>
    <w:rsid w:val="002C30B8"/>
    <w:rsid w:val="002C3122"/>
    <w:rsid w:val="002C323E"/>
    <w:rsid w:val="002C3432"/>
    <w:rsid w:val="002C37F5"/>
    <w:rsid w:val="002C3EA5"/>
    <w:rsid w:val="002C408D"/>
    <w:rsid w:val="002C40C7"/>
    <w:rsid w:val="002C434F"/>
    <w:rsid w:val="002C4674"/>
    <w:rsid w:val="002C46D6"/>
    <w:rsid w:val="002C53DA"/>
    <w:rsid w:val="002C58C4"/>
    <w:rsid w:val="002C5A1F"/>
    <w:rsid w:val="002C5DD3"/>
    <w:rsid w:val="002C5ECE"/>
    <w:rsid w:val="002C67CC"/>
    <w:rsid w:val="002C67F8"/>
    <w:rsid w:val="002C6AC7"/>
    <w:rsid w:val="002C6FF8"/>
    <w:rsid w:val="002C7224"/>
    <w:rsid w:val="002D02A2"/>
    <w:rsid w:val="002D0D9D"/>
    <w:rsid w:val="002D1124"/>
    <w:rsid w:val="002D1380"/>
    <w:rsid w:val="002D1621"/>
    <w:rsid w:val="002D1AD9"/>
    <w:rsid w:val="002D1B64"/>
    <w:rsid w:val="002D1C16"/>
    <w:rsid w:val="002D1D7F"/>
    <w:rsid w:val="002D1E54"/>
    <w:rsid w:val="002D1F2B"/>
    <w:rsid w:val="002D1FEF"/>
    <w:rsid w:val="002D251F"/>
    <w:rsid w:val="002D261B"/>
    <w:rsid w:val="002D2865"/>
    <w:rsid w:val="002D2A77"/>
    <w:rsid w:val="002D2AE2"/>
    <w:rsid w:val="002D2CFF"/>
    <w:rsid w:val="002D3B29"/>
    <w:rsid w:val="002D3CD7"/>
    <w:rsid w:val="002D4249"/>
    <w:rsid w:val="002D4326"/>
    <w:rsid w:val="002D44D9"/>
    <w:rsid w:val="002D4594"/>
    <w:rsid w:val="002D4612"/>
    <w:rsid w:val="002D48D5"/>
    <w:rsid w:val="002D4C59"/>
    <w:rsid w:val="002D4DF0"/>
    <w:rsid w:val="002D4E8D"/>
    <w:rsid w:val="002D5984"/>
    <w:rsid w:val="002D5F13"/>
    <w:rsid w:val="002D5F3C"/>
    <w:rsid w:val="002D5F84"/>
    <w:rsid w:val="002D610E"/>
    <w:rsid w:val="002D6287"/>
    <w:rsid w:val="002D6819"/>
    <w:rsid w:val="002D69B3"/>
    <w:rsid w:val="002D6A71"/>
    <w:rsid w:val="002D6D3B"/>
    <w:rsid w:val="002D7246"/>
    <w:rsid w:val="002D782B"/>
    <w:rsid w:val="002D7CBD"/>
    <w:rsid w:val="002E02E2"/>
    <w:rsid w:val="002E03C7"/>
    <w:rsid w:val="002E0775"/>
    <w:rsid w:val="002E0F9F"/>
    <w:rsid w:val="002E105B"/>
    <w:rsid w:val="002E122C"/>
    <w:rsid w:val="002E149A"/>
    <w:rsid w:val="002E1CF6"/>
    <w:rsid w:val="002E2173"/>
    <w:rsid w:val="002E257E"/>
    <w:rsid w:val="002E290E"/>
    <w:rsid w:val="002E2D66"/>
    <w:rsid w:val="002E2F04"/>
    <w:rsid w:val="002E3022"/>
    <w:rsid w:val="002E3328"/>
    <w:rsid w:val="002E395A"/>
    <w:rsid w:val="002E397A"/>
    <w:rsid w:val="002E39CC"/>
    <w:rsid w:val="002E42DA"/>
    <w:rsid w:val="002E43D2"/>
    <w:rsid w:val="002E4475"/>
    <w:rsid w:val="002E4654"/>
    <w:rsid w:val="002E47FF"/>
    <w:rsid w:val="002E4A23"/>
    <w:rsid w:val="002E4F62"/>
    <w:rsid w:val="002E50B6"/>
    <w:rsid w:val="002E56E0"/>
    <w:rsid w:val="002E5704"/>
    <w:rsid w:val="002E570F"/>
    <w:rsid w:val="002E57FE"/>
    <w:rsid w:val="002E5A74"/>
    <w:rsid w:val="002E5B7F"/>
    <w:rsid w:val="002E5D7A"/>
    <w:rsid w:val="002E6172"/>
    <w:rsid w:val="002E623F"/>
    <w:rsid w:val="002E659E"/>
    <w:rsid w:val="002E7218"/>
    <w:rsid w:val="002E7443"/>
    <w:rsid w:val="002E7527"/>
    <w:rsid w:val="002E77AE"/>
    <w:rsid w:val="002E7C61"/>
    <w:rsid w:val="002E7E33"/>
    <w:rsid w:val="002E7E7A"/>
    <w:rsid w:val="002E7EEA"/>
    <w:rsid w:val="002E7F79"/>
    <w:rsid w:val="002F0148"/>
    <w:rsid w:val="002F015E"/>
    <w:rsid w:val="002F078F"/>
    <w:rsid w:val="002F09D3"/>
    <w:rsid w:val="002F0BF2"/>
    <w:rsid w:val="002F115E"/>
    <w:rsid w:val="002F11B3"/>
    <w:rsid w:val="002F1649"/>
    <w:rsid w:val="002F1CA2"/>
    <w:rsid w:val="002F1F9F"/>
    <w:rsid w:val="002F22A0"/>
    <w:rsid w:val="002F2332"/>
    <w:rsid w:val="002F24A9"/>
    <w:rsid w:val="002F25AA"/>
    <w:rsid w:val="002F285E"/>
    <w:rsid w:val="002F2E67"/>
    <w:rsid w:val="002F2EE5"/>
    <w:rsid w:val="002F3169"/>
    <w:rsid w:val="002F36C0"/>
    <w:rsid w:val="002F3D38"/>
    <w:rsid w:val="002F4064"/>
    <w:rsid w:val="002F4196"/>
    <w:rsid w:val="002F4CE0"/>
    <w:rsid w:val="002F4F51"/>
    <w:rsid w:val="002F5A80"/>
    <w:rsid w:val="002F5AEF"/>
    <w:rsid w:val="002F5C2E"/>
    <w:rsid w:val="002F5C81"/>
    <w:rsid w:val="002F5DA0"/>
    <w:rsid w:val="002F5E19"/>
    <w:rsid w:val="002F6291"/>
    <w:rsid w:val="002F62EA"/>
    <w:rsid w:val="002F641F"/>
    <w:rsid w:val="002F67A1"/>
    <w:rsid w:val="002F681A"/>
    <w:rsid w:val="002F6B3E"/>
    <w:rsid w:val="002F6E4A"/>
    <w:rsid w:val="002F6E70"/>
    <w:rsid w:val="002F70B8"/>
    <w:rsid w:val="002F74DB"/>
    <w:rsid w:val="002F7A03"/>
    <w:rsid w:val="002F7F06"/>
    <w:rsid w:val="0030023D"/>
    <w:rsid w:val="00300B25"/>
    <w:rsid w:val="00300B66"/>
    <w:rsid w:val="00300D2A"/>
    <w:rsid w:val="00300EE3"/>
    <w:rsid w:val="003011E4"/>
    <w:rsid w:val="003018E0"/>
    <w:rsid w:val="00301994"/>
    <w:rsid w:val="00301E58"/>
    <w:rsid w:val="00302111"/>
    <w:rsid w:val="003021EE"/>
    <w:rsid w:val="0030251F"/>
    <w:rsid w:val="0030281E"/>
    <w:rsid w:val="003028BC"/>
    <w:rsid w:val="00302900"/>
    <w:rsid w:val="0030292E"/>
    <w:rsid w:val="00302E7F"/>
    <w:rsid w:val="00302EB1"/>
    <w:rsid w:val="0030316E"/>
    <w:rsid w:val="00303592"/>
    <w:rsid w:val="00303627"/>
    <w:rsid w:val="00303652"/>
    <w:rsid w:val="003038E2"/>
    <w:rsid w:val="0030391D"/>
    <w:rsid w:val="00303A18"/>
    <w:rsid w:val="00303B2E"/>
    <w:rsid w:val="00303B41"/>
    <w:rsid w:val="00303C90"/>
    <w:rsid w:val="00303D7C"/>
    <w:rsid w:val="00304102"/>
    <w:rsid w:val="00304462"/>
    <w:rsid w:val="00304787"/>
    <w:rsid w:val="003047E1"/>
    <w:rsid w:val="00304C98"/>
    <w:rsid w:val="00305111"/>
    <w:rsid w:val="003052EB"/>
    <w:rsid w:val="003057C3"/>
    <w:rsid w:val="00306ACE"/>
    <w:rsid w:val="00306F21"/>
    <w:rsid w:val="003072F2"/>
    <w:rsid w:val="00307565"/>
    <w:rsid w:val="00307630"/>
    <w:rsid w:val="00307782"/>
    <w:rsid w:val="00307BB5"/>
    <w:rsid w:val="00307BF9"/>
    <w:rsid w:val="00307DA9"/>
    <w:rsid w:val="00310182"/>
    <w:rsid w:val="0031049F"/>
    <w:rsid w:val="00310628"/>
    <w:rsid w:val="003106AA"/>
    <w:rsid w:val="00310982"/>
    <w:rsid w:val="00310D7F"/>
    <w:rsid w:val="0031171B"/>
    <w:rsid w:val="00311AC7"/>
    <w:rsid w:val="0031203A"/>
    <w:rsid w:val="00312040"/>
    <w:rsid w:val="00312354"/>
    <w:rsid w:val="00312B73"/>
    <w:rsid w:val="00312EDB"/>
    <w:rsid w:val="00313108"/>
    <w:rsid w:val="0031345D"/>
    <w:rsid w:val="003139C5"/>
    <w:rsid w:val="00313AE3"/>
    <w:rsid w:val="0031427E"/>
    <w:rsid w:val="003143B6"/>
    <w:rsid w:val="0031446B"/>
    <w:rsid w:val="0031456F"/>
    <w:rsid w:val="00314644"/>
    <w:rsid w:val="003149C8"/>
    <w:rsid w:val="003150AD"/>
    <w:rsid w:val="00315826"/>
    <w:rsid w:val="00315856"/>
    <w:rsid w:val="00315A4E"/>
    <w:rsid w:val="00315AC0"/>
    <w:rsid w:val="00315C67"/>
    <w:rsid w:val="00315FF8"/>
    <w:rsid w:val="00316BDA"/>
    <w:rsid w:val="00316C74"/>
    <w:rsid w:val="00316ECD"/>
    <w:rsid w:val="003171A4"/>
    <w:rsid w:val="003173BC"/>
    <w:rsid w:val="00317666"/>
    <w:rsid w:val="00317D25"/>
    <w:rsid w:val="00317D77"/>
    <w:rsid w:val="00317E33"/>
    <w:rsid w:val="00317EC5"/>
    <w:rsid w:val="00317F49"/>
    <w:rsid w:val="00320180"/>
    <w:rsid w:val="0032069F"/>
    <w:rsid w:val="003206F2"/>
    <w:rsid w:val="003207BC"/>
    <w:rsid w:val="00320944"/>
    <w:rsid w:val="00320973"/>
    <w:rsid w:val="0032099A"/>
    <w:rsid w:val="00320D3A"/>
    <w:rsid w:val="00320E85"/>
    <w:rsid w:val="00320E9F"/>
    <w:rsid w:val="00321074"/>
    <w:rsid w:val="00321255"/>
    <w:rsid w:val="00321679"/>
    <w:rsid w:val="00321796"/>
    <w:rsid w:val="00321835"/>
    <w:rsid w:val="00321911"/>
    <w:rsid w:val="00321BF7"/>
    <w:rsid w:val="00321DBE"/>
    <w:rsid w:val="003222DA"/>
    <w:rsid w:val="003227A6"/>
    <w:rsid w:val="003230A2"/>
    <w:rsid w:val="003230EE"/>
    <w:rsid w:val="00323206"/>
    <w:rsid w:val="00323601"/>
    <w:rsid w:val="00323AF7"/>
    <w:rsid w:val="00323B38"/>
    <w:rsid w:val="00323B57"/>
    <w:rsid w:val="0032418A"/>
    <w:rsid w:val="0032449B"/>
    <w:rsid w:val="0032455A"/>
    <w:rsid w:val="0032471C"/>
    <w:rsid w:val="00324BA2"/>
    <w:rsid w:val="00324FBC"/>
    <w:rsid w:val="00325196"/>
    <w:rsid w:val="0032533A"/>
    <w:rsid w:val="0032537C"/>
    <w:rsid w:val="00325610"/>
    <w:rsid w:val="00325A20"/>
    <w:rsid w:val="00325DD9"/>
    <w:rsid w:val="003262C4"/>
    <w:rsid w:val="003267C6"/>
    <w:rsid w:val="003268E4"/>
    <w:rsid w:val="00326EC0"/>
    <w:rsid w:val="0032703D"/>
    <w:rsid w:val="00327403"/>
    <w:rsid w:val="00327606"/>
    <w:rsid w:val="00327A50"/>
    <w:rsid w:val="00327CE4"/>
    <w:rsid w:val="00327CF1"/>
    <w:rsid w:val="0033022B"/>
    <w:rsid w:val="00330365"/>
    <w:rsid w:val="003303B0"/>
    <w:rsid w:val="003303E3"/>
    <w:rsid w:val="0033073E"/>
    <w:rsid w:val="003308D6"/>
    <w:rsid w:val="00331136"/>
    <w:rsid w:val="00331154"/>
    <w:rsid w:val="0033133C"/>
    <w:rsid w:val="003314CB"/>
    <w:rsid w:val="003314F8"/>
    <w:rsid w:val="0033176F"/>
    <w:rsid w:val="00331944"/>
    <w:rsid w:val="00331B13"/>
    <w:rsid w:val="00331C02"/>
    <w:rsid w:val="00331D69"/>
    <w:rsid w:val="00331F6E"/>
    <w:rsid w:val="0033263A"/>
    <w:rsid w:val="00332663"/>
    <w:rsid w:val="003327F3"/>
    <w:rsid w:val="00332A31"/>
    <w:rsid w:val="00332B03"/>
    <w:rsid w:val="00332B2C"/>
    <w:rsid w:val="00332C7A"/>
    <w:rsid w:val="00332D0A"/>
    <w:rsid w:val="00332F5C"/>
    <w:rsid w:val="00333048"/>
    <w:rsid w:val="003330B7"/>
    <w:rsid w:val="00333269"/>
    <w:rsid w:val="00333642"/>
    <w:rsid w:val="003337CE"/>
    <w:rsid w:val="00333B2D"/>
    <w:rsid w:val="00333C03"/>
    <w:rsid w:val="00333D02"/>
    <w:rsid w:val="00333E54"/>
    <w:rsid w:val="00334079"/>
    <w:rsid w:val="003340B8"/>
    <w:rsid w:val="00334121"/>
    <w:rsid w:val="00334155"/>
    <w:rsid w:val="0033418F"/>
    <w:rsid w:val="003341B7"/>
    <w:rsid w:val="003342E5"/>
    <w:rsid w:val="0033499C"/>
    <w:rsid w:val="00334E74"/>
    <w:rsid w:val="003355BB"/>
    <w:rsid w:val="003356E6"/>
    <w:rsid w:val="00335878"/>
    <w:rsid w:val="0033590A"/>
    <w:rsid w:val="00335C49"/>
    <w:rsid w:val="00335D2F"/>
    <w:rsid w:val="00335D7F"/>
    <w:rsid w:val="00335F84"/>
    <w:rsid w:val="00336334"/>
    <w:rsid w:val="00336AA7"/>
    <w:rsid w:val="00336AE1"/>
    <w:rsid w:val="00336E4E"/>
    <w:rsid w:val="00336E57"/>
    <w:rsid w:val="0033701C"/>
    <w:rsid w:val="0033712D"/>
    <w:rsid w:val="003372EF"/>
    <w:rsid w:val="003401CF"/>
    <w:rsid w:val="00340792"/>
    <w:rsid w:val="00340BF8"/>
    <w:rsid w:val="00340D0E"/>
    <w:rsid w:val="00340D1F"/>
    <w:rsid w:val="00340D6F"/>
    <w:rsid w:val="00341376"/>
    <w:rsid w:val="003418E8"/>
    <w:rsid w:val="0034190A"/>
    <w:rsid w:val="0034260C"/>
    <w:rsid w:val="003428FD"/>
    <w:rsid w:val="00342987"/>
    <w:rsid w:val="00342D20"/>
    <w:rsid w:val="00342DDA"/>
    <w:rsid w:val="003432AA"/>
    <w:rsid w:val="003433F7"/>
    <w:rsid w:val="00343484"/>
    <w:rsid w:val="003436C5"/>
    <w:rsid w:val="00344594"/>
    <w:rsid w:val="003447E4"/>
    <w:rsid w:val="00344852"/>
    <w:rsid w:val="00344AD7"/>
    <w:rsid w:val="00344BBC"/>
    <w:rsid w:val="00344BE8"/>
    <w:rsid w:val="00344C08"/>
    <w:rsid w:val="00344C11"/>
    <w:rsid w:val="003454E6"/>
    <w:rsid w:val="00345D4C"/>
    <w:rsid w:val="00345DCB"/>
    <w:rsid w:val="00346954"/>
    <w:rsid w:val="00346ADE"/>
    <w:rsid w:val="00346BF1"/>
    <w:rsid w:val="00346CE8"/>
    <w:rsid w:val="00346FD6"/>
    <w:rsid w:val="00347045"/>
    <w:rsid w:val="0034707B"/>
    <w:rsid w:val="003471C6"/>
    <w:rsid w:val="0034743A"/>
    <w:rsid w:val="00347664"/>
    <w:rsid w:val="003476BF"/>
    <w:rsid w:val="003476C0"/>
    <w:rsid w:val="003477A4"/>
    <w:rsid w:val="00347C38"/>
    <w:rsid w:val="00350159"/>
    <w:rsid w:val="0035033D"/>
    <w:rsid w:val="003504D0"/>
    <w:rsid w:val="00350540"/>
    <w:rsid w:val="003507F3"/>
    <w:rsid w:val="00350B2B"/>
    <w:rsid w:val="00350C57"/>
    <w:rsid w:val="00350D03"/>
    <w:rsid w:val="00350EFC"/>
    <w:rsid w:val="00351120"/>
    <w:rsid w:val="003511EC"/>
    <w:rsid w:val="00351467"/>
    <w:rsid w:val="003519BD"/>
    <w:rsid w:val="00351A61"/>
    <w:rsid w:val="00351CBC"/>
    <w:rsid w:val="003525F9"/>
    <w:rsid w:val="00352768"/>
    <w:rsid w:val="00352B17"/>
    <w:rsid w:val="00352B4E"/>
    <w:rsid w:val="00352D7B"/>
    <w:rsid w:val="0035327F"/>
    <w:rsid w:val="0035346C"/>
    <w:rsid w:val="003539DE"/>
    <w:rsid w:val="00353F48"/>
    <w:rsid w:val="003543C4"/>
    <w:rsid w:val="00354630"/>
    <w:rsid w:val="00354A5A"/>
    <w:rsid w:val="003550F3"/>
    <w:rsid w:val="00355328"/>
    <w:rsid w:val="0035538E"/>
    <w:rsid w:val="0035541F"/>
    <w:rsid w:val="00355600"/>
    <w:rsid w:val="00355F19"/>
    <w:rsid w:val="00355FCB"/>
    <w:rsid w:val="00355FD2"/>
    <w:rsid w:val="00356084"/>
    <w:rsid w:val="003562A6"/>
    <w:rsid w:val="0035650E"/>
    <w:rsid w:val="00356510"/>
    <w:rsid w:val="00356D78"/>
    <w:rsid w:val="00356DAA"/>
    <w:rsid w:val="00357017"/>
    <w:rsid w:val="00357252"/>
    <w:rsid w:val="00357DF7"/>
    <w:rsid w:val="00357E39"/>
    <w:rsid w:val="003600A8"/>
    <w:rsid w:val="00360306"/>
    <w:rsid w:val="003606B3"/>
    <w:rsid w:val="003609B7"/>
    <w:rsid w:val="00360CDD"/>
    <w:rsid w:val="00360D7C"/>
    <w:rsid w:val="00360F99"/>
    <w:rsid w:val="003612DD"/>
    <w:rsid w:val="00361757"/>
    <w:rsid w:val="003618B6"/>
    <w:rsid w:val="0036198C"/>
    <w:rsid w:val="00361B22"/>
    <w:rsid w:val="00361B48"/>
    <w:rsid w:val="00361BF0"/>
    <w:rsid w:val="00361BF7"/>
    <w:rsid w:val="003621F3"/>
    <w:rsid w:val="003622E7"/>
    <w:rsid w:val="003623DF"/>
    <w:rsid w:val="00362674"/>
    <w:rsid w:val="00362783"/>
    <w:rsid w:val="0036288B"/>
    <w:rsid w:val="0036291B"/>
    <w:rsid w:val="003629CE"/>
    <w:rsid w:val="00362B38"/>
    <w:rsid w:val="00362C89"/>
    <w:rsid w:val="00362CF4"/>
    <w:rsid w:val="00362F76"/>
    <w:rsid w:val="00362FB3"/>
    <w:rsid w:val="003630A0"/>
    <w:rsid w:val="003632B2"/>
    <w:rsid w:val="0036346A"/>
    <w:rsid w:val="0036358D"/>
    <w:rsid w:val="00363681"/>
    <w:rsid w:val="00363803"/>
    <w:rsid w:val="00363D1D"/>
    <w:rsid w:val="00363EF0"/>
    <w:rsid w:val="00364900"/>
    <w:rsid w:val="00364D11"/>
    <w:rsid w:val="00364E74"/>
    <w:rsid w:val="003652C8"/>
    <w:rsid w:val="00365354"/>
    <w:rsid w:val="0036565D"/>
    <w:rsid w:val="00365743"/>
    <w:rsid w:val="0036579C"/>
    <w:rsid w:val="00365832"/>
    <w:rsid w:val="0036593C"/>
    <w:rsid w:val="00365BFA"/>
    <w:rsid w:val="003661CA"/>
    <w:rsid w:val="00366867"/>
    <w:rsid w:val="00366AF3"/>
    <w:rsid w:val="00366AFC"/>
    <w:rsid w:val="003670ED"/>
    <w:rsid w:val="0036732F"/>
    <w:rsid w:val="003673AA"/>
    <w:rsid w:val="00367492"/>
    <w:rsid w:val="00367560"/>
    <w:rsid w:val="003676A5"/>
    <w:rsid w:val="00367882"/>
    <w:rsid w:val="00367A88"/>
    <w:rsid w:val="00367CC9"/>
    <w:rsid w:val="00370BCB"/>
    <w:rsid w:val="00370BDB"/>
    <w:rsid w:val="00370EF5"/>
    <w:rsid w:val="00371062"/>
    <w:rsid w:val="0037149B"/>
    <w:rsid w:val="003714F4"/>
    <w:rsid w:val="00371745"/>
    <w:rsid w:val="003717E0"/>
    <w:rsid w:val="003717FA"/>
    <w:rsid w:val="00371BD0"/>
    <w:rsid w:val="00371CF5"/>
    <w:rsid w:val="00372649"/>
    <w:rsid w:val="00372DB5"/>
    <w:rsid w:val="00372DC7"/>
    <w:rsid w:val="00372FF2"/>
    <w:rsid w:val="003730E6"/>
    <w:rsid w:val="00373169"/>
    <w:rsid w:val="00373392"/>
    <w:rsid w:val="003733C6"/>
    <w:rsid w:val="00373534"/>
    <w:rsid w:val="0037355D"/>
    <w:rsid w:val="003736F8"/>
    <w:rsid w:val="00373708"/>
    <w:rsid w:val="0037380B"/>
    <w:rsid w:val="0037397F"/>
    <w:rsid w:val="00373A7A"/>
    <w:rsid w:val="00373EF6"/>
    <w:rsid w:val="003740A4"/>
    <w:rsid w:val="003741D5"/>
    <w:rsid w:val="0037436D"/>
    <w:rsid w:val="00374AF5"/>
    <w:rsid w:val="00374AF8"/>
    <w:rsid w:val="00374B41"/>
    <w:rsid w:val="00374EB6"/>
    <w:rsid w:val="003751D9"/>
    <w:rsid w:val="0037530D"/>
    <w:rsid w:val="00375840"/>
    <w:rsid w:val="00376056"/>
    <w:rsid w:val="003762CA"/>
    <w:rsid w:val="00376678"/>
    <w:rsid w:val="00376D5E"/>
    <w:rsid w:val="00376DC6"/>
    <w:rsid w:val="00376F1E"/>
    <w:rsid w:val="00377496"/>
    <w:rsid w:val="003775D6"/>
    <w:rsid w:val="003779C2"/>
    <w:rsid w:val="00377C74"/>
    <w:rsid w:val="00380442"/>
    <w:rsid w:val="0038044D"/>
    <w:rsid w:val="00380719"/>
    <w:rsid w:val="00380769"/>
    <w:rsid w:val="00380958"/>
    <w:rsid w:val="00380CEA"/>
    <w:rsid w:val="00380D42"/>
    <w:rsid w:val="00380D8D"/>
    <w:rsid w:val="003810D6"/>
    <w:rsid w:val="00381112"/>
    <w:rsid w:val="0038115B"/>
    <w:rsid w:val="0038140B"/>
    <w:rsid w:val="00381A07"/>
    <w:rsid w:val="00381D2C"/>
    <w:rsid w:val="00382259"/>
    <w:rsid w:val="003825E7"/>
    <w:rsid w:val="003827BF"/>
    <w:rsid w:val="00382868"/>
    <w:rsid w:val="00382A91"/>
    <w:rsid w:val="00382EA0"/>
    <w:rsid w:val="0038320F"/>
    <w:rsid w:val="003835D4"/>
    <w:rsid w:val="00383613"/>
    <w:rsid w:val="003836B6"/>
    <w:rsid w:val="00383851"/>
    <w:rsid w:val="003838DE"/>
    <w:rsid w:val="003842F5"/>
    <w:rsid w:val="003844B8"/>
    <w:rsid w:val="003848F7"/>
    <w:rsid w:val="00384A10"/>
    <w:rsid w:val="00384EFE"/>
    <w:rsid w:val="00385952"/>
    <w:rsid w:val="0038599C"/>
    <w:rsid w:val="0038605C"/>
    <w:rsid w:val="0038670B"/>
    <w:rsid w:val="003869FE"/>
    <w:rsid w:val="00386C55"/>
    <w:rsid w:val="00386C75"/>
    <w:rsid w:val="00386F37"/>
    <w:rsid w:val="0038706D"/>
    <w:rsid w:val="00387576"/>
    <w:rsid w:val="003876FE"/>
    <w:rsid w:val="003878C5"/>
    <w:rsid w:val="00387A0E"/>
    <w:rsid w:val="00387CB1"/>
    <w:rsid w:val="00387D1B"/>
    <w:rsid w:val="00387F33"/>
    <w:rsid w:val="00387FDE"/>
    <w:rsid w:val="003900A9"/>
    <w:rsid w:val="00390573"/>
    <w:rsid w:val="00390580"/>
    <w:rsid w:val="003906AB"/>
    <w:rsid w:val="00390705"/>
    <w:rsid w:val="003909B8"/>
    <w:rsid w:val="00390E3D"/>
    <w:rsid w:val="0039111C"/>
    <w:rsid w:val="003912CE"/>
    <w:rsid w:val="00391347"/>
    <w:rsid w:val="003919A7"/>
    <w:rsid w:val="00391CB2"/>
    <w:rsid w:val="00392158"/>
    <w:rsid w:val="00392336"/>
    <w:rsid w:val="003924DC"/>
    <w:rsid w:val="00392B74"/>
    <w:rsid w:val="00392C5B"/>
    <w:rsid w:val="00392C72"/>
    <w:rsid w:val="00392E34"/>
    <w:rsid w:val="0039320F"/>
    <w:rsid w:val="0039355B"/>
    <w:rsid w:val="00393AAA"/>
    <w:rsid w:val="00394035"/>
    <w:rsid w:val="003943CB"/>
    <w:rsid w:val="003944AE"/>
    <w:rsid w:val="003946A3"/>
    <w:rsid w:val="00394A03"/>
    <w:rsid w:val="00394ECE"/>
    <w:rsid w:val="00394FC5"/>
    <w:rsid w:val="00395368"/>
    <w:rsid w:val="00395495"/>
    <w:rsid w:val="00395620"/>
    <w:rsid w:val="003956F2"/>
    <w:rsid w:val="00395AB7"/>
    <w:rsid w:val="00396031"/>
    <w:rsid w:val="00396188"/>
    <w:rsid w:val="00396189"/>
    <w:rsid w:val="00396241"/>
    <w:rsid w:val="00396603"/>
    <w:rsid w:val="00396768"/>
    <w:rsid w:val="00396A03"/>
    <w:rsid w:val="00397074"/>
    <w:rsid w:val="0039708E"/>
    <w:rsid w:val="0039713D"/>
    <w:rsid w:val="00397578"/>
    <w:rsid w:val="003977B1"/>
    <w:rsid w:val="003978B3"/>
    <w:rsid w:val="003978F4"/>
    <w:rsid w:val="00397A36"/>
    <w:rsid w:val="00397B6C"/>
    <w:rsid w:val="00397BF0"/>
    <w:rsid w:val="00397CF8"/>
    <w:rsid w:val="00397EAE"/>
    <w:rsid w:val="003A0224"/>
    <w:rsid w:val="003A0467"/>
    <w:rsid w:val="003A077F"/>
    <w:rsid w:val="003A092D"/>
    <w:rsid w:val="003A11D8"/>
    <w:rsid w:val="003A1D56"/>
    <w:rsid w:val="003A1EBA"/>
    <w:rsid w:val="003A2011"/>
    <w:rsid w:val="003A2393"/>
    <w:rsid w:val="003A2946"/>
    <w:rsid w:val="003A295F"/>
    <w:rsid w:val="003A2A58"/>
    <w:rsid w:val="003A2CB5"/>
    <w:rsid w:val="003A2CF6"/>
    <w:rsid w:val="003A2F5C"/>
    <w:rsid w:val="003A3159"/>
    <w:rsid w:val="003A3212"/>
    <w:rsid w:val="003A3298"/>
    <w:rsid w:val="003A32A5"/>
    <w:rsid w:val="003A32B4"/>
    <w:rsid w:val="003A33A8"/>
    <w:rsid w:val="003A3550"/>
    <w:rsid w:val="003A3675"/>
    <w:rsid w:val="003A3B9C"/>
    <w:rsid w:val="003A3BB1"/>
    <w:rsid w:val="003A3D36"/>
    <w:rsid w:val="003A3D55"/>
    <w:rsid w:val="003A3F4A"/>
    <w:rsid w:val="003A3FA2"/>
    <w:rsid w:val="003A41A3"/>
    <w:rsid w:val="003A41D8"/>
    <w:rsid w:val="003A4539"/>
    <w:rsid w:val="003A4F55"/>
    <w:rsid w:val="003A5092"/>
    <w:rsid w:val="003A54B5"/>
    <w:rsid w:val="003A557B"/>
    <w:rsid w:val="003A57C8"/>
    <w:rsid w:val="003A58A6"/>
    <w:rsid w:val="003A5B26"/>
    <w:rsid w:val="003A5C51"/>
    <w:rsid w:val="003A5D88"/>
    <w:rsid w:val="003A64CC"/>
    <w:rsid w:val="003A6A13"/>
    <w:rsid w:val="003A6AB9"/>
    <w:rsid w:val="003A6C62"/>
    <w:rsid w:val="003A6DA1"/>
    <w:rsid w:val="003A71AA"/>
    <w:rsid w:val="003A7248"/>
    <w:rsid w:val="003A7509"/>
    <w:rsid w:val="003A7568"/>
    <w:rsid w:val="003A77F7"/>
    <w:rsid w:val="003A78DF"/>
    <w:rsid w:val="003A7A30"/>
    <w:rsid w:val="003A7B8C"/>
    <w:rsid w:val="003B0194"/>
    <w:rsid w:val="003B01B2"/>
    <w:rsid w:val="003B0216"/>
    <w:rsid w:val="003B04C5"/>
    <w:rsid w:val="003B0935"/>
    <w:rsid w:val="003B0B5F"/>
    <w:rsid w:val="003B0B6B"/>
    <w:rsid w:val="003B0CB4"/>
    <w:rsid w:val="003B0DCB"/>
    <w:rsid w:val="003B1013"/>
    <w:rsid w:val="003B1572"/>
    <w:rsid w:val="003B1C05"/>
    <w:rsid w:val="003B1EC7"/>
    <w:rsid w:val="003B226C"/>
    <w:rsid w:val="003B28B3"/>
    <w:rsid w:val="003B2C63"/>
    <w:rsid w:val="003B2FD0"/>
    <w:rsid w:val="003B31AE"/>
    <w:rsid w:val="003B31E1"/>
    <w:rsid w:val="003B320A"/>
    <w:rsid w:val="003B328C"/>
    <w:rsid w:val="003B3BD8"/>
    <w:rsid w:val="003B41F5"/>
    <w:rsid w:val="003B4344"/>
    <w:rsid w:val="003B47B4"/>
    <w:rsid w:val="003B492D"/>
    <w:rsid w:val="003B496D"/>
    <w:rsid w:val="003B5323"/>
    <w:rsid w:val="003B5622"/>
    <w:rsid w:val="003B5B89"/>
    <w:rsid w:val="003B5BA5"/>
    <w:rsid w:val="003B6019"/>
    <w:rsid w:val="003B614F"/>
    <w:rsid w:val="003B615F"/>
    <w:rsid w:val="003B66A5"/>
    <w:rsid w:val="003B6794"/>
    <w:rsid w:val="003B6B1B"/>
    <w:rsid w:val="003B6D03"/>
    <w:rsid w:val="003B7804"/>
    <w:rsid w:val="003B78F7"/>
    <w:rsid w:val="003B7A95"/>
    <w:rsid w:val="003B7B6F"/>
    <w:rsid w:val="003B7D17"/>
    <w:rsid w:val="003B7FF8"/>
    <w:rsid w:val="003C0336"/>
    <w:rsid w:val="003C090A"/>
    <w:rsid w:val="003C1379"/>
    <w:rsid w:val="003C158B"/>
    <w:rsid w:val="003C17EC"/>
    <w:rsid w:val="003C1958"/>
    <w:rsid w:val="003C1A82"/>
    <w:rsid w:val="003C1BBB"/>
    <w:rsid w:val="003C1D97"/>
    <w:rsid w:val="003C1EEF"/>
    <w:rsid w:val="003C22B9"/>
    <w:rsid w:val="003C247E"/>
    <w:rsid w:val="003C2651"/>
    <w:rsid w:val="003C2739"/>
    <w:rsid w:val="003C2A46"/>
    <w:rsid w:val="003C2B72"/>
    <w:rsid w:val="003C3285"/>
    <w:rsid w:val="003C3307"/>
    <w:rsid w:val="003C34D9"/>
    <w:rsid w:val="003C35E0"/>
    <w:rsid w:val="003C3C2C"/>
    <w:rsid w:val="003C3CB9"/>
    <w:rsid w:val="003C3CD8"/>
    <w:rsid w:val="003C48AD"/>
    <w:rsid w:val="003C4C21"/>
    <w:rsid w:val="003C4F54"/>
    <w:rsid w:val="003C51A4"/>
    <w:rsid w:val="003C526D"/>
    <w:rsid w:val="003C561E"/>
    <w:rsid w:val="003C562A"/>
    <w:rsid w:val="003C57DD"/>
    <w:rsid w:val="003C5997"/>
    <w:rsid w:val="003C59E9"/>
    <w:rsid w:val="003C5E5D"/>
    <w:rsid w:val="003C61D7"/>
    <w:rsid w:val="003C61E6"/>
    <w:rsid w:val="003C62DD"/>
    <w:rsid w:val="003C6464"/>
    <w:rsid w:val="003C64EA"/>
    <w:rsid w:val="003C6B7E"/>
    <w:rsid w:val="003C6B8F"/>
    <w:rsid w:val="003C6C64"/>
    <w:rsid w:val="003C6D7F"/>
    <w:rsid w:val="003C7230"/>
    <w:rsid w:val="003C764F"/>
    <w:rsid w:val="003D0002"/>
    <w:rsid w:val="003D0068"/>
    <w:rsid w:val="003D0174"/>
    <w:rsid w:val="003D0C21"/>
    <w:rsid w:val="003D0D26"/>
    <w:rsid w:val="003D0D83"/>
    <w:rsid w:val="003D0FAA"/>
    <w:rsid w:val="003D1394"/>
    <w:rsid w:val="003D18CB"/>
    <w:rsid w:val="003D1A2D"/>
    <w:rsid w:val="003D1B73"/>
    <w:rsid w:val="003D1C6D"/>
    <w:rsid w:val="003D1CE5"/>
    <w:rsid w:val="003D1F8B"/>
    <w:rsid w:val="003D2089"/>
    <w:rsid w:val="003D24F0"/>
    <w:rsid w:val="003D2B9A"/>
    <w:rsid w:val="003D3270"/>
    <w:rsid w:val="003D327E"/>
    <w:rsid w:val="003D33A8"/>
    <w:rsid w:val="003D3511"/>
    <w:rsid w:val="003D36FE"/>
    <w:rsid w:val="003D37B6"/>
    <w:rsid w:val="003D38AA"/>
    <w:rsid w:val="003D3A2D"/>
    <w:rsid w:val="003D40A5"/>
    <w:rsid w:val="003D41EB"/>
    <w:rsid w:val="003D4472"/>
    <w:rsid w:val="003D44B9"/>
    <w:rsid w:val="003D4753"/>
    <w:rsid w:val="003D57A7"/>
    <w:rsid w:val="003D5B6A"/>
    <w:rsid w:val="003D5F26"/>
    <w:rsid w:val="003D6164"/>
    <w:rsid w:val="003D640F"/>
    <w:rsid w:val="003D66C8"/>
    <w:rsid w:val="003D69AA"/>
    <w:rsid w:val="003D6B3C"/>
    <w:rsid w:val="003D6E9D"/>
    <w:rsid w:val="003D7021"/>
    <w:rsid w:val="003D75DE"/>
    <w:rsid w:val="003D7878"/>
    <w:rsid w:val="003E0016"/>
    <w:rsid w:val="003E0138"/>
    <w:rsid w:val="003E088D"/>
    <w:rsid w:val="003E096C"/>
    <w:rsid w:val="003E0FB5"/>
    <w:rsid w:val="003E17EC"/>
    <w:rsid w:val="003E19F3"/>
    <w:rsid w:val="003E1AB1"/>
    <w:rsid w:val="003E1E09"/>
    <w:rsid w:val="003E232F"/>
    <w:rsid w:val="003E2717"/>
    <w:rsid w:val="003E2AA1"/>
    <w:rsid w:val="003E2BFB"/>
    <w:rsid w:val="003E2D4A"/>
    <w:rsid w:val="003E3091"/>
    <w:rsid w:val="003E311F"/>
    <w:rsid w:val="003E3144"/>
    <w:rsid w:val="003E3286"/>
    <w:rsid w:val="003E33B8"/>
    <w:rsid w:val="003E38B6"/>
    <w:rsid w:val="003E3E2F"/>
    <w:rsid w:val="003E4364"/>
    <w:rsid w:val="003E4767"/>
    <w:rsid w:val="003E48DC"/>
    <w:rsid w:val="003E4979"/>
    <w:rsid w:val="003E4AFE"/>
    <w:rsid w:val="003E4F0E"/>
    <w:rsid w:val="003E5049"/>
    <w:rsid w:val="003E516B"/>
    <w:rsid w:val="003E5645"/>
    <w:rsid w:val="003E5658"/>
    <w:rsid w:val="003E5A74"/>
    <w:rsid w:val="003E5D13"/>
    <w:rsid w:val="003E5DEB"/>
    <w:rsid w:val="003E5E98"/>
    <w:rsid w:val="003E6283"/>
    <w:rsid w:val="003E6523"/>
    <w:rsid w:val="003E6874"/>
    <w:rsid w:val="003E6A31"/>
    <w:rsid w:val="003E6EFE"/>
    <w:rsid w:val="003E711B"/>
    <w:rsid w:val="003E7163"/>
    <w:rsid w:val="003E7411"/>
    <w:rsid w:val="003E7B16"/>
    <w:rsid w:val="003E7B60"/>
    <w:rsid w:val="003E7C0C"/>
    <w:rsid w:val="003F03FC"/>
    <w:rsid w:val="003F085F"/>
    <w:rsid w:val="003F09A6"/>
    <w:rsid w:val="003F0B7E"/>
    <w:rsid w:val="003F1035"/>
    <w:rsid w:val="003F15B7"/>
    <w:rsid w:val="003F1748"/>
    <w:rsid w:val="003F1883"/>
    <w:rsid w:val="003F19AF"/>
    <w:rsid w:val="003F1A8B"/>
    <w:rsid w:val="003F1EF9"/>
    <w:rsid w:val="003F207D"/>
    <w:rsid w:val="003F20A9"/>
    <w:rsid w:val="003F27B7"/>
    <w:rsid w:val="003F29D7"/>
    <w:rsid w:val="003F2ADF"/>
    <w:rsid w:val="003F2FF7"/>
    <w:rsid w:val="003F33DB"/>
    <w:rsid w:val="003F34BA"/>
    <w:rsid w:val="003F373F"/>
    <w:rsid w:val="003F3791"/>
    <w:rsid w:val="003F399E"/>
    <w:rsid w:val="003F3B7C"/>
    <w:rsid w:val="003F3B9D"/>
    <w:rsid w:val="003F3CE9"/>
    <w:rsid w:val="003F3D0F"/>
    <w:rsid w:val="003F3F69"/>
    <w:rsid w:val="003F41F2"/>
    <w:rsid w:val="003F45FA"/>
    <w:rsid w:val="003F47CA"/>
    <w:rsid w:val="003F48B2"/>
    <w:rsid w:val="003F49AD"/>
    <w:rsid w:val="003F49AE"/>
    <w:rsid w:val="003F4BF2"/>
    <w:rsid w:val="003F4D72"/>
    <w:rsid w:val="003F5187"/>
    <w:rsid w:val="003F5664"/>
    <w:rsid w:val="003F589B"/>
    <w:rsid w:val="003F5A28"/>
    <w:rsid w:val="003F5BDF"/>
    <w:rsid w:val="003F5F54"/>
    <w:rsid w:val="003F612F"/>
    <w:rsid w:val="003F6517"/>
    <w:rsid w:val="003F683E"/>
    <w:rsid w:val="003F6AF7"/>
    <w:rsid w:val="003F6B6C"/>
    <w:rsid w:val="003F6BCB"/>
    <w:rsid w:val="003F6E00"/>
    <w:rsid w:val="003F7463"/>
    <w:rsid w:val="003F750F"/>
    <w:rsid w:val="003F7602"/>
    <w:rsid w:val="003F766B"/>
    <w:rsid w:val="003F76F1"/>
    <w:rsid w:val="003F7A59"/>
    <w:rsid w:val="003F7A8A"/>
    <w:rsid w:val="00400538"/>
    <w:rsid w:val="00400921"/>
    <w:rsid w:val="00400CE0"/>
    <w:rsid w:val="00400F40"/>
    <w:rsid w:val="00401002"/>
    <w:rsid w:val="004012F5"/>
    <w:rsid w:val="004013EE"/>
    <w:rsid w:val="004016E8"/>
    <w:rsid w:val="004016ED"/>
    <w:rsid w:val="0040170E"/>
    <w:rsid w:val="00401753"/>
    <w:rsid w:val="004019CD"/>
    <w:rsid w:val="00401A08"/>
    <w:rsid w:val="00401C96"/>
    <w:rsid w:val="00402000"/>
    <w:rsid w:val="004020FF"/>
    <w:rsid w:val="00402289"/>
    <w:rsid w:val="00402325"/>
    <w:rsid w:val="004024BB"/>
    <w:rsid w:val="004026E9"/>
    <w:rsid w:val="0040320D"/>
    <w:rsid w:val="00403981"/>
    <w:rsid w:val="00403A45"/>
    <w:rsid w:val="00403A75"/>
    <w:rsid w:val="00403AA0"/>
    <w:rsid w:val="00403D6B"/>
    <w:rsid w:val="00403E09"/>
    <w:rsid w:val="00403F6E"/>
    <w:rsid w:val="00404698"/>
    <w:rsid w:val="004046F5"/>
    <w:rsid w:val="00404A28"/>
    <w:rsid w:val="00404B5C"/>
    <w:rsid w:val="00404B68"/>
    <w:rsid w:val="00405167"/>
    <w:rsid w:val="004054B0"/>
    <w:rsid w:val="00405665"/>
    <w:rsid w:val="00405740"/>
    <w:rsid w:val="004059A7"/>
    <w:rsid w:val="00405A87"/>
    <w:rsid w:val="00406226"/>
    <w:rsid w:val="004062F8"/>
    <w:rsid w:val="00406347"/>
    <w:rsid w:val="00406402"/>
    <w:rsid w:val="0040663C"/>
    <w:rsid w:val="004069F7"/>
    <w:rsid w:val="00406ABE"/>
    <w:rsid w:val="00406B3B"/>
    <w:rsid w:val="00406F93"/>
    <w:rsid w:val="004072A7"/>
    <w:rsid w:val="00407832"/>
    <w:rsid w:val="004078F9"/>
    <w:rsid w:val="00407AD5"/>
    <w:rsid w:val="00407F11"/>
    <w:rsid w:val="00407FE1"/>
    <w:rsid w:val="00410492"/>
    <w:rsid w:val="004107AE"/>
    <w:rsid w:val="004107CD"/>
    <w:rsid w:val="00410988"/>
    <w:rsid w:val="00410B68"/>
    <w:rsid w:val="00411483"/>
    <w:rsid w:val="004115E4"/>
    <w:rsid w:val="0041160A"/>
    <w:rsid w:val="00411902"/>
    <w:rsid w:val="00411933"/>
    <w:rsid w:val="00411A19"/>
    <w:rsid w:val="00411EB7"/>
    <w:rsid w:val="00412203"/>
    <w:rsid w:val="0041220C"/>
    <w:rsid w:val="00412688"/>
    <w:rsid w:val="00412718"/>
    <w:rsid w:val="004127CC"/>
    <w:rsid w:val="004129F9"/>
    <w:rsid w:val="00412BBA"/>
    <w:rsid w:val="00413804"/>
    <w:rsid w:val="004139DE"/>
    <w:rsid w:val="00413B76"/>
    <w:rsid w:val="00413B8E"/>
    <w:rsid w:val="00413D13"/>
    <w:rsid w:val="00413EC5"/>
    <w:rsid w:val="00414844"/>
    <w:rsid w:val="00414C2F"/>
    <w:rsid w:val="00414CD6"/>
    <w:rsid w:val="00414F8C"/>
    <w:rsid w:val="004155A2"/>
    <w:rsid w:val="004156C5"/>
    <w:rsid w:val="004157F6"/>
    <w:rsid w:val="0041599F"/>
    <w:rsid w:val="00415B12"/>
    <w:rsid w:val="00415C70"/>
    <w:rsid w:val="00415DA1"/>
    <w:rsid w:val="0041658E"/>
    <w:rsid w:val="00416B96"/>
    <w:rsid w:val="00416CC5"/>
    <w:rsid w:val="00417544"/>
    <w:rsid w:val="0041772F"/>
    <w:rsid w:val="00417787"/>
    <w:rsid w:val="004177BF"/>
    <w:rsid w:val="00417938"/>
    <w:rsid w:val="004179AA"/>
    <w:rsid w:val="00417A57"/>
    <w:rsid w:val="00417E42"/>
    <w:rsid w:val="004201BB"/>
    <w:rsid w:val="00420C6B"/>
    <w:rsid w:val="00420C9F"/>
    <w:rsid w:val="00420F91"/>
    <w:rsid w:val="004210DB"/>
    <w:rsid w:val="00421265"/>
    <w:rsid w:val="00421383"/>
    <w:rsid w:val="0042190C"/>
    <w:rsid w:val="00421EC2"/>
    <w:rsid w:val="004221DC"/>
    <w:rsid w:val="00423315"/>
    <w:rsid w:val="0042376C"/>
    <w:rsid w:val="00423CFC"/>
    <w:rsid w:val="00423D40"/>
    <w:rsid w:val="00423D65"/>
    <w:rsid w:val="00423E41"/>
    <w:rsid w:val="0042431E"/>
    <w:rsid w:val="00424AC9"/>
    <w:rsid w:val="00425112"/>
    <w:rsid w:val="00425145"/>
    <w:rsid w:val="00425376"/>
    <w:rsid w:val="00425A33"/>
    <w:rsid w:val="00425CEC"/>
    <w:rsid w:val="00425FCA"/>
    <w:rsid w:val="0042649A"/>
    <w:rsid w:val="004265CE"/>
    <w:rsid w:val="00426A6C"/>
    <w:rsid w:val="00426BB1"/>
    <w:rsid w:val="00426E1F"/>
    <w:rsid w:val="00427011"/>
    <w:rsid w:val="004270F4"/>
    <w:rsid w:val="0042712E"/>
    <w:rsid w:val="00427131"/>
    <w:rsid w:val="0042746B"/>
    <w:rsid w:val="0042752D"/>
    <w:rsid w:val="0042768C"/>
    <w:rsid w:val="0042783E"/>
    <w:rsid w:val="00427975"/>
    <w:rsid w:val="00427C90"/>
    <w:rsid w:val="0043010C"/>
    <w:rsid w:val="004304AE"/>
    <w:rsid w:val="004304DF"/>
    <w:rsid w:val="00430738"/>
    <w:rsid w:val="004309EF"/>
    <w:rsid w:val="00430B28"/>
    <w:rsid w:val="00430B35"/>
    <w:rsid w:val="004310FD"/>
    <w:rsid w:val="004312DD"/>
    <w:rsid w:val="00431868"/>
    <w:rsid w:val="0043188E"/>
    <w:rsid w:val="004318E5"/>
    <w:rsid w:val="00431B0E"/>
    <w:rsid w:val="00431CBF"/>
    <w:rsid w:val="00431FE2"/>
    <w:rsid w:val="0043263A"/>
    <w:rsid w:val="00432EE3"/>
    <w:rsid w:val="00433739"/>
    <w:rsid w:val="004337FA"/>
    <w:rsid w:val="0043384E"/>
    <w:rsid w:val="0043386C"/>
    <w:rsid w:val="004338E6"/>
    <w:rsid w:val="00433C1C"/>
    <w:rsid w:val="00433D2F"/>
    <w:rsid w:val="00433E6B"/>
    <w:rsid w:val="00433FC4"/>
    <w:rsid w:val="00433FEA"/>
    <w:rsid w:val="004340F0"/>
    <w:rsid w:val="0043476D"/>
    <w:rsid w:val="00434B84"/>
    <w:rsid w:val="00434B9D"/>
    <w:rsid w:val="00434DCB"/>
    <w:rsid w:val="00434E23"/>
    <w:rsid w:val="00434EA7"/>
    <w:rsid w:val="00434ED1"/>
    <w:rsid w:val="00434F54"/>
    <w:rsid w:val="00435166"/>
    <w:rsid w:val="004354AC"/>
    <w:rsid w:val="004355A0"/>
    <w:rsid w:val="00435628"/>
    <w:rsid w:val="00435B00"/>
    <w:rsid w:val="00435B75"/>
    <w:rsid w:val="00435D29"/>
    <w:rsid w:val="004361A6"/>
    <w:rsid w:val="00436596"/>
    <w:rsid w:val="00436A33"/>
    <w:rsid w:val="00436A6D"/>
    <w:rsid w:val="00436A7C"/>
    <w:rsid w:val="00436D9A"/>
    <w:rsid w:val="00436F5B"/>
    <w:rsid w:val="00437182"/>
    <w:rsid w:val="004372A6"/>
    <w:rsid w:val="00437AAD"/>
    <w:rsid w:val="00440192"/>
    <w:rsid w:val="00440734"/>
    <w:rsid w:val="0044073B"/>
    <w:rsid w:val="004407EB"/>
    <w:rsid w:val="00440A66"/>
    <w:rsid w:val="00440ACD"/>
    <w:rsid w:val="00440B35"/>
    <w:rsid w:val="00440D66"/>
    <w:rsid w:val="00440EAF"/>
    <w:rsid w:val="004412D9"/>
    <w:rsid w:val="00441345"/>
    <w:rsid w:val="0044188C"/>
    <w:rsid w:val="00441C35"/>
    <w:rsid w:val="00441CDD"/>
    <w:rsid w:val="00441D2D"/>
    <w:rsid w:val="0044239D"/>
    <w:rsid w:val="00442B4E"/>
    <w:rsid w:val="004436F8"/>
    <w:rsid w:val="00443935"/>
    <w:rsid w:val="004439D8"/>
    <w:rsid w:val="00443A4E"/>
    <w:rsid w:val="00443CF2"/>
    <w:rsid w:val="00444028"/>
    <w:rsid w:val="004444CE"/>
    <w:rsid w:val="00444557"/>
    <w:rsid w:val="0044461F"/>
    <w:rsid w:val="00444646"/>
    <w:rsid w:val="0044485E"/>
    <w:rsid w:val="00444B3C"/>
    <w:rsid w:val="00444E95"/>
    <w:rsid w:val="00444FED"/>
    <w:rsid w:val="0044551C"/>
    <w:rsid w:val="0044552C"/>
    <w:rsid w:val="0044577C"/>
    <w:rsid w:val="00445C46"/>
    <w:rsid w:val="00445D00"/>
    <w:rsid w:val="00445EA1"/>
    <w:rsid w:val="00445F46"/>
    <w:rsid w:val="00446532"/>
    <w:rsid w:val="004465C0"/>
    <w:rsid w:val="00446754"/>
    <w:rsid w:val="00446D8E"/>
    <w:rsid w:val="00446F37"/>
    <w:rsid w:val="00447334"/>
    <w:rsid w:val="00447501"/>
    <w:rsid w:val="004476E3"/>
    <w:rsid w:val="00447C22"/>
    <w:rsid w:val="00447C67"/>
    <w:rsid w:val="00447EEB"/>
    <w:rsid w:val="004500EE"/>
    <w:rsid w:val="004501C9"/>
    <w:rsid w:val="0045075D"/>
    <w:rsid w:val="00450785"/>
    <w:rsid w:val="00450837"/>
    <w:rsid w:val="00450883"/>
    <w:rsid w:val="00450885"/>
    <w:rsid w:val="004508E5"/>
    <w:rsid w:val="0045092D"/>
    <w:rsid w:val="00450968"/>
    <w:rsid w:val="00450BC2"/>
    <w:rsid w:val="00450CA1"/>
    <w:rsid w:val="00450FF6"/>
    <w:rsid w:val="0045196F"/>
    <w:rsid w:val="00451B3B"/>
    <w:rsid w:val="00452215"/>
    <w:rsid w:val="0045227B"/>
    <w:rsid w:val="00452454"/>
    <w:rsid w:val="00452890"/>
    <w:rsid w:val="00452AE7"/>
    <w:rsid w:val="00452B47"/>
    <w:rsid w:val="00452FA7"/>
    <w:rsid w:val="004531B8"/>
    <w:rsid w:val="004531DB"/>
    <w:rsid w:val="004535DB"/>
    <w:rsid w:val="00453620"/>
    <w:rsid w:val="004539B1"/>
    <w:rsid w:val="00453C71"/>
    <w:rsid w:val="00453EFD"/>
    <w:rsid w:val="00454000"/>
    <w:rsid w:val="0045435C"/>
    <w:rsid w:val="00454432"/>
    <w:rsid w:val="004544BE"/>
    <w:rsid w:val="004548D9"/>
    <w:rsid w:val="0045497A"/>
    <w:rsid w:val="00454CE3"/>
    <w:rsid w:val="0045532D"/>
    <w:rsid w:val="004554FE"/>
    <w:rsid w:val="0045562D"/>
    <w:rsid w:val="004559CF"/>
    <w:rsid w:val="00455B29"/>
    <w:rsid w:val="00455B74"/>
    <w:rsid w:val="004560ED"/>
    <w:rsid w:val="00456395"/>
    <w:rsid w:val="00456B1A"/>
    <w:rsid w:val="00456B45"/>
    <w:rsid w:val="00456F77"/>
    <w:rsid w:val="0045746A"/>
    <w:rsid w:val="00457AE5"/>
    <w:rsid w:val="00457BF1"/>
    <w:rsid w:val="00457E43"/>
    <w:rsid w:val="004603CF"/>
    <w:rsid w:val="00460943"/>
    <w:rsid w:val="00460A56"/>
    <w:rsid w:val="00460D2E"/>
    <w:rsid w:val="004614BA"/>
    <w:rsid w:val="00461BC9"/>
    <w:rsid w:val="0046215C"/>
    <w:rsid w:val="00462355"/>
    <w:rsid w:val="004628EF"/>
    <w:rsid w:val="00462B91"/>
    <w:rsid w:val="00462C2D"/>
    <w:rsid w:val="00462E42"/>
    <w:rsid w:val="004630E6"/>
    <w:rsid w:val="00463478"/>
    <w:rsid w:val="004634C3"/>
    <w:rsid w:val="00463AA5"/>
    <w:rsid w:val="004640BC"/>
    <w:rsid w:val="004643F5"/>
    <w:rsid w:val="00464592"/>
    <w:rsid w:val="00464B0D"/>
    <w:rsid w:val="0046507E"/>
    <w:rsid w:val="004650B6"/>
    <w:rsid w:val="004654E8"/>
    <w:rsid w:val="0046597B"/>
    <w:rsid w:val="00465D10"/>
    <w:rsid w:val="00466202"/>
    <w:rsid w:val="004667AA"/>
    <w:rsid w:val="00466A91"/>
    <w:rsid w:val="00466AC3"/>
    <w:rsid w:val="00466CD1"/>
    <w:rsid w:val="0046730E"/>
    <w:rsid w:val="00467422"/>
    <w:rsid w:val="004679F7"/>
    <w:rsid w:val="00467A96"/>
    <w:rsid w:val="00470096"/>
    <w:rsid w:val="004700E9"/>
    <w:rsid w:val="00470684"/>
    <w:rsid w:val="00470782"/>
    <w:rsid w:val="00470974"/>
    <w:rsid w:val="00470EA1"/>
    <w:rsid w:val="00470EBD"/>
    <w:rsid w:val="004711D4"/>
    <w:rsid w:val="00471C2E"/>
    <w:rsid w:val="00471D4B"/>
    <w:rsid w:val="00471DE8"/>
    <w:rsid w:val="00471DFD"/>
    <w:rsid w:val="00471EFB"/>
    <w:rsid w:val="004720E0"/>
    <w:rsid w:val="00472301"/>
    <w:rsid w:val="004725E2"/>
    <w:rsid w:val="00472B9A"/>
    <w:rsid w:val="00472E5F"/>
    <w:rsid w:val="004732BB"/>
    <w:rsid w:val="0047368A"/>
    <w:rsid w:val="0047371A"/>
    <w:rsid w:val="004737DC"/>
    <w:rsid w:val="004744B1"/>
    <w:rsid w:val="00474BB4"/>
    <w:rsid w:val="00474D9E"/>
    <w:rsid w:val="004752DF"/>
    <w:rsid w:val="0047532F"/>
    <w:rsid w:val="004753EF"/>
    <w:rsid w:val="00475448"/>
    <w:rsid w:val="0047552C"/>
    <w:rsid w:val="004759F2"/>
    <w:rsid w:val="00475A0A"/>
    <w:rsid w:val="00475A7E"/>
    <w:rsid w:val="00475DB2"/>
    <w:rsid w:val="004762FA"/>
    <w:rsid w:val="00476405"/>
    <w:rsid w:val="0047663C"/>
    <w:rsid w:val="00476CD9"/>
    <w:rsid w:val="0047708D"/>
    <w:rsid w:val="00477372"/>
    <w:rsid w:val="0047742E"/>
    <w:rsid w:val="00477895"/>
    <w:rsid w:val="00477C45"/>
    <w:rsid w:val="00477DAD"/>
    <w:rsid w:val="00477ECB"/>
    <w:rsid w:val="00480225"/>
    <w:rsid w:val="004806B2"/>
    <w:rsid w:val="00480B10"/>
    <w:rsid w:val="00480E88"/>
    <w:rsid w:val="00480E96"/>
    <w:rsid w:val="004810E1"/>
    <w:rsid w:val="00481130"/>
    <w:rsid w:val="0048116F"/>
    <w:rsid w:val="00481260"/>
    <w:rsid w:val="004812D8"/>
    <w:rsid w:val="004814A7"/>
    <w:rsid w:val="004814F3"/>
    <w:rsid w:val="004815AE"/>
    <w:rsid w:val="0048167B"/>
    <w:rsid w:val="00481A00"/>
    <w:rsid w:val="00481A87"/>
    <w:rsid w:val="00481AD0"/>
    <w:rsid w:val="00481C6E"/>
    <w:rsid w:val="00482163"/>
    <w:rsid w:val="00482502"/>
    <w:rsid w:val="00482557"/>
    <w:rsid w:val="00482598"/>
    <w:rsid w:val="0048266E"/>
    <w:rsid w:val="00482830"/>
    <w:rsid w:val="00482B93"/>
    <w:rsid w:val="00482BDE"/>
    <w:rsid w:val="00482E73"/>
    <w:rsid w:val="00482F84"/>
    <w:rsid w:val="00482FB2"/>
    <w:rsid w:val="0048348E"/>
    <w:rsid w:val="004837AC"/>
    <w:rsid w:val="00483BD8"/>
    <w:rsid w:val="00483C24"/>
    <w:rsid w:val="00483F92"/>
    <w:rsid w:val="00484099"/>
    <w:rsid w:val="004842E9"/>
    <w:rsid w:val="00484692"/>
    <w:rsid w:val="004846C8"/>
    <w:rsid w:val="00485063"/>
    <w:rsid w:val="00485398"/>
    <w:rsid w:val="004854F3"/>
    <w:rsid w:val="004855B3"/>
    <w:rsid w:val="00485BD3"/>
    <w:rsid w:val="00485DE5"/>
    <w:rsid w:val="00485E0D"/>
    <w:rsid w:val="0048603F"/>
    <w:rsid w:val="00486279"/>
    <w:rsid w:val="0048628F"/>
    <w:rsid w:val="0048656A"/>
    <w:rsid w:val="004866AE"/>
    <w:rsid w:val="00486951"/>
    <w:rsid w:val="00486B7D"/>
    <w:rsid w:val="0048706A"/>
    <w:rsid w:val="004870AA"/>
    <w:rsid w:val="0048714F"/>
    <w:rsid w:val="0048716F"/>
    <w:rsid w:val="00487197"/>
    <w:rsid w:val="004872AC"/>
    <w:rsid w:val="0048765E"/>
    <w:rsid w:val="00487823"/>
    <w:rsid w:val="00487E66"/>
    <w:rsid w:val="00487F5F"/>
    <w:rsid w:val="004901D7"/>
    <w:rsid w:val="0049057A"/>
    <w:rsid w:val="004910D6"/>
    <w:rsid w:val="00491BD0"/>
    <w:rsid w:val="00491ED4"/>
    <w:rsid w:val="00492836"/>
    <w:rsid w:val="00492E75"/>
    <w:rsid w:val="00492ED4"/>
    <w:rsid w:val="004934CD"/>
    <w:rsid w:val="0049422C"/>
    <w:rsid w:val="004946A5"/>
    <w:rsid w:val="004949DB"/>
    <w:rsid w:val="00495116"/>
    <w:rsid w:val="004955C7"/>
    <w:rsid w:val="004956FA"/>
    <w:rsid w:val="0049582F"/>
    <w:rsid w:val="0049587F"/>
    <w:rsid w:val="00495D51"/>
    <w:rsid w:val="004960A9"/>
    <w:rsid w:val="0049612B"/>
    <w:rsid w:val="00496149"/>
    <w:rsid w:val="004967A1"/>
    <w:rsid w:val="00496A13"/>
    <w:rsid w:val="0049704E"/>
    <w:rsid w:val="0049733F"/>
    <w:rsid w:val="004973FA"/>
    <w:rsid w:val="004A039C"/>
    <w:rsid w:val="004A043C"/>
    <w:rsid w:val="004A04B9"/>
    <w:rsid w:val="004A0547"/>
    <w:rsid w:val="004A0AD1"/>
    <w:rsid w:val="004A1513"/>
    <w:rsid w:val="004A15EC"/>
    <w:rsid w:val="004A16DB"/>
    <w:rsid w:val="004A1921"/>
    <w:rsid w:val="004A193C"/>
    <w:rsid w:val="004A1947"/>
    <w:rsid w:val="004A1A08"/>
    <w:rsid w:val="004A1AD8"/>
    <w:rsid w:val="004A1B77"/>
    <w:rsid w:val="004A1BE3"/>
    <w:rsid w:val="004A1C4C"/>
    <w:rsid w:val="004A2571"/>
    <w:rsid w:val="004A26B3"/>
    <w:rsid w:val="004A2750"/>
    <w:rsid w:val="004A27EA"/>
    <w:rsid w:val="004A2866"/>
    <w:rsid w:val="004A2A6E"/>
    <w:rsid w:val="004A2AE3"/>
    <w:rsid w:val="004A2BC8"/>
    <w:rsid w:val="004A2E2F"/>
    <w:rsid w:val="004A329D"/>
    <w:rsid w:val="004A3459"/>
    <w:rsid w:val="004A37F6"/>
    <w:rsid w:val="004A383B"/>
    <w:rsid w:val="004A390F"/>
    <w:rsid w:val="004A39A3"/>
    <w:rsid w:val="004A3A2D"/>
    <w:rsid w:val="004A3B92"/>
    <w:rsid w:val="004A3BD5"/>
    <w:rsid w:val="004A3BDF"/>
    <w:rsid w:val="004A40D4"/>
    <w:rsid w:val="004A417A"/>
    <w:rsid w:val="004A423A"/>
    <w:rsid w:val="004A42AF"/>
    <w:rsid w:val="004A4B8A"/>
    <w:rsid w:val="004A4C0F"/>
    <w:rsid w:val="004A4DFA"/>
    <w:rsid w:val="004A4EDA"/>
    <w:rsid w:val="004A4EF3"/>
    <w:rsid w:val="004A4F58"/>
    <w:rsid w:val="004A5181"/>
    <w:rsid w:val="004A51AC"/>
    <w:rsid w:val="004A52B3"/>
    <w:rsid w:val="004A5779"/>
    <w:rsid w:val="004A5920"/>
    <w:rsid w:val="004A5E25"/>
    <w:rsid w:val="004A5E9E"/>
    <w:rsid w:val="004A6157"/>
    <w:rsid w:val="004A621F"/>
    <w:rsid w:val="004A6C16"/>
    <w:rsid w:val="004A6DD4"/>
    <w:rsid w:val="004A6E3D"/>
    <w:rsid w:val="004A70F7"/>
    <w:rsid w:val="004A7190"/>
    <w:rsid w:val="004A7598"/>
    <w:rsid w:val="004A79B2"/>
    <w:rsid w:val="004A7A8C"/>
    <w:rsid w:val="004A7E7F"/>
    <w:rsid w:val="004B0031"/>
    <w:rsid w:val="004B039D"/>
    <w:rsid w:val="004B07B1"/>
    <w:rsid w:val="004B0982"/>
    <w:rsid w:val="004B0B73"/>
    <w:rsid w:val="004B0B81"/>
    <w:rsid w:val="004B105E"/>
    <w:rsid w:val="004B1083"/>
    <w:rsid w:val="004B15D6"/>
    <w:rsid w:val="004B16DE"/>
    <w:rsid w:val="004B178A"/>
    <w:rsid w:val="004B19E5"/>
    <w:rsid w:val="004B1A87"/>
    <w:rsid w:val="004B1C9E"/>
    <w:rsid w:val="004B1D7F"/>
    <w:rsid w:val="004B1EA7"/>
    <w:rsid w:val="004B212C"/>
    <w:rsid w:val="004B23E7"/>
    <w:rsid w:val="004B24CA"/>
    <w:rsid w:val="004B25C5"/>
    <w:rsid w:val="004B29E0"/>
    <w:rsid w:val="004B2B3A"/>
    <w:rsid w:val="004B2C48"/>
    <w:rsid w:val="004B2F2A"/>
    <w:rsid w:val="004B30EE"/>
    <w:rsid w:val="004B3376"/>
    <w:rsid w:val="004B3579"/>
    <w:rsid w:val="004B36E4"/>
    <w:rsid w:val="004B38ED"/>
    <w:rsid w:val="004B3ADB"/>
    <w:rsid w:val="004B3C19"/>
    <w:rsid w:val="004B3F84"/>
    <w:rsid w:val="004B405F"/>
    <w:rsid w:val="004B41EC"/>
    <w:rsid w:val="004B4552"/>
    <w:rsid w:val="004B5550"/>
    <w:rsid w:val="004B576C"/>
    <w:rsid w:val="004B5A99"/>
    <w:rsid w:val="004B5AE8"/>
    <w:rsid w:val="004B5F25"/>
    <w:rsid w:val="004B62B6"/>
    <w:rsid w:val="004B6430"/>
    <w:rsid w:val="004B6BAB"/>
    <w:rsid w:val="004B6C45"/>
    <w:rsid w:val="004B6C92"/>
    <w:rsid w:val="004B725C"/>
    <w:rsid w:val="004B726D"/>
    <w:rsid w:val="004B7420"/>
    <w:rsid w:val="004B7A5C"/>
    <w:rsid w:val="004B7F65"/>
    <w:rsid w:val="004C0195"/>
    <w:rsid w:val="004C0388"/>
    <w:rsid w:val="004C05C5"/>
    <w:rsid w:val="004C11E5"/>
    <w:rsid w:val="004C123F"/>
    <w:rsid w:val="004C12A8"/>
    <w:rsid w:val="004C191F"/>
    <w:rsid w:val="004C1933"/>
    <w:rsid w:val="004C24A9"/>
    <w:rsid w:val="004C2567"/>
    <w:rsid w:val="004C2A67"/>
    <w:rsid w:val="004C2F66"/>
    <w:rsid w:val="004C31E5"/>
    <w:rsid w:val="004C34EB"/>
    <w:rsid w:val="004C3532"/>
    <w:rsid w:val="004C3A70"/>
    <w:rsid w:val="004C3AD8"/>
    <w:rsid w:val="004C3BC7"/>
    <w:rsid w:val="004C3DDB"/>
    <w:rsid w:val="004C3DF9"/>
    <w:rsid w:val="004C40F2"/>
    <w:rsid w:val="004C41B9"/>
    <w:rsid w:val="004C4637"/>
    <w:rsid w:val="004C4ABC"/>
    <w:rsid w:val="004C4DBD"/>
    <w:rsid w:val="004C5055"/>
    <w:rsid w:val="004C52BF"/>
    <w:rsid w:val="004C5329"/>
    <w:rsid w:val="004C53AB"/>
    <w:rsid w:val="004C5481"/>
    <w:rsid w:val="004C5AB6"/>
    <w:rsid w:val="004C5F5F"/>
    <w:rsid w:val="004C64DA"/>
    <w:rsid w:val="004C658E"/>
    <w:rsid w:val="004C6965"/>
    <w:rsid w:val="004C6A66"/>
    <w:rsid w:val="004C6A68"/>
    <w:rsid w:val="004C6D4B"/>
    <w:rsid w:val="004C6E43"/>
    <w:rsid w:val="004C6F38"/>
    <w:rsid w:val="004C723A"/>
    <w:rsid w:val="004C7363"/>
    <w:rsid w:val="004C738B"/>
    <w:rsid w:val="004C78EE"/>
    <w:rsid w:val="004C7C28"/>
    <w:rsid w:val="004C7C67"/>
    <w:rsid w:val="004C7D30"/>
    <w:rsid w:val="004D0030"/>
    <w:rsid w:val="004D055A"/>
    <w:rsid w:val="004D05E5"/>
    <w:rsid w:val="004D0FF7"/>
    <w:rsid w:val="004D11EC"/>
    <w:rsid w:val="004D13BB"/>
    <w:rsid w:val="004D1484"/>
    <w:rsid w:val="004D16CF"/>
    <w:rsid w:val="004D1714"/>
    <w:rsid w:val="004D19FF"/>
    <w:rsid w:val="004D1BD0"/>
    <w:rsid w:val="004D1E61"/>
    <w:rsid w:val="004D23FC"/>
    <w:rsid w:val="004D2917"/>
    <w:rsid w:val="004D295A"/>
    <w:rsid w:val="004D2A49"/>
    <w:rsid w:val="004D2C22"/>
    <w:rsid w:val="004D3078"/>
    <w:rsid w:val="004D3133"/>
    <w:rsid w:val="004D31D0"/>
    <w:rsid w:val="004D359B"/>
    <w:rsid w:val="004D37D6"/>
    <w:rsid w:val="004D3F36"/>
    <w:rsid w:val="004D5492"/>
    <w:rsid w:val="004D5656"/>
    <w:rsid w:val="004D56D9"/>
    <w:rsid w:val="004D5A95"/>
    <w:rsid w:val="004D5E6B"/>
    <w:rsid w:val="004D5F28"/>
    <w:rsid w:val="004D60DD"/>
    <w:rsid w:val="004D61EF"/>
    <w:rsid w:val="004D6246"/>
    <w:rsid w:val="004D6483"/>
    <w:rsid w:val="004D66F1"/>
    <w:rsid w:val="004D6AD7"/>
    <w:rsid w:val="004D6B12"/>
    <w:rsid w:val="004D6ECA"/>
    <w:rsid w:val="004D757F"/>
    <w:rsid w:val="004D7657"/>
    <w:rsid w:val="004D77C3"/>
    <w:rsid w:val="004D7E09"/>
    <w:rsid w:val="004D7EA5"/>
    <w:rsid w:val="004D7F1D"/>
    <w:rsid w:val="004E03C4"/>
    <w:rsid w:val="004E045C"/>
    <w:rsid w:val="004E080A"/>
    <w:rsid w:val="004E0919"/>
    <w:rsid w:val="004E09F1"/>
    <w:rsid w:val="004E0B8F"/>
    <w:rsid w:val="004E1038"/>
    <w:rsid w:val="004E1091"/>
    <w:rsid w:val="004E14B7"/>
    <w:rsid w:val="004E1641"/>
    <w:rsid w:val="004E1A06"/>
    <w:rsid w:val="004E208C"/>
    <w:rsid w:val="004E2B49"/>
    <w:rsid w:val="004E2B9B"/>
    <w:rsid w:val="004E2E72"/>
    <w:rsid w:val="004E3425"/>
    <w:rsid w:val="004E3544"/>
    <w:rsid w:val="004E3550"/>
    <w:rsid w:val="004E3628"/>
    <w:rsid w:val="004E40EE"/>
    <w:rsid w:val="004E43BD"/>
    <w:rsid w:val="004E445D"/>
    <w:rsid w:val="004E5000"/>
    <w:rsid w:val="004E5080"/>
    <w:rsid w:val="004E56D5"/>
    <w:rsid w:val="004E58D3"/>
    <w:rsid w:val="004E59EF"/>
    <w:rsid w:val="004E5C4C"/>
    <w:rsid w:val="004E5CF3"/>
    <w:rsid w:val="004E6105"/>
    <w:rsid w:val="004E6116"/>
    <w:rsid w:val="004E6369"/>
    <w:rsid w:val="004E6393"/>
    <w:rsid w:val="004E6548"/>
    <w:rsid w:val="004E6D86"/>
    <w:rsid w:val="004E745B"/>
    <w:rsid w:val="004E7554"/>
    <w:rsid w:val="004E7AAD"/>
    <w:rsid w:val="004E7BE0"/>
    <w:rsid w:val="004E7EC0"/>
    <w:rsid w:val="004F00B5"/>
    <w:rsid w:val="004F03DA"/>
    <w:rsid w:val="004F09B3"/>
    <w:rsid w:val="004F0CFB"/>
    <w:rsid w:val="004F0D2D"/>
    <w:rsid w:val="004F0D9E"/>
    <w:rsid w:val="004F0DBD"/>
    <w:rsid w:val="004F1242"/>
    <w:rsid w:val="004F15E5"/>
    <w:rsid w:val="004F1A77"/>
    <w:rsid w:val="004F1BAC"/>
    <w:rsid w:val="004F1C08"/>
    <w:rsid w:val="004F1FD2"/>
    <w:rsid w:val="004F2203"/>
    <w:rsid w:val="004F2765"/>
    <w:rsid w:val="004F2925"/>
    <w:rsid w:val="004F2B53"/>
    <w:rsid w:val="004F2CC2"/>
    <w:rsid w:val="004F3019"/>
    <w:rsid w:val="004F3AF3"/>
    <w:rsid w:val="004F3CC1"/>
    <w:rsid w:val="004F3CE1"/>
    <w:rsid w:val="004F3D0A"/>
    <w:rsid w:val="004F3D94"/>
    <w:rsid w:val="004F4105"/>
    <w:rsid w:val="004F4543"/>
    <w:rsid w:val="004F4718"/>
    <w:rsid w:val="004F495E"/>
    <w:rsid w:val="004F4A2E"/>
    <w:rsid w:val="004F4AB2"/>
    <w:rsid w:val="004F4AD2"/>
    <w:rsid w:val="004F4DB6"/>
    <w:rsid w:val="004F53A9"/>
    <w:rsid w:val="004F5411"/>
    <w:rsid w:val="004F5583"/>
    <w:rsid w:val="004F5626"/>
    <w:rsid w:val="004F5822"/>
    <w:rsid w:val="004F5DF3"/>
    <w:rsid w:val="004F5E3E"/>
    <w:rsid w:val="004F5ECA"/>
    <w:rsid w:val="004F6350"/>
    <w:rsid w:val="004F6490"/>
    <w:rsid w:val="004F7327"/>
    <w:rsid w:val="004F7374"/>
    <w:rsid w:val="004F73BF"/>
    <w:rsid w:val="004F74B3"/>
    <w:rsid w:val="005004A2"/>
    <w:rsid w:val="005004D1"/>
    <w:rsid w:val="00500506"/>
    <w:rsid w:val="00500568"/>
    <w:rsid w:val="0050058F"/>
    <w:rsid w:val="0050063B"/>
    <w:rsid w:val="005009B4"/>
    <w:rsid w:val="00500CE0"/>
    <w:rsid w:val="00500F3B"/>
    <w:rsid w:val="0050143F"/>
    <w:rsid w:val="00501580"/>
    <w:rsid w:val="0050179D"/>
    <w:rsid w:val="00501830"/>
    <w:rsid w:val="00501CAF"/>
    <w:rsid w:val="00501F71"/>
    <w:rsid w:val="005023D1"/>
    <w:rsid w:val="005025C2"/>
    <w:rsid w:val="005028E6"/>
    <w:rsid w:val="0050299E"/>
    <w:rsid w:val="00502A92"/>
    <w:rsid w:val="00502C0B"/>
    <w:rsid w:val="00502C28"/>
    <w:rsid w:val="00502CAB"/>
    <w:rsid w:val="00502E68"/>
    <w:rsid w:val="00502EC8"/>
    <w:rsid w:val="00502EF5"/>
    <w:rsid w:val="00502FD3"/>
    <w:rsid w:val="005030E2"/>
    <w:rsid w:val="0050311E"/>
    <w:rsid w:val="00503249"/>
    <w:rsid w:val="005033AB"/>
    <w:rsid w:val="005033D5"/>
    <w:rsid w:val="005040F9"/>
    <w:rsid w:val="005042C0"/>
    <w:rsid w:val="00504C31"/>
    <w:rsid w:val="00505842"/>
    <w:rsid w:val="00505BC9"/>
    <w:rsid w:val="00505C5F"/>
    <w:rsid w:val="005060D6"/>
    <w:rsid w:val="00506298"/>
    <w:rsid w:val="005063E8"/>
    <w:rsid w:val="005063ED"/>
    <w:rsid w:val="005064A6"/>
    <w:rsid w:val="005065A8"/>
    <w:rsid w:val="00506871"/>
    <w:rsid w:val="005068D1"/>
    <w:rsid w:val="00506D53"/>
    <w:rsid w:val="00507427"/>
    <w:rsid w:val="0050760B"/>
    <w:rsid w:val="005076AB"/>
    <w:rsid w:val="005076D9"/>
    <w:rsid w:val="0050773A"/>
    <w:rsid w:val="00507A94"/>
    <w:rsid w:val="00507CDE"/>
    <w:rsid w:val="00507E26"/>
    <w:rsid w:val="00507E4B"/>
    <w:rsid w:val="00507E8B"/>
    <w:rsid w:val="00510230"/>
    <w:rsid w:val="005103B1"/>
    <w:rsid w:val="0051057E"/>
    <w:rsid w:val="00510634"/>
    <w:rsid w:val="005106DC"/>
    <w:rsid w:val="00510810"/>
    <w:rsid w:val="005109D1"/>
    <w:rsid w:val="00510D67"/>
    <w:rsid w:val="00510E4D"/>
    <w:rsid w:val="00510FF4"/>
    <w:rsid w:val="0051129D"/>
    <w:rsid w:val="00511476"/>
    <w:rsid w:val="00511D51"/>
    <w:rsid w:val="00511D9A"/>
    <w:rsid w:val="0051233B"/>
    <w:rsid w:val="00512480"/>
    <w:rsid w:val="0051312B"/>
    <w:rsid w:val="00513174"/>
    <w:rsid w:val="00513394"/>
    <w:rsid w:val="0051352A"/>
    <w:rsid w:val="005135EF"/>
    <w:rsid w:val="00513710"/>
    <w:rsid w:val="0051371F"/>
    <w:rsid w:val="00513925"/>
    <w:rsid w:val="005140CD"/>
    <w:rsid w:val="00514212"/>
    <w:rsid w:val="005146FA"/>
    <w:rsid w:val="0051477C"/>
    <w:rsid w:val="00514B5B"/>
    <w:rsid w:val="00514E5E"/>
    <w:rsid w:val="00515026"/>
    <w:rsid w:val="00515058"/>
    <w:rsid w:val="005152AE"/>
    <w:rsid w:val="005155D9"/>
    <w:rsid w:val="00515660"/>
    <w:rsid w:val="00515664"/>
    <w:rsid w:val="005157D5"/>
    <w:rsid w:val="00515A0E"/>
    <w:rsid w:val="00515C7F"/>
    <w:rsid w:val="00515C95"/>
    <w:rsid w:val="00515D4D"/>
    <w:rsid w:val="00516312"/>
    <w:rsid w:val="00516336"/>
    <w:rsid w:val="005169C6"/>
    <w:rsid w:val="0051720B"/>
    <w:rsid w:val="00517526"/>
    <w:rsid w:val="0051762B"/>
    <w:rsid w:val="00517BD3"/>
    <w:rsid w:val="00517D64"/>
    <w:rsid w:val="00517DB8"/>
    <w:rsid w:val="00520DAA"/>
    <w:rsid w:val="00521131"/>
    <w:rsid w:val="0052119F"/>
    <w:rsid w:val="005213AD"/>
    <w:rsid w:val="0052186B"/>
    <w:rsid w:val="00521C2C"/>
    <w:rsid w:val="005221C2"/>
    <w:rsid w:val="00522409"/>
    <w:rsid w:val="00522462"/>
    <w:rsid w:val="00522538"/>
    <w:rsid w:val="0052268B"/>
    <w:rsid w:val="00522988"/>
    <w:rsid w:val="0052298E"/>
    <w:rsid w:val="00522BA8"/>
    <w:rsid w:val="00522F01"/>
    <w:rsid w:val="00523481"/>
    <w:rsid w:val="005234C2"/>
    <w:rsid w:val="00523640"/>
    <w:rsid w:val="005237CC"/>
    <w:rsid w:val="00523C7B"/>
    <w:rsid w:val="00523CF6"/>
    <w:rsid w:val="0052432D"/>
    <w:rsid w:val="005243BC"/>
    <w:rsid w:val="005244D4"/>
    <w:rsid w:val="00524670"/>
    <w:rsid w:val="005247A0"/>
    <w:rsid w:val="00524847"/>
    <w:rsid w:val="0052485F"/>
    <w:rsid w:val="00524A42"/>
    <w:rsid w:val="00524AB0"/>
    <w:rsid w:val="00524AE9"/>
    <w:rsid w:val="00524CCD"/>
    <w:rsid w:val="00524EE9"/>
    <w:rsid w:val="00524F2A"/>
    <w:rsid w:val="00525001"/>
    <w:rsid w:val="00525598"/>
    <w:rsid w:val="00525762"/>
    <w:rsid w:val="00525DC2"/>
    <w:rsid w:val="00526142"/>
    <w:rsid w:val="00526719"/>
    <w:rsid w:val="005269EC"/>
    <w:rsid w:val="00526ECA"/>
    <w:rsid w:val="00527158"/>
    <w:rsid w:val="00527386"/>
    <w:rsid w:val="005273AD"/>
    <w:rsid w:val="0052777C"/>
    <w:rsid w:val="00527A38"/>
    <w:rsid w:val="0053059D"/>
    <w:rsid w:val="005305F9"/>
    <w:rsid w:val="005307C8"/>
    <w:rsid w:val="005307FF"/>
    <w:rsid w:val="0053084D"/>
    <w:rsid w:val="005308F7"/>
    <w:rsid w:val="005309E2"/>
    <w:rsid w:val="00530B52"/>
    <w:rsid w:val="00530C87"/>
    <w:rsid w:val="00531057"/>
    <w:rsid w:val="0053119C"/>
    <w:rsid w:val="0053147C"/>
    <w:rsid w:val="0053187A"/>
    <w:rsid w:val="00531915"/>
    <w:rsid w:val="00531942"/>
    <w:rsid w:val="00531AD8"/>
    <w:rsid w:val="00531D37"/>
    <w:rsid w:val="00531EA7"/>
    <w:rsid w:val="005321CB"/>
    <w:rsid w:val="0053295B"/>
    <w:rsid w:val="00532DC4"/>
    <w:rsid w:val="00533318"/>
    <w:rsid w:val="005333BB"/>
    <w:rsid w:val="005339F1"/>
    <w:rsid w:val="00534378"/>
    <w:rsid w:val="005346F1"/>
    <w:rsid w:val="0053482B"/>
    <w:rsid w:val="00534898"/>
    <w:rsid w:val="00534938"/>
    <w:rsid w:val="005351A1"/>
    <w:rsid w:val="005353A0"/>
    <w:rsid w:val="0053593C"/>
    <w:rsid w:val="00535957"/>
    <w:rsid w:val="005359D5"/>
    <w:rsid w:val="00535AD3"/>
    <w:rsid w:val="00535FAC"/>
    <w:rsid w:val="00536292"/>
    <w:rsid w:val="0053638E"/>
    <w:rsid w:val="00536415"/>
    <w:rsid w:val="0053647F"/>
    <w:rsid w:val="00536713"/>
    <w:rsid w:val="0053677B"/>
    <w:rsid w:val="00536DF9"/>
    <w:rsid w:val="00536FCF"/>
    <w:rsid w:val="00537075"/>
    <w:rsid w:val="00537084"/>
    <w:rsid w:val="0053775B"/>
    <w:rsid w:val="00537895"/>
    <w:rsid w:val="00537BD6"/>
    <w:rsid w:val="00537CB2"/>
    <w:rsid w:val="00537DAB"/>
    <w:rsid w:val="00540305"/>
    <w:rsid w:val="00540568"/>
    <w:rsid w:val="00540888"/>
    <w:rsid w:val="00540940"/>
    <w:rsid w:val="00540CDC"/>
    <w:rsid w:val="00540D14"/>
    <w:rsid w:val="00540D94"/>
    <w:rsid w:val="00541289"/>
    <w:rsid w:val="005413F5"/>
    <w:rsid w:val="005417E4"/>
    <w:rsid w:val="00541870"/>
    <w:rsid w:val="005418B7"/>
    <w:rsid w:val="00541A67"/>
    <w:rsid w:val="005424CA"/>
    <w:rsid w:val="005424E5"/>
    <w:rsid w:val="005426AC"/>
    <w:rsid w:val="005428A5"/>
    <w:rsid w:val="00542D17"/>
    <w:rsid w:val="00542E12"/>
    <w:rsid w:val="00542EF6"/>
    <w:rsid w:val="005431DC"/>
    <w:rsid w:val="0054346F"/>
    <w:rsid w:val="005434F1"/>
    <w:rsid w:val="00543C85"/>
    <w:rsid w:val="00544112"/>
    <w:rsid w:val="00544146"/>
    <w:rsid w:val="005441A3"/>
    <w:rsid w:val="00544204"/>
    <w:rsid w:val="005445D3"/>
    <w:rsid w:val="0054481A"/>
    <w:rsid w:val="00544B58"/>
    <w:rsid w:val="00544DB5"/>
    <w:rsid w:val="00544F07"/>
    <w:rsid w:val="00545046"/>
    <w:rsid w:val="005450B1"/>
    <w:rsid w:val="005451CF"/>
    <w:rsid w:val="0054548E"/>
    <w:rsid w:val="005455D5"/>
    <w:rsid w:val="005455DB"/>
    <w:rsid w:val="005457AA"/>
    <w:rsid w:val="00545C8B"/>
    <w:rsid w:val="00545D9F"/>
    <w:rsid w:val="00545EAA"/>
    <w:rsid w:val="00545EB9"/>
    <w:rsid w:val="00545EC8"/>
    <w:rsid w:val="00545FFD"/>
    <w:rsid w:val="005460F4"/>
    <w:rsid w:val="005461C2"/>
    <w:rsid w:val="0054683D"/>
    <w:rsid w:val="00546AA5"/>
    <w:rsid w:val="00546BE9"/>
    <w:rsid w:val="00546C88"/>
    <w:rsid w:val="00546D0F"/>
    <w:rsid w:val="0054700B"/>
    <w:rsid w:val="005471D3"/>
    <w:rsid w:val="005477B2"/>
    <w:rsid w:val="005478E7"/>
    <w:rsid w:val="0055000E"/>
    <w:rsid w:val="0055004D"/>
    <w:rsid w:val="005502E5"/>
    <w:rsid w:val="0055039E"/>
    <w:rsid w:val="00550649"/>
    <w:rsid w:val="005507AE"/>
    <w:rsid w:val="00550F65"/>
    <w:rsid w:val="0055140D"/>
    <w:rsid w:val="0055183C"/>
    <w:rsid w:val="005518CE"/>
    <w:rsid w:val="00552007"/>
    <w:rsid w:val="0055212A"/>
    <w:rsid w:val="0055226A"/>
    <w:rsid w:val="00552B43"/>
    <w:rsid w:val="00552DC4"/>
    <w:rsid w:val="00552DEF"/>
    <w:rsid w:val="005533C3"/>
    <w:rsid w:val="00553AC9"/>
    <w:rsid w:val="00553C37"/>
    <w:rsid w:val="00554BC0"/>
    <w:rsid w:val="00554C87"/>
    <w:rsid w:val="0055503B"/>
    <w:rsid w:val="00555252"/>
    <w:rsid w:val="00555535"/>
    <w:rsid w:val="005556EC"/>
    <w:rsid w:val="00555701"/>
    <w:rsid w:val="00555939"/>
    <w:rsid w:val="0055596D"/>
    <w:rsid w:val="00555BC8"/>
    <w:rsid w:val="005560F9"/>
    <w:rsid w:val="005562D5"/>
    <w:rsid w:val="00556887"/>
    <w:rsid w:val="00556B70"/>
    <w:rsid w:val="00556B9E"/>
    <w:rsid w:val="00556C4B"/>
    <w:rsid w:val="00556DDB"/>
    <w:rsid w:val="00556F2E"/>
    <w:rsid w:val="00557068"/>
    <w:rsid w:val="005572B9"/>
    <w:rsid w:val="005573B8"/>
    <w:rsid w:val="0055756F"/>
    <w:rsid w:val="00557DD2"/>
    <w:rsid w:val="00557F5B"/>
    <w:rsid w:val="005600C4"/>
    <w:rsid w:val="005601D8"/>
    <w:rsid w:val="00560212"/>
    <w:rsid w:val="005607DC"/>
    <w:rsid w:val="00560810"/>
    <w:rsid w:val="00560D14"/>
    <w:rsid w:val="00560D1C"/>
    <w:rsid w:val="00560DE2"/>
    <w:rsid w:val="005618AA"/>
    <w:rsid w:val="00561CC0"/>
    <w:rsid w:val="00561E34"/>
    <w:rsid w:val="00562343"/>
    <w:rsid w:val="0056272F"/>
    <w:rsid w:val="00562772"/>
    <w:rsid w:val="0056283B"/>
    <w:rsid w:val="00562A48"/>
    <w:rsid w:val="00562B32"/>
    <w:rsid w:val="005631FB"/>
    <w:rsid w:val="0056320A"/>
    <w:rsid w:val="0056354C"/>
    <w:rsid w:val="0056364E"/>
    <w:rsid w:val="00563673"/>
    <w:rsid w:val="005639C1"/>
    <w:rsid w:val="005646C2"/>
    <w:rsid w:val="00564C79"/>
    <w:rsid w:val="00564E03"/>
    <w:rsid w:val="005652DB"/>
    <w:rsid w:val="00565C36"/>
    <w:rsid w:val="0056664A"/>
    <w:rsid w:val="00566CC7"/>
    <w:rsid w:val="00566D31"/>
    <w:rsid w:val="005672F9"/>
    <w:rsid w:val="005676C8"/>
    <w:rsid w:val="0056794E"/>
    <w:rsid w:val="00567C17"/>
    <w:rsid w:val="00567C9D"/>
    <w:rsid w:val="00567D10"/>
    <w:rsid w:val="00567DEA"/>
    <w:rsid w:val="00567F9E"/>
    <w:rsid w:val="0057052A"/>
    <w:rsid w:val="00570905"/>
    <w:rsid w:val="0057090E"/>
    <w:rsid w:val="00570B8E"/>
    <w:rsid w:val="00570D9C"/>
    <w:rsid w:val="00570FBE"/>
    <w:rsid w:val="005713C3"/>
    <w:rsid w:val="0057161E"/>
    <w:rsid w:val="0057177B"/>
    <w:rsid w:val="0057197A"/>
    <w:rsid w:val="00571CFD"/>
    <w:rsid w:val="00571EED"/>
    <w:rsid w:val="00571F1D"/>
    <w:rsid w:val="005722D7"/>
    <w:rsid w:val="005722F4"/>
    <w:rsid w:val="005724C5"/>
    <w:rsid w:val="00572738"/>
    <w:rsid w:val="0057298B"/>
    <w:rsid w:val="00572A07"/>
    <w:rsid w:val="00572FE4"/>
    <w:rsid w:val="00573002"/>
    <w:rsid w:val="005731B1"/>
    <w:rsid w:val="005738ED"/>
    <w:rsid w:val="00573B3B"/>
    <w:rsid w:val="00573E5F"/>
    <w:rsid w:val="00573EA7"/>
    <w:rsid w:val="00573EC0"/>
    <w:rsid w:val="0057476F"/>
    <w:rsid w:val="00574AA2"/>
    <w:rsid w:val="00574CE1"/>
    <w:rsid w:val="0057518C"/>
    <w:rsid w:val="005752DE"/>
    <w:rsid w:val="005754CE"/>
    <w:rsid w:val="00575654"/>
    <w:rsid w:val="005757A4"/>
    <w:rsid w:val="00575B16"/>
    <w:rsid w:val="00575D4D"/>
    <w:rsid w:val="005763AA"/>
    <w:rsid w:val="005763B4"/>
    <w:rsid w:val="00576499"/>
    <w:rsid w:val="00576629"/>
    <w:rsid w:val="00576639"/>
    <w:rsid w:val="0057676B"/>
    <w:rsid w:val="00576A26"/>
    <w:rsid w:val="00576AEE"/>
    <w:rsid w:val="00576B62"/>
    <w:rsid w:val="00576D2F"/>
    <w:rsid w:val="00577035"/>
    <w:rsid w:val="00577180"/>
    <w:rsid w:val="005771E7"/>
    <w:rsid w:val="005772DF"/>
    <w:rsid w:val="00577371"/>
    <w:rsid w:val="0057749E"/>
    <w:rsid w:val="005774F9"/>
    <w:rsid w:val="0058008F"/>
    <w:rsid w:val="00580448"/>
    <w:rsid w:val="00580691"/>
    <w:rsid w:val="00580A92"/>
    <w:rsid w:val="00580AB6"/>
    <w:rsid w:val="00580C41"/>
    <w:rsid w:val="00581053"/>
    <w:rsid w:val="005815F3"/>
    <w:rsid w:val="005815F4"/>
    <w:rsid w:val="00581991"/>
    <w:rsid w:val="00581A8A"/>
    <w:rsid w:val="00581B4E"/>
    <w:rsid w:val="00581D27"/>
    <w:rsid w:val="005821DC"/>
    <w:rsid w:val="0058246E"/>
    <w:rsid w:val="005824D0"/>
    <w:rsid w:val="00582F71"/>
    <w:rsid w:val="00582F9D"/>
    <w:rsid w:val="0058313B"/>
    <w:rsid w:val="00583372"/>
    <w:rsid w:val="00583396"/>
    <w:rsid w:val="0058345B"/>
    <w:rsid w:val="005834B7"/>
    <w:rsid w:val="005834D3"/>
    <w:rsid w:val="00583719"/>
    <w:rsid w:val="005839FB"/>
    <w:rsid w:val="0058454B"/>
    <w:rsid w:val="00584F9B"/>
    <w:rsid w:val="00585389"/>
    <w:rsid w:val="00585492"/>
    <w:rsid w:val="005854B3"/>
    <w:rsid w:val="00585688"/>
    <w:rsid w:val="00585B09"/>
    <w:rsid w:val="00585DBF"/>
    <w:rsid w:val="00585F0A"/>
    <w:rsid w:val="005863A1"/>
    <w:rsid w:val="0058689E"/>
    <w:rsid w:val="00586B40"/>
    <w:rsid w:val="00586D3B"/>
    <w:rsid w:val="00586D72"/>
    <w:rsid w:val="00586F14"/>
    <w:rsid w:val="0058733E"/>
    <w:rsid w:val="00587753"/>
    <w:rsid w:val="0058798D"/>
    <w:rsid w:val="00587CB8"/>
    <w:rsid w:val="00587F14"/>
    <w:rsid w:val="00587FCA"/>
    <w:rsid w:val="00590069"/>
    <w:rsid w:val="00590690"/>
    <w:rsid w:val="00590B61"/>
    <w:rsid w:val="00590C47"/>
    <w:rsid w:val="00590D80"/>
    <w:rsid w:val="00590FAE"/>
    <w:rsid w:val="0059122C"/>
    <w:rsid w:val="005918CF"/>
    <w:rsid w:val="005923A6"/>
    <w:rsid w:val="00592802"/>
    <w:rsid w:val="0059282F"/>
    <w:rsid w:val="00592906"/>
    <w:rsid w:val="00592947"/>
    <w:rsid w:val="005929EB"/>
    <w:rsid w:val="00593503"/>
    <w:rsid w:val="0059362C"/>
    <w:rsid w:val="00593754"/>
    <w:rsid w:val="00593B83"/>
    <w:rsid w:val="00593F6E"/>
    <w:rsid w:val="0059409B"/>
    <w:rsid w:val="0059418A"/>
    <w:rsid w:val="0059426F"/>
    <w:rsid w:val="00594767"/>
    <w:rsid w:val="00594B38"/>
    <w:rsid w:val="00594E6A"/>
    <w:rsid w:val="00595013"/>
    <w:rsid w:val="00595118"/>
    <w:rsid w:val="0059544C"/>
    <w:rsid w:val="00595B78"/>
    <w:rsid w:val="00595B99"/>
    <w:rsid w:val="00595C9F"/>
    <w:rsid w:val="00595CB3"/>
    <w:rsid w:val="00595EEB"/>
    <w:rsid w:val="005964A9"/>
    <w:rsid w:val="005966D4"/>
    <w:rsid w:val="005966D9"/>
    <w:rsid w:val="00596705"/>
    <w:rsid w:val="005967BE"/>
    <w:rsid w:val="00596A55"/>
    <w:rsid w:val="005971D5"/>
    <w:rsid w:val="0059724A"/>
    <w:rsid w:val="00597388"/>
    <w:rsid w:val="005975FF"/>
    <w:rsid w:val="00597B0D"/>
    <w:rsid w:val="00597C18"/>
    <w:rsid w:val="00597E9F"/>
    <w:rsid w:val="005A0491"/>
    <w:rsid w:val="005A0597"/>
    <w:rsid w:val="005A0EA7"/>
    <w:rsid w:val="005A102B"/>
    <w:rsid w:val="005A1304"/>
    <w:rsid w:val="005A1427"/>
    <w:rsid w:val="005A15FD"/>
    <w:rsid w:val="005A16F4"/>
    <w:rsid w:val="005A181A"/>
    <w:rsid w:val="005A186F"/>
    <w:rsid w:val="005A1902"/>
    <w:rsid w:val="005A1A97"/>
    <w:rsid w:val="005A1BC8"/>
    <w:rsid w:val="005A23B3"/>
    <w:rsid w:val="005A29DE"/>
    <w:rsid w:val="005A2C35"/>
    <w:rsid w:val="005A2CC4"/>
    <w:rsid w:val="005A3096"/>
    <w:rsid w:val="005A3E6E"/>
    <w:rsid w:val="005A3F24"/>
    <w:rsid w:val="005A40CC"/>
    <w:rsid w:val="005A4160"/>
    <w:rsid w:val="005A4190"/>
    <w:rsid w:val="005A41C4"/>
    <w:rsid w:val="005A4847"/>
    <w:rsid w:val="005A49D9"/>
    <w:rsid w:val="005A4B13"/>
    <w:rsid w:val="005A4EEB"/>
    <w:rsid w:val="005A4FAC"/>
    <w:rsid w:val="005A53F5"/>
    <w:rsid w:val="005A5D10"/>
    <w:rsid w:val="005A5E2A"/>
    <w:rsid w:val="005A609D"/>
    <w:rsid w:val="005A60CC"/>
    <w:rsid w:val="005A6160"/>
    <w:rsid w:val="005A61FD"/>
    <w:rsid w:val="005A67C1"/>
    <w:rsid w:val="005A6DA0"/>
    <w:rsid w:val="005A6F75"/>
    <w:rsid w:val="005A7218"/>
    <w:rsid w:val="005A738A"/>
    <w:rsid w:val="005A7416"/>
    <w:rsid w:val="005A7A88"/>
    <w:rsid w:val="005A7D20"/>
    <w:rsid w:val="005A7E0B"/>
    <w:rsid w:val="005A7E8A"/>
    <w:rsid w:val="005A7F0C"/>
    <w:rsid w:val="005B00C6"/>
    <w:rsid w:val="005B01C6"/>
    <w:rsid w:val="005B02D8"/>
    <w:rsid w:val="005B0478"/>
    <w:rsid w:val="005B0622"/>
    <w:rsid w:val="005B0BE2"/>
    <w:rsid w:val="005B10D9"/>
    <w:rsid w:val="005B1219"/>
    <w:rsid w:val="005B1324"/>
    <w:rsid w:val="005B1B21"/>
    <w:rsid w:val="005B1C52"/>
    <w:rsid w:val="005B22EB"/>
    <w:rsid w:val="005B2647"/>
    <w:rsid w:val="005B2CFB"/>
    <w:rsid w:val="005B2EB5"/>
    <w:rsid w:val="005B2F60"/>
    <w:rsid w:val="005B30E3"/>
    <w:rsid w:val="005B3367"/>
    <w:rsid w:val="005B374F"/>
    <w:rsid w:val="005B39B5"/>
    <w:rsid w:val="005B39DC"/>
    <w:rsid w:val="005B3D79"/>
    <w:rsid w:val="005B3E00"/>
    <w:rsid w:val="005B42B9"/>
    <w:rsid w:val="005B4703"/>
    <w:rsid w:val="005B4ADE"/>
    <w:rsid w:val="005B5565"/>
    <w:rsid w:val="005B561C"/>
    <w:rsid w:val="005B5829"/>
    <w:rsid w:val="005B608A"/>
    <w:rsid w:val="005B645F"/>
    <w:rsid w:val="005B674E"/>
    <w:rsid w:val="005B6971"/>
    <w:rsid w:val="005B69B2"/>
    <w:rsid w:val="005B6A20"/>
    <w:rsid w:val="005B6E93"/>
    <w:rsid w:val="005B73C2"/>
    <w:rsid w:val="005B754D"/>
    <w:rsid w:val="005B7947"/>
    <w:rsid w:val="005B7D60"/>
    <w:rsid w:val="005B7E0E"/>
    <w:rsid w:val="005C0687"/>
    <w:rsid w:val="005C0999"/>
    <w:rsid w:val="005C0ABC"/>
    <w:rsid w:val="005C0C68"/>
    <w:rsid w:val="005C0CAD"/>
    <w:rsid w:val="005C10DB"/>
    <w:rsid w:val="005C1671"/>
    <w:rsid w:val="005C1A5A"/>
    <w:rsid w:val="005C2070"/>
    <w:rsid w:val="005C2447"/>
    <w:rsid w:val="005C267C"/>
    <w:rsid w:val="005C291D"/>
    <w:rsid w:val="005C2A3C"/>
    <w:rsid w:val="005C2CB6"/>
    <w:rsid w:val="005C2DD8"/>
    <w:rsid w:val="005C2F0B"/>
    <w:rsid w:val="005C2F52"/>
    <w:rsid w:val="005C34A3"/>
    <w:rsid w:val="005C35BC"/>
    <w:rsid w:val="005C36F1"/>
    <w:rsid w:val="005C3796"/>
    <w:rsid w:val="005C3992"/>
    <w:rsid w:val="005C39F1"/>
    <w:rsid w:val="005C4364"/>
    <w:rsid w:val="005C4461"/>
    <w:rsid w:val="005C4503"/>
    <w:rsid w:val="005C4970"/>
    <w:rsid w:val="005C498B"/>
    <w:rsid w:val="005C4DD1"/>
    <w:rsid w:val="005C4ECA"/>
    <w:rsid w:val="005C51D9"/>
    <w:rsid w:val="005C53DA"/>
    <w:rsid w:val="005C5C48"/>
    <w:rsid w:val="005C5C9B"/>
    <w:rsid w:val="005C6083"/>
    <w:rsid w:val="005C61C4"/>
    <w:rsid w:val="005C64F8"/>
    <w:rsid w:val="005C65DD"/>
    <w:rsid w:val="005C6682"/>
    <w:rsid w:val="005C6760"/>
    <w:rsid w:val="005C69CE"/>
    <w:rsid w:val="005C6CBC"/>
    <w:rsid w:val="005C6F36"/>
    <w:rsid w:val="005C71F0"/>
    <w:rsid w:val="005C724A"/>
    <w:rsid w:val="005C74F3"/>
    <w:rsid w:val="005C7C3D"/>
    <w:rsid w:val="005C7E70"/>
    <w:rsid w:val="005D02CC"/>
    <w:rsid w:val="005D02EA"/>
    <w:rsid w:val="005D0946"/>
    <w:rsid w:val="005D0A88"/>
    <w:rsid w:val="005D0D87"/>
    <w:rsid w:val="005D0E72"/>
    <w:rsid w:val="005D0FB8"/>
    <w:rsid w:val="005D119C"/>
    <w:rsid w:val="005D135B"/>
    <w:rsid w:val="005D138F"/>
    <w:rsid w:val="005D15CC"/>
    <w:rsid w:val="005D15E1"/>
    <w:rsid w:val="005D1B16"/>
    <w:rsid w:val="005D1BA5"/>
    <w:rsid w:val="005D1E95"/>
    <w:rsid w:val="005D2488"/>
    <w:rsid w:val="005D27F0"/>
    <w:rsid w:val="005D2A27"/>
    <w:rsid w:val="005D2A8F"/>
    <w:rsid w:val="005D2B51"/>
    <w:rsid w:val="005D2BF9"/>
    <w:rsid w:val="005D3B01"/>
    <w:rsid w:val="005D3B73"/>
    <w:rsid w:val="005D3E2D"/>
    <w:rsid w:val="005D4047"/>
    <w:rsid w:val="005D44A0"/>
    <w:rsid w:val="005D4578"/>
    <w:rsid w:val="005D471F"/>
    <w:rsid w:val="005D47C9"/>
    <w:rsid w:val="005D4E9C"/>
    <w:rsid w:val="005D51B6"/>
    <w:rsid w:val="005D5228"/>
    <w:rsid w:val="005D5242"/>
    <w:rsid w:val="005D54D1"/>
    <w:rsid w:val="005D5740"/>
    <w:rsid w:val="005D5D90"/>
    <w:rsid w:val="005D5FEE"/>
    <w:rsid w:val="005D6364"/>
    <w:rsid w:val="005D6570"/>
    <w:rsid w:val="005D665B"/>
    <w:rsid w:val="005D66E1"/>
    <w:rsid w:val="005D6A4E"/>
    <w:rsid w:val="005D6E59"/>
    <w:rsid w:val="005D6E70"/>
    <w:rsid w:val="005D6F7A"/>
    <w:rsid w:val="005D6FCD"/>
    <w:rsid w:val="005D7047"/>
    <w:rsid w:val="005D7294"/>
    <w:rsid w:val="005D73A0"/>
    <w:rsid w:val="005D744D"/>
    <w:rsid w:val="005D76C1"/>
    <w:rsid w:val="005D7856"/>
    <w:rsid w:val="005D7AFF"/>
    <w:rsid w:val="005D7DC6"/>
    <w:rsid w:val="005E08E4"/>
    <w:rsid w:val="005E09B3"/>
    <w:rsid w:val="005E0B55"/>
    <w:rsid w:val="005E0C22"/>
    <w:rsid w:val="005E0CA1"/>
    <w:rsid w:val="005E0F9D"/>
    <w:rsid w:val="005E132C"/>
    <w:rsid w:val="005E13CB"/>
    <w:rsid w:val="005E1460"/>
    <w:rsid w:val="005E1474"/>
    <w:rsid w:val="005E186F"/>
    <w:rsid w:val="005E1A0C"/>
    <w:rsid w:val="005E1C79"/>
    <w:rsid w:val="005E1D81"/>
    <w:rsid w:val="005E2079"/>
    <w:rsid w:val="005E20C1"/>
    <w:rsid w:val="005E20CF"/>
    <w:rsid w:val="005E21C7"/>
    <w:rsid w:val="005E2292"/>
    <w:rsid w:val="005E22AC"/>
    <w:rsid w:val="005E3050"/>
    <w:rsid w:val="005E30F5"/>
    <w:rsid w:val="005E357E"/>
    <w:rsid w:val="005E3876"/>
    <w:rsid w:val="005E3D9D"/>
    <w:rsid w:val="005E3ED2"/>
    <w:rsid w:val="005E428D"/>
    <w:rsid w:val="005E4329"/>
    <w:rsid w:val="005E494D"/>
    <w:rsid w:val="005E4DCC"/>
    <w:rsid w:val="005E4F26"/>
    <w:rsid w:val="005E5625"/>
    <w:rsid w:val="005E582E"/>
    <w:rsid w:val="005E5AF6"/>
    <w:rsid w:val="005E5CA5"/>
    <w:rsid w:val="005E5CB7"/>
    <w:rsid w:val="005E5F64"/>
    <w:rsid w:val="005E6010"/>
    <w:rsid w:val="005E60FA"/>
    <w:rsid w:val="005E63C2"/>
    <w:rsid w:val="005E6456"/>
    <w:rsid w:val="005E6644"/>
    <w:rsid w:val="005E691C"/>
    <w:rsid w:val="005E6AA5"/>
    <w:rsid w:val="005E6AE2"/>
    <w:rsid w:val="005E6D19"/>
    <w:rsid w:val="005E6ED5"/>
    <w:rsid w:val="005E73A0"/>
    <w:rsid w:val="005E7842"/>
    <w:rsid w:val="005E7923"/>
    <w:rsid w:val="005E7C15"/>
    <w:rsid w:val="005E7E5A"/>
    <w:rsid w:val="005F04C5"/>
    <w:rsid w:val="005F0B6F"/>
    <w:rsid w:val="005F0C3E"/>
    <w:rsid w:val="005F0DD1"/>
    <w:rsid w:val="005F10D6"/>
    <w:rsid w:val="005F11E3"/>
    <w:rsid w:val="005F127B"/>
    <w:rsid w:val="005F214D"/>
    <w:rsid w:val="005F291A"/>
    <w:rsid w:val="005F2C15"/>
    <w:rsid w:val="005F2C54"/>
    <w:rsid w:val="005F2FFD"/>
    <w:rsid w:val="005F330B"/>
    <w:rsid w:val="005F34A3"/>
    <w:rsid w:val="005F35EE"/>
    <w:rsid w:val="005F3D28"/>
    <w:rsid w:val="005F3D62"/>
    <w:rsid w:val="005F3E67"/>
    <w:rsid w:val="005F4011"/>
    <w:rsid w:val="005F4062"/>
    <w:rsid w:val="005F407B"/>
    <w:rsid w:val="005F40AB"/>
    <w:rsid w:val="005F40CF"/>
    <w:rsid w:val="005F43A8"/>
    <w:rsid w:val="005F4475"/>
    <w:rsid w:val="005F457D"/>
    <w:rsid w:val="005F4B73"/>
    <w:rsid w:val="005F4D2C"/>
    <w:rsid w:val="005F58B7"/>
    <w:rsid w:val="005F5A5B"/>
    <w:rsid w:val="005F5CD0"/>
    <w:rsid w:val="005F6588"/>
    <w:rsid w:val="005F6627"/>
    <w:rsid w:val="005F6725"/>
    <w:rsid w:val="005F6C0E"/>
    <w:rsid w:val="005F73DC"/>
    <w:rsid w:val="005F76CD"/>
    <w:rsid w:val="005F77D9"/>
    <w:rsid w:val="005F78FC"/>
    <w:rsid w:val="005F79D9"/>
    <w:rsid w:val="005F7B56"/>
    <w:rsid w:val="00600094"/>
    <w:rsid w:val="0060036D"/>
    <w:rsid w:val="0060080B"/>
    <w:rsid w:val="00600CB6"/>
    <w:rsid w:val="00600E04"/>
    <w:rsid w:val="00600EB3"/>
    <w:rsid w:val="006013E1"/>
    <w:rsid w:val="006018B3"/>
    <w:rsid w:val="00601C31"/>
    <w:rsid w:val="00601F6B"/>
    <w:rsid w:val="00602389"/>
    <w:rsid w:val="00602C3A"/>
    <w:rsid w:val="0060386C"/>
    <w:rsid w:val="00603967"/>
    <w:rsid w:val="00603BA0"/>
    <w:rsid w:val="00603CB4"/>
    <w:rsid w:val="00603E07"/>
    <w:rsid w:val="00603E6A"/>
    <w:rsid w:val="006045AE"/>
    <w:rsid w:val="006047C9"/>
    <w:rsid w:val="00604A82"/>
    <w:rsid w:val="00604C04"/>
    <w:rsid w:val="00604CB2"/>
    <w:rsid w:val="00604DDF"/>
    <w:rsid w:val="006050B7"/>
    <w:rsid w:val="006052F8"/>
    <w:rsid w:val="00605695"/>
    <w:rsid w:val="006059A2"/>
    <w:rsid w:val="00605A51"/>
    <w:rsid w:val="00605FCF"/>
    <w:rsid w:val="0060644C"/>
    <w:rsid w:val="0060663E"/>
    <w:rsid w:val="006067D7"/>
    <w:rsid w:val="00606D86"/>
    <w:rsid w:val="006071A0"/>
    <w:rsid w:val="006071A7"/>
    <w:rsid w:val="006077E3"/>
    <w:rsid w:val="006078BA"/>
    <w:rsid w:val="006079A8"/>
    <w:rsid w:val="00607B0D"/>
    <w:rsid w:val="00607BE1"/>
    <w:rsid w:val="00607D69"/>
    <w:rsid w:val="006105D7"/>
    <w:rsid w:val="006105FD"/>
    <w:rsid w:val="006108F7"/>
    <w:rsid w:val="00610B60"/>
    <w:rsid w:val="00610D9A"/>
    <w:rsid w:val="00610E36"/>
    <w:rsid w:val="00611261"/>
    <w:rsid w:val="0061134F"/>
    <w:rsid w:val="006113B3"/>
    <w:rsid w:val="00611560"/>
    <w:rsid w:val="00611760"/>
    <w:rsid w:val="00611A90"/>
    <w:rsid w:val="00611B6C"/>
    <w:rsid w:val="00611C0A"/>
    <w:rsid w:val="00611E4F"/>
    <w:rsid w:val="00612363"/>
    <w:rsid w:val="00612604"/>
    <w:rsid w:val="0061278B"/>
    <w:rsid w:val="0061293B"/>
    <w:rsid w:val="00612AEC"/>
    <w:rsid w:val="00612BF5"/>
    <w:rsid w:val="00612CFC"/>
    <w:rsid w:val="00612D6E"/>
    <w:rsid w:val="00612EB9"/>
    <w:rsid w:val="00612EEF"/>
    <w:rsid w:val="006132B7"/>
    <w:rsid w:val="006133BA"/>
    <w:rsid w:val="006133DC"/>
    <w:rsid w:val="0061358F"/>
    <w:rsid w:val="006137EF"/>
    <w:rsid w:val="006139EC"/>
    <w:rsid w:val="00613A23"/>
    <w:rsid w:val="00613CB9"/>
    <w:rsid w:val="006145E9"/>
    <w:rsid w:val="006147B6"/>
    <w:rsid w:val="0061483F"/>
    <w:rsid w:val="00614E26"/>
    <w:rsid w:val="00614F80"/>
    <w:rsid w:val="00615121"/>
    <w:rsid w:val="00615958"/>
    <w:rsid w:val="0061614C"/>
    <w:rsid w:val="00616450"/>
    <w:rsid w:val="006164BB"/>
    <w:rsid w:val="006166F8"/>
    <w:rsid w:val="006168C0"/>
    <w:rsid w:val="006168F5"/>
    <w:rsid w:val="00616A27"/>
    <w:rsid w:val="00616BF7"/>
    <w:rsid w:val="00616F8E"/>
    <w:rsid w:val="00617323"/>
    <w:rsid w:val="00617691"/>
    <w:rsid w:val="006179B5"/>
    <w:rsid w:val="00617A26"/>
    <w:rsid w:val="00617BEA"/>
    <w:rsid w:val="00617D23"/>
    <w:rsid w:val="00620501"/>
    <w:rsid w:val="00620568"/>
    <w:rsid w:val="0062071E"/>
    <w:rsid w:val="00620734"/>
    <w:rsid w:val="006208EA"/>
    <w:rsid w:val="00620AEF"/>
    <w:rsid w:val="00620B7D"/>
    <w:rsid w:val="00620D34"/>
    <w:rsid w:val="00621356"/>
    <w:rsid w:val="0062163D"/>
    <w:rsid w:val="00621D71"/>
    <w:rsid w:val="00621DDE"/>
    <w:rsid w:val="00621E01"/>
    <w:rsid w:val="006229DD"/>
    <w:rsid w:val="00622ADB"/>
    <w:rsid w:val="00623E85"/>
    <w:rsid w:val="00624168"/>
    <w:rsid w:val="006241A7"/>
    <w:rsid w:val="006242BC"/>
    <w:rsid w:val="0062545F"/>
    <w:rsid w:val="006256A6"/>
    <w:rsid w:val="00625918"/>
    <w:rsid w:val="00625BDE"/>
    <w:rsid w:val="00626939"/>
    <w:rsid w:val="00626C65"/>
    <w:rsid w:val="00626DCE"/>
    <w:rsid w:val="00627310"/>
    <w:rsid w:val="00627463"/>
    <w:rsid w:val="0062781C"/>
    <w:rsid w:val="006278EE"/>
    <w:rsid w:val="00630349"/>
    <w:rsid w:val="00630847"/>
    <w:rsid w:val="006308AA"/>
    <w:rsid w:val="00630CA5"/>
    <w:rsid w:val="00630CC8"/>
    <w:rsid w:val="00630CE0"/>
    <w:rsid w:val="00630FFC"/>
    <w:rsid w:val="0063106E"/>
    <w:rsid w:val="006310E9"/>
    <w:rsid w:val="006312BC"/>
    <w:rsid w:val="00631361"/>
    <w:rsid w:val="006313DA"/>
    <w:rsid w:val="00631871"/>
    <w:rsid w:val="00631C87"/>
    <w:rsid w:val="00631E75"/>
    <w:rsid w:val="00632143"/>
    <w:rsid w:val="00632224"/>
    <w:rsid w:val="00632418"/>
    <w:rsid w:val="006325E0"/>
    <w:rsid w:val="00632FAC"/>
    <w:rsid w:val="0063372D"/>
    <w:rsid w:val="0063379F"/>
    <w:rsid w:val="00633BDD"/>
    <w:rsid w:val="00633C34"/>
    <w:rsid w:val="00633F31"/>
    <w:rsid w:val="006341FB"/>
    <w:rsid w:val="006342C4"/>
    <w:rsid w:val="00634937"/>
    <w:rsid w:val="00634D35"/>
    <w:rsid w:val="00634D9D"/>
    <w:rsid w:val="00635196"/>
    <w:rsid w:val="0063545B"/>
    <w:rsid w:val="00635533"/>
    <w:rsid w:val="00635A44"/>
    <w:rsid w:val="00635BC0"/>
    <w:rsid w:val="00635EE0"/>
    <w:rsid w:val="00635F79"/>
    <w:rsid w:val="006360EC"/>
    <w:rsid w:val="0063613D"/>
    <w:rsid w:val="006362D0"/>
    <w:rsid w:val="00636733"/>
    <w:rsid w:val="00636900"/>
    <w:rsid w:val="00636A28"/>
    <w:rsid w:val="00636B9E"/>
    <w:rsid w:val="00636D0B"/>
    <w:rsid w:val="00636F14"/>
    <w:rsid w:val="00637106"/>
    <w:rsid w:val="006372BC"/>
    <w:rsid w:val="006375B7"/>
    <w:rsid w:val="00637CBD"/>
    <w:rsid w:val="00637E93"/>
    <w:rsid w:val="00637F35"/>
    <w:rsid w:val="006402E2"/>
    <w:rsid w:val="006407B2"/>
    <w:rsid w:val="0064092E"/>
    <w:rsid w:val="00640D6F"/>
    <w:rsid w:val="00640F36"/>
    <w:rsid w:val="0064102A"/>
    <w:rsid w:val="00641109"/>
    <w:rsid w:val="006412E0"/>
    <w:rsid w:val="00641320"/>
    <w:rsid w:val="00641551"/>
    <w:rsid w:val="006418FC"/>
    <w:rsid w:val="00642168"/>
    <w:rsid w:val="006421A0"/>
    <w:rsid w:val="00642417"/>
    <w:rsid w:val="0064325A"/>
    <w:rsid w:val="006432F6"/>
    <w:rsid w:val="00643575"/>
    <w:rsid w:val="00643BA6"/>
    <w:rsid w:val="006440F4"/>
    <w:rsid w:val="00644180"/>
    <w:rsid w:val="0064424B"/>
    <w:rsid w:val="006442FF"/>
    <w:rsid w:val="00644430"/>
    <w:rsid w:val="006444C3"/>
    <w:rsid w:val="006444D4"/>
    <w:rsid w:val="006449FE"/>
    <w:rsid w:val="00644A3D"/>
    <w:rsid w:val="00644BFA"/>
    <w:rsid w:val="00644DE3"/>
    <w:rsid w:val="00644DFB"/>
    <w:rsid w:val="00644E3A"/>
    <w:rsid w:val="0064502E"/>
    <w:rsid w:val="006457F7"/>
    <w:rsid w:val="0064597A"/>
    <w:rsid w:val="00645D43"/>
    <w:rsid w:val="00645F70"/>
    <w:rsid w:val="006460D0"/>
    <w:rsid w:val="0064629C"/>
    <w:rsid w:val="0064631D"/>
    <w:rsid w:val="0064635D"/>
    <w:rsid w:val="00646826"/>
    <w:rsid w:val="00646AB4"/>
    <w:rsid w:val="00646B86"/>
    <w:rsid w:val="00647231"/>
    <w:rsid w:val="00647463"/>
    <w:rsid w:val="00647551"/>
    <w:rsid w:val="0064763D"/>
    <w:rsid w:val="00647661"/>
    <w:rsid w:val="00647800"/>
    <w:rsid w:val="006478EF"/>
    <w:rsid w:val="006479B0"/>
    <w:rsid w:val="00647AE7"/>
    <w:rsid w:val="00647B81"/>
    <w:rsid w:val="00647C2E"/>
    <w:rsid w:val="00647D45"/>
    <w:rsid w:val="00647D9B"/>
    <w:rsid w:val="00650048"/>
    <w:rsid w:val="00650319"/>
    <w:rsid w:val="006509E7"/>
    <w:rsid w:val="00650D6C"/>
    <w:rsid w:val="006513CC"/>
    <w:rsid w:val="006515A4"/>
    <w:rsid w:val="00651824"/>
    <w:rsid w:val="00651C07"/>
    <w:rsid w:val="00651F55"/>
    <w:rsid w:val="0065213B"/>
    <w:rsid w:val="0065237C"/>
    <w:rsid w:val="006528FD"/>
    <w:rsid w:val="0065295A"/>
    <w:rsid w:val="00652A92"/>
    <w:rsid w:val="00652AEE"/>
    <w:rsid w:val="00652B48"/>
    <w:rsid w:val="00652BB5"/>
    <w:rsid w:val="00652ED3"/>
    <w:rsid w:val="00652F7F"/>
    <w:rsid w:val="0065347C"/>
    <w:rsid w:val="0065396E"/>
    <w:rsid w:val="006539A4"/>
    <w:rsid w:val="00653BCE"/>
    <w:rsid w:val="00653DD5"/>
    <w:rsid w:val="00653F69"/>
    <w:rsid w:val="006541A0"/>
    <w:rsid w:val="006543BF"/>
    <w:rsid w:val="0065448C"/>
    <w:rsid w:val="0065492B"/>
    <w:rsid w:val="00654F3F"/>
    <w:rsid w:val="006555E4"/>
    <w:rsid w:val="00655A27"/>
    <w:rsid w:val="0065629B"/>
    <w:rsid w:val="0065637F"/>
    <w:rsid w:val="00656496"/>
    <w:rsid w:val="006564C6"/>
    <w:rsid w:val="0065665E"/>
    <w:rsid w:val="00656828"/>
    <w:rsid w:val="00656C19"/>
    <w:rsid w:val="00656C5D"/>
    <w:rsid w:val="00656DCB"/>
    <w:rsid w:val="00657746"/>
    <w:rsid w:val="00657A6B"/>
    <w:rsid w:val="00657F02"/>
    <w:rsid w:val="006603EA"/>
    <w:rsid w:val="006607F9"/>
    <w:rsid w:val="006609EB"/>
    <w:rsid w:val="00660CD7"/>
    <w:rsid w:val="00660D06"/>
    <w:rsid w:val="00661305"/>
    <w:rsid w:val="00661483"/>
    <w:rsid w:val="00661869"/>
    <w:rsid w:val="0066187D"/>
    <w:rsid w:val="00662474"/>
    <w:rsid w:val="006627DE"/>
    <w:rsid w:val="00662986"/>
    <w:rsid w:val="006629CD"/>
    <w:rsid w:val="00662B3C"/>
    <w:rsid w:val="00662DCF"/>
    <w:rsid w:val="00662ED8"/>
    <w:rsid w:val="0066310E"/>
    <w:rsid w:val="00663196"/>
    <w:rsid w:val="006631BB"/>
    <w:rsid w:val="006633C8"/>
    <w:rsid w:val="006633ED"/>
    <w:rsid w:val="006639A7"/>
    <w:rsid w:val="00663EF3"/>
    <w:rsid w:val="00664110"/>
    <w:rsid w:val="0066413D"/>
    <w:rsid w:val="006641ED"/>
    <w:rsid w:val="0066423B"/>
    <w:rsid w:val="00664250"/>
    <w:rsid w:val="00664960"/>
    <w:rsid w:val="00664A89"/>
    <w:rsid w:val="006650E7"/>
    <w:rsid w:val="00665650"/>
    <w:rsid w:val="006656BE"/>
    <w:rsid w:val="006659BE"/>
    <w:rsid w:val="00665B08"/>
    <w:rsid w:val="00665B62"/>
    <w:rsid w:val="00665F87"/>
    <w:rsid w:val="006665FB"/>
    <w:rsid w:val="0066664B"/>
    <w:rsid w:val="006668AA"/>
    <w:rsid w:val="00666ED6"/>
    <w:rsid w:val="00666F5E"/>
    <w:rsid w:val="006676CE"/>
    <w:rsid w:val="00667774"/>
    <w:rsid w:val="00667AD0"/>
    <w:rsid w:val="00667CD0"/>
    <w:rsid w:val="00670243"/>
    <w:rsid w:val="0067034F"/>
    <w:rsid w:val="00670461"/>
    <w:rsid w:val="006709D3"/>
    <w:rsid w:val="00670C91"/>
    <w:rsid w:val="00670E21"/>
    <w:rsid w:val="00670F4C"/>
    <w:rsid w:val="00671126"/>
    <w:rsid w:val="006715C7"/>
    <w:rsid w:val="0067181E"/>
    <w:rsid w:val="00671ADF"/>
    <w:rsid w:val="00671B41"/>
    <w:rsid w:val="00671C29"/>
    <w:rsid w:val="00672090"/>
    <w:rsid w:val="00672127"/>
    <w:rsid w:val="00672147"/>
    <w:rsid w:val="006721C3"/>
    <w:rsid w:val="006722B5"/>
    <w:rsid w:val="00672582"/>
    <w:rsid w:val="0067280D"/>
    <w:rsid w:val="00672AD6"/>
    <w:rsid w:val="00672CFC"/>
    <w:rsid w:val="00672DF8"/>
    <w:rsid w:val="006730D4"/>
    <w:rsid w:val="00673289"/>
    <w:rsid w:val="00673CDC"/>
    <w:rsid w:val="00673EB8"/>
    <w:rsid w:val="00673FBD"/>
    <w:rsid w:val="00674227"/>
    <w:rsid w:val="00674278"/>
    <w:rsid w:val="00674446"/>
    <w:rsid w:val="006744A8"/>
    <w:rsid w:val="0067473A"/>
    <w:rsid w:val="006748D1"/>
    <w:rsid w:val="00674E5C"/>
    <w:rsid w:val="00674E82"/>
    <w:rsid w:val="00675097"/>
    <w:rsid w:val="0067567C"/>
    <w:rsid w:val="00675800"/>
    <w:rsid w:val="00675890"/>
    <w:rsid w:val="00675BBF"/>
    <w:rsid w:val="00675C1F"/>
    <w:rsid w:val="00675D20"/>
    <w:rsid w:val="006767D6"/>
    <w:rsid w:val="00677958"/>
    <w:rsid w:val="00677CDB"/>
    <w:rsid w:val="00677E0C"/>
    <w:rsid w:val="00680190"/>
    <w:rsid w:val="006805FC"/>
    <w:rsid w:val="0068073A"/>
    <w:rsid w:val="006808A3"/>
    <w:rsid w:val="00680E07"/>
    <w:rsid w:val="0068110D"/>
    <w:rsid w:val="006813E2"/>
    <w:rsid w:val="0068148D"/>
    <w:rsid w:val="0068160D"/>
    <w:rsid w:val="0068192F"/>
    <w:rsid w:val="0068197B"/>
    <w:rsid w:val="00681D64"/>
    <w:rsid w:val="00681F12"/>
    <w:rsid w:val="00681FC7"/>
    <w:rsid w:val="0068208E"/>
    <w:rsid w:val="00682336"/>
    <w:rsid w:val="006829AF"/>
    <w:rsid w:val="00682FCE"/>
    <w:rsid w:val="00683236"/>
    <w:rsid w:val="006832FB"/>
    <w:rsid w:val="006834BB"/>
    <w:rsid w:val="00683652"/>
    <w:rsid w:val="006836E9"/>
    <w:rsid w:val="00683816"/>
    <w:rsid w:val="00683961"/>
    <w:rsid w:val="006839F1"/>
    <w:rsid w:val="00683D92"/>
    <w:rsid w:val="00683F25"/>
    <w:rsid w:val="006842AA"/>
    <w:rsid w:val="00684347"/>
    <w:rsid w:val="00684486"/>
    <w:rsid w:val="006844A5"/>
    <w:rsid w:val="00684986"/>
    <w:rsid w:val="0068569C"/>
    <w:rsid w:val="00685759"/>
    <w:rsid w:val="0068578E"/>
    <w:rsid w:val="00685825"/>
    <w:rsid w:val="0068587C"/>
    <w:rsid w:val="00685948"/>
    <w:rsid w:val="006860C3"/>
    <w:rsid w:val="0068641C"/>
    <w:rsid w:val="0068677D"/>
    <w:rsid w:val="0068687F"/>
    <w:rsid w:val="00686A2F"/>
    <w:rsid w:val="00686DEF"/>
    <w:rsid w:val="00686E9E"/>
    <w:rsid w:val="00687192"/>
    <w:rsid w:val="0068739A"/>
    <w:rsid w:val="006875FB"/>
    <w:rsid w:val="00687640"/>
    <w:rsid w:val="00687717"/>
    <w:rsid w:val="006877E6"/>
    <w:rsid w:val="006879DB"/>
    <w:rsid w:val="006905C1"/>
    <w:rsid w:val="006909B4"/>
    <w:rsid w:val="00690A01"/>
    <w:rsid w:val="00690A29"/>
    <w:rsid w:val="00690AA4"/>
    <w:rsid w:val="00690BCD"/>
    <w:rsid w:val="0069117C"/>
    <w:rsid w:val="0069120A"/>
    <w:rsid w:val="0069122C"/>
    <w:rsid w:val="0069172E"/>
    <w:rsid w:val="00691737"/>
    <w:rsid w:val="006917CD"/>
    <w:rsid w:val="00691C68"/>
    <w:rsid w:val="00691E40"/>
    <w:rsid w:val="006924CE"/>
    <w:rsid w:val="0069271C"/>
    <w:rsid w:val="006928A4"/>
    <w:rsid w:val="00692AC7"/>
    <w:rsid w:val="00692AD8"/>
    <w:rsid w:val="00692B35"/>
    <w:rsid w:val="00692CCE"/>
    <w:rsid w:val="00692DA8"/>
    <w:rsid w:val="00693A8E"/>
    <w:rsid w:val="00694073"/>
    <w:rsid w:val="0069461B"/>
    <w:rsid w:val="00694863"/>
    <w:rsid w:val="00694A70"/>
    <w:rsid w:val="00694F6B"/>
    <w:rsid w:val="00694FF1"/>
    <w:rsid w:val="00695130"/>
    <w:rsid w:val="006951D6"/>
    <w:rsid w:val="0069560A"/>
    <w:rsid w:val="00695B04"/>
    <w:rsid w:val="00695C45"/>
    <w:rsid w:val="00696676"/>
    <w:rsid w:val="00696762"/>
    <w:rsid w:val="00696897"/>
    <w:rsid w:val="006969A9"/>
    <w:rsid w:val="00696C46"/>
    <w:rsid w:val="00696DB3"/>
    <w:rsid w:val="006971D1"/>
    <w:rsid w:val="006976F3"/>
    <w:rsid w:val="0069770A"/>
    <w:rsid w:val="006977C3"/>
    <w:rsid w:val="006979AE"/>
    <w:rsid w:val="00697AEF"/>
    <w:rsid w:val="00697CEE"/>
    <w:rsid w:val="006A078D"/>
    <w:rsid w:val="006A0D2C"/>
    <w:rsid w:val="006A0E26"/>
    <w:rsid w:val="006A120A"/>
    <w:rsid w:val="006A1298"/>
    <w:rsid w:val="006A1699"/>
    <w:rsid w:val="006A232B"/>
    <w:rsid w:val="006A246A"/>
    <w:rsid w:val="006A2608"/>
    <w:rsid w:val="006A304E"/>
    <w:rsid w:val="006A3229"/>
    <w:rsid w:val="006A331D"/>
    <w:rsid w:val="006A3928"/>
    <w:rsid w:val="006A3D6D"/>
    <w:rsid w:val="006A3D85"/>
    <w:rsid w:val="006A3DB8"/>
    <w:rsid w:val="006A4131"/>
    <w:rsid w:val="006A41E5"/>
    <w:rsid w:val="006A43AD"/>
    <w:rsid w:val="006A452B"/>
    <w:rsid w:val="006A464D"/>
    <w:rsid w:val="006A46B5"/>
    <w:rsid w:val="006A4A7E"/>
    <w:rsid w:val="006A4C30"/>
    <w:rsid w:val="006A4D3B"/>
    <w:rsid w:val="006A4E71"/>
    <w:rsid w:val="006A4FF2"/>
    <w:rsid w:val="006A5118"/>
    <w:rsid w:val="006A532A"/>
    <w:rsid w:val="006A5510"/>
    <w:rsid w:val="006A58AC"/>
    <w:rsid w:val="006A5E4A"/>
    <w:rsid w:val="006A5EC3"/>
    <w:rsid w:val="006A6094"/>
    <w:rsid w:val="006A60DE"/>
    <w:rsid w:val="006A6457"/>
    <w:rsid w:val="006A6A7C"/>
    <w:rsid w:val="006A6E83"/>
    <w:rsid w:val="006A6F34"/>
    <w:rsid w:val="006A703A"/>
    <w:rsid w:val="006A70C3"/>
    <w:rsid w:val="006A75A5"/>
    <w:rsid w:val="006A75C2"/>
    <w:rsid w:val="006A7747"/>
    <w:rsid w:val="006A7872"/>
    <w:rsid w:val="006A7876"/>
    <w:rsid w:val="006A7A72"/>
    <w:rsid w:val="006A7E91"/>
    <w:rsid w:val="006B01BF"/>
    <w:rsid w:val="006B06BF"/>
    <w:rsid w:val="006B0A61"/>
    <w:rsid w:val="006B1105"/>
    <w:rsid w:val="006B1344"/>
    <w:rsid w:val="006B1496"/>
    <w:rsid w:val="006B14F9"/>
    <w:rsid w:val="006B1542"/>
    <w:rsid w:val="006B16DD"/>
    <w:rsid w:val="006B1F96"/>
    <w:rsid w:val="006B2293"/>
    <w:rsid w:val="006B25C6"/>
    <w:rsid w:val="006B2941"/>
    <w:rsid w:val="006B334A"/>
    <w:rsid w:val="006B33CF"/>
    <w:rsid w:val="006B34E3"/>
    <w:rsid w:val="006B34FA"/>
    <w:rsid w:val="006B37E1"/>
    <w:rsid w:val="006B38F8"/>
    <w:rsid w:val="006B39EC"/>
    <w:rsid w:val="006B3B00"/>
    <w:rsid w:val="006B3B52"/>
    <w:rsid w:val="006B3D8A"/>
    <w:rsid w:val="006B4014"/>
    <w:rsid w:val="006B4051"/>
    <w:rsid w:val="006B418A"/>
    <w:rsid w:val="006B424F"/>
    <w:rsid w:val="006B4337"/>
    <w:rsid w:val="006B44D7"/>
    <w:rsid w:val="006B4871"/>
    <w:rsid w:val="006B48F1"/>
    <w:rsid w:val="006B4B79"/>
    <w:rsid w:val="006B4BCF"/>
    <w:rsid w:val="006B4C66"/>
    <w:rsid w:val="006B5219"/>
    <w:rsid w:val="006B5BC9"/>
    <w:rsid w:val="006B5D6A"/>
    <w:rsid w:val="006B63AD"/>
    <w:rsid w:val="006B66D9"/>
    <w:rsid w:val="006B6894"/>
    <w:rsid w:val="006B6AFE"/>
    <w:rsid w:val="006B6C28"/>
    <w:rsid w:val="006B7000"/>
    <w:rsid w:val="006B772D"/>
    <w:rsid w:val="006B7A59"/>
    <w:rsid w:val="006B7E1B"/>
    <w:rsid w:val="006C0558"/>
    <w:rsid w:val="006C0AEC"/>
    <w:rsid w:val="006C10B9"/>
    <w:rsid w:val="006C152F"/>
    <w:rsid w:val="006C159C"/>
    <w:rsid w:val="006C161D"/>
    <w:rsid w:val="006C163C"/>
    <w:rsid w:val="006C183C"/>
    <w:rsid w:val="006C19F1"/>
    <w:rsid w:val="006C1BD5"/>
    <w:rsid w:val="006C1CAC"/>
    <w:rsid w:val="006C1CFC"/>
    <w:rsid w:val="006C1D66"/>
    <w:rsid w:val="006C2045"/>
    <w:rsid w:val="006C20BD"/>
    <w:rsid w:val="006C22AA"/>
    <w:rsid w:val="006C2635"/>
    <w:rsid w:val="006C268A"/>
    <w:rsid w:val="006C2779"/>
    <w:rsid w:val="006C279B"/>
    <w:rsid w:val="006C29FA"/>
    <w:rsid w:val="006C2B46"/>
    <w:rsid w:val="006C2CA6"/>
    <w:rsid w:val="006C3842"/>
    <w:rsid w:val="006C407B"/>
    <w:rsid w:val="006C47E6"/>
    <w:rsid w:val="006C4B3F"/>
    <w:rsid w:val="006C4BEC"/>
    <w:rsid w:val="006C4DEF"/>
    <w:rsid w:val="006C519B"/>
    <w:rsid w:val="006C526C"/>
    <w:rsid w:val="006C54FF"/>
    <w:rsid w:val="006C560A"/>
    <w:rsid w:val="006C5611"/>
    <w:rsid w:val="006C57D4"/>
    <w:rsid w:val="006C5A79"/>
    <w:rsid w:val="006C5B11"/>
    <w:rsid w:val="006C5C7C"/>
    <w:rsid w:val="006C5F4A"/>
    <w:rsid w:val="006C6429"/>
    <w:rsid w:val="006C6488"/>
    <w:rsid w:val="006C667B"/>
    <w:rsid w:val="006C6843"/>
    <w:rsid w:val="006C6F38"/>
    <w:rsid w:val="006C722A"/>
    <w:rsid w:val="006C7582"/>
    <w:rsid w:val="006C75D0"/>
    <w:rsid w:val="006C766D"/>
    <w:rsid w:val="006C7D39"/>
    <w:rsid w:val="006D0006"/>
    <w:rsid w:val="006D0183"/>
    <w:rsid w:val="006D02FD"/>
    <w:rsid w:val="006D0360"/>
    <w:rsid w:val="006D0369"/>
    <w:rsid w:val="006D0422"/>
    <w:rsid w:val="006D0671"/>
    <w:rsid w:val="006D0952"/>
    <w:rsid w:val="006D0A8E"/>
    <w:rsid w:val="006D0F82"/>
    <w:rsid w:val="006D12F3"/>
    <w:rsid w:val="006D16D8"/>
    <w:rsid w:val="006D2289"/>
    <w:rsid w:val="006D2721"/>
    <w:rsid w:val="006D2BF6"/>
    <w:rsid w:val="006D2DA2"/>
    <w:rsid w:val="006D347D"/>
    <w:rsid w:val="006D3485"/>
    <w:rsid w:val="006D35BE"/>
    <w:rsid w:val="006D3BB3"/>
    <w:rsid w:val="006D3D59"/>
    <w:rsid w:val="006D3DB6"/>
    <w:rsid w:val="006D3E0F"/>
    <w:rsid w:val="006D3F3D"/>
    <w:rsid w:val="006D3FCE"/>
    <w:rsid w:val="006D4028"/>
    <w:rsid w:val="006D41C7"/>
    <w:rsid w:val="006D4239"/>
    <w:rsid w:val="006D4490"/>
    <w:rsid w:val="006D4530"/>
    <w:rsid w:val="006D4587"/>
    <w:rsid w:val="006D45AB"/>
    <w:rsid w:val="006D48CD"/>
    <w:rsid w:val="006D4B39"/>
    <w:rsid w:val="006D4BB6"/>
    <w:rsid w:val="006D4C42"/>
    <w:rsid w:val="006D4D25"/>
    <w:rsid w:val="006D5234"/>
    <w:rsid w:val="006D57CE"/>
    <w:rsid w:val="006D598A"/>
    <w:rsid w:val="006D5E99"/>
    <w:rsid w:val="006D6076"/>
    <w:rsid w:val="006D6135"/>
    <w:rsid w:val="006D6243"/>
    <w:rsid w:val="006D633A"/>
    <w:rsid w:val="006D6434"/>
    <w:rsid w:val="006D64C0"/>
    <w:rsid w:val="006D678C"/>
    <w:rsid w:val="006D695E"/>
    <w:rsid w:val="006D6A3E"/>
    <w:rsid w:val="006D6AF9"/>
    <w:rsid w:val="006D6CAD"/>
    <w:rsid w:val="006D6DB0"/>
    <w:rsid w:val="006D7247"/>
    <w:rsid w:val="006D741C"/>
    <w:rsid w:val="006E016A"/>
    <w:rsid w:val="006E05FC"/>
    <w:rsid w:val="006E0611"/>
    <w:rsid w:val="006E06A7"/>
    <w:rsid w:val="006E079D"/>
    <w:rsid w:val="006E08EF"/>
    <w:rsid w:val="006E0997"/>
    <w:rsid w:val="006E0AC6"/>
    <w:rsid w:val="006E0D4C"/>
    <w:rsid w:val="006E0D86"/>
    <w:rsid w:val="006E0D9B"/>
    <w:rsid w:val="006E0D9F"/>
    <w:rsid w:val="006E0E48"/>
    <w:rsid w:val="006E0E71"/>
    <w:rsid w:val="006E1163"/>
    <w:rsid w:val="006E121E"/>
    <w:rsid w:val="006E140E"/>
    <w:rsid w:val="006E1622"/>
    <w:rsid w:val="006E1F8C"/>
    <w:rsid w:val="006E200C"/>
    <w:rsid w:val="006E20BF"/>
    <w:rsid w:val="006E22C8"/>
    <w:rsid w:val="006E2570"/>
    <w:rsid w:val="006E2A99"/>
    <w:rsid w:val="006E2BE5"/>
    <w:rsid w:val="006E2D90"/>
    <w:rsid w:val="006E35AE"/>
    <w:rsid w:val="006E36B2"/>
    <w:rsid w:val="006E370F"/>
    <w:rsid w:val="006E38FC"/>
    <w:rsid w:val="006E42EC"/>
    <w:rsid w:val="006E4420"/>
    <w:rsid w:val="006E443E"/>
    <w:rsid w:val="006E448D"/>
    <w:rsid w:val="006E4493"/>
    <w:rsid w:val="006E472B"/>
    <w:rsid w:val="006E4982"/>
    <w:rsid w:val="006E4C0B"/>
    <w:rsid w:val="006E4D00"/>
    <w:rsid w:val="006E5AA7"/>
    <w:rsid w:val="006E5ACE"/>
    <w:rsid w:val="006E5D2F"/>
    <w:rsid w:val="006E625A"/>
    <w:rsid w:val="006E653D"/>
    <w:rsid w:val="006E6549"/>
    <w:rsid w:val="006E689E"/>
    <w:rsid w:val="006E6902"/>
    <w:rsid w:val="006E6A21"/>
    <w:rsid w:val="006E6CBA"/>
    <w:rsid w:val="006E6DAC"/>
    <w:rsid w:val="006E6F3B"/>
    <w:rsid w:val="006E760B"/>
    <w:rsid w:val="006E766C"/>
    <w:rsid w:val="006E7896"/>
    <w:rsid w:val="006E7D12"/>
    <w:rsid w:val="006F032A"/>
    <w:rsid w:val="006F0594"/>
    <w:rsid w:val="006F0617"/>
    <w:rsid w:val="006F089A"/>
    <w:rsid w:val="006F0972"/>
    <w:rsid w:val="006F0AFC"/>
    <w:rsid w:val="006F0B58"/>
    <w:rsid w:val="006F141B"/>
    <w:rsid w:val="006F1B75"/>
    <w:rsid w:val="006F1D2C"/>
    <w:rsid w:val="006F21E4"/>
    <w:rsid w:val="006F2535"/>
    <w:rsid w:val="006F2A63"/>
    <w:rsid w:val="006F30B1"/>
    <w:rsid w:val="006F39BB"/>
    <w:rsid w:val="006F3CF8"/>
    <w:rsid w:val="006F3F31"/>
    <w:rsid w:val="006F3FEB"/>
    <w:rsid w:val="006F404C"/>
    <w:rsid w:val="006F4218"/>
    <w:rsid w:val="006F52A6"/>
    <w:rsid w:val="006F52C7"/>
    <w:rsid w:val="006F541C"/>
    <w:rsid w:val="006F5CE7"/>
    <w:rsid w:val="006F5D48"/>
    <w:rsid w:val="006F5F63"/>
    <w:rsid w:val="006F6127"/>
    <w:rsid w:val="006F65DE"/>
    <w:rsid w:val="006F66E5"/>
    <w:rsid w:val="006F690B"/>
    <w:rsid w:val="006F6A36"/>
    <w:rsid w:val="006F6AFB"/>
    <w:rsid w:val="006F6BF2"/>
    <w:rsid w:val="006F6E0F"/>
    <w:rsid w:val="006F74EA"/>
    <w:rsid w:val="006F7A16"/>
    <w:rsid w:val="006F7EC3"/>
    <w:rsid w:val="00700093"/>
    <w:rsid w:val="007000B5"/>
    <w:rsid w:val="0070015A"/>
    <w:rsid w:val="007007A1"/>
    <w:rsid w:val="00700842"/>
    <w:rsid w:val="00700D97"/>
    <w:rsid w:val="00701288"/>
    <w:rsid w:val="00701339"/>
    <w:rsid w:val="007013DF"/>
    <w:rsid w:val="0070190F"/>
    <w:rsid w:val="00701FEF"/>
    <w:rsid w:val="00702270"/>
    <w:rsid w:val="00702568"/>
    <w:rsid w:val="0070259A"/>
    <w:rsid w:val="007025AA"/>
    <w:rsid w:val="00702667"/>
    <w:rsid w:val="00702722"/>
    <w:rsid w:val="00702889"/>
    <w:rsid w:val="00702959"/>
    <w:rsid w:val="00702CA8"/>
    <w:rsid w:val="00703059"/>
    <w:rsid w:val="00703142"/>
    <w:rsid w:val="0070356C"/>
    <w:rsid w:val="0070358C"/>
    <w:rsid w:val="00703D58"/>
    <w:rsid w:val="0070400F"/>
    <w:rsid w:val="00704286"/>
    <w:rsid w:val="007042DF"/>
    <w:rsid w:val="007043CB"/>
    <w:rsid w:val="00704598"/>
    <w:rsid w:val="007046BC"/>
    <w:rsid w:val="00704EFE"/>
    <w:rsid w:val="00704FCA"/>
    <w:rsid w:val="007053CF"/>
    <w:rsid w:val="0070581E"/>
    <w:rsid w:val="007058F0"/>
    <w:rsid w:val="00705C9E"/>
    <w:rsid w:val="00705D83"/>
    <w:rsid w:val="007060D7"/>
    <w:rsid w:val="007062FC"/>
    <w:rsid w:val="00706330"/>
    <w:rsid w:val="00706760"/>
    <w:rsid w:val="007067EB"/>
    <w:rsid w:val="00706837"/>
    <w:rsid w:val="00706956"/>
    <w:rsid w:val="00706E61"/>
    <w:rsid w:val="0070714B"/>
    <w:rsid w:val="0070788D"/>
    <w:rsid w:val="007078E4"/>
    <w:rsid w:val="007079C9"/>
    <w:rsid w:val="00707AA1"/>
    <w:rsid w:val="00707C66"/>
    <w:rsid w:val="00707D9F"/>
    <w:rsid w:val="00707F69"/>
    <w:rsid w:val="0071005E"/>
    <w:rsid w:val="00710542"/>
    <w:rsid w:val="00710C5C"/>
    <w:rsid w:val="00710CFF"/>
    <w:rsid w:val="00710E92"/>
    <w:rsid w:val="00710EAD"/>
    <w:rsid w:val="00710F03"/>
    <w:rsid w:val="00710FAC"/>
    <w:rsid w:val="007110DF"/>
    <w:rsid w:val="00711206"/>
    <w:rsid w:val="007115A7"/>
    <w:rsid w:val="00711790"/>
    <w:rsid w:val="00711C35"/>
    <w:rsid w:val="00712047"/>
    <w:rsid w:val="00712785"/>
    <w:rsid w:val="0071282D"/>
    <w:rsid w:val="00712987"/>
    <w:rsid w:val="00712CA2"/>
    <w:rsid w:val="007132B9"/>
    <w:rsid w:val="007134D0"/>
    <w:rsid w:val="007145D2"/>
    <w:rsid w:val="00714821"/>
    <w:rsid w:val="007148BB"/>
    <w:rsid w:val="00714A2E"/>
    <w:rsid w:val="00714D45"/>
    <w:rsid w:val="00714E2F"/>
    <w:rsid w:val="00714FFE"/>
    <w:rsid w:val="00715020"/>
    <w:rsid w:val="00715603"/>
    <w:rsid w:val="007156C9"/>
    <w:rsid w:val="00715B03"/>
    <w:rsid w:val="00715CD9"/>
    <w:rsid w:val="00715F75"/>
    <w:rsid w:val="00716021"/>
    <w:rsid w:val="00716587"/>
    <w:rsid w:val="00717211"/>
    <w:rsid w:val="00717AF2"/>
    <w:rsid w:val="00717BD1"/>
    <w:rsid w:val="00717D7B"/>
    <w:rsid w:val="00720029"/>
    <w:rsid w:val="00720319"/>
    <w:rsid w:val="007203B4"/>
    <w:rsid w:val="007208FE"/>
    <w:rsid w:val="007209CD"/>
    <w:rsid w:val="00720F00"/>
    <w:rsid w:val="00721029"/>
    <w:rsid w:val="007214AE"/>
    <w:rsid w:val="007214E0"/>
    <w:rsid w:val="007215BA"/>
    <w:rsid w:val="0072174B"/>
    <w:rsid w:val="00721ABC"/>
    <w:rsid w:val="007221D3"/>
    <w:rsid w:val="00722320"/>
    <w:rsid w:val="007228AD"/>
    <w:rsid w:val="00722B81"/>
    <w:rsid w:val="00722E37"/>
    <w:rsid w:val="0072359E"/>
    <w:rsid w:val="007237D1"/>
    <w:rsid w:val="007239F4"/>
    <w:rsid w:val="00723E03"/>
    <w:rsid w:val="007245CA"/>
    <w:rsid w:val="00724635"/>
    <w:rsid w:val="00724ADD"/>
    <w:rsid w:val="00724CD3"/>
    <w:rsid w:val="00724D27"/>
    <w:rsid w:val="00724DC3"/>
    <w:rsid w:val="007250EE"/>
    <w:rsid w:val="007253A7"/>
    <w:rsid w:val="007253FD"/>
    <w:rsid w:val="00725648"/>
    <w:rsid w:val="00726023"/>
    <w:rsid w:val="0072612C"/>
    <w:rsid w:val="007265A4"/>
    <w:rsid w:val="007265B4"/>
    <w:rsid w:val="007269B5"/>
    <w:rsid w:val="00726E70"/>
    <w:rsid w:val="00726E9C"/>
    <w:rsid w:val="0072705B"/>
    <w:rsid w:val="007301B6"/>
    <w:rsid w:val="007306AB"/>
    <w:rsid w:val="0073075F"/>
    <w:rsid w:val="007307E3"/>
    <w:rsid w:val="00730A03"/>
    <w:rsid w:val="00730AB8"/>
    <w:rsid w:val="007311CD"/>
    <w:rsid w:val="007312F7"/>
    <w:rsid w:val="00731458"/>
    <w:rsid w:val="00731790"/>
    <w:rsid w:val="007321C3"/>
    <w:rsid w:val="007325FF"/>
    <w:rsid w:val="00732605"/>
    <w:rsid w:val="00732A88"/>
    <w:rsid w:val="00732C2A"/>
    <w:rsid w:val="00733C47"/>
    <w:rsid w:val="00733C85"/>
    <w:rsid w:val="007342ED"/>
    <w:rsid w:val="007344DC"/>
    <w:rsid w:val="007347B2"/>
    <w:rsid w:val="00734A76"/>
    <w:rsid w:val="00734ABE"/>
    <w:rsid w:val="0073579A"/>
    <w:rsid w:val="00735B60"/>
    <w:rsid w:val="00735C79"/>
    <w:rsid w:val="00735CFC"/>
    <w:rsid w:val="00735F20"/>
    <w:rsid w:val="00735F63"/>
    <w:rsid w:val="00736348"/>
    <w:rsid w:val="0073644A"/>
    <w:rsid w:val="0073680F"/>
    <w:rsid w:val="00736F34"/>
    <w:rsid w:val="00736F8B"/>
    <w:rsid w:val="00737019"/>
    <w:rsid w:val="00737165"/>
    <w:rsid w:val="0073722B"/>
    <w:rsid w:val="00737306"/>
    <w:rsid w:val="007373C9"/>
    <w:rsid w:val="007374F1"/>
    <w:rsid w:val="00737CFB"/>
    <w:rsid w:val="00737DB5"/>
    <w:rsid w:val="00737FBA"/>
    <w:rsid w:val="00740045"/>
    <w:rsid w:val="007400FA"/>
    <w:rsid w:val="007403C1"/>
    <w:rsid w:val="00740537"/>
    <w:rsid w:val="0074085B"/>
    <w:rsid w:val="00740B80"/>
    <w:rsid w:val="00740BB2"/>
    <w:rsid w:val="00740D20"/>
    <w:rsid w:val="00741334"/>
    <w:rsid w:val="0074158C"/>
    <w:rsid w:val="007416E0"/>
    <w:rsid w:val="00741D6B"/>
    <w:rsid w:val="00741F02"/>
    <w:rsid w:val="00742EA4"/>
    <w:rsid w:val="0074310C"/>
    <w:rsid w:val="007431F0"/>
    <w:rsid w:val="0074321F"/>
    <w:rsid w:val="007432DA"/>
    <w:rsid w:val="00743355"/>
    <w:rsid w:val="0074347A"/>
    <w:rsid w:val="00743763"/>
    <w:rsid w:val="00743839"/>
    <w:rsid w:val="00743908"/>
    <w:rsid w:val="00743AC1"/>
    <w:rsid w:val="00743B04"/>
    <w:rsid w:val="00743CE1"/>
    <w:rsid w:val="00743EAC"/>
    <w:rsid w:val="00743EB4"/>
    <w:rsid w:val="0074425A"/>
    <w:rsid w:val="007442F6"/>
    <w:rsid w:val="007445AB"/>
    <w:rsid w:val="007445EC"/>
    <w:rsid w:val="00744F25"/>
    <w:rsid w:val="00744F6F"/>
    <w:rsid w:val="007450C0"/>
    <w:rsid w:val="007455C3"/>
    <w:rsid w:val="00745608"/>
    <w:rsid w:val="0074578C"/>
    <w:rsid w:val="00745F89"/>
    <w:rsid w:val="0074640E"/>
    <w:rsid w:val="00746428"/>
    <w:rsid w:val="0074653B"/>
    <w:rsid w:val="00746AC8"/>
    <w:rsid w:val="00746BA8"/>
    <w:rsid w:val="00746CC3"/>
    <w:rsid w:val="007471C0"/>
    <w:rsid w:val="0074790C"/>
    <w:rsid w:val="00747F17"/>
    <w:rsid w:val="0075012E"/>
    <w:rsid w:val="007501EB"/>
    <w:rsid w:val="00750259"/>
    <w:rsid w:val="007502F7"/>
    <w:rsid w:val="00750486"/>
    <w:rsid w:val="007504F9"/>
    <w:rsid w:val="007505C3"/>
    <w:rsid w:val="0075068C"/>
    <w:rsid w:val="007509AB"/>
    <w:rsid w:val="00750C83"/>
    <w:rsid w:val="00750DC5"/>
    <w:rsid w:val="00750F49"/>
    <w:rsid w:val="007512A6"/>
    <w:rsid w:val="0075144F"/>
    <w:rsid w:val="00751842"/>
    <w:rsid w:val="007518A2"/>
    <w:rsid w:val="007518ED"/>
    <w:rsid w:val="00751A7C"/>
    <w:rsid w:val="0075201E"/>
    <w:rsid w:val="00752138"/>
    <w:rsid w:val="00752521"/>
    <w:rsid w:val="007527AC"/>
    <w:rsid w:val="00752A1E"/>
    <w:rsid w:val="00752AA6"/>
    <w:rsid w:val="00752B41"/>
    <w:rsid w:val="00752C67"/>
    <w:rsid w:val="00752C88"/>
    <w:rsid w:val="00753EC7"/>
    <w:rsid w:val="00753FCE"/>
    <w:rsid w:val="007542BF"/>
    <w:rsid w:val="007547AF"/>
    <w:rsid w:val="00754AB1"/>
    <w:rsid w:val="00754B33"/>
    <w:rsid w:val="0075564B"/>
    <w:rsid w:val="007557E9"/>
    <w:rsid w:val="00755C69"/>
    <w:rsid w:val="007561B3"/>
    <w:rsid w:val="00756292"/>
    <w:rsid w:val="0075650B"/>
    <w:rsid w:val="0075668B"/>
    <w:rsid w:val="00756D08"/>
    <w:rsid w:val="007574A7"/>
    <w:rsid w:val="00757955"/>
    <w:rsid w:val="00757B85"/>
    <w:rsid w:val="00757D0A"/>
    <w:rsid w:val="00757E46"/>
    <w:rsid w:val="00757F51"/>
    <w:rsid w:val="007602EC"/>
    <w:rsid w:val="00760AD1"/>
    <w:rsid w:val="00760D4C"/>
    <w:rsid w:val="007617B2"/>
    <w:rsid w:val="00762017"/>
    <w:rsid w:val="00762882"/>
    <w:rsid w:val="00762BC3"/>
    <w:rsid w:val="00762F78"/>
    <w:rsid w:val="00763487"/>
    <w:rsid w:val="007638DA"/>
    <w:rsid w:val="00763A5F"/>
    <w:rsid w:val="00763C7E"/>
    <w:rsid w:val="00763F06"/>
    <w:rsid w:val="00763F8E"/>
    <w:rsid w:val="0076411D"/>
    <w:rsid w:val="007642B0"/>
    <w:rsid w:val="007643A3"/>
    <w:rsid w:val="00764459"/>
    <w:rsid w:val="007644F4"/>
    <w:rsid w:val="007645A6"/>
    <w:rsid w:val="0076499F"/>
    <w:rsid w:val="00764CE9"/>
    <w:rsid w:val="00764E1C"/>
    <w:rsid w:val="00764EA0"/>
    <w:rsid w:val="00764EE8"/>
    <w:rsid w:val="007653C0"/>
    <w:rsid w:val="00765642"/>
    <w:rsid w:val="00765C76"/>
    <w:rsid w:val="00765CE8"/>
    <w:rsid w:val="00765E1A"/>
    <w:rsid w:val="00765EF9"/>
    <w:rsid w:val="007661A4"/>
    <w:rsid w:val="007663EB"/>
    <w:rsid w:val="00766503"/>
    <w:rsid w:val="0076667D"/>
    <w:rsid w:val="0076708F"/>
    <w:rsid w:val="00767581"/>
    <w:rsid w:val="007675BC"/>
    <w:rsid w:val="00767710"/>
    <w:rsid w:val="007677AA"/>
    <w:rsid w:val="00767BF0"/>
    <w:rsid w:val="007704B0"/>
    <w:rsid w:val="00770533"/>
    <w:rsid w:val="00770708"/>
    <w:rsid w:val="00770B01"/>
    <w:rsid w:val="00770BDE"/>
    <w:rsid w:val="00771285"/>
    <w:rsid w:val="007716BC"/>
    <w:rsid w:val="0077172A"/>
    <w:rsid w:val="0077192B"/>
    <w:rsid w:val="0077198C"/>
    <w:rsid w:val="00771E75"/>
    <w:rsid w:val="00772426"/>
    <w:rsid w:val="00772DD5"/>
    <w:rsid w:val="00773150"/>
    <w:rsid w:val="00773442"/>
    <w:rsid w:val="007737AE"/>
    <w:rsid w:val="00773857"/>
    <w:rsid w:val="00773A3E"/>
    <w:rsid w:val="00773B33"/>
    <w:rsid w:val="00773E03"/>
    <w:rsid w:val="007748BB"/>
    <w:rsid w:val="00774F8C"/>
    <w:rsid w:val="00775173"/>
    <w:rsid w:val="0077564D"/>
    <w:rsid w:val="00775656"/>
    <w:rsid w:val="00775808"/>
    <w:rsid w:val="00775A76"/>
    <w:rsid w:val="0077609F"/>
    <w:rsid w:val="00776141"/>
    <w:rsid w:val="00776274"/>
    <w:rsid w:val="00776309"/>
    <w:rsid w:val="00776607"/>
    <w:rsid w:val="007767C7"/>
    <w:rsid w:val="007767D9"/>
    <w:rsid w:val="00776AA0"/>
    <w:rsid w:val="00776AAB"/>
    <w:rsid w:val="00776B31"/>
    <w:rsid w:val="007772AE"/>
    <w:rsid w:val="007773D5"/>
    <w:rsid w:val="00777471"/>
    <w:rsid w:val="00777703"/>
    <w:rsid w:val="00777789"/>
    <w:rsid w:val="00777A93"/>
    <w:rsid w:val="00777F87"/>
    <w:rsid w:val="00780065"/>
    <w:rsid w:val="00780125"/>
    <w:rsid w:val="007802BE"/>
    <w:rsid w:val="0078031D"/>
    <w:rsid w:val="00780939"/>
    <w:rsid w:val="00780AD1"/>
    <w:rsid w:val="00780C57"/>
    <w:rsid w:val="007810B8"/>
    <w:rsid w:val="00781941"/>
    <w:rsid w:val="0078207E"/>
    <w:rsid w:val="007821BB"/>
    <w:rsid w:val="00782691"/>
    <w:rsid w:val="0078271A"/>
    <w:rsid w:val="007829FD"/>
    <w:rsid w:val="00782B40"/>
    <w:rsid w:val="00782C24"/>
    <w:rsid w:val="00782C3F"/>
    <w:rsid w:val="00782E30"/>
    <w:rsid w:val="00783259"/>
    <w:rsid w:val="007832FB"/>
    <w:rsid w:val="00783488"/>
    <w:rsid w:val="00783505"/>
    <w:rsid w:val="007837AB"/>
    <w:rsid w:val="00783919"/>
    <w:rsid w:val="00783CB1"/>
    <w:rsid w:val="00783CB5"/>
    <w:rsid w:val="00783DC8"/>
    <w:rsid w:val="00783E41"/>
    <w:rsid w:val="00783ECA"/>
    <w:rsid w:val="00783EE9"/>
    <w:rsid w:val="00784382"/>
    <w:rsid w:val="007847AC"/>
    <w:rsid w:val="00784AF6"/>
    <w:rsid w:val="007850B0"/>
    <w:rsid w:val="00785715"/>
    <w:rsid w:val="00785BD1"/>
    <w:rsid w:val="00785E75"/>
    <w:rsid w:val="007864DD"/>
    <w:rsid w:val="0078655A"/>
    <w:rsid w:val="007868F5"/>
    <w:rsid w:val="00786997"/>
    <w:rsid w:val="00786B61"/>
    <w:rsid w:val="00786BD6"/>
    <w:rsid w:val="00786DF7"/>
    <w:rsid w:val="00786F18"/>
    <w:rsid w:val="00786F3D"/>
    <w:rsid w:val="007875DB"/>
    <w:rsid w:val="00787758"/>
    <w:rsid w:val="0078777C"/>
    <w:rsid w:val="007877DF"/>
    <w:rsid w:val="007879A3"/>
    <w:rsid w:val="00787ABB"/>
    <w:rsid w:val="00787E3E"/>
    <w:rsid w:val="00787E68"/>
    <w:rsid w:val="007904CF"/>
    <w:rsid w:val="007905AD"/>
    <w:rsid w:val="00790706"/>
    <w:rsid w:val="00790981"/>
    <w:rsid w:val="0079119B"/>
    <w:rsid w:val="007912C3"/>
    <w:rsid w:val="00791320"/>
    <w:rsid w:val="0079142C"/>
    <w:rsid w:val="0079148E"/>
    <w:rsid w:val="00791531"/>
    <w:rsid w:val="00791549"/>
    <w:rsid w:val="007915D1"/>
    <w:rsid w:val="007915EC"/>
    <w:rsid w:val="0079175F"/>
    <w:rsid w:val="00791B07"/>
    <w:rsid w:val="00791B6E"/>
    <w:rsid w:val="0079221C"/>
    <w:rsid w:val="00792237"/>
    <w:rsid w:val="007926F9"/>
    <w:rsid w:val="00792A2D"/>
    <w:rsid w:val="00792B62"/>
    <w:rsid w:val="00792C08"/>
    <w:rsid w:val="00792EED"/>
    <w:rsid w:val="00792FD5"/>
    <w:rsid w:val="00793153"/>
    <w:rsid w:val="00793362"/>
    <w:rsid w:val="00793ADE"/>
    <w:rsid w:val="007949DE"/>
    <w:rsid w:val="00794B2F"/>
    <w:rsid w:val="00794DFE"/>
    <w:rsid w:val="00794F02"/>
    <w:rsid w:val="0079507E"/>
    <w:rsid w:val="007957E4"/>
    <w:rsid w:val="00795960"/>
    <w:rsid w:val="00795CCB"/>
    <w:rsid w:val="00795DD0"/>
    <w:rsid w:val="00795EFB"/>
    <w:rsid w:val="007961C2"/>
    <w:rsid w:val="0079624D"/>
    <w:rsid w:val="00796886"/>
    <w:rsid w:val="00796B9D"/>
    <w:rsid w:val="00796E27"/>
    <w:rsid w:val="007970B6"/>
    <w:rsid w:val="007970C7"/>
    <w:rsid w:val="007971E6"/>
    <w:rsid w:val="00797429"/>
    <w:rsid w:val="0079777B"/>
    <w:rsid w:val="0079790B"/>
    <w:rsid w:val="00797F31"/>
    <w:rsid w:val="007A034E"/>
    <w:rsid w:val="007A068F"/>
    <w:rsid w:val="007A06A5"/>
    <w:rsid w:val="007A070E"/>
    <w:rsid w:val="007A0C4C"/>
    <w:rsid w:val="007A103F"/>
    <w:rsid w:val="007A12D5"/>
    <w:rsid w:val="007A1432"/>
    <w:rsid w:val="007A172D"/>
    <w:rsid w:val="007A18BE"/>
    <w:rsid w:val="007A1C62"/>
    <w:rsid w:val="007A1F78"/>
    <w:rsid w:val="007A224A"/>
    <w:rsid w:val="007A2A30"/>
    <w:rsid w:val="007A2B3D"/>
    <w:rsid w:val="007A2D8A"/>
    <w:rsid w:val="007A2E10"/>
    <w:rsid w:val="007A3033"/>
    <w:rsid w:val="007A3A13"/>
    <w:rsid w:val="007A3C2B"/>
    <w:rsid w:val="007A3D42"/>
    <w:rsid w:val="007A3E7A"/>
    <w:rsid w:val="007A3F42"/>
    <w:rsid w:val="007A4055"/>
    <w:rsid w:val="007A406F"/>
    <w:rsid w:val="007A42EC"/>
    <w:rsid w:val="007A495C"/>
    <w:rsid w:val="007A4AC5"/>
    <w:rsid w:val="007A4C65"/>
    <w:rsid w:val="007A51AA"/>
    <w:rsid w:val="007A520F"/>
    <w:rsid w:val="007A5706"/>
    <w:rsid w:val="007A5A89"/>
    <w:rsid w:val="007A61C3"/>
    <w:rsid w:val="007A6712"/>
    <w:rsid w:val="007A6A1C"/>
    <w:rsid w:val="007A6FE5"/>
    <w:rsid w:val="007A7151"/>
    <w:rsid w:val="007A71C6"/>
    <w:rsid w:val="007A723D"/>
    <w:rsid w:val="007A7819"/>
    <w:rsid w:val="007A7E00"/>
    <w:rsid w:val="007B00E4"/>
    <w:rsid w:val="007B027A"/>
    <w:rsid w:val="007B0329"/>
    <w:rsid w:val="007B0763"/>
    <w:rsid w:val="007B0B53"/>
    <w:rsid w:val="007B1112"/>
    <w:rsid w:val="007B12D6"/>
    <w:rsid w:val="007B17D3"/>
    <w:rsid w:val="007B19CC"/>
    <w:rsid w:val="007B1AA7"/>
    <w:rsid w:val="007B1BA9"/>
    <w:rsid w:val="007B1E93"/>
    <w:rsid w:val="007B22B8"/>
    <w:rsid w:val="007B2690"/>
    <w:rsid w:val="007B292E"/>
    <w:rsid w:val="007B2B03"/>
    <w:rsid w:val="007B2B4D"/>
    <w:rsid w:val="007B2E42"/>
    <w:rsid w:val="007B2F92"/>
    <w:rsid w:val="007B30C4"/>
    <w:rsid w:val="007B3666"/>
    <w:rsid w:val="007B3769"/>
    <w:rsid w:val="007B3820"/>
    <w:rsid w:val="007B38FD"/>
    <w:rsid w:val="007B39C0"/>
    <w:rsid w:val="007B39DC"/>
    <w:rsid w:val="007B3A78"/>
    <w:rsid w:val="007B3DF9"/>
    <w:rsid w:val="007B3F9C"/>
    <w:rsid w:val="007B3FD7"/>
    <w:rsid w:val="007B40DE"/>
    <w:rsid w:val="007B42F9"/>
    <w:rsid w:val="007B4300"/>
    <w:rsid w:val="007B448A"/>
    <w:rsid w:val="007B460D"/>
    <w:rsid w:val="007B4770"/>
    <w:rsid w:val="007B4781"/>
    <w:rsid w:val="007B49D3"/>
    <w:rsid w:val="007B4CE0"/>
    <w:rsid w:val="007B4CE9"/>
    <w:rsid w:val="007B52F1"/>
    <w:rsid w:val="007B574B"/>
    <w:rsid w:val="007B59AF"/>
    <w:rsid w:val="007B5D56"/>
    <w:rsid w:val="007B6356"/>
    <w:rsid w:val="007B6A95"/>
    <w:rsid w:val="007B6E18"/>
    <w:rsid w:val="007B6F06"/>
    <w:rsid w:val="007B7012"/>
    <w:rsid w:val="007B70CC"/>
    <w:rsid w:val="007B74D0"/>
    <w:rsid w:val="007B7B8E"/>
    <w:rsid w:val="007B7D07"/>
    <w:rsid w:val="007B7E69"/>
    <w:rsid w:val="007B7EC7"/>
    <w:rsid w:val="007C01BF"/>
    <w:rsid w:val="007C0700"/>
    <w:rsid w:val="007C07B1"/>
    <w:rsid w:val="007C0B9C"/>
    <w:rsid w:val="007C0EDE"/>
    <w:rsid w:val="007C125E"/>
    <w:rsid w:val="007C12B0"/>
    <w:rsid w:val="007C16D4"/>
    <w:rsid w:val="007C22A1"/>
    <w:rsid w:val="007C2351"/>
    <w:rsid w:val="007C2623"/>
    <w:rsid w:val="007C27BA"/>
    <w:rsid w:val="007C2921"/>
    <w:rsid w:val="007C2B5D"/>
    <w:rsid w:val="007C2DF1"/>
    <w:rsid w:val="007C2F35"/>
    <w:rsid w:val="007C2FBE"/>
    <w:rsid w:val="007C3103"/>
    <w:rsid w:val="007C32F9"/>
    <w:rsid w:val="007C36CD"/>
    <w:rsid w:val="007C3785"/>
    <w:rsid w:val="007C38DF"/>
    <w:rsid w:val="007C4099"/>
    <w:rsid w:val="007C4D1E"/>
    <w:rsid w:val="007C5183"/>
    <w:rsid w:val="007C56E7"/>
    <w:rsid w:val="007C5C29"/>
    <w:rsid w:val="007C6047"/>
    <w:rsid w:val="007C6222"/>
    <w:rsid w:val="007C6573"/>
    <w:rsid w:val="007C68C7"/>
    <w:rsid w:val="007C69EA"/>
    <w:rsid w:val="007C75A7"/>
    <w:rsid w:val="007C79E2"/>
    <w:rsid w:val="007C7E13"/>
    <w:rsid w:val="007D0151"/>
    <w:rsid w:val="007D03D8"/>
    <w:rsid w:val="007D042E"/>
    <w:rsid w:val="007D071B"/>
    <w:rsid w:val="007D0E9F"/>
    <w:rsid w:val="007D1032"/>
    <w:rsid w:val="007D12C5"/>
    <w:rsid w:val="007D1404"/>
    <w:rsid w:val="007D1412"/>
    <w:rsid w:val="007D16C3"/>
    <w:rsid w:val="007D224F"/>
    <w:rsid w:val="007D22F1"/>
    <w:rsid w:val="007D28D6"/>
    <w:rsid w:val="007D2900"/>
    <w:rsid w:val="007D2C08"/>
    <w:rsid w:val="007D2DDE"/>
    <w:rsid w:val="007D31C2"/>
    <w:rsid w:val="007D3273"/>
    <w:rsid w:val="007D333D"/>
    <w:rsid w:val="007D35EE"/>
    <w:rsid w:val="007D3812"/>
    <w:rsid w:val="007D3B8D"/>
    <w:rsid w:val="007D3D60"/>
    <w:rsid w:val="007D3E12"/>
    <w:rsid w:val="007D3E63"/>
    <w:rsid w:val="007D40D4"/>
    <w:rsid w:val="007D41BE"/>
    <w:rsid w:val="007D4253"/>
    <w:rsid w:val="007D42E9"/>
    <w:rsid w:val="007D48D8"/>
    <w:rsid w:val="007D4A47"/>
    <w:rsid w:val="007D4B49"/>
    <w:rsid w:val="007D4C70"/>
    <w:rsid w:val="007D4EE0"/>
    <w:rsid w:val="007D4F1F"/>
    <w:rsid w:val="007D4F54"/>
    <w:rsid w:val="007D5057"/>
    <w:rsid w:val="007D5091"/>
    <w:rsid w:val="007D52E4"/>
    <w:rsid w:val="007D543F"/>
    <w:rsid w:val="007D55FC"/>
    <w:rsid w:val="007D5698"/>
    <w:rsid w:val="007D5909"/>
    <w:rsid w:val="007D59D7"/>
    <w:rsid w:val="007D5A18"/>
    <w:rsid w:val="007D5CB6"/>
    <w:rsid w:val="007D5D98"/>
    <w:rsid w:val="007D5DB3"/>
    <w:rsid w:val="007D6989"/>
    <w:rsid w:val="007D6C49"/>
    <w:rsid w:val="007D72D4"/>
    <w:rsid w:val="007D7983"/>
    <w:rsid w:val="007D7B51"/>
    <w:rsid w:val="007D7CF1"/>
    <w:rsid w:val="007E0945"/>
    <w:rsid w:val="007E0992"/>
    <w:rsid w:val="007E0B9A"/>
    <w:rsid w:val="007E0D37"/>
    <w:rsid w:val="007E1095"/>
    <w:rsid w:val="007E1362"/>
    <w:rsid w:val="007E1512"/>
    <w:rsid w:val="007E16E6"/>
    <w:rsid w:val="007E1830"/>
    <w:rsid w:val="007E264D"/>
    <w:rsid w:val="007E2761"/>
    <w:rsid w:val="007E2F17"/>
    <w:rsid w:val="007E32B8"/>
    <w:rsid w:val="007E3937"/>
    <w:rsid w:val="007E3C29"/>
    <w:rsid w:val="007E3CA0"/>
    <w:rsid w:val="007E3CAC"/>
    <w:rsid w:val="007E3CAD"/>
    <w:rsid w:val="007E4274"/>
    <w:rsid w:val="007E485B"/>
    <w:rsid w:val="007E51B3"/>
    <w:rsid w:val="007E5546"/>
    <w:rsid w:val="007E5667"/>
    <w:rsid w:val="007E57D6"/>
    <w:rsid w:val="007E59AF"/>
    <w:rsid w:val="007E5A0A"/>
    <w:rsid w:val="007E5A96"/>
    <w:rsid w:val="007E5C79"/>
    <w:rsid w:val="007E5D2D"/>
    <w:rsid w:val="007E5D8E"/>
    <w:rsid w:val="007E5DDA"/>
    <w:rsid w:val="007E5E33"/>
    <w:rsid w:val="007E5FE6"/>
    <w:rsid w:val="007E6674"/>
    <w:rsid w:val="007E6747"/>
    <w:rsid w:val="007E694E"/>
    <w:rsid w:val="007E6A9C"/>
    <w:rsid w:val="007E6C6D"/>
    <w:rsid w:val="007E6D0D"/>
    <w:rsid w:val="007E700A"/>
    <w:rsid w:val="007E73A4"/>
    <w:rsid w:val="007E74ED"/>
    <w:rsid w:val="007E75CF"/>
    <w:rsid w:val="007E761E"/>
    <w:rsid w:val="007E763E"/>
    <w:rsid w:val="007E7841"/>
    <w:rsid w:val="007E7D7F"/>
    <w:rsid w:val="007E7FD9"/>
    <w:rsid w:val="007E7FE6"/>
    <w:rsid w:val="007F014D"/>
    <w:rsid w:val="007F0569"/>
    <w:rsid w:val="007F063F"/>
    <w:rsid w:val="007F0A2C"/>
    <w:rsid w:val="007F0A41"/>
    <w:rsid w:val="007F0B44"/>
    <w:rsid w:val="007F109A"/>
    <w:rsid w:val="007F1292"/>
    <w:rsid w:val="007F12CD"/>
    <w:rsid w:val="007F1495"/>
    <w:rsid w:val="007F16BE"/>
    <w:rsid w:val="007F1A11"/>
    <w:rsid w:val="007F1BE9"/>
    <w:rsid w:val="007F1D08"/>
    <w:rsid w:val="007F1E59"/>
    <w:rsid w:val="007F20A0"/>
    <w:rsid w:val="007F2219"/>
    <w:rsid w:val="007F236A"/>
    <w:rsid w:val="007F24B1"/>
    <w:rsid w:val="007F2635"/>
    <w:rsid w:val="007F27AB"/>
    <w:rsid w:val="007F2D4D"/>
    <w:rsid w:val="007F2E06"/>
    <w:rsid w:val="007F2F40"/>
    <w:rsid w:val="007F2FDB"/>
    <w:rsid w:val="007F32AB"/>
    <w:rsid w:val="007F3409"/>
    <w:rsid w:val="007F36FE"/>
    <w:rsid w:val="007F3956"/>
    <w:rsid w:val="007F39EF"/>
    <w:rsid w:val="007F3D4E"/>
    <w:rsid w:val="007F3D92"/>
    <w:rsid w:val="007F40D7"/>
    <w:rsid w:val="007F418D"/>
    <w:rsid w:val="007F43CE"/>
    <w:rsid w:val="007F4419"/>
    <w:rsid w:val="007F441D"/>
    <w:rsid w:val="007F46D5"/>
    <w:rsid w:val="007F4798"/>
    <w:rsid w:val="007F4D8F"/>
    <w:rsid w:val="007F4F49"/>
    <w:rsid w:val="007F501A"/>
    <w:rsid w:val="007F50A3"/>
    <w:rsid w:val="007F5476"/>
    <w:rsid w:val="007F55CB"/>
    <w:rsid w:val="007F5784"/>
    <w:rsid w:val="007F586C"/>
    <w:rsid w:val="007F5B40"/>
    <w:rsid w:val="007F5DAC"/>
    <w:rsid w:val="007F6157"/>
    <w:rsid w:val="007F6180"/>
    <w:rsid w:val="007F6501"/>
    <w:rsid w:val="007F683C"/>
    <w:rsid w:val="007F6D9A"/>
    <w:rsid w:val="007F6FF0"/>
    <w:rsid w:val="007F7272"/>
    <w:rsid w:val="007F72A9"/>
    <w:rsid w:val="007F7313"/>
    <w:rsid w:val="007F7363"/>
    <w:rsid w:val="007F74F8"/>
    <w:rsid w:val="007F7613"/>
    <w:rsid w:val="007F78BB"/>
    <w:rsid w:val="007F7E47"/>
    <w:rsid w:val="007F7ED6"/>
    <w:rsid w:val="008001EA"/>
    <w:rsid w:val="00800214"/>
    <w:rsid w:val="00800358"/>
    <w:rsid w:val="008003CD"/>
    <w:rsid w:val="00800692"/>
    <w:rsid w:val="00800A2D"/>
    <w:rsid w:val="00801008"/>
    <w:rsid w:val="008010F6"/>
    <w:rsid w:val="00801488"/>
    <w:rsid w:val="0080179A"/>
    <w:rsid w:val="0080182A"/>
    <w:rsid w:val="00801B71"/>
    <w:rsid w:val="00801B92"/>
    <w:rsid w:val="00801D4A"/>
    <w:rsid w:val="00801DE9"/>
    <w:rsid w:val="00802441"/>
    <w:rsid w:val="008026DA"/>
    <w:rsid w:val="00802C5D"/>
    <w:rsid w:val="00802C71"/>
    <w:rsid w:val="00803170"/>
    <w:rsid w:val="00803234"/>
    <w:rsid w:val="00803959"/>
    <w:rsid w:val="00803A23"/>
    <w:rsid w:val="00803A2D"/>
    <w:rsid w:val="00803A6A"/>
    <w:rsid w:val="00803F1E"/>
    <w:rsid w:val="008041FE"/>
    <w:rsid w:val="00804622"/>
    <w:rsid w:val="008046A0"/>
    <w:rsid w:val="008046F5"/>
    <w:rsid w:val="00805049"/>
    <w:rsid w:val="008050E8"/>
    <w:rsid w:val="00805198"/>
    <w:rsid w:val="0080521A"/>
    <w:rsid w:val="008054B3"/>
    <w:rsid w:val="008055F9"/>
    <w:rsid w:val="00805678"/>
    <w:rsid w:val="00805D2A"/>
    <w:rsid w:val="00805E13"/>
    <w:rsid w:val="00806204"/>
    <w:rsid w:val="008064F2"/>
    <w:rsid w:val="008069EA"/>
    <w:rsid w:val="00806FC4"/>
    <w:rsid w:val="00807523"/>
    <w:rsid w:val="0080754D"/>
    <w:rsid w:val="00807CE3"/>
    <w:rsid w:val="008101E3"/>
    <w:rsid w:val="0081020D"/>
    <w:rsid w:val="008104F8"/>
    <w:rsid w:val="008109D8"/>
    <w:rsid w:val="00810B3D"/>
    <w:rsid w:val="00810C0B"/>
    <w:rsid w:val="00810D71"/>
    <w:rsid w:val="0081109E"/>
    <w:rsid w:val="008114AA"/>
    <w:rsid w:val="00811507"/>
    <w:rsid w:val="0081197B"/>
    <w:rsid w:val="00811A08"/>
    <w:rsid w:val="00811D10"/>
    <w:rsid w:val="00811F39"/>
    <w:rsid w:val="008120AB"/>
    <w:rsid w:val="00812103"/>
    <w:rsid w:val="0081223E"/>
    <w:rsid w:val="00812659"/>
    <w:rsid w:val="00812AAD"/>
    <w:rsid w:val="00812D7E"/>
    <w:rsid w:val="00812F58"/>
    <w:rsid w:val="00813393"/>
    <w:rsid w:val="00813454"/>
    <w:rsid w:val="008136E2"/>
    <w:rsid w:val="00813E2F"/>
    <w:rsid w:val="008140CE"/>
    <w:rsid w:val="0081432C"/>
    <w:rsid w:val="00814821"/>
    <w:rsid w:val="00814887"/>
    <w:rsid w:val="008150CA"/>
    <w:rsid w:val="008151C6"/>
    <w:rsid w:val="0081525C"/>
    <w:rsid w:val="00815455"/>
    <w:rsid w:val="00815515"/>
    <w:rsid w:val="008159F9"/>
    <w:rsid w:val="008161E7"/>
    <w:rsid w:val="008164CD"/>
    <w:rsid w:val="0081693A"/>
    <w:rsid w:val="00816C2E"/>
    <w:rsid w:val="00816C66"/>
    <w:rsid w:val="00816EA0"/>
    <w:rsid w:val="0081755F"/>
    <w:rsid w:val="008177DA"/>
    <w:rsid w:val="00817928"/>
    <w:rsid w:val="0081799E"/>
    <w:rsid w:val="00817B2B"/>
    <w:rsid w:val="00817D2F"/>
    <w:rsid w:val="00817EB6"/>
    <w:rsid w:val="00817F74"/>
    <w:rsid w:val="008205FA"/>
    <w:rsid w:val="00820697"/>
    <w:rsid w:val="00820C1F"/>
    <w:rsid w:val="00820EF8"/>
    <w:rsid w:val="00821274"/>
    <w:rsid w:val="00821442"/>
    <w:rsid w:val="008214D6"/>
    <w:rsid w:val="008214F3"/>
    <w:rsid w:val="00822938"/>
    <w:rsid w:val="00822E67"/>
    <w:rsid w:val="0082337C"/>
    <w:rsid w:val="008233AE"/>
    <w:rsid w:val="00823621"/>
    <w:rsid w:val="00823A1C"/>
    <w:rsid w:val="0082419E"/>
    <w:rsid w:val="00824561"/>
    <w:rsid w:val="008246ED"/>
    <w:rsid w:val="00824A0F"/>
    <w:rsid w:val="0082500A"/>
    <w:rsid w:val="008252DA"/>
    <w:rsid w:val="0082552B"/>
    <w:rsid w:val="00825AB8"/>
    <w:rsid w:val="00825DC6"/>
    <w:rsid w:val="00825E2D"/>
    <w:rsid w:val="00825E86"/>
    <w:rsid w:val="00826052"/>
    <w:rsid w:val="00826069"/>
    <w:rsid w:val="00826239"/>
    <w:rsid w:val="008265C8"/>
    <w:rsid w:val="00826CA8"/>
    <w:rsid w:val="00827114"/>
    <w:rsid w:val="008273C4"/>
    <w:rsid w:val="0082746D"/>
    <w:rsid w:val="008278C1"/>
    <w:rsid w:val="00827A34"/>
    <w:rsid w:val="00827A96"/>
    <w:rsid w:val="0083012A"/>
    <w:rsid w:val="008303CA"/>
    <w:rsid w:val="008304CC"/>
    <w:rsid w:val="0083098D"/>
    <w:rsid w:val="008309E8"/>
    <w:rsid w:val="0083138A"/>
    <w:rsid w:val="0083146E"/>
    <w:rsid w:val="008314ED"/>
    <w:rsid w:val="00831736"/>
    <w:rsid w:val="0083181C"/>
    <w:rsid w:val="00831E30"/>
    <w:rsid w:val="00831F0D"/>
    <w:rsid w:val="0083216A"/>
    <w:rsid w:val="0083225C"/>
    <w:rsid w:val="00832AF4"/>
    <w:rsid w:val="00832C7A"/>
    <w:rsid w:val="00833082"/>
    <w:rsid w:val="00833295"/>
    <w:rsid w:val="008332C8"/>
    <w:rsid w:val="008332F6"/>
    <w:rsid w:val="00833335"/>
    <w:rsid w:val="0083345F"/>
    <w:rsid w:val="00833A39"/>
    <w:rsid w:val="0083417E"/>
    <w:rsid w:val="008343BA"/>
    <w:rsid w:val="0083448C"/>
    <w:rsid w:val="00834878"/>
    <w:rsid w:val="00834987"/>
    <w:rsid w:val="00834BDA"/>
    <w:rsid w:val="00834C2D"/>
    <w:rsid w:val="00834EB5"/>
    <w:rsid w:val="00835025"/>
    <w:rsid w:val="00835B29"/>
    <w:rsid w:val="00835C9F"/>
    <w:rsid w:val="00836003"/>
    <w:rsid w:val="008360ED"/>
    <w:rsid w:val="00836343"/>
    <w:rsid w:val="008363E7"/>
    <w:rsid w:val="008364A4"/>
    <w:rsid w:val="008364D8"/>
    <w:rsid w:val="0083680A"/>
    <w:rsid w:val="00836BB9"/>
    <w:rsid w:val="0083741E"/>
    <w:rsid w:val="00837852"/>
    <w:rsid w:val="00837A1C"/>
    <w:rsid w:val="00837B52"/>
    <w:rsid w:val="00840041"/>
    <w:rsid w:val="008401D9"/>
    <w:rsid w:val="0084035A"/>
    <w:rsid w:val="00840399"/>
    <w:rsid w:val="008405F2"/>
    <w:rsid w:val="0084082F"/>
    <w:rsid w:val="00840984"/>
    <w:rsid w:val="00840BF5"/>
    <w:rsid w:val="00840E8B"/>
    <w:rsid w:val="00841703"/>
    <w:rsid w:val="00841732"/>
    <w:rsid w:val="008418F5"/>
    <w:rsid w:val="00841932"/>
    <w:rsid w:val="008419AC"/>
    <w:rsid w:val="008419DB"/>
    <w:rsid w:val="00841B49"/>
    <w:rsid w:val="00842048"/>
    <w:rsid w:val="00842707"/>
    <w:rsid w:val="00842984"/>
    <w:rsid w:val="00842A46"/>
    <w:rsid w:val="00842BB8"/>
    <w:rsid w:val="00842CD7"/>
    <w:rsid w:val="0084334E"/>
    <w:rsid w:val="0084355F"/>
    <w:rsid w:val="00843991"/>
    <w:rsid w:val="008439D0"/>
    <w:rsid w:val="00843DBF"/>
    <w:rsid w:val="00843EE3"/>
    <w:rsid w:val="0084406C"/>
    <w:rsid w:val="0084443E"/>
    <w:rsid w:val="0084488B"/>
    <w:rsid w:val="00844A50"/>
    <w:rsid w:val="00844A75"/>
    <w:rsid w:val="00844B8E"/>
    <w:rsid w:val="00844E95"/>
    <w:rsid w:val="00844F6E"/>
    <w:rsid w:val="00844FE7"/>
    <w:rsid w:val="0084508B"/>
    <w:rsid w:val="008452A1"/>
    <w:rsid w:val="008456D0"/>
    <w:rsid w:val="00845C1A"/>
    <w:rsid w:val="00845FA1"/>
    <w:rsid w:val="00846128"/>
    <w:rsid w:val="008467FC"/>
    <w:rsid w:val="00846BF6"/>
    <w:rsid w:val="00847013"/>
    <w:rsid w:val="008472DF"/>
    <w:rsid w:val="008473CD"/>
    <w:rsid w:val="00847E3D"/>
    <w:rsid w:val="008502CE"/>
    <w:rsid w:val="00850399"/>
    <w:rsid w:val="0085065F"/>
    <w:rsid w:val="008507E3"/>
    <w:rsid w:val="0085090B"/>
    <w:rsid w:val="00850CBA"/>
    <w:rsid w:val="00850CBF"/>
    <w:rsid w:val="008511E8"/>
    <w:rsid w:val="00851A45"/>
    <w:rsid w:val="00851F56"/>
    <w:rsid w:val="00852079"/>
    <w:rsid w:val="0085208F"/>
    <w:rsid w:val="0085224C"/>
    <w:rsid w:val="00852490"/>
    <w:rsid w:val="00852797"/>
    <w:rsid w:val="00852C14"/>
    <w:rsid w:val="00852EF2"/>
    <w:rsid w:val="008533AF"/>
    <w:rsid w:val="0085344D"/>
    <w:rsid w:val="008537ED"/>
    <w:rsid w:val="00853B0B"/>
    <w:rsid w:val="0085441A"/>
    <w:rsid w:val="00854530"/>
    <w:rsid w:val="00854595"/>
    <w:rsid w:val="008545BE"/>
    <w:rsid w:val="008548BA"/>
    <w:rsid w:val="00854B8F"/>
    <w:rsid w:val="00854F59"/>
    <w:rsid w:val="008551BB"/>
    <w:rsid w:val="00855244"/>
    <w:rsid w:val="00855317"/>
    <w:rsid w:val="008556A6"/>
    <w:rsid w:val="008556A8"/>
    <w:rsid w:val="00855A38"/>
    <w:rsid w:val="00855EBE"/>
    <w:rsid w:val="008563C5"/>
    <w:rsid w:val="008565A2"/>
    <w:rsid w:val="00856662"/>
    <w:rsid w:val="0085698F"/>
    <w:rsid w:val="00856A37"/>
    <w:rsid w:val="00856AAF"/>
    <w:rsid w:val="00857073"/>
    <w:rsid w:val="0085721B"/>
    <w:rsid w:val="008575E4"/>
    <w:rsid w:val="00857812"/>
    <w:rsid w:val="00857B39"/>
    <w:rsid w:val="00857DB8"/>
    <w:rsid w:val="00860111"/>
    <w:rsid w:val="0086036A"/>
    <w:rsid w:val="00860621"/>
    <w:rsid w:val="00860638"/>
    <w:rsid w:val="00860AE6"/>
    <w:rsid w:val="00860B32"/>
    <w:rsid w:val="00860EFB"/>
    <w:rsid w:val="00860F35"/>
    <w:rsid w:val="008610C9"/>
    <w:rsid w:val="008615C8"/>
    <w:rsid w:val="0086185A"/>
    <w:rsid w:val="008618A8"/>
    <w:rsid w:val="00861C1C"/>
    <w:rsid w:val="00862E28"/>
    <w:rsid w:val="00862FFF"/>
    <w:rsid w:val="00863053"/>
    <w:rsid w:val="00863089"/>
    <w:rsid w:val="008630D8"/>
    <w:rsid w:val="008630F3"/>
    <w:rsid w:val="00863122"/>
    <w:rsid w:val="008632FC"/>
    <w:rsid w:val="008634DB"/>
    <w:rsid w:val="0086350A"/>
    <w:rsid w:val="00863517"/>
    <w:rsid w:val="00863799"/>
    <w:rsid w:val="008637A1"/>
    <w:rsid w:val="00863B1D"/>
    <w:rsid w:val="00863C23"/>
    <w:rsid w:val="00863C8F"/>
    <w:rsid w:val="00863EE0"/>
    <w:rsid w:val="00863F01"/>
    <w:rsid w:val="0086486B"/>
    <w:rsid w:val="00864AC5"/>
    <w:rsid w:val="00864B08"/>
    <w:rsid w:val="00864BB4"/>
    <w:rsid w:val="00864BC4"/>
    <w:rsid w:val="00864CD5"/>
    <w:rsid w:val="00864DEF"/>
    <w:rsid w:val="008652D6"/>
    <w:rsid w:val="00865459"/>
    <w:rsid w:val="00865722"/>
    <w:rsid w:val="008658AE"/>
    <w:rsid w:val="008658C2"/>
    <w:rsid w:val="00865C2E"/>
    <w:rsid w:val="00865CCA"/>
    <w:rsid w:val="00866162"/>
    <w:rsid w:val="008661F5"/>
    <w:rsid w:val="00866466"/>
    <w:rsid w:val="008665AE"/>
    <w:rsid w:val="00866737"/>
    <w:rsid w:val="00866CA8"/>
    <w:rsid w:val="00866CE9"/>
    <w:rsid w:val="00867962"/>
    <w:rsid w:val="00867C56"/>
    <w:rsid w:val="00867EE4"/>
    <w:rsid w:val="008701AC"/>
    <w:rsid w:val="00870364"/>
    <w:rsid w:val="008704A9"/>
    <w:rsid w:val="008712EC"/>
    <w:rsid w:val="0087130D"/>
    <w:rsid w:val="00871328"/>
    <w:rsid w:val="008717D1"/>
    <w:rsid w:val="00871A77"/>
    <w:rsid w:val="00871FBB"/>
    <w:rsid w:val="0087231F"/>
    <w:rsid w:val="00872495"/>
    <w:rsid w:val="00872723"/>
    <w:rsid w:val="0087276E"/>
    <w:rsid w:val="00872990"/>
    <w:rsid w:val="00872B1D"/>
    <w:rsid w:val="00873518"/>
    <w:rsid w:val="0087351D"/>
    <w:rsid w:val="00873729"/>
    <w:rsid w:val="0087377F"/>
    <w:rsid w:val="008738A0"/>
    <w:rsid w:val="0087398C"/>
    <w:rsid w:val="00873A6B"/>
    <w:rsid w:val="00873AA7"/>
    <w:rsid w:val="00873B58"/>
    <w:rsid w:val="00873C70"/>
    <w:rsid w:val="008740C2"/>
    <w:rsid w:val="00874612"/>
    <w:rsid w:val="0087483C"/>
    <w:rsid w:val="0087494B"/>
    <w:rsid w:val="00874D1F"/>
    <w:rsid w:val="00875080"/>
    <w:rsid w:val="008751EE"/>
    <w:rsid w:val="0087534D"/>
    <w:rsid w:val="00875390"/>
    <w:rsid w:val="008753CD"/>
    <w:rsid w:val="00875FCE"/>
    <w:rsid w:val="0087666B"/>
    <w:rsid w:val="008767BE"/>
    <w:rsid w:val="00876892"/>
    <w:rsid w:val="0087689D"/>
    <w:rsid w:val="008768BF"/>
    <w:rsid w:val="0087699F"/>
    <w:rsid w:val="00876BB3"/>
    <w:rsid w:val="00876D16"/>
    <w:rsid w:val="00876ED8"/>
    <w:rsid w:val="008770DF"/>
    <w:rsid w:val="008774F8"/>
    <w:rsid w:val="008775C2"/>
    <w:rsid w:val="00877930"/>
    <w:rsid w:val="00877A81"/>
    <w:rsid w:val="00877CDD"/>
    <w:rsid w:val="00877DC2"/>
    <w:rsid w:val="00880001"/>
    <w:rsid w:val="0088003F"/>
    <w:rsid w:val="00880232"/>
    <w:rsid w:val="0088099D"/>
    <w:rsid w:val="00880B2F"/>
    <w:rsid w:val="00880C6B"/>
    <w:rsid w:val="00880E7B"/>
    <w:rsid w:val="00880F4A"/>
    <w:rsid w:val="008811A3"/>
    <w:rsid w:val="0088125A"/>
    <w:rsid w:val="0088176F"/>
    <w:rsid w:val="00881B3F"/>
    <w:rsid w:val="00881EC8"/>
    <w:rsid w:val="00881F5F"/>
    <w:rsid w:val="008820E0"/>
    <w:rsid w:val="008821F1"/>
    <w:rsid w:val="00882336"/>
    <w:rsid w:val="008827A2"/>
    <w:rsid w:val="008828B1"/>
    <w:rsid w:val="00882946"/>
    <w:rsid w:val="00882A1C"/>
    <w:rsid w:val="00882C92"/>
    <w:rsid w:val="00882F06"/>
    <w:rsid w:val="00883159"/>
    <w:rsid w:val="00883359"/>
    <w:rsid w:val="00883705"/>
    <w:rsid w:val="0088376C"/>
    <w:rsid w:val="00883771"/>
    <w:rsid w:val="00883B09"/>
    <w:rsid w:val="00883B31"/>
    <w:rsid w:val="00883C68"/>
    <w:rsid w:val="008846D1"/>
    <w:rsid w:val="00884978"/>
    <w:rsid w:val="00884C69"/>
    <w:rsid w:val="00884CF7"/>
    <w:rsid w:val="00884EE7"/>
    <w:rsid w:val="0088574B"/>
    <w:rsid w:val="0088599F"/>
    <w:rsid w:val="00885A29"/>
    <w:rsid w:val="00885B39"/>
    <w:rsid w:val="008862AF"/>
    <w:rsid w:val="00886472"/>
    <w:rsid w:val="008867A0"/>
    <w:rsid w:val="00886D03"/>
    <w:rsid w:val="0088791B"/>
    <w:rsid w:val="00887BBF"/>
    <w:rsid w:val="00890200"/>
    <w:rsid w:val="00890234"/>
    <w:rsid w:val="0089039C"/>
    <w:rsid w:val="008903E9"/>
    <w:rsid w:val="0089041E"/>
    <w:rsid w:val="008906FA"/>
    <w:rsid w:val="008909D9"/>
    <w:rsid w:val="00890C1F"/>
    <w:rsid w:val="00890C3E"/>
    <w:rsid w:val="00891016"/>
    <w:rsid w:val="00891239"/>
    <w:rsid w:val="00891498"/>
    <w:rsid w:val="00891632"/>
    <w:rsid w:val="00891C4A"/>
    <w:rsid w:val="00891F56"/>
    <w:rsid w:val="00891F94"/>
    <w:rsid w:val="00892072"/>
    <w:rsid w:val="008921CF"/>
    <w:rsid w:val="008922EE"/>
    <w:rsid w:val="00892552"/>
    <w:rsid w:val="00892766"/>
    <w:rsid w:val="00892996"/>
    <w:rsid w:val="00892BD5"/>
    <w:rsid w:val="00892CD9"/>
    <w:rsid w:val="00893137"/>
    <w:rsid w:val="008939DF"/>
    <w:rsid w:val="00893A2F"/>
    <w:rsid w:val="00893DE8"/>
    <w:rsid w:val="00893E3B"/>
    <w:rsid w:val="00893F39"/>
    <w:rsid w:val="008940F7"/>
    <w:rsid w:val="0089425B"/>
    <w:rsid w:val="00894633"/>
    <w:rsid w:val="008947F3"/>
    <w:rsid w:val="00894973"/>
    <w:rsid w:val="008949FC"/>
    <w:rsid w:val="00894B20"/>
    <w:rsid w:val="008956FD"/>
    <w:rsid w:val="00895700"/>
    <w:rsid w:val="00895810"/>
    <w:rsid w:val="008958FC"/>
    <w:rsid w:val="00895B07"/>
    <w:rsid w:val="00895D8F"/>
    <w:rsid w:val="00896562"/>
    <w:rsid w:val="008969AA"/>
    <w:rsid w:val="00897063"/>
    <w:rsid w:val="00897594"/>
    <w:rsid w:val="008A00A6"/>
    <w:rsid w:val="008A05B3"/>
    <w:rsid w:val="008A05DA"/>
    <w:rsid w:val="008A08BF"/>
    <w:rsid w:val="008A090D"/>
    <w:rsid w:val="008A0C9B"/>
    <w:rsid w:val="008A0E2C"/>
    <w:rsid w:val="008A1223"/>
    <w:rsid w:val="008A1317"/>
    <w:rsid w:val="008A1704"/>
    <w:rsid w:val="008A1B85"/>
    <w:rsid w:val="008A1E71"/>
    <w:rsid w:val="008A1F2C"/>
    <w:rsid w:val="008A1F53"/>
    <w:rsid w:val="008A269B"/>
    <w:rsid w:val="008A2BF7"/>
    <w:rsid w:val="008A2CBD"/>
    <w:rsid w:val="008A380E"/>
    <w:rsid w:val="008A3994"/>
    <w:rsid w:val="008A3AB8"/>
    <w:rsid w:val="008A4109"/>
    <w:rsid w:val="008A43E5"/>
    <w:rsid w:val="008A4451"/>
    <w:rsid w:val="008A4536"/>
    <w:rsid w:val="008A4B8F"/>
    <w:rsid w:val="008A5316"/>
    <w:rsid w:val="008A5360"/>
    <w:rsid w:val="008A598B"/>
    <w:rsid w:val="008A59A0"/>
    <w:rsid w:val="008A5AFD"/>
    <w:rsid w:val="008A6680"/>
    <w:rsid w:val="008A66FF"/>
    <w:rsid w:val="008A671C"/>
    <w:rsid w:val="008A67F4"/>
    <w:rsid w:val="008A681E"/>
    <w:rsid w:val="008A69D3"/>
    <w:rsid w:val="008A6B67"/>
    <w:rsid w:val="008A6D67"/>
    <w:rsid w:val="008A7ABF"/>
    <w:rsid w:val="008A7B56"/>
    <w:rsid w:val="008A7C2C"/>
    <w:rsid w:val="008A7FF3"/>
    <w:rsid w:val="008B058D"/>
    <w:rsid w:val="008B092E"/>
    <w:rsid w:val="008B0A34"/>
    <w:rsid w:val="008B0DE5"/>
    <w:rsid w:val="008B0EB1"/>
    <w:rsid w:val="008B16AA"/>
    <w:rsid w:val="008B16FD"/>
    <w:rsid w:val="008B1794"/>
    <w:rsid w:val="008B189E"/>
    <w:rsid w:val="008B1960"/>
    <w:rsid w:val="008B1A12"/>
    <w:rsid w:val="008B1A30"/>
    <w:rsid w:val="008B1D5D"/>
    <w:rsid w:val="008B1ED6"/>
    <w:rsid w:val="008B21F7"/>
    <w:rsid w:val="008B2288"/>
    <w:rsid w:val="008B2471"/>
    <w:rsid w:val="008B24B6"/>
    <w:rsid w:val="008B2679"/>
    <w:rsid w:val="008B2F0F"/>
    <w:rsid w:val="008B31BE"/>
    <w:rsid w:val="008B321E"/>
    <w:rsid w:val="008B3AF9"/>
    <w:rsid w:val="008B3C13"/>
    <w:rsid w:val="008B3E4F"/>
    <w:rsid w:val="008B3E68"/>
    <w:rsid w:val="008B3F0A"/>
    <w:rsid w:val="008B42AA"/>
    <w:rsid w:val="008B441F"/>
    <w:rsid w:val="008B4490"/>
    <w:rsid w:val="008B44AB"/>
    <w:rsid w:val="008B497B"/>
    <w:rsid w:val="008B4C24"/>
    <w:rsid w:val="008B4ED7"/>
    <w:rsid w:val="008B5129"/>
    <w:rsid w:val="008B54FF"/>
    <w:rsid w:val="008B55BD"/>
    <w:rsid w:val="008B5654"/>
    <w:rsid w:val="008B5690"/>
    <w:rsid w:val="008B5A33"/>
    <w:rsid w:val="008B5B99"/>
    <w:rsid w:val="008B5BC0"/>
    <w:rsid w:val="008B5D0B"/>
    <w:rsid w:val="008B6154"/>
    <w:rsid w:val="008B6259"/>
    <w:rsid w:val="008B6339"/>
    <w:rsid w:val="008B639F"/>
    <w:rsid w:val="008B6A70"/>
    <w:rsid w:val="008B6D9A"/>
    <w:rsid w:val="008B7A91"/>
    <w:rsid w:val="008B7E3A"/>
    <w:rsid w:val="008C0159"/>
    <w:rsid w:val="008C038F"/>
    <w:rsid w:val="008C09C5"/>
    <w:rsid w:val="008C0A40"/>
    <w:rsid w:val="008C110E"/>
    <w:rsid w:val="008C13D9"/>
    <w:rsid w:val="008C150A"/>
    <w:rsid w:val="008C1CE3"/>
    <w:rsid w:val="008C1D40"/>
    <w:rsid w:val="008C1FA4"/>
    <w:rsid w:val="008C2103"/>
    <w:rsid w:val="008C2380"/>
    <w:rsid w:val="008C2664"/>
    <w:rsid w:val="008C27B9"/>
    <w:rsid w:val="008C2B92"/>
    <w:rsid w:val="008C2C17"/>
    <w:rsid w:val="008C3155"/>
    <w:rsid w:val="008C31B7"/>
    <w:rsid w:val="008C3585"/>
    <w:rsid w:val="008C3674"/>
    <w:rsid w:val="008C3808"/>
    <w:rsid w:val="008C3B99"/>
    <w:rsid w:val="008C3D74"/>
    <w:rsid w:val="008C4142"/>
    <w:rsid w:val="008C4218"/>
    <w:rsid w:val="008C4535"/>
    <w:rsid w:val="008C4589"/>
    <w:rsid w:val="008C470C"/>
    <w:rsid w:val="008C497E"/>
    <w:rsid w:val="008C4F49"/>
    <w:rsid w:val="008C5060"/>
    <w:rsid w:val="008C51D7"/>
    <w:rsid w:val="008C530C"/>
    <w:rsid w:val="008C535F"/>
    <w:rsid w:val="008C5629"/>
    <w:rsid w:val="008C5C2E"/>
    <w:rsid w:val="008C5E04"/>
    <w:rsid w:val="008C6442"/>
    <w:rsid w:val="008C66DD"/>
    <w:rsid w:val="008C6878"/>
    <w:rsid w:val="008C6968"/>
    <w:rsid w:val="008C6FEC"/>
    <w:rsid w:val="008C7097"/>
    <w:rsid w:val="008C790E"/>
    <w:rsid w:val="008C7917"/>
    <w:rsid w:val="008C792C"/>
    <w:rsid w:val="008C7945"/>
    <w:rsid w:val="008C7976"/>
    <w:rsid w:val="008C7A60"/>
    <w:rsid w:val="008C7B76"/>
    <w:rsid w:val="008C7BB0"/>
    <w:rsid w:val="008C7C1C"/>
    <w:rsid w:val="008C7C7A"/>
    <w:rsid w:val="008D00A4"/>
    <w:rsid w:val="008D03BB"/>
    <w:rsid w:val="008D064B"/>
    <w:rsid w:val="008D0751"/>
    <w:rsid w:val="008D0769"/>
    <w:rsid w:val="008D0A3E"/>
    <w:rsid w:val="008D0EED"/>
    <w:rsid w:val="008D1AAB"/>
    <w:rsid w:val="008D2117"/>
    <w:rsid w:val="008D261F"/>
    <w:rsid w:val="008D2799"/>
    <w:rsid w:val="008D29ED"/>
    <w:rsid w:val="008D2B52"/>
    <w:rsid w:val="008D33C0"/>
    <w:rsid w:val="008D37FC"/>
    <w:rsid w:val="008D412A"/>
    <w:rsid w:val="008D4372"/>
    <w:rsid w:val="008D450B"/>
    <w:rsid w:val="008D46DA"/>
    <w:rsid w:val="008D4869"/>
    <w:rsid w:val="008D4F23"/>
    <w:rsid w:val="008D4FCF"/>
    <w:rsid w:val="008D50B0"/>
    <w:rsid w:val="008D5156"/>
    <w:rsid w:val="008D562D"/>
    <w:rsid w:val="008D5C22"/>
    <w:rsid w:val="008D5DB7"/>
    <w:rsid w:val="008D5FD6"/>
    <w:rsid w:val="008D613C"/>
    <w:rsid w:val="008D6261"/>
    <w:rsid w:val="008D640E"/>
    <w:rsid w:val="008D68F0"/>
    <w:rsid w:val="008D6A39"/>
    <w:rsid w:val="008D6F25"/>
    <w:rsid w:val="008D752D"/>
    <w:rsid w:val="008D7878"/>
    <w:rsid w:val="008D7B02"/>
    <w:rsid w:val="008D7F1A"/>
    <w:rsid w:val="008E0420"/>
    <w:rsid w:val="008E0833"/>
    <w:rsid w:val="008E0902"/>
    <w:rsid w:val="008E0A47"/>
    <w:rsid w:val="008E0C5A"/>
    <w:rsid w:val="008E0FAB"/>
    <w:rsid w:val="008E16AA"/>
    <w:rsid w:val="008E1C67"/>
    <w:rsid w:val="008E22BA"/>
    <w:rsid w:val="008E2433"/>
    <w:rsid w:val="008E2622"/>
    <w:rsid w:val="008E3180"/>
    <w:rsid w:val="008E31C7"/>
    <w:rsid w:val="008E3244"/>
    <w:rsid w:val="008E33F3"/>
    <w:rsid w:val="008E37AF"/>
    <w:rsid w:val="008E37B2"/>
    <w:rsid w:val="008E3818"/>
    <w:rsid w:val="008E3971"/>
    <w:rsid w:val="008E4185"/>
    <w:rsid w:val="008E41B8"/>
    <w:rsid w:val="008E41C6"/>
    <w:rsid w:val="008E45AF"/>
    <w:rsid w:val="008E4838"/>
    <w:rsid w:val="008E487E"/>
    <w:rsid w:val="008E4921"/>
    <w:rsid w:val="008E4D9F"/>
    <w:rsid w:val="008E5791"/>
    <w:rsid w:val="008E60C1"/>
    <w:rsid w:val="008E6173"/>
    <w:rsid w:val="008E62F5"/>
    <w:rsid w:val="008E6393"/>
    <w:rsid w:val="008E687F"/>
    <w:rsid w:val="008E6B45"/>
    <w:rsid w:val="008E6FF9"/>
    <w:rsid w:val="008E721D"/>
    <w:rsid w:val="008E7771"/>
    <w:rsid w:val="008F041C"/>
    <w:rsid w:val="008F04C2"/>
    <w:rsid w:val="008F04F2"/>
    <w:rsid w:val="008F0673"/>
    <w:rsid w:val="008F072B"/>
    <w:rsid w:val="008F090E"/>
    <w:rsid w:val="008F0C75"/>
    <w:rsid w:val="008F0F51"/>
    <w:rsid w:val="008F1971"/>
    <w:rsid w:val="008F1AAB"/>
    <w:rsid w:val="008F1C2C"/>
    <w:rsid w:val="008F1F10"/>
    <w:rsid w:val="008F219B"/>
    <w:rsid w:val="008F233F"/>
    <w:rsid w:val="008F30B2"/>
    <w:rsid w:val="008F3579"/>
    <w:rsid w:val="008F35C1"/>
    <w:rsid w:val="008F3685"/>
    <w:rsid w:val="008F38E8"/>
    <w:rsid w:val="008F3AF6"/>
    <w:rsid w:val="008F3CCB"/>
    <w:rsid w:val="008F3DAF"/>
    <w:rsid w:val="008F4275"/>
    <w:rsid w:val="008F42BB"/>
    <w:rsid w:val="008F46C2"/>
    <w:rsid w:val="008F48FB"/>
    <w:rsid w:val="008F4AF4"/>
    <w:rsid w:val="008F53CF"/>
    <w:rsid w:val="008F551D"/>
    <w:rsid w:val="008F558B"/>
    <w:rsid w:val="008F5E66"/>
    <w:rsid w:val="008F5F3C"/>
    <w:rsid w:val="008F627F"/>
    <w:rsid w:val="008F6388"/>
    <w:rsid w:val="008F64FE"/>
    <w:rsid w:val="008F699B"/>
    <w:rsid w:val="008F6B16"/>
    <w:rsid w:val="008F70AD"/>
    <w:rsid w:val="008F71C2"/>
    <w:rsid w:val="008F7408"/>
    <w:rsid w:val="008F74FA"/>
    <w:rsid w:val="008F756C"/>
    <w:rsid w:val="008F7B41"/>
    <w:rsid w:val="0090011C"/>
    <w:rsid w:val="009004C4"/>
    <w:rsid w:val="0090058F"/>
    <w:rsid w:val="0090078B"/>
    <w:rsid w:val="009007EC"/>
    <w:rsid w:val="00900A20"/>
    <w:rsid w:val="00900A90"/>
    <w:rsid w:val="00900AE7"/>
    <w:rsid w:val="00900E03"/>
    <w:rsid w:val="00901380"/>
    <w:rsid w:val="0090138B"/>
    <w:rsid w:val="009015C8"/>
    <w:rsid w:val="009016CF"/>
    <w:rsid w:val="00901C04"/>
    <w:rsid w:val="00901D0A"/>
    <w:rsid w:val="00901D68"/>
    <w:rsid w:val="00901E9C"/>
    <w:rsid w:val="00902014"/>
    <w:rsid w:val="00902217"/>
    <w:rsid w:val="00902464"/>
    <w:rsid w:val="0090269D"/>
    <w:rsid w:val="00902818"/>
    <w:rsid w:val="00902837"/>
    <w:rsid w:val="00902BBD"/>
    <w:rsid w:val="00902E34"/>
    <w:rsid w:val="00902F71"/>
    <w:rsid w:val="00903214"/>
    <w:rsid w:val="00903299"/>
    <w:rsid w:val="00903732"/>
    <w:rsid w:val="0090383F"/>
    <w:rsid w:val="00903A95"/>
    <w:rsid w:val="00903DCF"/>
    <w:rsid w:val="00903EF8"/>
    <w:rsid w:val="009042FD"/>
    <w:rsid w:val="009046C9"/>
    <w:rsid w:val="009049D2"/>
    <w:rsid w:val="00904ADD"/>
    <w:rsid w:val="00904DB6"/>
    <w:rsid w:val="00905342"/>
    <w:rsid w:val="00905414"/>
    <w:rsid w:val="009055E3"/>
    <w:rsid w:val="009056AE"/>
    <w:rsid w:val="00905747"/>
    <w:rsid w:val="009058C2"/>
    <w:rsid w:val="00905DFC"/>
    <w:rsid w:val="00905E74"/>
    <w:rsid w:val="00905E88"/>
    <w:rsid w:val="00905F2F"/>
    <w:rsid w:val="0090617C"/>
    <w:rsid w:val="0090662F"/>
    <w:rsid w:val="009068D5"/>
    <w:rsid w:val="00906CD3"/>
    <w:rsid w:val="00906E4A"/>
    <w:rsid w:val="00906E8C"/>
    <w:rsid w:val="0090734A"/>
    <w:rsid w:val="00907759"/>
    <w:rsid w:val="00907A00"/>
    <w:rsid w:val="00907F80"/>
    <w:rsid w:val="00910001"/>
    <w:rsid w:val="00910699"/>
    <w:rsid w:val="009106F0"/>
    <w:rsid w:val="00910800"/>
    <w:rsid w:val="00910A72"/>
    <w:rsid w:val="00910ADF"/>
    <w:rsid w:val="00910DA8"/>
    <w:rsid w:val="00910EFB"/>
    <w:rsid w:val="00910FBF"/>
    <w:rsid w:val="00911195"/>
    <w:rsid w:val="009111A3"/>
    <w:rsid w:val="00911804"/>
    <w:rsid w:val="0091187D"/>
    <w:rsid w:val="00911A64"/>
    <w:rsid w:val="00911B6D"/>
    <w:rsid w:val="009122A2"/>
    <w:rsid w:val="009122D2"/>
    <w:rsid w:val="00912304"/>
    <w:rsid w:val="00912307"/>
    <w:rsid w:val="00912393"/>
    <w:rsid w:val="009123FD"/>
    <w:rsid w:val="009124E3"/>
    <w:rsid w:val="009126CC"/>
    <w:rsid w:val="0091305F"/>
    <w:rsid w:val="009130D2"/>
    <w:rsid w:val="00913466"/>
    <w:rsid w:val="009134DE"/>
    <w:rsid w:val="009136AE"/>
    <w:rsid w:val="00913A46"/>
    <w:rsid w:val="00913D9B"/>
    <w:rsid w:val="00913E6F"/>
    <w:rsid w:val="00913EE7"/>
    <w:rsid w:val="009140FE"/>
    <w:rsid w:val="0091487F"/>
    <w:rsid w:val="00914D7D"/>
    <w:rsid w:val="00914E39"/>
    <w:rsid w:val="00914F74"/>
    <w:rsid w:val="009158C6"/>
    <w:rsid w:val="00915E50"/>
    <w:rsid w:val="009160D7"/>
    <w:rsid w:val="0091618D"/>
    <w:rsid w:val="0091639D"/>
    <w:rsid w:val="00916439"/>
    <w:rsid w:val="00916509"/>
    <w:rsid w:val="00916C63"/>
    <w:rsid w:val="00916D3A"/>
    <w:rsid w:val="00916D60"/>
    <w:rsid w:val="00916E13"/>
    <w:rsid w:val="00917044"/>
    <w:rsid w:val="00917084"/>
    <w:rsid w:val="009172AD"/>
    <w:rsid w:val="0091765B"/>
    <w:rsid w:val="009176C2"/>
    <w:rsid w:val="00917BBF"/>
    <w:rsid w:val="00917F03"/>
    <w:rsid w:val="0092009E"/>
    <w:rsid w:val="00920742"/>
    <w:rsid w:val="00920BE4"/>
    <w:rsid w:val="00920CF9"/>
    <w:rsid w:val="00920DB4"/>
    <w:rsid w:val="00921792"/>
    <w:rsid w:val="009218F7"/>
    <w:rsid w:val="0092194B"/>
    <w:rsid w:val="00921CA2"/>
    <w:rsid w:val="0092213D"/>
    <w:rsid w:val="00922286"/>
    <w:rsid w:val="0092234E"/>
    <w:rsid w:val="00922416"/>
    <w:rsid w:val="00922C6E"/>
    <w:rsid w:val="00922D34"/>
    <w:rsid w:val="00923098"/>
    <w:rsid w:val="00923B52"/>
    <w:rsid w:val="00923C17"/>
    <w:rsid w:val="00923E70"/>
    <w:rsid w:val="00923EE0"/>
    <w:rsid w:val="0092410C"/>
    <w:rsid w:val="00924129"/>
    <w:rsid w:val="009242CC"/>
    <w:rsid w:val="00924D35"/>
    <w:rsid w:val="00925437"/>
    <w:rsid w:val="009254FE"/>
    <w:rsid w:val="00925DE3"/>
    <w:rsid w:val="00926039"/>
    <w:rsid w:val="009260C1"/>
    <w:rsid w:val="0092638E"/>
    <w:rsid w:val="0092639A"/>
    <w:rsid w:val="0092691B"/>
    <w:rsid w:val="00926AC1"/>
    <w:rsid w:val="00926AEF"/>
    <w:rsid w:val="00926DFC"/>
    <w:rsid w:val="00926F33"/>
    <w:rsid w:val="00926FC5"/>
    <w:rsid w:val="009270B2"/>
    <w:rsid w:val="0092731B"/>
    <w:rsid w:val="0092767B"/>
    <w:rsid w:val="00927DFD"/>
    <w:rsid w:val="00930170"/>
    <w:rsid w:val="00930546"/>
    <w:rsid w:val="00930628"/>
    <w:rsid w:val="00930745"/>
    <w:rsid w:val="009307FD"/>
    <w:rsid w:val="0093089F"/>
    <w:rsid w:val="009309B3"/>
    <w:rsid w:val="00930B69"/>
    <w:rsid w:val="00930F57"/>
    <w:rsid w:val="00930FD6"/>
    <w:rsid w:val="0093137F"/>
    <w:rsid w:val="0093152E"/>
    <w:rsid w:val="00931748"/>
    <w:rsid w:val="00931BAD"/>
    <w:rsid w:val="00931CB8"/>
    <w:rsid w:val="00932522"/>
    <w:rsid w:val="009325B4"/>
    <w:rsid w:val="00932874"/>
    <w:rsid w:val="00932A46"/>
    <w:rsid w:val="00932C77"/>
    <w:rsid w:val="00932E5A"/>
    <w:rsid w:val="009331F5"/>
    <w:rsid w:val="009343F8"/>
    <w:rsid w:val="009345BB"/>
    <w:rsid w:val="0093464A"/>
    <w:rsid w:val="009349DE"/>
    <w:rsid w:val="009349FA"/>
    <w:rsid w:val="00934A07"/>
    <w:rsid w:val="00934E31"/>
    <w:rsid w:val="00934E8F"/>
    <w:rsid w:val="00934FA8"/>
    <w:rsid w:val="00935292"/>
    <w:rsid w:val="00935CF7"/>
    <w:rsid w:val="00936093"/>
    <w:rsid w:val="0093609E"/>
    <w:rsid w:val="00936195"/>
    <w:rsid w:val="00936284"/>
    <w:rsid w:val="0093644F"/>
    <w:rsid w:val="00936471"/>
    <w:rsid w:val="0093647C"/>
    <w:rsid w:val="00936554"/>
    <w:rsid w:val="0093677A"/>
    <w:rsid w:val="00936EF6"/>
    <w:rsid w:val="00936FD9"/>
    <w:rsid w:val="009371AC"/>
    <w:rsid w:val="009372AA"/>
    <w:rsid w:val="009373C0"/>
    <w:rsid w:val="00937421"/>
    <w:rsid w:val="009375AF"/>
    <w:rsid w:val="0093766D"/>
    <w:rsid w:val="00937C22"/>
    <w:rsid w:val="00937EF0"/>
    <w:rsid w:val="009401F4"/>
    <w:rsid w:val="00940216"/>
    <w:rsid w:val="009403EB"/>
    <w:rsid w:val="009405AE"/>
    <w:rsid w:val="0094085B"/>
    <w:rsid w:val="00941482"/>
    <w:rsid w:val="009415D8"/>
    <w:rsid w:val="00941973"/>
    <w:rsid w:val="009419CF"/>
    <w:rsid w:val="00941B6A"/>
    <w:rsid w:val="00941BD1"/>
    <w:rsid w:val="00941CCA"/>
    <w:rsid w:val="00941CDA"/>
    <w:rsid w:val="00941D21"/>
    <w:rsid w:val="00941FB0"/>
    <w:rsid w:val="0094221A"/>
    <w:rsid w:val="00942498"/>
    <w:rsid w:val="00942968"/>
    <w:rsid w:val="009431C8"/>
    <w:rsid w:val="009433DC"/>
    <w:rsid w:val="009435F1"/>
    <w:rsid w:val="009438B0"/>
    <w:rsid w:val="009439AE"/>
    <w:rsid w:val="00943E6B"/>
    <w:rsid w:val="00943EE1"/>
    <w:rsid w:val="00943F9B"/>
    <w:rsid w:val="00944290"/>
    <w:rsid w:val="009442E1"/>
    <w:rsid w:val="00944330"/>
    <w:rsid w:val="009443E9"/>
    <w:rsid w:val="00944585"/>
    <w:rsid w:val="00944666"/>
    <w:rsid w:val="009448CD"/>
    <w:rsid w:val="00944CCB"/>
    <w:rsid w:val="00945505"/>
    <w:rsid w:val="009456A9"/>
    <w:rsid w:val="00945E26"/>
    <w:rsid w:val="00946028"/>
    <w:rsid w:val="009460F0"/>
    <w:rsid w:val="009462F0"/>
    <w:rsid w:val="00946A77"/>
    <w:rsid w:val="00946E74"/>
    <w:rsid w:val="00947078"/>
    <w:rsid w:val="00947243"/>
    <w:rsid w:val="009474AE"/>
    <w:rsid w:val="00947753"/>
    <w:rsid w:val="00947B88"/>
    <w:rsid w:val="00947D45"/>
    <w:rsid w:val="00947E73"/>
    <w:rsid w:val="009504D7"/>
    <w:rsid w:val="00950C9B"/>
    <w:rsid w:val="00950FA7"/>
    <w:rsid w:val="009510CF"/>
    <w:rsid w:val="00951B0C"/>
    <w:rsid w:val="00951D3D"/>
    <w:rsid w:val="00951EFA"/>
    <w:rsid w:val="00951FB6"/>
    <w:rsid w:val="00952047"/>
    <w:rsid w:val="00952094"/>
    <w:rsid w:val="00952B58"/>
    <w:rsid w:val="00952CD2"/>
    <w:rsid w:val="00952D16"/>
    <w:rsid w:val="00952E74"/>
    <w:rsid w:val="00952FD0"/>
    <w:rsid w:val="00953073"/>
    <w:rsid w:val="0095317A"/>
    <w:rsid w:val="00953182"/>
    <w:rsid w:val="00953782"/>
    <w:rsid w:val="009541FD"/>
    <w:rsid w:val="00954225"/>
    <w:rsid w:val="00954710"/>
    <w:rsid w:val="009549F2"/>
    <w:rsid w:val="00954A8A"/>
    <w:rsid w:val="00954CF5"/>
    <w:rsid w:val="009551D6"/>
    <w:rsid w:val="009551E3"/>
    <w:rsid w:val="009555D6"/>
    <w:rsid w:val="00955847"/>
    <w:rsid w:val="00955C2A"/>
    <w:rsid w:val="0095601C"/>
    <w:rsid w:val="0095620F"/>
    <w:rsid w:val="0095622B"/>
    <w:rsid w:val="00956779"/>
    <w:rsid w:val="00956ACF"/>
    <w:rsid w:val="00957066"/>
    <w:rsid w:val="00957107"/>
    <w:rsid w:val="0095747C"/>
    <w:rsid w:val="009576FC"/>
    <w:rsid w:val="00957869"/>
    <w:rsid w:val="00957B2A"/>
    <w:rsid w:val="00957E12"/>
    <w:rsid w:val="00957FAF"/>
    <w:rsid w:val="00960420"/>
    <w:rsid w:val="009604DC"/>
    <w:rsid w:val="00960987"/>
    <w:rsid w:val="00960FAF"/>
    <w:rsid w:val="00961093"/>
    <w:rsid w:val="009614B3"/>
    <w:rsid w:val="0096166C"/>
    <w:rsid w:val="00961932"/>
    <w:rsid w:val="00961A26"/>
    <w:rsid w:val="00961A75"/>
    <w:rsid w:val="00961BB5"/>
    <w:rsid w:val="00961C19"/>
    <w:rsid w:val="00961C7F"/>
    <w:rsid w:val="00961CCE"/>
    <w:rsid w:val="00961DFF"/>
    <w:rsid w:val="00961FC0"/>
    <w:rsid w:val="009620DB"/>
    <w:rsid w:val="0096210D"/>
    <w:rsid w:val="009625A8"/>
    <w:rsid w:val="0096292F"/>
    <w:rsid w:val="00962D68"/>
    <w:rsid w:val="00962E72"/>
    <w:rsid w:val="00963088"/>
    <w:rsid w:val="00963456"/>
    <w:rsid w:val="0096374F"/>
    <w:rsid w:val="00963A15"/>
    <w:rsid w:val="00963D9D"/>
    <w:rsid w:val="009640C1"/>
    <w:rsid w:val="00964110"/>
    <w:rsid w:val="0096430D"/>
    <w:rsid w:val="0096441A"/>
    <w:rsid w:val="0096499D"/>
    <w:rsid w:val="00964ADC"/>
    <w:rsid w:val="00964CBB"/>
    <w:rsid w:val="00964FD0"/>
    <w:rsid w:val="0096551B"/>
    <w:rsid w:val="00965810"/>
    <w:rsid w:val="00965A62"/>
    <w:rsid w:val="00965AF8"/>
    <w:rsid w:val="00965BD4"/>
    <w:rsid w:val="0096618F"/>
    <w:rsid w:val="009661E5"/>
    <w:rsid w:val="009662FB"/>
    <w:rsid w:val="00966670"/>
    <w:rsid w:val="009666F4"/>
    <w:rsid w:val="009668BE"/>
    <w:rsid w:val="00966908"/>
    <w:rsid w:val="00966D31"/>
    <w:rsid w:val="00966D89"/>
    <w:rsid w:val="009673E1"/>
    <w:rsid w:val="0096791F"/>
    <w:rsid w:val="00967A9E"/>
    <w:rsid w:val="009704C8"/>
    <w:rsid w:val="009705AE"/>
    <w:rsid w:val="009706C2"/>
    <w:rsid w:val="00970B54"/>
    <w:rsid w:val="00970C52"/>
    <w:rsid w:val="00970C74"/>
    <w:rsid w:val="00970E1B"/>
    <w:rsid w:val="00970F63"/>
    <w:rsid w:val="0097108C"/>
    <w:rsid w:val="00971456"/>
    <w:rsid w:val="009716FA"/>
    <w:rsid w:val="00971A7B"/>
    <w:rsid w:val="00971B0D"/>
    <w:rsid w:val="00971CB1"/>
    <w:rsid w:val="00971E8B"/>
    <w:rsid w:val="00971FAA"/>
    <w:rsid w:val="00972111"/>
    <w:rsid w:val="009724A8"/>
    <w:rsid w:val="00972C87"/>
    <w:rsid w:val="009732D6"/>
    <w:rsid w:val="009733AE"/>
    <w:rsid w:val="0097365E"/>
    <w:rsid w:val="00973A89"/>
    <w:rsid w:val="00973D04"/>
    <w:rsid w:val="00973F82"/>
    <w:rsid w:val="0097425D"/>
    <w:rsid w:val="00974367"/>
    <w:rsid w:val="009749BC"/>
    <w:rsid w:val="00974EE4"/>
    <w:rsid w:val="00975335"/>
    <w:rsid w:val="00975815"/>
    <w:rsid w:val="00975A69"/>
    <w:rsid w:val="00975B1D"/>
    <w:rsid w:val="00975C82"/>
    <w:rsid w:val="00975E9C"/>
    <w:rsid w:val="00975FE7"/>
    <w:rsid w:val="0097626D"/>
    <w:rsid w:val="009762D5"/>
    <w:rsid w:val="009763D0"/>
    <w:rsid w:val="00976557"/>
    <w:rsid w:val="00976863"/>
    <w:rsid w:val="00976A06"/>
    <w:rsid w:val="00976CE6"/>
    <w:rsid w:val="00976D16"/>
    <w:rsid w:val="00976D9D"/>
    <w:rsid w:val="0097717D"/>
    <w:rsid w:val="00977489"/>
    <w:rsid w:val="0097759F"/>
    <w:rsid w:val="00977627"/>
    <w:rsid w:val="00977650"/>
    <w:rsid w:val="00977722"/>
    <w:rsid w:val="0097783C"/>
    <w:rsid w:val="00977AEC"/>
    <w:rsid w:val="009801C1"/>
    <w:rsid w:val="00980253"/>
    <w:rsid w:val="00980893"/>
    <w:rsid w:val="00980980"/>
    <w:rsid w:val="00980AF8"/>
    <w:rsid w:val="00980EE9"/>
    <w:rsid w:val="00981080"/>
    <w:rsid w:val="009810E4"/>
    <w:rsid w:val="00981330"/>
    <w:rsid w:val="0098150B"/>
    <w:rsid w:val="009816EC"/>
    <w:rsid w:val="009817E7"/>
    <w:rsid w:val="0098188B"/>
    <w:rsid w:val="0098198C"/>
    <w:rsid w:val="00981B66"/>
    <w:rsid w:val="00981C84"/>
    <w:rsid w:val="00981D4D"/>
    <w:rsid w:val="00981F52"/>
    <w:rsid w:val="00981FD4"/>
    <w:rsid w:val="00982459"/>
    <w:rsid w:val="00982A8E"/>
    <w:rsid w:val="00982B52"/>
    <w:rsid w:val="00982DB2"/>
    <w:rsid w:val="00983081"/>
    <w:rsid w:val="00983681"/>
    <w:rsid w:val="00983897"/>
    <w:rsid w:val="00983C0D"/>
    <w:rsid w:val="00983CB6"/>
    <w:rsid w:val="009841BA"/>
    <w:rsid w:val="009842A3"/>
    <w:rsid w:val="0098471F"/>
    <w:rsid w:val="00984D54"/>
    <w:rsid w:val="00984E78"/>
    <w:rsid w:val="00985035"/>
    <w:rsid w:val="00985056"/>
    <w:rsid w:val="009850C9"/>
    <w:rsid w:val="00985252"/>
    <w:rsid w:val="00985BAE"/>
    <w:rsid w:val="00985C54"/>
    <w:rsid w:val="00985DB4"/>
    <w:rsid w:val="00986218"/>
    <w:rsid w:val="00986257"/>
    <w:rsid w:val="009864E5"/>
    <w:rsid w:val="00986ACF"/>
    <w:rsid w:val="00986E38"/>
    <w:rsid w:val="0098701E"/>
    <w:rsid w:val="00987286"/>
    <w:rsid w:val="0098749C"/>
    <w:rsid w:val="009876CF"/>
    <w:rsid w:val="009877DE"/>
    <w:rsid w:val="0098797F"/>
    <w:rsid w:val="009879E1"/>
    <w:rsid w:val="00987AE4"/>
    <w:rsid w:val="00987F92"/>
    <w:rsid w:val="0099001D"/>
    <w:rsid w:val="009901A3"/>
    <w:rsid w:val="0099078A"/>
    <w:rsid w:val="009908F8"/>
    <w:rsid w:val="00990A2C"/>
    <w:rsid w:val="00990AD0"/>
    <w:rsid w:val="009911D7"/>
    <w:rsid w:val="0099123F"/>
    <w:rsid w:val="00991317"/>
    <w:rsid w:val="009914D7"/>
    <w:rsid w:val="00991622"/>
    <w:rsid w:val="009916E8"/>
    <w:rsid w:val="00991853"/>
    <w:rsid w:val="00991DD4"/>
    <w:rsid w:val="009924A3"/>
    <w:rsid w:val="0099269B"/>
    <w:rsid w:val="009926BC"/>
    <w:rsid w:val="0099298B"/>
    <w:rsid w:val="00992B6B"/>
    <w:rsid w:val="00992FD9"/>
    <w:rsid w:val="0099316D"/>
    <w:rsid w:val="009931A8"/>
    <w:rsid w:val="009932B5"/>
    <w:rsid w:val="0099359F"/>
    <w:rsid w:val="00993744"/>
    <w:rsid w:val="00993833"/>
    <w:rsid w:val="00993872"/>
    <w:rsid w:val="009938A4"/>
    <w:rsid w:val="009939F9"/>
    <w:rsid w:val="00993A1D"/>
    <w:rsid w:val="00993FC7"/>
    <w:rsid w:val="00994214"/>
    <w:rsid w:val="00994279"/>
    <w:rsid w:val="00994286"/>
    <w:rsid w:val="00994365"/>
    <w:rsid w:val="009943CB"/>
    <w:rsid w:val="0099479B"/>
    <w:rsid w:val="00994D09"/>
    <w:rsid w:val="00995142"/>
    <w:rsid w:val="0099527A"/>
    <w:rsid w:val="00995386"/>
    <w:rsid w:val="0099549A"/>
    <w:rsid w:val="00995A10"/>
    <w:rsid w:val="00995A34"/>
    <w:rsid w:val="00995DBE"/>
    <w:rsid w:val="00996238"/>
    <w:rsid w:val="009962E9"/>
    <w:rsid w:val="00996629"/>
    <w:rsid w:val="00996726"/>
    <w:rsid w:val="00996958"/>
    <w:rsid w:val="00996A9E"/>
    <w:rsid w:val="009972DC"/>
    <w:rsid w:val="00997354"/>
    <w:rsid w:val="009974AF"/>
    <w:rsid w:val="009975B5"/>
    <w:rsid w:val="009976B0"/>
    <w:rsid w:val="009977FD"/>
    <w:rsid w:val="00997A7C"/>
    <w:rsid w:val="00997D4B"/>
    <w:rsid w:val="009A0062"/>
    <w:rsid w:val="009A075A"/>
    <w:rsid w:val="009A07BF"/>
    <w:rsid w:val="009A0BBC"/>
    <w:rsid w:val="009A0D95"/>
    <w:rsid w:val="009A0F26"/>
    <w:rsid w:val="009A1290"/>
    <w:rsid w:val="009A1544"/>
    <w:rsid w:val="009A1C5E"/>
    <w:rsid w:val="009A1EE4"/>
    <w:rsid w:val="009A1F36"/>
    <w:rsid w:val="009A25BD"/>
    <w:rsid w:val="009A268E"/>
    <w:rsid w:val="009A26E3"/>
    <w:rsid w:val="009A2A2A"/>
    <w:rsid w:val="009A2C9F"/>
    <w:rsid w:val="009A2E02"/>
    <w:rsid w:val="009A304A"/>
    <w:rsid w:val="009A32F7"/>
    <w:rsid w:val="009A37B7"/>
    <w:rsid w:val="009A37C6"/>
    <w:rsid w:val="009A382C"/>
    <w:rsid w:val="009A3865"/>
    <w:rsid w:val="009A392E"/>
    <w:rsid w:val="009A3DD0"/>
    <w:rsid w:val="009A4339"/>
    <w:rsid w:val="009A43EF"/>
    <w:rsid w:val="009A466A"/>
    <w:rsid w:val="009A4AA1"/>
    <w:rsid w:val="009A518B"/>
    <w:rsid w:val="009A5339"/>
    <w:rsid w:val="009A5406"/>
    <w:rsid w:val="009A5546"/>
    <w:rsid w:val="009A5DA4"/>
    <w:rsid w:val="009A613F"/>
    <w:rsid w:val="009A61C6"/>
    <w:rsid w:val="009A643B"/>
    <w:rsid w:val="009A64A1"/>
    <w:rsid w:val="009A672D"/>
    <w:rsid w:val="009A6AC4"/>
    <w:rsid w:val="009A6FE0"/>
    <w:rsid w:val="009A70EA"/>
    <w:rsid w:val="009A7449"/>
    <w:rsid w:val="009A784D"/>
    <w:rsid w:val="009A7E75"/>
    <w:rsid w:val="009B0086"/>
    <w:rsid w:val="009B05F8"/>
    <w:rsid w:val="009B09AE"/>
    <w:rsid w:val="009B0C1C"/>
    <w:rsid w:val="009B0E46"/>
    <w:rsid w:val="009B176D"/>
    <w:rsid w:val="009B179C"/>
    <w:rsid w:val="009B184B"/>
    <w:rsid w:val="009B1D64"/>
    <w:rsid w:val="009B2404"/>
    <w:rsid w:val="009B25D1"/>
    <w:rsid w:val="009B2B61"/>
    <w:rsid w:val="009B2D5B"/>
    <w:rsid w:val="009B2EE7"/>
    <w:rsid w:val="009B3057"/>
    <w:rsid w:val="009B3502"/>
    <w:rsid w:val="009B3C35"/>
    <w:rsid w:val="009B3DF4"/>
    <w:rsid w:val="009B3F2C"/>
    <w:rsid w:val="009B457C"/>
    <w:rsid w:val="009B4597"/>
    <w:rsid w:val="009B4717"/>
    <w:rsid w:val="009B4807"/>
    <w:rsid w:val="009B4934"/>
    <w:rsid w:val="009B49DE"/>
    <w:rsid w:val="009B4A79"/>
    <w:rsid w:val="009B4D2A"/>
    <w:rsid w:val="009B4DA3"/>
    <w:rsid w:val="009B4EB1"/>
    <w:rsid w:val="009B51B0"/>
    <w:rsid w:val="009B5206"/>
    <w:rsid w:val="009B523B"/>
    <w:rsid w:val="009B5285"/>
    <w:rsid w:val="009B536B"/>
    <w:rsid w:val="009B5705"/>
    <w:rsid w:val="009B57FA"/>
    <w:rsid w:val="009B59C1"/>
    <w:rsid w:val="009B5A7A"/>
    <w:rsid w:val="009B5B08"/>
    <w:rsid w:val="009B625D"/>
    <w:rsid w:val="009B6908"/>
    <w:rsid w:val="009B745D"/>
    <w:rsid w:val="009B7546"/>
    <w:rsid w:val="009C0026"/>
    <w:rsid w:val="009C00E4"/>
    <w:rsid w:val="009C07FC"/>
    <w:rsid w:val="009C0E4A"/>
    <w:rsid w:val="009C159E"/>
    <w:rsid w:val="009C175A"/>
    <w:rsid w:val="009C19B2"/>
    <w:rsid w:val="009C20B3"/>
    <w:rsid w:val="009C2131"/>
    <w:rsid w:val="009C255A"/>
    <w:rsid w:val="009C268B"/>
    <w:rsid w:val="009C27CF"/>
    <w:rsid w:val="009C2861"/>
    <w:rsid w:val="009C358D"/>
    <w:rsid w:val="009C36AB"/>
    <w:rsid w:val="009C38E2"/>
    <w:rsid w:val="009C3937"/>
    <w:rsid w:val="009C3AE8"/>
    <w:rsid w:val="009C3B85"/>
    <w:rsid w:val="009C3C3C"/>
    <w:rsid w:val="009C3E12"/>
    <w:rsid w:val="009C3F58"/>
    <w:rsid w:val="009C405A"/>
    <w:rsid w:val="009C4098"/>
    <w:rsid w:val="009C436E"/>
    <w:rsid w:val="009C43E3"/>
    <w:rsid w:val="009C48EF"/>
    <w:rsid w:val="009C492A"/>
    <w:rsid w:val="009C49DF"/>
    <w:rsid w:val="009C4A55"/>
    <w:rsid w:val="009C5087"/>
    <w:rsid w:val="009C5095"/>
    <w:rsid w:val="009C50B9"/>
    <w:rsid w:val="009C566E"/>
    <w:rsid w:val="009C56EB"/>
    <w:rsid w:val="009C5910"/>
    <w:rsid w:val="009C5ABB"/>
    <w:rsid w:val="009C5BAD"/>
    <w:rsid w:val="009C5F9D"/>
    <w:rsid w:val="009C649A"/>
    <w:rsid w:val="009C69EA"/>
    <w:rsid w:val="009C6E49"/>
    <w:rsid w:val="009C6F42"/>
    <w:rsid w:val="009C7201"/>
    <w:rsid w:val="009C75B3"/>
    <w:rsid w:val="009C79FD"/>
    <w:rsid w:val="009C7C98"/>
    <w:rsid w:val="009C7E32"/>
    <w:rsid w:val="009C7FBE"/>
    <w:rsid w:val="009C7FD2"/>
    <w:rsid w:val="009D0714"/>
    <w:rsid w:val="009D078F"/>
    <w:rsid w:val="009D0CB4"/>
    <w:rsid w:val="009D0D7F"/>
    <w:rsid w:val="009D0E21"/>
    <w:rsid w:val="009D10D4"/>
    <w:rsid w:val="009D11D3"/>
    <w:rsid w:val="009D1379"/>
    <w:rsid w:val="009D162A"/>
    <w:rsid w:val="009D1887"/>
    <w:rsid w:val="009D19B8"/>
    <w:rsid w:val="009D1BFE"/>
    <w:rsid w:val="009D219F"/>
    <w:rsid w:val="009D2697"/>
    <w:rsid w:val="009D27F3"/>
    <w:rsid w:val="009D2A26"/>
    <w:rsid w:val="009D2B26"/>
    <w:rsid w:val="009D2D00"/>
    <w:rsid w:val="009D2E60"/>
    <w:rsid w:val="009D3579"/>
    <w:rsid w:val="009D39CE"/>
    <w:rsid w:val="009D405D"/>
    <w:rsid w:val="009D4087"/>
    <w:rsid w:val="009D470A"/>
    <w:rsid w:val="009D4795"/>
    <w:rsid w:val="009D4DAA"/>
    <w:rsid w:val="009D5100"/>
    <w:rsid w:val="009D537B"/>
    <w:rsid w:val="009D54A7"/>
    <w:rsid w:val="009D5975"/>
    <w:rsid w:val="009D5AF7"/>
    <w:rsid w:val="009D5CA4"/>
    <w:rsid w:val="009D5E33"/>
    <w:rsid w:val="009D61CC"/>
    <w:rsid w:val="009D6880"/>
    <w:rsid w:val="009D6DDE"/>
    <w:rsid w:val="009D73C0"/>
    <w:rsid w:val="009D7580"/>
    <w:rsid w:val="009D77AA"/>
    <w:rsid w:val="009D7A24"/>
    <w:rsid w:val="009D7ED1"/>
    <w:rsid w:val="009E01E0"/>
    <w:rsid w:val="009E0621"/>
    <w:rsid w:val="009E087D"/>
    <w:rsid w:val="009E0B81"/>
    <w:rsid w:val="009E0B8E"/>
    <w:rsid w:val="009E0E98"/>
    <w:rsid w:val="009E14B7"/>
    <w:rsid w:val="009E185C"/>
    <w:rsid w:val="009E198B"/>
    <w:rsid w:val="009E1E1A"/>
    <w:rsid w:val="009E21CB"/>
    <w:rsid w:val="009E222F"/>
    <w:rsid w:val="009E2256"/>
    <w:rsid w:val="009E25E3"/>
    <w:rsid w:val="009E2F22"/>
    <w:rsid w:val="009E2FE7"/>
    <w:rsid w:val="009E34F0"/>
    <w:rsid w:val="009E3F60"/>
    <w:rsid w:val="009E4007"/>
    <w:rsid w:val="009E4078"/>
    <w:rsid w:val="009E506D"/>
    <w:rsid w:val="009E51D5"/>
    <w:rsid w:val="009E66D1"/>
    <w:rsid w:val="009E68AE"/>
    <w:rsid w:val="009E6983"/>
    <w:rsid w:val="009E7038"/>
    <w:rsid w:val="009E74DE"/>
    <w:rsid w:val="009E765E"/>
    <w:rsid w:val="009E7E82"/>
    <w:rsid w:val="009F0176"/>
    <w:rsid w:val="009F0282"/>
    <w:rsid w:val="009F0453"/>
    <w:rsid w:val="009F04EC"/>
    <w:rsid w:val="009F0D32"/>
    <w:rsid w:val="009F0DC5"/>
    <w:rsid w:val="009F0EF0"/>
    <w:rsid w:val="009F1245"/>
    <w:rsid w:val="009F15F1"/>
    <w:rsid w:val="009F1757"/>
    <w:rsid w:val="009F180B"/>
    <w:rsid w:val="009F1D49"/>
    <w:rsid w:val="009F214C"/>
    <w:rsid w:val="009F2166"/>
    <w:rsid w:val="009F220C"/>
    <w:rsid w:val="009F2227"/>
    <w:rsid w:val="009F2545"/>
    <w:rsid w:val="009F2B4C"/>
    <w:rsid w:val="009F2B7C"/>
    <w:rsid w:val="009F2D29"/>
    <w:rsid w:val="009F2FE8"/>
    <w:rsid w:val="009F314C"/>
    <w:rsid w:val="009F32BA"/>
    <w:rsid w:val="009F345B"/>
    <w:rsid w:val="009F3CBF"/>
    <w:rsid w:val="009F3EC8"/>
    <w:rsid w:val="009F424C"/>
    <w:rsid w:val="009F446B"/>
    <w:rsid w:val="009F4551"/>
    <w:rsid w:val="009F4788"/>
    <w:rsid w:val="009F4983"/>
    <w:rsid w:val="009F49E8"/>
    <w:rsid w:val="009F4CA1"/>
    <w:rsid w:val="009F4CAD"/>
    <w:rsid w:val="009F4EF3"/>
    <w:rsid w:val="009F4F27"/>
    <w:rsid w:val="009F50A0"/>
    <w:rsid w:val="009F555A"/>
    <w:rsid w:val="009F5612"/>
    <w:rsid w:val="009F5851"/>
    <w:rsid w:val="009F5884"/>
    <w:rsid w:val="009F5B80"/>
    <w:rsid w:val="009F5C53"/>
    <w:rsid w:val="009F5C7B"/>
    <w:rsid w:val="009F5D69"/>
    <w:rsid w:val="009F6A35"/>
    <w:rsid w:val="009F6AE4"/>
    <w:rsid w:val="009F6FA2"/>
    <w:rsid w:val="009F70BA"/>
    <w:rsid w:val="009F718D"/>
    <w:rsid w:val="009F7DA2"/>
    <w:rsid w:val="00A005F5"/>
    <w:rsid w:val="00A00E77"/>
    <w:rsid w:val="00A01099"/>
    <w:rsid w:val="00A012BA"/>
    <w:rsid w:val="00A014A0"/>
    <w:rsid w:val="00A01746"/>
    <w:rsid w:val="00A017DC"/>
    <w:rsid w:val="00A018BB"/>
    <w:rsid w:val="00A02600"/>
    <w:rsid w:val="00A02662"/>
    <w:rsid w:val="00A02829"/>
    <w:rsid w:val="00A02B4C"/>
    <w:rsid w:val="00A02BCB"/>
    <w:rsid w:val="00A03090"/>
    <w:rsid w:val="00A03220"/>
    <w:rsid w:val="00A0353B"/>
    <w:rsid w:val="00A03AD5"/>
    <w:rsid w:val="00A03F56"/>
    <w:rsid w:val="00A03FC6"/>
    <w:rsid w:val="00A0460C"/>
    <w:rsid w:val="00A051B8"/>
    <w:rsid w:val="00A05467"/>
    <w:rsid w:val="00A0594E"/>
    <w:rsid w:val="00A05DCA"/>
    <w:rsid w:val="00A061C2"/>
    <w:rsid w:val="00A06287"/>
    <w:rsid w:val="00A06747"/>
    <w:rsid w:val="00A06BC0"/>
    <w:rsid w:val="00A06C44"/>
    <w:rsid w:val="00A06CAC"/>
    <w:rsid w:val="00A06EFB"/>
    <w:rsid w:val="00A077A4"/>
    <w:rsid w:val="00A078BF"/>
    <w:rsid w:val="00A10490"/>
    <w:rsid w:val="00A10708"/>
    <w:rsid w:val="00A10893"/>
    <w:rsid w:val="00A109C0"/>
    <w:rsid w:val="00A10B84"/>
    <w:rsid w:val="00A10B8A"/>
    <w:rsid w:val="00A10DF6"/>
    <w:rsid w:val="00A10E56"/>
    <w:rsid w:val="00A10EB3"/>
    <w:rsid w:val="00A11536"/>
    <w:rsid w:val="00A1156F"/>
    <w:rsid w:val="00A116DC"/>
    <w:rsid w:val="00A11D5E"/>
    <w:rsid w:val="00A11E39"/>
    <w:rsid w:val="00A11E8B"/>
    <w:rsid w:val="00A11FFA"/>
    <w:rsid w:val="00A12847"/>
    <w:rsid w:val="00A12AF0"/>
    <w:rsid w:val="00A12EA0"/>
    <w:rsid w:val="00A12FE3"/>
    <w:rsid w:val="00A131DE"/>
    <w:rsid w:val="00A13237"/>
    <w:rsid w:val="00A134E3"/>
    <w:rsid w:val="00A13702"/>
    <w:rsid w:val="00A13908"/>
    <w:rsid w:val="00A14361"/>
    <w:rsid w:val="00A14459"/>
    <w:rsid w:val="00A144C6"/>
    <w:rsid w:val="00A14678"/>
    <w:rsid w:val="00A14969"/>
    <w:rsid w:val="00A14AA7"/>
    <w:rsid w:val="00A14B62"/>
    <w:rsid w:val="00A14D71"/>
    <w:rsid w:val="00A14DC9"/>
    <w:rsid w:val="00A15523"/>
    <w:rsid w:val="00A155C5"/>
    <w:rsid w:val="00A15645"/>
    <w:rsid w:val="00A159F0"/>
    <w:rsid w:val="00A15B9A"/>
    <w:rsid w:val="00A15DD6"/>
    <w:rsid w:val="00A1615F"/>
    <w:rsid w:val="00A163AF"/>
    <w:rsid w:val="00A164FA"/>
    <w:rsid w:val="00A16558"/>
    <w:rsid w:val="00A165DA"/>
    <w:rsid w:val="00A16CD5"/>
    <w:rsid w:val="00A16F04"/>
    <w:rsid w:val="00A1723F"/>
    <w:rsid w:val="00A17358"/>
    <w:rsid w:val="00A1752F"/>
    <w:rsid w:val="00A17774"/>
    <w:rsid w:val="00A1793D"/>
    <w:rsid w:val="00A17A33"/>
    <w:rsid w:val="00A2014C"/>
    <w:rsid w:val="00A20861"/>
    <w:rsid w:val="00A208ED"/>
    <w:rsid w:val="00A20937"/>
    <w:rsid w:val="00A20BE0"/>
    <w:rsid w:val="00A20C49"/>
    <w:rsid w:val="00A2134A"/>
    <w:rsid w:val="00A213D3"/>
    <w:rsid w:val="00A216D9"/>
    <w:rsid w:val="00A217A1"/>
    <w:rsid w:val="00A219A7"/>
    <w:rsid w:val="00A21BC2"/>
    <w:rsid w:val="00A21CC2"/>
    <w:rsid w:val="00A21CDD"/>
    <w:rsid w:val="00A22029"/>
    <w:rsid w:val="00A222DE"/>
    <w:rsid w:val="00A22438"/>
    <w:rsid w:val="00A227F1"/>
    <w:rsid w:val="00A22C1F"/>
    <w:rsid w:val="00A22C3B"/>
    <w:rsid w:val="00A2311A"/>
    <w:rsid w:val="00A231B9"/>
    <w:rsid w:val="00A23306"/>
    <w:rsid w:val="00A23A33"/>
    <w:rsid w:val="00A23AFA"/>
    <w:rsid w:val="00A23C2B"/>
    <w:rsid w:val="00A23C99"/>
    <w:rsid w:val="00A23DFD"/>
    <w:rsid w:val="00A24204"/>
    <w:rsid w:val="00A24478"/>
    <w:rsid w:val="00A24646"/>
    <w:rsid w:val="00A24A30"/>
    <w:rsid w:val="00A24A6D"/>
    <w:rsid w:val="00A24C57"/>
    <w:rsid w:val="00A24E7A"/>
    <w:rsid w:val="00A24EDF"/>
    <w:rsid w:val="00A2543D"/>
    <w:rsid w:val="00A25532"/>
    <w:rsid w:val="00A25816"/>
    <w:rsid w:val="00A25934"/>
    <w:rsid w:val="00A259CF"/>
    <w:rsid w:val="00A25A53"/>
    <w:rsid w:val="00A25B9C"/>
    <w:rsid w:val="00A262C3"/>
    <w:rsid w:val="00A267B0"/>
    <w:rsid w:val="00A26E3D"/>
    <w:rsid w:val="00A26E75"/>
    <w:rsid w:val="00A27039"/>
    <w:rsid w:val="00A271BD"/>
    <w:rsid w:val="00A300C3"/>
    <w:rsid w:val="00A303A9"/>
    <w:rsid w:val="00A30735"/>
    <w:rsid w:val="00A309E9"/>
    <w:rsid w:val="00A30D21"/>
    <w:rsid w:val="00A30E20"/>
    <w:rsid w:val="00A30E8F"/>
    <w:rsid w:val="00A31074"/>
    <w:rsid w:val="00A31255"/>
    <w:rsid w:val="00A31363"/>
    <w:rsid w:val="00A31432"/>
    <w:rsid w:val="00A31467"/>
    <w:rsid w:val="00A31AC6"/>
    <w:rsid w:val="00A31C24"/>
    <w:rsid w:val="00A31D56"/>
    <w:rsid w:val="00A31EB9"/>
    <w:rsid w:val="00A320F8"/>
    <w:rsid w:val="00A32165"/>
    <w:rsid w:val="00A32270"/>
    <w:rsid w:val="00A323A2"/>
    <w:rsid w:val="00A32498"/>
    <w:rsid w:val="00A3250E"/>
    <w:rsid w:val="00A32512"/>
    <w:rsid w:val="00A32D50"/>
    <w:rsid w:val="00A32E41"/>
    <w:rsid w:val="00A33059"/>
    <w:rsid w:val="00A332F0"/>
    <w:rsid w:val="00A33460"/>
    <w:rsid w:val="00A33859"/>
    <w:rsid w:val="00A33883"/>
    <w:rsid w:val="00A33D6B"/>
    <w:rsid w:val="00A33D96"/>
    <w:rsid w:val="00A33DF9"/>
    <w:rsid w:val="00A340DD"/>
    <w:rsid w:val="00A3426E"/>
    <w:rsid w:val="00A3433F"/>
    <w:rsid w:val="00A348EE"/>
    <w:rsid w:val="00A34E8F"/>
    <w:rsid w:val="00A3513A"/>
    <w:rsid w:val="00A35177"/>
    <w:rsid w:val="00A3574A"/>
    <w:rsid w:val="00A35894"/>
    <w:rsid w:val="00A3592C"/>
    <w:rsid w:val="00A35C4A"/>
    <w:rsid w:val="00A35C87"/>
    <w:rsid w:val="00A35E63"/>
    <w:rsid w:val="00A35EE3"/>
    <w:rsid w:val="00A35FD2"/>
    <w:rsid w:val="00A367FE"/>
    <w:rsid w:val="00A368E8"/>
    <w:rsid w:val="00A36F12"/>
    <w:rsid w:val="00A37202"/>
    <w:rsid w:val="00A37478"/>
    <w:rsid w:val="00A3752F"/>
    <w:rsid w:val="00A37769"/>
    <w:rsid w:val="00A37C9B"/>
    <w:rsid w:val="00A402E6"/>
    <w:rsid w:val="00A40B4E"/>
    <w:rsid w:val="00A40B79"/>
    <w:rsid w:val="00A41280"/>
    <w:rsid w:val="00A41530"/>
    <w:rsid w:val="00A4194B"/>
    <w:rsid w:val="00A41B88"/>
    <w:rsid w:val="00A422C5"/>
    <w:rsid w:val="00A42908"/>
    <w:rsid w:val="00A42A66"/>
    <w:rsid w:val="00A42A6D"/>
    <w:rsid w:val="00A42E3D"/>
    <w:rsid w:val="00A42FA8"/>
    <w:rsid w:val="00A431C5"/>
    <w:rsid w:val="00A43F89"/>
    <w:rsid w:val="00A44101"/>
    <w:rsid w:val="00A4426C"/>
    <w:rsid w:val="00A4453D"/>
    <w:rsid w:val="00A44636"/>
    <w:rsid w:val="00A4472D"/>
    <w:rsid w:val="00A4473E"/>
    <w:rsid w:val="00A44DDB"/>
    <w:rsid w:val="00A452F8"/>
    <w:rsid w:val="00A45416"/>
    <w:rsid w:val="00A454D0"/>
    <w:rsid w:val="00A45A72"/>
    <w:rsid w:val="00A45CA9"/>
    <w:rsid w:val="00A45DC2"/>
    <w:rsid w:val="00A45F13"/>
    <w:rsid w:val="00A46168"/>
    <w:rsid w:val="00A464FB"/>
    <w:rsid w:val="00A46529"/>
    <w:rsid w:val="00A466A6"/>
    <w:rsid w:val="00A466B5"/>
    <w:rsid w:val="00A46BEF"/>
    <w:rsid w:val="00A46C4B"/>
    <w:rsid w:val="00A46D85"/>
    <w:rsid w:val="00A46F33"/>
    <w:rsid w:val="00A46F39"/>
    <w:rsid w:val="00A47554"/>
    <w:rsid w:val="00A501C1"/>
    <w:rsid w:val="00A503CA"/>
    <w:rsid w:val="00A504C4"/>
    <w:rsid w:val="00A504DE"/>
    <w:rsid w:val="00A50571"/>
    <w:rsid w:val="00A507AA"/>
    <w:rsid w:val="00A50C19"/>
    <w:rsid w:val="00A50F1D"/>
    <w:rsid w:val="00A51119"/>
    <w:rsid w:val="00A511D9"/>
    <w:rsid w:val="00A513AF"/>
    <w:rsid w:val="00A51403"/>
    <w:rsid w:val="00A518E0"/>
    <w:rsid w:val="00A51E4C"/>
    <w:rsid w:val="00A51F29"/>
    <w:rsid w:val="00A51FEB"/>
    <w:rsid w:val="00A522FB"/>
    <w:rsid w:val="00A52354"/>
    <w:rsid w:val="00A5259E"/>
    <w:rsid w:val="00A525B9"/>
    <w:rsid w:val="00A5268D"/>
    <w:rsid w:val="00A5268F"/>
    <w:rsid w:val="00A52DD9"/>
    <w:rsid w:val="00A53166"/>
    <w:rsid w:val="00A535A9"/>
    <w:rsid w:val="00A53846"/>
    <w:rsid w:val="00A5387C"/>
    <w:rsid w:val="00A53BD6"/>
    <w:rsid w:val="00A53F67"/>
    <w:rsid w:val="00A54082"/>
    <w:rsid w:val="00A540CF"/>
    <w:rsid w:val="00A545F8"/>
    <w:rsid w:val="00A5488D"/>
    <w:rsid w:val="00A54926"/>
    <w:rsid w:val="00A54C40"/>
    <w:rsid w:val="00A54F88"/>
    <w:rsid w:val="00A55232"/>
    <w:rsid w:val="00A553C6"/>
    <w:rsid w:val="00A55AC2"/>
    <w:rsid w:val="00A55C35"/>
    <w:rsid w:val="00A56053"/>
    <w:rsid w:val="00A562A3"/>
    <w:rsid w:val="00A56385"/>
    <w:rsid w:val="00A566A9"/>
    <w:rsid w:val="00A56B07"/>
    <w:rsid w:val="00A56E3A"/>
    <w:rsid w:val="00A56EC5"/>
    <w:rsid w:val="00A57055"/>
    <w:rsid w:val="00A5711A"/>
    <w:rsid w:val="00A57A29"/>
    <w:rsid w:val="00A57A9B"/>
    <w:rsid w:val="00A57B49"/>
    <w:rsid w:val="00A57C4B"/>
    <w:rsid w:val="00A6037E"/>
    <w:rsid w:val="00A6038C"/>
    <w:rsid w:val="00A60442"/>
    <w:rsid w:val="00A60655"/>
    <w:rsid w:val="00A606BA"/>
    <w:rsid w:val="00A60C5A"/>
    <w:rsid w:val="00A60E04"/>
    <w:rsid w:val="00A61111"/>
    <w:rsid w:val="00A6148D"/>
    <w:rsid w:val="00A61496"/>
    <w:rsid w:val="00A61B24"/>
    <w:rsid w:val="00A61B4C"/>
    <w:rsid w:val="00A62752"/>
    <w:rsid w:val="00A62CCA"/>
    <w:rsid w:val="00A6311B"/>
    <w:rsid w:val="00A631B8"/>
    <w:rsid w:val="00A635A0"/>
    <w:rsid w:val="00A637F4"/>
    <w:rsid w:val="00A638E9"/>
    <w:rsid w:val="00A63B81"/>
    <w:rsid w:val="00A63F54"/>
    <w:rsid w:val="00A6414A"/>
    <w:rsid w:val="00A644BD"/>
    <w:rsid w:val="00A6451B"/>
    <w:rsid w:val="00A64828"/>
    <w:rsid w:val="00A64C4F"/>
    <w:rsid w:val="00A64FA1"/>
    <w:rsid w:val="00A64FC0"/>
    <w:rsid w:val="00A650D1"/>
    <w:rsid w:val="00A6519B"/>
    <w:rsid w:val="00A652CE"/>
    <w:rsid w:val="00A65BA9"/>
    <w:rsid w:val="00A65F8D"/>
    <w:rsid w:val="00A66123"/>
    <w:rsid w:val="00A66191"/>
    <w:rsid w:val="00A664BB"/>
    <w:rsid w:val="00A6693D"/>
    <w:rsid w:val="00A66CA4"/>
    <w:rsid w:val="00A6723F"/>
    <w:rsid w:val="00A672F2"/>
    <w:rsid w:val="00A6731E"/>
    <w:rsid w:val="00A674A0"/>
    <w:rsid w:val="00A67A57"/>
    <w:rsid w:val="00A67B46"/>
    <w:rsid w:val="00A7058E"/>
    <w:rsid w:val="00A7064B"/>
    <w:rsid w:val="00A7079E"/>
    <w:rsid w:val="00A7116A"/>
    <w:rsid w:val="00A71743"/>
    <w:rsid w:val="00A7176E"/>
    <w:rsid w:val="00A7184D"/>
    <w:rsid w:val="00A718AD"/>
    <w:rsid w:val="00A71A2C"/>
    <w:rsid w:val="00A720A9"/>
    <w:rsid w:val="00A72302"/>
    <w:rsid w:val="00A7236B"/>
    <w:rsid w:val="00A72482"/>
    <w:rsid w:val="00A72642"/>
    <w:rsid w:val="00A726FC"/>
    <w:rsid w:val="00A729BE"/>
    <w:rsid w:val="00A72CEE"/>
    <w:rsid w:val="00A733AE"/>
    <w:rsid w:val="00A73474"/>
    <w:rsid w:val="00A73744"/>
    <w:rsid w:val="00A738AC"/>
    <w:rsid w:val="00A73A78"/>
    <w:rsid w:val="00A740F7"/>
    <w:rsid w:val="00A742DA"/>
    <w:rsid w:val="00A74471"/>
    <w:rsid w:val="00A744ED"/>
    <w:rsid w:val="00A74795"/>
    <w:rsid w:val="00A74923"/>
    <w:rsid w:val="00A74A84"/>
    <w:rsid w:val="00A74B0E"/>
    <w:rsid w:val="00A74FFF"/>
    <w:rsid w:val="00A75104"/>
    <w:rsid w:val="00A75461"/>
    <w:rsid w:val="00A75FAD"/>
    <w:rsid w:val="00A75FBB"/>
    <w:rsid w:val="00A760DA"/>
    <w:rsid w:val="00A763C5"/>
    <w:rsid w:val="00A76440"/>
    <w:rsid w:val="00A76930"/>
    <w:rsid w:val="00A76BB7"/>
    <w:rsid w:val="00A76E4A"/>
    <w:rsid w:val="00A77439"/>
    <w:rsid w:val="00A7759C"/>
    <w:rsid w:val="00A77914"/>
    <w:rsid w:val="00A77A0A"/>
    <w:rsid w:val="00A77F95"/>
    <w:rsid w:val="00A8038C"/>
    <w:rsid w:val="00A804C4"/>
    <w:rsid w:val="00A80AF2"/>
    <w:rsid w:val="00A80C1E"/>
    <w:rsid w:val="00A80DBD"/>
    <w:rsid w:val="00A80FF9"/>
    <w:rsid w:val="00A810BF"/>
    <w:rsid w:val="00A81196"/>
    <w:rsid w:val="00A81277"/>
    <w:rsid w:val="00A81781"/>
    <w:rsid w:val="00A817DE"/>
    <w:rsid w:val="00A81B65"/>
    <w:rsid w:val="00A8278D"/>
    <w:rsid w:val="00A82848"/>
    <w:rsid w:val="00A82C69"/>
    <w:rsid w:val="00A82C6E"/>
    <w:rsid w:val="00A82F1A"/>
    <w:rsid w:val="00A835B9"/>
    <w:rsid w:val="00A837D1"/>
    <w:rsid w:val="00A8397F"/>
    <w:rsid w:val="00A83B47"/>
    <w:rsid w:val="00A83F39"/>
    <w:rsid w:val="00A8418D"/>
    <w:rsid w:val="00A8447C"/>
    <w:rsid w:val="00A84490"/>
    <w:rsid w:val="00A84869"/>
    <w:rsid w:val="00A84C18"/>
    <w:rsid w:val="00A84CF4"/>
    <w:rsid w:val="00A84D1A"/>
    <w:rsid w:val="00A855BF"/>
    <w:rsid w:val="00A855E4"/>
    <w:rsid w:val="00A857EC"/>
    <w:rsid w:val="00A85E4A"/>
    <w:rsid w:val="00A8610E"/>
    <w:rsid w:val="00A861FB"/>
    <w:rsid w:val="00A862E8"/>
    <w:rsid w:val="00A866E9"/>
    <w:rsid w:val="00A86B78"/>
    <w:rsid w:val="00A874F2"/>
    <w:rsid w:val="00A8791D"/>
    <w:rsid w:val="00A87DB5"/>
    <w:rsid w:val="00A87F72"/>
    <w:rsid w:val="00A9059D"/>
    <w:rsid w:val="00A9072D"/>
    <w:rsid w:val="00A909E3"/>
    <w:rsid w:val="00A90ACB"/>
    <w:rsid w:val="00A9122E"/>
    <w:rsid w:val="00A91618"/>
    <w:rsid w:val="00A91671"/>
    <w:rsid w:val="00A917DF"/>
    <w:rsid w:val="00A917F2"/>
    <w:rsid w:val="00A91A0D"/>
    <w:rsid w:val="00A9212D"/>
    <w:rsid w:val="00A922BD"/>
    <w:rsid w:val="00A922CC"/>
    <w:rsid w:val="00A92C55"/>
    <w:rsid w:val="00A93245"/>
    <w:rsid w:val="00A93569"/>
    <w:rsid w:val="00A93CDB"/>
    <w:rsid w:val="00A93EA9"/>
    <w:rsid w:val="00A94182"/>
    <w:rsid w:val="00A9430B"/>
    <w:rsid w:val="00A94467"/>
    <w:rsid w:val="00A94741"/>
    <w:rsid w:val="00A94A3E"/>
    <w:rsid w:val="00A94C7B"/>
    <w:rsid w:val="00A94E32"/>
    <w:rsid w:val="00A9537A"/>
    <w:rsid w:val="00A95380"/>
    <w:rsid w:val="00A95418"/>
    <w:rsid w:val="00A95900"/>
    <w:rsid w:val="00A95A71"/>
    <w:rsid w:val="00A96099"/>
    <w:rsid w:val="00A96127"/>
    <w:rsid w:val="00A9629C"/>
    <w:rsid w:val="00A962FF"/>
    <w:rsid w:val="00A96A3E"/>
    <w:rsid w:val="00A96A8D"/>
    <w:rsid w:val="00A96F60"/>
    <w:rsid w:val="00A97024"/>
    <w:rsid w:val="00A970DE"/>
    <w:rsid w:val="00A97308"/>
    <w:rsid w:val="00A97534"/>
    <w:rsid w:val="00A975DE"/>
    <w:rsid w:val="00A97625"/>
    <w:rsid w:val="00A9784E"/>
    <w:rsid w:val="00A978B3"/>
    <w:rsid w:val="00A97E20"/>
    <w:rsid w:val="00A97F0B"/>
    <w:rsid w:val="00A97FE3"/>
    <w:rsid w:val="00AA03F5"/>
    <w:rsid w:val="00AA0651"/>
    <w:rsid w:val="00AA0837"/>
    <w:rsid w:val="00AA0DD6"/>
    <w:rsid w:val="00AA0FFB"/>
    <w:rsid w:val="00AA2489"/>
    <w:rsid w:val="00AA2498"/>
    <w:rsid w:val="00AA273D"/>
    <w:rsid w:val="00AA2742"/>
    <w:rsid w:val="00AA27C3"/>
    <w:rsid w:val="00AA28D2"/>
    <w:rsid w:val="00AA29CF"/>
    <w:rsid w:val="00AA29DF"/>
    <w:rsid w:val="00AA2BDD"/>
    <w:rsid w:val="00AA2BFA"/>
    <w:rsid w:val="00AA2C8A"/>
    <w:rsid w:val="00AA2E1C"/>
    <w:rsid w:val="00AA33F2"/>
    <w:rsid w:val="00AA3932"/>
    <w:rsid w:val="00AA3A59"/>
    <w:rsid w:val="00AA3C33"/>
    <w:rsid w:val="00AA3E2F"/>
    <w:rsid w:val="00AA3E65"/>
    <w:rsid w:val="00AA3FB6"/>
    <w:rsid w:val="00AA41B7"/>
    <w:rsid w:val="00AA4429"/>
    <w:rsid w:val="00AA4620"/>
    <w:rsid w:val="00AA4674"/>
    <w:rsid w:val="00AA4772"/>
    <w:rsid w:val="00AA4A97"/>
    <w:rsid w:val="00AA50B9"/>
    <w:rsid w:val="00AA5422"/>
    <w:rsid w:val="00AA5591"/>
    <w:rsid w:val="00AA56AD"/>
    <w:rsid w:val="00AA5C54"/>
    <w:rsid w:val="00AA61CF"/>
    <w:rsid w:val="00AA6A23"/>
    <w:rsid w:val="00AA6C8D"/>
    <w:rsid w:val="00AA6CA7"/>
    <w:rsid w:val="00AA71C3"/>
    <w:rsid w:val="00AA7666"/>
    <w:rsid w:val="00AA7B66"/>
    <w:rsid w:val="00AA7C57"/>
    <w:rsid w:val="00AB0232"/>
    <w:rsid w:val="00AB0305"/>
    <w:rsid w:val="00AB06F3"/>
    <w:rsid w:val="00AB083E"/>
    <w:rsid w:val="00AB0A9B"/>
    <w:rsid w:val="00AB0C2B"/>
    <w:rsid w:val="00AB1100"/>
    <w:rsid w:val="00AB1CB1"/>
    <w:rsid w:val="00AB1E43"/>
    <w:rsid w:val="00AB1F6E"/>
    <w:rsid w:val="00AB231E"/>
    <w:rsid w:val="00AB2D5D"/>
    <w:rsid w:val="00AB30D6"/>
    <w:rsid w:val="00AB31A1"/>
    <w:rsid w:val="00AB31AF"/>
    <w:rsid w:val="00AB321B"/>
    <w:rsid w:val="00AB3A91"/>
    <w:rsid w:val="00AB3C9B"/>
    <w:rsid w:val="00AB41A8"/>
    <w:rsid w:val="00AB4737"/>
    <w:rsid w:val="00AB4A88"/>
    <w:rsid w:val="00AB4B84"/>
    <w:rsid w:val="00AB4C12"/>
    <w:rsid w:val="00AB5013"/>
    <w:rsid w:val="00AB5177"/>
    <w:rsid w:val="00AB51EB"/>
    <w:rsid w:val="00AB5E8F"/>
    <w:rsid w:val="00AB5FB1"/>
    <w:rsid w:val="00AB63E9"/>
    <w:rsid w:val="00AB682D"/>
    <w:rsid w:val="00AB6C0F"/>
    <w:rsid w:val="00AB6D05"/>
    <w:rsid w:val="00AB70E0"/>
    <w:rsid w:val="00AB7131"/>
    <w:rsid w:val="00AB7345"/>
    <w:rsid w:val="00AB74AB"/>
    <w:rsid w:val="00AB76D4"/>
    <w:rsid w:val="00AB7AD6"/>
    <w:rsid w:val="00AB7B03"/>
    <w:rsid w:val="00AC049A"/>
    <w:rsid w:val="00AC0515"/>
    <w:rsid w:val="00AC058F"/>
    <w:rsid w:val="00AC0638"/>
    <w:rsid w:val="00AC07BE"/>
    <w:rsid w:val="00AC0819"/>
    <w:rsid w:val="00AC109F"/>
    <w:rsid w:val="00AC12CF"/>
    <w:rsid w:val="00AC14C3"/>
    <w:rsid w:val="00AC169F"/>
    <w:rsid w:val="00AC1958"/>
    <w:rsid w:val="00AC1CB5"/>
    <w:rsid w:val="00AC2165"/>
    <w:rsid w:val="00AC21E4"/>
    <w:rsid w:val="00AC2B5E"/>
    <w:rsid w:val="00AC2F80"/>
    <w:rsid w:val="00AC30AA"/>
    <w:rsid w:val="00AC314F"/>
    <w:rsid w:val="00AC333E"/>
    <w:rsid w:val="00AC3734"/>
    <w:rsid w:val="00AC3A27"/>
    <w:rsid w:val="00AC3E1D"/>
    <w:rsid w:val="00AC3FD2"/>
    <w:rsid w:val="00AC407D"/>
    <w:rsid w:val="00AC421A"/>
    <w:rsid w:val="00AC4296"/>
    <w:rsid w:val="00AC4A1E"/>
    <w:rsid w:val="00AC4BCA"/>
    <w:rsid w:val="00AC4C1E"/>
    <w:rsid w:val="00AC4CCA"/>
    <w:rsid w:val="00AC4D06"/>
    <w:rsid w:val="00AC4E8C"/>
    <w:rsid w:val="00AC5124"/>
    <w:rsid w:val="00AC5170"/>
    <w:rsid w:val="00AC52EB"/>
    <w:rsid w:val="00AC541E"/>
    <w:rsid w:val="00AC55B5"/>
    <w:rsid w:val="00AC5880"/>
    <w:rsid w:val="00AC5A6C"/>
    <w:rsid w:val="00AC5B3F"/>
    <w:rsid w:val="00AC5E4B"/>
    <w:rsid w:val="00AC600F"/>
    <w:rsid w:val="00AC63E2"/>
    <w:rsid w:val="00AC6BEC"/>
    <w:rsid w:val="00AC7097"/>
    <w:rsid w:val="00AC74C3"/>
    <w:rsid w:val="00AC7B7A"/>
    <w:rsid w:val="00AC7DB6"/>
    <w:rsid w:val="00AC7E59"/>
    <w:rsid w:val="00AD00B7"/>
    <w:rsid w:val="00AD01EC"/>
    <w:rsid w:val="00AD01FF"/>
    <w:rsid w:val="00AD024B"/>
    <w:rsid w:val="00AD07FB"/>
    <w:rsid w:val="00AD0E9E"/>
    <w:rsid w:val="00AD1290"/>
    <w:rsid w:val="00AD1371"/>
    <w:rsid w:val="00AD144C"/>
    <w:rsid w:val="00AD2D08"/>
    <w:rsid w:val="00AD2D11"/>
    <w:rsid w:val="00AD2F7C"/>
    <w:rsid w:val="00AD3102"/>
    <w:rsid w:val="00AD322E"/>
    <w:rsid w:val="00AD32DA"/>
    <w:rsid w:val="00AD3300"/>
    <w:rsid w:val="00AD3422"/>
    <w:rsid w:val="00AD3581"/>
    <w:rsid w:val="00AD37F0"/>
    <w:rsid w:val="00AD38AE"/>
    <w:rsid w:val="00AD3A6B"/>
    <w:rsid w:val="00AD400B"/>
    <w:rsid w:val="00AD4404"/>
    <w:rsid w:val="00AD453A"/>
    <w:rsid w:val="00AD45BC"/>
    <w:rsid w:val="00AD47CA"/>
    <w:rsid w:val="00AD4D4D"/>
    <w:rsid w:val="00AD51F1"/>
    <w:rsid w:val="00AD5510"/>
    <w:rsid w:val="00AD56F4"/>
    <w:rsid w:val="00AD5714"/>
    <w:rsid w:val="00AD5972"/>
    <w:rsid w:val="00AD5D2E"/>
    <w:rsid w:val="00AD5E73"/>
    <w:rsid w:val="00AD60D4"/>
    <w:rsid w:val="00AD6197"/>
    <w:rsid w:val="00AD62B5"/>
    <w:rsid w:val="00AD63C5"/>
    <w:rsid w:val="00AD64B8"/>
    <w:rsid w:val="00AD6614"/>
    <w:rsid w:val="00AD66E0"/>
    <w:rsid w:val="00AD6775"/>
    <w:rsid w:val="00AD6779"/>
    <w:rsid w:val="00AD67A1"/>
    <w:rsid w:val="00AD6808"/>
    <w:rsid w:val="00AD68DC"/>
    <w:rsid w:val="00AD6F24"/>
    <w:rsid w:val="00AD7127"/>
    <w:rsid w:val="00AD735F"/>
    <w:rsid w:val="00AD7390"/>
    <w:rsid w:val="00AD7538"/>
    <w:rsid w:val="00AD7625"/>
    <w:rsid w:val="00AD7A7C"/>
    <w:rsid w:val="00AD7C20"/>
    <w:rsid w:val="00AD7C6F"/>
    <w:rsid w:val="00AD7F74"/>
    <w:rsid w:val="00AD7FD1"/>
    <w:rsid w:val="00AE0007"/>
    <w:rsid w:val="00AE04CF"/>
    <w:rsid w:val="00AE0C5C"/>
    <w:rsid w:val="00AE0D47"/>
    <w:rsid w:val="00AE103C"/>
    <w:rsid w:val="00AE11DB"/>
    <w:rsid w:val="00AE125B"/>
    <w:rsid w:val="00AE131B"/>
    <w:rsid w:val="00AE199E"/>
    <w:rsid w:val="00AE21E0"/>
    <w:rsid w:val="00AE2216"/>
    <w:rsid w:val="00AE2304"/>
    <w:rsid w:val="00AE26F8"/>
    <w:rsid w:val="00AE2866"/>
    <w:rsid w:val="00AE2962"/>
    <w:rsid w:val="00AE2A4A"/>
    <w:rsid w:val="00AE2D12"/>
    <w:rsid w:val="00AE2E0E"/>
    <w:rsid w:val="00AE2ECB"/>
    <w:rsid w:val="00AE2F50"/>
    <w:rsid w:val="00AE3342"/>
    <w:rsid w:val="00AE3431"/>
    <w:rsid w:val="00AE3A3E"/>
    <w:rsid w:val="00AE3A68"/>
    <w:rsid w:val="00AE3A7A"/>
    <w:rsid w:val="00AE3B22"/>
    <w:rsid w:val="00AE3C7F"/>
    <w:rsid w:val="00AE444A"/>
    <w:rsid w:val="00AE4583"/>
    <w:rsid w:val="00AE481F"/>
    <w:rsid w:val="00AE48D3"/>
    <w:rsid w:val="00AE4D3A"/>
    <w:rsid w:val="00AE4D54"/>
    <w:rsid w:val="00AE53DC"/>
    <w:rsid w:val="00AE5625"/>
    <w:rsid w:val="00AE5936"/>
    <w:rsid w:val="00AE5E79"/>
    <w:rsid w:val="00AE6059"/>
    <w:rsid w:val="00AE66E2"/>
    <w:rsid w:val="00AE6BED"/>
    <w:rsid w:val="00AE6CD5"/>
    <w:rsid w:val="00AE6D9E"/>
    <w:rsid w:val="00AE704F"/>
    <w:rsid w:val="00AE7059"/>
    <w:rsid w:val="00AE7427"/>
    <w:rsid w:val="00AE74A0"/>
    <w:rsid w:val="00AE7B19"/>
    <w:rsid w:val="00AE7E17"/>
    <w:rsid w:val="00AF013C"/>
    <w:rsid w:val="00AF04DD"/>
    <w:rsid w:val="00AF0C5F"/>
    <w:rsid w:val="00AF0F61"/>
    <w:rsid w:val="00AF131D"/>
    <w:rsid w:val="00AF180C"/>
    <w:rsid w:val="00AF1990"/>
    <w:rsid w:val="00AF19F3"/>
    <w:rsid w:val="00AF1AB7"/>
    <w:rsid w:val="00AF1B3D"/>
    <w:rsid w:val="00AF1C42"/>
    <w:rsid w:val="00AF2207"/>
    <w:rsid w:val="00AF2251"/>
    <w:rsid w:val="00AF27D4"/>
    <w:rsid w:val="00AF2883"/>
    <w:rsid w:val="00AF2E43"/>
    <w:rsid w:val="00AF2F23"/>
    <w:rsid w:val="00AF3136"/>
    <w:rsid w:val="00AF33EE"/>
    <w:rsid w:val="00AF3FED"/>
    <w:rsid w:val="00AF43AD"/>
    <w:rsid w:val="00AF44AF"/>
    <w:rsid w:val="00AF461F"/>
    <w:rsid w:val="00AF4ED4"/>
    <w:rsid w:val="00AF53C1"/>
    <w:rsid w:val="00AF580F"/>
    <w:rsid w:val="00AF5B9B"/>
    <w:rsid w:val="00AF5E23"/>
    <w:rsid w:val="00AF5EA7"/>
    <w:rsid w:val="00AF5EB8"/>
    <w:rsid w:val="00AF630A"/>
    <w:rsid w:val="00AF64EF"/>
    <w:rsid w:val="00AF66C4"/>
    <w:rsid w:val="00AF6D61"/>
    <w:rsid w:val="00AF722D"/>
    <w:rsid w:val="00AF767A"/>
    <w:rsid w:val="00AF7A0C"/>
    <w:rsid w:val="00AF7DE1"/>
    <w:rsid w:val="00B00185"/>
    <w:rsid w:val="00B001DE"/>
    <w:rsid w:val="00B01011"/>
    <w:rsid w:val="00B0107E"/>
    <w:rsid w:val="00B01103"/>
    <w:rsid w:val="00B01193"/>
    <w:rsid w:val="00B01317"/>
    <w:rsid w:val="00B014BE"/>
    <w:rsid w:val="00B0158A"/>
    <w:rsid w:val="00B01A2E"/>
    <w:rsid w:val="00B01A39"/>
    <w:rsid w:val="00B01F29"/>
    <w:rsid w:val="00B01F4F"/>
    <w:rsid w:val="00B02027"/>
    <w:rsid w:val="00B02045"/>
    <w:rsid w:val="00B02069"/>
    <w:rsid w:val="00B026A2"/>
    <w:rsid w:val="00B027D6"/>
    <w:rsid w:val="00B02825"/>
    <w:rsid w:val="00B02F2F"/>
    <w:rsid w:val="00B0319A"/>
    <w:rsid w:val="00B0327E"/>
    <w:rsid w:val="00B034B9"/>
    <w:rsid w:val="00B03942"/>
    <w:rsid w:val="00B03A74"/>
    <w:rsid w:val="00B03BC4"/>
    <w:rsid w:val="00B03E5E"/>
    <w:rsid w:val="00B04010"/>
    <w:rsid w:val="00B040D1"/>
    <w:rsid w:val="00B042A3"/>
    <w:rsid w:val="00B04416"/>
    <w:rsid w:val="00B0494D"/>
    <w:rsid w:val="00B04F1C"/>
    <w:rsid w:val="00B050A1"/>
    <w:rsid w:val="00B0516C"/>
    <w:rsid w:val="00B051F2"/>
    <w:rsid w:val="00B051F7"/>
    <w:rsid w:val="00B05374"/>
    <w:rsid w:val="00B054B0"/>
    <w:rsid w:val="00B05580"/>
    <w:rsid w:val="00B05922"/>
    <w:rsid w:val="00B059CE"/>
    <w:rsid w:val="00B06498"/>
    <w:rsid w:val="00B06BF9"/>
    <w:rsid w:val="00B06CC7"/>
    <w:rsid w:val="00B071D4"/>
    <w:rsid w:val="00B072EE"/>
    <w:rsid w:val="00B07726"/>
    <w:rsid w:val="00B0794D"/>
    <w:rsid w:val="00B07BBE"/>
    <w:rsid w:val="00B07C7A"/>
    <w:rsid w:val="00B1007C"/>
    <w:rsid w:val="00B101FB"/>
    <w:rsid w:val="00B1065A"/>
    <w:rsid w:val="00B10C70"/>
    <w:rsid w:val="00B10CBE"/>
    <w:rsid w:val="00B10D73"/>
    <w:rsid w:val="00B10E3B"/>
    <w:rsid w:val="00B10F0D"/>
    <w:rsid w:val="00B10F79"/>
    <w:rsid w:val="00B11530"/>
    <w:rsid w:val="00B11554"/>
    <w:rsid w:val="00B11622"/>
    <w:rsid w:val="00B117B9"/>
    <w:rsid w:val="00B11874"/>
    <w:rsid w:val="00B11BB0"/>
    <w:rsid w:val="00B11C27"/>
    <w:rsid w:val="00B11DE9"/>
    <w:rsid w:val="00B11FF8"/>
    <w:rsid w:val="00B12BA2"/>
    <w:rsid w:val="00B12C38"/>
    <w:rsid w:val="00B12D2D"/>
    <w:rsid w:val="00B12DE0"/>
    <w:rsid w:val="00B12E56"/>
    <w:rsid w:val="00B1385A"/>
    <w:rsid w:val="00B13D73"/>
    <w:rsid w:val="00B14785"/>
    <w:rsid w:val="00B147A1"/>
    <w:rsid w:val="00B1485A"/>
    <w:rsid w:val="00B14E6C"/>
    <w:rsid w:val="00B15060"/>
    <w:rsid w:val="00B15123"/>
    <w:rsid w:val="00B15132"/>
    <w:rsid w:val="00B152F6"/>
    <w:rsid w:val="00B15B37"/>
    <w:rsid w:val="00B15D30"/>
    <w:rsid w:val="00B1608B"/>
    <w:rsid w:val="00B160A5"/>
    <w:rsid w:val="00B161AA"/>
    <w:rsid w:val="00B169A1"/>
    <w:rsid w:val="00B169E3"/>
    <w:rsid w:val="00B16E9D"/>
    <w:rsid w:val="00B16FB2"/>
    <w:rsid w:val="00B17154"/>
    <w:rsid w:val="00B17564"/>
    <w:rsid w:val="00B176BA"/>
    <w:rsid w:val="00B176C7"/>
    <w:rsid w:val="00B17869"/>
    <w:rsid w:val="00B17A5A"/>
    <w:rsid w:val="00B17D5B"/>
    <w:rsid w:val="00B17E3C"/>
    <w:rsid w:val="00B20436"/>
    <w:rsid w:val="00B2045E"/>
    <w:rsid w:val="00B20D48"/>
    <w:rsid w:val="00B21091"/>
    <w:rsid w:val="00B2131A"/>
    <w:rsid w:val="00B218EA"/>
    <w:rsid w:val="00B21957"/>
    <w:rsid w:val="00B21BA3"/>
    <w:rsid w:val="00B21CA1"/>
    <w:rsid w:val="00B21F86"/>
    <w:rsid w:val="00B22123"/>
    <w:rsid w:val="00B22212"/>
    <w:rsid w:val="00B222BF"/>
    <w:rsid w:val="00B22431"/>
    <w:rsid w:val="00B225B4"/>
    <w:rsid w:val="00B228A0"/>
    <w:rsid w:val="00B22A62"/>
    <w:rsid w:val="00B22A7D"/>
    <w:rsid w:val="00B22BE2"/>
    <w:rsid w:val="00B23117"/>
    <w:rsid w:val="00B2311F"/>
    <w:rsid w:val="00B23204"/>
    <w:rsid w:val="00B2327D"/>
    <w:rsid w:val="00B2342E"/>
    <w:rsid w:val="00B2351D"/>
    <w:rsid w:val="00B23548"/>
    <w:rsid w:val="00B237E4"/>
    <w:rsid w:val="00B23A47"/>
    <w:rsid w:val="00B23D07"/>
    <w:rsid w:val="00B23E1E"/>
    <w:rsid w:val="00B24156"/>
    <w:rsid w:val="00B2425F"/>
    <w:rsid w:val="00B24464"/>
    <w:rsid w:val="00B245B2"/>
    <w:rsid w:val="00B245FD"/>
    <w:rsid w:val="00B2492B"/>
    <w:rsid w:val="00B24D58"/>
    <w:rsid w:val="00B24E51"/>
    <w:rsid w:val="00B24E98"/>
    <w:rsid w:val="00B24FA6"/>
    <w:rsid w:val="00B250D7"/>
    <w:rsid w:val="00B25240"/>
    <w:rsid w:val="00B252B4"/>
    <w:rsid w:val="00B255B8"/>
    <w:rsid w:val="00B256C9"/>
    <w:rsid w:val="00B2588A"/>
    <w:rsid w:val="00B25C2D"/>
    <w:rsid w:val="00B25D43"/>
    <w:rsid w:val="00B25D45"/>
    <w:rsid w:val="00B25FBF"/>
    <w:rsid w:val="00B26156"/>
    <w:rsid w:val="00B2627C"/>
    <w:rsid w:val="00B26388"/>
    <w:rsid w:val="00B2643D"/>
    <w:rsid w:val="00B26926"/>
    <w:rsid w:val="00B2732F"/>
    <w:rsid w:val="00B273BE"/>
    <w:rsid w:val="00B27699"/>
    <w:rsid w:val="00B279DC"/>
    <w:rsid w:val="00B27A31"/>
    <w:rsid w:val="00B27F47"/>
    <w:rsid w:val="00B30070"/>
    <w:rsid w:val="00B300BB"/>
    <w:rsid w:val="00B30238"/>
    <w:rsid w:val="00B3029C"/>
    <w:rsid w:val="00B30393"/>
    <w:rsid w:val="00B30499"/>
    <w:rsid w:val="00B304F8"/>
    <w:rsid w:val="00B30543"/>
    <w:rsid w:val="00B30636"/>
    <w:rsid w:val="00B30701"/>
    <w:rsid w:val="00B3070A"/>
    <w:rsid w:val="00B3090F"/>
    <w:rsid w:val="00B3091F"/>
    <w:rsid w:val="00B30C9B"/>
    <w:rsid w:val="00B310B3"/>
    <w:rsid w:val="00B311F7"/>
    <w:rsid w:val="00B312E9"/>
    <w:rsid w:val="00B31850"/>
    <w:rsid w:val="00B318DC"/>
    <w:rsid w:val="00B31B27"/>
    <w:rsid w:val="00B31C69"/>
    <w:rsid w:val="00B31CD4"/>
    <w:rsid w:val="00B31CFE"/>
    <w:rsid w:val="00B31DDD"/>
    <w:rsid w:val="00B32014"/>
    <w:rsid w:val="00B3207F"/>
    <w:rsid w:val="00B32953"/>
    <w:rsid w:val="00B32967"/>
    <w:rsid w:val="00B3304B"/>
    <w:rsid w:val="00B33C88"/>
    <w:rsid w:val="00B34037"/>
    <w:rsid w:val="00B3416E"/>
    <w:rsid w:val="00B3424B"/>
    <w:rsid w:val="00B344E7"/>
    <w:rsid w:val="00B34521"/>
    <w:rsid w:val="00B3470E"/>
    <w:rsid w:val="00B34733"/>
    <w:rsid w:val="00B34905"/>
    <w:rsid w:val="00B34AED"/>
    <w:rsid w:val="00B34C54"/>
    <w:rsid w:val="00B34D2F"/>
    <w:rsid w:val="00B34DDF"/>
    <w:rsid w:val="00B3514C"/>
    <w:rsid w:val="00B359D4"/>
    <w:rsid w:val="00B35B4F"/>
    <w:rsid w:val="00B35B98"/>
    <w:rsid w:val="00B35C4C"/>
    <w:rsid w:val="00B36025"/>
    <w:rsid w:val="00B36173"/>
    <w:rsid w:val="00B361E8"/>
    <w:rsid w:val="00B363DC"/>
    <w:rsid w:val="00B36C07"/>
    <w:rsid w:val="00B36C34"/>
    <w:rsid w:val="00B36F01"/>
    <w:rsid w:val="00B36FDC"/>
    <w:rsid w:val="00B37471"/>
    <w:rsid w:val="00B37819"/>
    <w:rsid w:val="00B3790C"/>
    <w:rsid w:val="00B37D2F"/>
    <w:rsid w:val="00B401C7"/>
    <w:rsid w:val="00B4052A"/>
    <w:rsid w:val="00B40749"/>
    <w:rsid w:val="00B40DCE"/>
    <w:rsid w:val="00B41345"/>
    <w:rsid w:val="00B413C5"/>
    <w:rsid w:val="00B4171D"/>
    <w:rsid w:val="00B4183D"/>
    <w:rsid w:val="00B419A7"/>
    <w:rsid w:val="00B419D2"/>
    <w:rsid w:val="00B41AE1"/>
    <w:rsid w:val="00B41E86"/>
    <w:rsid w:val="00B41F70"/>
    <w:rsid w:val="00B42058"/>
    <w:rsid w:val="00B42468"/>
    <w:rsid w:val="00B426A6"/>
    <w:rsid w:val="00B429FB"/>
    <w:rsid w:val="00B42C9D"/>
    <w:rsid w:val="00B42CA2"/>
    <w:rsid w:val="00B42E4D"/>
    <w:rsid w:val="00B42E4F"/>
    <w:rsid w:val="00B42FFE"/>
    <w:rsid w:val="00B43658"/>
    <w:rsid w:val="00B43903"/>
    <w:rsid w:val="00B43E25"/>
    <w:rsid w:val="00B43FA5"/>
    <w:rsid w:val="00B43FB2"/>
    <w:rsid w:val="00B444B2"/>
    <w:rsid w:val="00B44584"/>
    <w:rsid w:val="00B447E2"/>
    <w:rsid w:val="00B4489A"/>
    <w:rsid w:val="00B44981"/>
    <w:rsid w:val="00B44AD7"/>
    <w:rsid w:val="00B44B20"/>
    <w:rsid w:val="00B44BD3"/>
    <w:rsid w:val="00B44C0B"/>
    <w:rsid w:val="00B44CAE"/>
    <w:rsid w:val="00B44D4F"/>
    <w:rsid w:val="00B44D9A"/>
    <w:rsid w:val="00B44F61"/>
    <w:rsid w:val="00B44FB7"/>
    <w:rsid w:val="00B455C1"/>
    <w:rsid w:val="00B455F8"/>
    <w:rsid w:val="00B4563E"/>
    <w:rsid w:val="00B45763"/>
    <w:rsid w:val="00B45899"/>
    <w:rsid w:val="00B45F6C"/>
    <w:rsid w:val="00B45FC4"/>
    <w:rsid w:val="00B46403"/>
    <w:rsid w:val="00B4653D"/>
    <w:rsid w:val="00B4667C"/>
    <w:rsid w:val="00B4724C"/>
    <w:rsid w:val="00B472A4"/>
    <w:rsid w:val="00B4765F"/>
    <w:rsid w:val="00B4793A"/>
    <w:rsid w:val="00B4794F"/>
    <w:rsid w:val="00B47D1A"/>
    <w:rsid w:val="00B50012"/>
    <w:rsid w:val="00B50359"/>
    <w:rsid w:val="00B503B6"/>
    <w:rsid w:val="00B50466"/>
    <w:rsid w:val="00B50996"/>
    <w:rsid w:val="00B50ADD"/>
    <w:rsid w:val="00B50AF4"/>
    <w:rsid w:val="00B50FB4"/>
    <w:rsid w:val="00B512D4"/>
    <w:rsid w:val="00B51701"/>
    <w:rsid w:val="00B5175F"/>
    <w:rsid w:val="00B51A1D"/>
    <w:rsid w:val="00B51B03"/>
    <w:rsid w:val="00B51D0A"/>
    <w:rsid w:val="00B51DCE"/>
    <w:rsid w:val="00B528D5"/>
    <w:rsid w:val="00B52BF0"/>
    <w:rsid w:val="00B52EA5"/>
    <w:rsid w:val="00B533AC"/>
    <w:rsid w:val="00B53446"/>
    <w:rsid w:val="00B536A2"/>
    <w:rsid w:val="00B53A2F"/>
    <w:rsid w:val="00B53EB7"/>
    <w:rsid w:val="00B53F4C"/>
    <w:rsid w:val="00B541DC"/>
    <w:rsid w:val="00B54BC2"/>
    <w:rsid w:val="00B54C31"/>
    <w:rsid w:val="00B54D9C"/>
    <w:rsid w:val="00B550B1"/>
    <w:rsid w:val="00B555CA"/>
    <w:rsid w:val="00B55AC8"/>
    <w:rsid w:val="00B55AD0"/>
    <w:rsid w:val="00B55F1F"/>
    <w:rsid w:val="00B55FBD"/>
    <w:rsid w:val="00B563F8"/>
    <w:rsid w:val="00B565E7"/>
    <w:rsid w:val="00B566F7"/>
    <w:rsid w:val="00B567C9"/>
    <w:rsid w:val="00B56C88"/>
    <w:rsid w:val="00B56C91"/>
    <w:rsid w:val="00B56DE6"/>
    <w:rsid w:val="00B571E4"/>
    <w:rsid w:val="00B577C5"/>
    <w:rsid w:val="00B57A48"/>
    <w:rsid w:val="00B57D02"/>
    <w:rsid w:val="00B6043A"/>
    <w:rsid w:val="00B60799"/>
    <w:rsid w:val="00B60B42"/>
    <w:rsid w:val="00B60C5E"/>
    <w:rsid w:val="00B60DA8"/>
    <w:rsid w:val="00B60FA4"/>
    <w:rsid w:val="00B61061"/>
    <w:rsid w:val="00B6186A"/>
    <w:rsid w:val="00B61A7F"/>
    <w:rsid w:val="00B61F95"/>
    <w:rsid w:val="00B61FE8"/>
    <w:rsid w:val="00B6228F"/>
    <w:rsid w:val="00B6288F"/>
    <w:rsid w:val="00B62C1B"/>
    <w:rsid w:val="00B632CA"/>
    <w:rsid w:val="00B63823"/>
    <w:rsid w:val="00B63900"/>
    <w:rsid w:val="00B63A6E"/>
    <w:rsid w:val="00B63B34"/>
    <w:rsid w:val="00B63E63"/>
    <w:rsid w:val="00B63F0D"/>
    <w:rsid w:val="00B63FAB"/>
    <w:rsid w:val="00B64884"/>
    <w:rsid w:val="00B64912"/>
    <w:rsid w:val="00B6499E"/>
    <w:rsid w:val="00B6554A"/>
    <w:rsid w:val="00B6592C"/>
    <w:rsid w:val="00B65AD4"/>
    <w:rsid w:val="00B65E23"/>
    <w:rsid w:val="00B65EF3"/>
    <w:rsid w:val="00B66096"/>
    <w:rsid w:val="00B662F2"/>
    <w:rsid w:val="00B66463"/>
    <w:rsid w:val="00B66505"/>
    <w:rsid w:val="00B6650F"/>
    <w:rsid w:val="00B666C9"/>
    <w:rsid w:val="00B6679E"/>
    <w:rsid w:val="00B6711F"/>
    <w:rsid w:val="00B673A8"/>
    <w:rsid w:val="00B676A1"/>
    <w:rsid w:val="00B6773E"/>
    <w:rsid w:val="00B7011D"/>
    <w:rsid w:val="00B70308"/>
    <w:rsid w:val="00B70571"/>
    <w:rsid w:val="00B70888"/>
    <w:rsid w:val="00B70D99"/>
    <w:rsid w:val="00B70F19"/>
    <w:rsid w:val="00B70FF6"/>
    <w:rsid w:val="00B710E3"/>
    <w:rsid w:val="00B714BF"/>
    <w:rsid w:val="00B7165C"/>
    <w:rsid w:val="00B716B2"/>
    <w:rsid w:val="00B7170F"/>
    <w:rsid w:val="00B71715"/>
    <w:rsid w:val="00B71E80"/>
    <w:rsid w:val="00B71F3F"/>
    <w:rsid w:val="00B72003"/>
    <w:rsid w:val="00B72133"/>
    <w:rsid w:val="00B721CA"/>
    <w:rsid w:val="00B7255E"/>
    <w:rsid w:val="00B72BA1"/>
    <w:rsid w:val="00B72C66"/>
    <w:rsid w:val="00B730EB"/>
    <w:rsid w:val="00B7342B"/>
    <w:rsid w:val="00B73531"/>
    <w:rsid w:val="00B7358C"/>
    <w:rsid w:val="00B736C1"/>
    <w:rsid w:val="00B73A46"/>
    <w:rsid w:val="00B742EE"/>
    <w:rsid w:val="00B743A7"/>
    <w:rsid w:val="00B743B1"/>
    <w:rsid w:val="00B747ED"/>
    <w:rsid w:val="00B74AA0"/>
    <w:rsid w:val="00B74DA1"/>
    <w:rsid w:val="00B75181"/>
    <w:rsid w:val="00B7554C"/>
    <w:rsid w:val="00B75969"/>
    <w:rsid w:val="00B759B9"/>
    <w:rsid w:val="00B759D7"/>
    <w:rsid w:val="00B75E3D"/>
    <w:rsid w:val="00B765ED"/>
    <w:rsid w:val="00B7669A"/>
    <w:rsid w:val="00B76CA1"/>
    <w:rsid w:val="00B76CDC"/>
    <w:rsid w:val="00B76F4A"/>
    <w:rsid w:val="00B77341"/>
    <w:rsid w:val="00B77989"/>
    <w:rsid w:val="00B8003E"/>
    <w:rsid w:val="00B801BC"/>
    <w:rsid w:val="00B80451"/>
    <w:rsid w:val="00B80745"/>
    <w:rsid w:val="00B8086D"/>
    <w:rsid w:val="00B808DB"/>
    <w:rsid w:val="00B818B2"/>
    <w:rsid w:val="00B81AAD"/>
    <w:rsid w:val="00B81B49"/>
    <w:rsid w:val="00B81D70"/>
    <w:rsid w:val="00B8277B"/>
    <w:rsid w:val="00B82F0A"/>
    <w:rsid w:val="00B8335D"/>
    <w:rsid w:val="00B8342E"/>
    <w:rsid w:val="00B83451"/>
    <w:rsid w:val="00B83823"/>
    <w:rsid w:val="00B83C78"/>
    <w:rsid w:val="00B83CCF"/>
    <w:rsid w:val="00B83D96"/>
    <w:rsid w:val="00B83EC2"/>
    <w:rsid w:val="00B83EE5"/>
    <w:rsid w:val="00B83EF5"/>
    <w:rsid w:val="00B841DC"/>
    <w:rsid w:val="00B842D2"/>
    <w:rsid w:val="00B84347"/>
    <w:rsid w:val="00B84671"/>
    <w:rsid w:val="00B846DE"/>
    <w:rsid w:val="00B847E2"/>
    <w:rsid w:val="00B848FD"/>
    <w:rsid w:val="00B849FC"/>
    <w:rsid w:val="00B84E4A"/>
    <w:rsid w:val="00B85274"/>
    <w:rsid w:val="00B853D4"/>
    <w:rsid w:val="00B8543E"/>
    <w:rsid w:val="00B8556B"/>
    <w:rsid w:val="00B855AC"/>
    <w:rsid w:val="00B856B2"/>
    <w:rsid w:val="00B85913"/>
    <w:rsid w:val="00B85B35"/>
    <w:rsid w:val="00B85C19"/>
    <w:rsid w:val="00B85D8B"/>
    <w:rsid w:val="00B85DD6"/>
    <w:rsid w:val="00B865BA"/>
    <w:rsid w:val="00B87170"/>
    <w:rsid w:val="00B873B1"/>
    <w:rsid w:val="00B873FF"/>
    <w:rsid w:val="00B87877"/>
    <w:rsid w:val="00B87B41"/>
    <w:rsid w:val="00B87B66"/>
    <w:rsid w:val="00B87FE2"/>
    <w:rsid w:val="00B9046A"/>
    <w:rsid w:val="00B905F6"/>
    <w:rsid w:val="00B909CD"/>
    <w:rsid w:val="00B90B37"/>
    <w:rsid w:val="00B9127D"/>
    <w:rsid w:val="00B91357"/>
    <w:rsid w:val="00B914AB"/>
    <w:rsid w:val="00B914F9"/>
    <w:rsid w:val="00B91532"/>
    <w:rsid w:val="00B91553"/>
    <w:rsid w:val="00B915E9"/>
    <w:rsid w:val="00B91984"/>
    <w:rsid w:val="00B91D02"/>
    <w:rsid w:val="00B91D97"/>
    <w:rsid w:val="00B91E9D"/>
    <w:rsid w:val="00B92D37"/>
    <w:rsid w:val="00B930A2"/>
    <w:rsid w:val="00B93520"/>
    <w:rsid w:val="00B9363C"/>
    <w:rsid w:val="00B93A42"/>
    <w:rsid w:val="00B93B05"/>
    <w:rsid w:val="00B93BEA"/>
    <w:rsid w:val="00B94047"/>
    <w:rsid w:val="00B94066"/>
    <w:rsid w:val="00B943CA"/>
    <w:rsid w:val="00B946E6"/>
    <w:rsid w:val="00B949C3"/>
    <w:rsid w:val="00B94A07"/>
    <w:rsid w:val="00B94EF4"/>
    <w:rsid w:val="00B94F7F"/>
    <w:rsid w:val="00B952EB"/>
    <w:rsid w:val="00B953AF"/>
    <w:rsid w:val="00B9548F"/>
    <w:rsid w:val="00B95639"/>
    <w:rsid w:val="00B95C18"/>
    <w:rsid w:val="00B95DD7"/>
    <w:rsid w:val="00B95F65"/>
    <w:rsid w:val="00B96035"/>
    <w:rsid w:val="00B9607F"/>
    <w:rsid w:val="00B962BC"/>
    <w:rsid w:val="00B96418"/>
    <w:rsid w:val="00B96601"/>
    <w:rsid w:val="00B96F8D"/>
    <w:rsid w:val="00B9729B"/>
    <w:rsid w:val="00B97F9F"/>
    <w:rsid w:val="00BA0052"/>
    <w:rsid w:val="00BA01C2"/>
    <w:rsid w:val="00BA02E7"/>
    <w:rsid w:val="00BA061A"/>
    <w:rsid w:val="00BA069B"/>
    <w:rsid w:val="00BA099C"/>
    <w:rsid w:val="00BA0C2D"/>
    <w:rsid w:val="00BA0FAA"/>
    <w:rsid w:val="00BA126B"/>
    <w:rsid w:val="00BA1D4F"/>
    <w:rsid w:val="00BA1EFA"/>
    <w:rsid w:val="00BA1F89"/>
    <w:rsid w:val="00BA211C"/>
    <w:rsid w:val="00BA2A15"/>
    <w:rsid w:val="00BA2B92"/>
    <w:rsid w:val="00BA31B0"/>
    <w:rsid w:val="00BA3390"/>
    <w:rsid w:val="00BA34B2"/>
    <w:rsid w:val="00BA3A3F"/>
    <w:rsid w:val="00BA3C79"/>
    <w:rsid w:val="00BA3F91"/>
    <w:rsid w:val="00BA446E"/>
    <w:rsid w:val="00BA4948"/>
    <w:rsid w:val="00BA5077"/>
    <w:rsid w:val="00BA5486"/>
    <w:rsid w:val="00BA56A1"/>
    <w:rsid w:val="00BA5ECC"/>
    <w:rsid w:val="00BA6174"/>
    <w:rsid w:val="00BA651E"/>
    <w:rsid w:val="00BA670C"/>
    <w:rsid w:val="00BA6A11"/>
    <w:rsid w:val="00BA6BC3"/>
    <w:rsid w:val="00BA6D8B"/>
    <w:rsid w:val="00BA6E18"/>
    <w:rsid w:val="00BA6F55"/>
    <w:rsid w:val="00BA6FA2"/>
    <w:rsid w:val="00BA713D"/>
    <w:rsid w:val="00BA7158"/>
    <w:rsid w:val="00BA7826"/>
    <w:rsid w:val="00BA79DC"/>
    <w:rsid w:val="00BA7D51"/>
    <w:rsid w:val="00BA7E04"/>
    <w:rsid w:val="00BB01F0"/>
    <w:rsid w:val="00BB0702"/>
    <w:rsid w:val="00BB0B80"/>
    <w:rsid w:val="00BB0C60"/>
    <w:rsid w:val="00BB0DB2"/>
    <w:rsid w:val="00BB0EEF"/>
    <w:rsid w:val="00BB1035"/>
    <w:rsid w:val="00BB11B4"/>
    <w:rsid w:val="00BB1300"/>
    <w:rsid w:val="00BB1408"/>
    <w:rsid w:val="00BB1735"/>
    <w:rsid w:val="00BB1B51"/>
    <w:rsid w:val="00BB21ED"/>
    <w:rsid w:val="00BB230D"/>
    <w:rsid w:val="00BB24C3"/>
    <w:rsid w:val="00BB26A5"/>
    <w:rsid w:val="00BB28CC"/>
    <w:rsid w:val="00BB28F4"/>
    <w:rsid w:val="00BB2A53"/>
    <w:rsid w:val="00BB2A80"/>
    <w:rsid w:val="00BB2A98"/>
    <w:rsid w:val="00BB2BC2"/>
    <w:rsid w:val="00BB2EEB"/>
    <w:rsid w:val="00BB2FC9"/>
    <w:rsid w:val="00BB307B"/>
    <w:rsid w:val="00BB311B"/>
    <w:rsid w:val="00BB3847"/>
    <w:rsid w:val="00BB3876"/>
    <w:rsid w:val="00BB38EB"/>
    <w:rsid w:val="00BB3EFA"/>
    <w:rsid w:val="00BB40F1"/>
    <w:rsid w:val="00BB4104"/>
    <w:rsid w:val="00BB41FE"/>
    <w:rsid w:val="00BB439F"/>
    <w:rsid w:val="00BB46AD"/>
    <w:rsid w:val="00BB5381"/>
    <w:rsid w:val="00BB5840"/>
    <w:rsid w:val="00BB5927"/>
    <w:rsid w:val="00BB5B45"/>
    <w:rsid w:val="00BB5CA8"/>
    <w:rsid w:val="00BB65A7"/>
    <w:rsid w:val="00BB6959"/>
    <w:rsid w:val="00BB6BFE"/>
    <w:rsid w:val="00BB6C21"/>
    <w:rsid w:val="00BB6D31"/>
    <w:rsid w:val="00BB6F67"/>
    <w:rsid w:val="00BB7232"/>
    <w:rsid w:val="00BB7237"/>
    <w:rsid w:val="00BB7378"/>
    <w:rsid w:val="00BB74D9"/>
    <w:rsid w:val="00BB77E8"/>
    <w:rsid w:val="00BB7A16"/>
    <w:rsid w:val="00BB7B57"/>
    <w:rsid w:val="00BB7D39"/>
    <w:rsid w:val="00BB7D5F"/>
    <w:rsid w:val="00BB7D7D"/>
    <w:rsid w:val="00BC0401"/>
    <w:rsid w:val="00BC063D"/>
    <w:rsid w:val="00BC069F"/>
    <w:rsid w:val="00BC0787"/>
    <w:rsid w:val="00BC0970"/>
    <w:rsid w:val="00BC0A55"/>
    <w:rsid w:val="00BC0CDD"/>
    <w:rsid w:val="00BC0F02"/>
    <w:rsid w:val="00BC1BAD"/>
    <w:rsid w:val="00BC1C8E"/>
    <w:rsid w:val="00BC1E1C"/>
    <w:rsid w:val="00BC2306"/>
    <w:rsid w:val="00BC23C7"/>
    <w:rsid w:val="00BC248D"/>
    <w:rsid w:val="00BC25C9"/>
    <w:rsid w:val="00BC26F0"/>
    <w:rsid w:val="00BC2814"/>
    <w:rsid w:val="00BC28E6"/>
    <w:rsid w:val="00BC2A75"/>
    <w:rsid w:val="00BC2A7F"/>
    <w:rsid w:val="00BC3034"/>
    <w:rsid w:val="00BC3481"/>
    <w:rsid w:val="00BC353A"/>
    <w:rsid w:val="00BC3805"/>
    <w:rsid w:val="00BC3BF3"/>
    <w:rsid w:val="00BC3EC2"/>
    <w:rsid w:val="00BC3F81"/>
    <w:rsid w:val="00BC40B6"/>
    <w:rsid w:val="00BC455C"/>
    <w:rsid w:val="00BC46E0"/>
    <w:rsid w:val="00BC4779"/>
    <w:rsid w:val="00BC4973"/>
    <w:rsid w:val="00BC4BED"/>
    <w:rsid w:val="00BC51AA"/>
    <w:rsid w:val="00BC5307"/>
    <w:rsid w:val="00BC5402"/>
    <w:rsid w:val="00BC548D"/>
    <w:rsid w:val="00BC55A4"/>
    <w:rsid w:val="00BC573F"/>
    <w:rsid w:val="00BC5791"/>
    <w:rsid w:val="00BC58C5"/>
    <w:rsid w:val="00BC5A0D"/>
    <w:rsid w:val="00BC5EDB"/>
    <w:rsid w:val="00BC5F05"/>
    <w:rsid w:val="00BC62B9"/>
    <w:rsid w:val="00BC646E"/>
    <w:rsid w:val="00BC65B6"/>
    <w:rsid w:val="00BC6608"/>
    <w:rsid w:val="00BC6D48"/>
    <w:rsid w:val="00BC6F40"/>
    <w:rsid w:val="00BC707F"/>
    <w:rsid w:val="00BC766B"/>
    <w:rsid w:val="00BC7876"/>
    <w:rsid w:val="00BC7D31"/>
    <w:rsid w:val="00BC7E19"/>
    <w:rsid w:val="00BC7F6E"/>
    <w:rsid w:val="00BD01D0"/>
    <w:rsid w:val="00BD031B"/>
    <w:rsid w:val="00BD0339"/>
    <w:rsid w:val="00BD04C5"/>
    <w:rsid w:val="00BD0AE8"/>
    <w:rsid w:val="00BD0BF7"/>
    <w:rsid w:val="00BD0F8C"/>
    <w:rsid w:val="00BD1054"/>
    <w:rsid w:val="00BD125A"/>
    <w:rsid w:val="00BD1436"/>
    <w:rsid w:val="00BD144F"/>
    <w:rsid w:val="00BD161E"/>
    <w:rsid w:val="00BD1B7B"/>
    <w:rsid w:val="00BD22EC"/>
    <w:rsid w:val="00BD246F"/>
    <w:rsid w:val="00BD260E"/>
    <w:rsid w:val="00BD2B10"/>
    <w:rsid w:val="00BD2B71"/>
    <w:rsid w:val="00BD31EE"/>
    <w:rsid w:val="00BD3280"/>
    <w:rsid w:val="00BD3BE5"/>
    <w:rsid w:val="00BD3DBC"/>
    <w:rsid w:val="00BD3DED"/>
    <w:rsid w:val="00BD4056"/>
    <w:rsid w:val="00BD43AB"/>
    <w:rsid w:val="00BD4AD2"/>
    <w:rsid w:val="00BD4DC1"/>
    <w:rsid w:val="00BD5770"/>
    <w:rsid w:val="00BD590A"/>
    <w:rsid w:val="00BD59DF"/>
    <w:rsid w:val="00BD5D94"/>
    <w:rsid w:val="00BD6225"/>
    <w:rsid w:val="00BD629B"/>
    <w:rsid w:val="00BD649C"/>
    <w:rsid w:val="00BD64A0"/>
    <w:rsid w:val="00BD6680"/>
    <w:rsid w:val="00BD6986"/>
    <w:rsid w:val="00BD6F30"/>
    <w:rsid w:val="00BD7263"/>
    <w:rsid w:val="00BD7459"/>
    <w:rsid w:val="00BD76AE"/>
    <w:rsid w:val="00BD77B0"/>
    <w:rsid w:val="00BD7BF3"/>
    <w:rsid w:val="00BE00DA"/>
    <w:rsid w:val="00BE0184"/>
    <w:rsid w:val="00BE0185"/>
    <w:rsid w:val="00BE0575"/>
    <w:rsid w:val="00BE05D4"/>
    <w:rsid w:val="00BE0C38"/>
    <w:rsid w:val="00BE0D3F"/>
    <w:rsid w:val="00BE0E09"/>
    <w:rsid w:val="00BE0E71"/>
    <w:rsid w:val="00BE0F08"/>
    <w:rsid w:val="00BE10A3"/>
    <w:rsid w:val="00BE15B0"/>
    <w:rsid w:val="00BE1939"/>
    <w:rsid w:val="00BE1A0D"/>
    <w:rsid w:val="00BE1E86"/>
    <w:rsid w:val="00BE215B"/>
    <w:rsid w:val="00BE221E"/>
    <w:rsid w:val="00BE24DC"/>
    <w:rsid w:val="00BE2532"/>
    <w:rsid w:val="00BE25C5"/>
    <w:rsid w:val="00BE2A00"/>
    <w:rsid w:val="00BE2C28"/>
    <w:rsid w:val="00BE2E12"/>
    <w:rsid w:val="00BE2ECD"/>
    <w:rsid w:val="00BE3105"/>
    <w:rsid w:val="00BE3AD8"/>
    <w:rsid w:val="00BE3B0E"/>
    <w:rsid w:val="00BE3C04"/>
    <w:rsid w:val="00BE3D58"/>
    <w:rsid w:val="00BE4071"/>
    <w:rsid w:val="00BE4750"/>
    <w:rsid w:val="00BE47A6"/>
    <w:rsid w:val="00BE47AB"/>
    <w:rsid w:val="00BE47DB"/>
    <w:rsid w:val="00BE49C7"/>
    <w:rsid w:val="00BE4D83"/>
    <w:rsid w:val="00BE4E04"/>
    <w:rsid w:val="00BE573E"/>
    <w:rsid w:val="00BE5843"/>
    <w:rsid w:val="00BE5C64"/>
    <w:rsid w:val="00BE5C7B"/>
    <w:rsid w:val="00BE5E4C"/>
    <w:rsid w:val="00BE627E"/>
    <w:rsid w:val="00BE6447"/>
    <w:rsid w:val="00BE661D"/>
    <w:rsid w:val="00BE692A"/>
    <w:rsid w:val="00BE6C9E"/>
    <w:rsid w:val="00BE6CB7"/>
    <w:rsid w:val="00BE6F9C"/>
    <w:rsid w:val="00BE7779"/>
    <w:rsid w:val="00BE787B"/>
    <w:rsid w:val="00BE7F1F"/>
    <w:rsid w:val="00BF0183"/>
    <w:rsid w:val="00BF0293"/>
    <w:rsid w:val="00BF04F5"/>
    <w:rsid w:val="00BF064F"/>
    <w:rsid w:val="00BF0C26"/>
    <w:rsid w:val="00BF0D88"/>
    <w:rsid w:val="00BF0F28"/>
    <w:rsid w:val="00BF154C"/>
    <w:rsid w:val="00BF1618"/>
    <w:rsid w:val="00BF16A4"/>
    <w:rsid w:val="00BF18CA"/>
    <w:rsid w:val="00BF1B23"/>
    <w:rsid w:val="00BF1F92"/>
    <w:rsid w:val="00BF2343"/>
    <w:rsid w:val="00BF2450"/>
    <w:rsid w:val="00BF266A"/>
    <w:rsid w:val="00BF285C"/>
    <w:rsid w:val="00BF2997"/>
    <w:rsid w:val="00BF2FAA"/>
    <w:rsid w:val="00BF33B0"/>
    <w:rsid w:val="00BF3559"/>
    <w:rsid w:val="00BF39EA"/>
    <w:rsid w:val="00BF3AB5"/>
    <w:rsid w:val="00BF3B00"/>
    <w:rsid w:val="00BF3DBD"/>
    <w:rsid w:val="00BF43DE"/>
    <w:rsid w:val="00BF47A8"/>
    <w:rsid w:val="00BF4DF9"/>
    <w:rsid w:val="00BF502D"/>
    <w:rsid w:val="00BF5035"/>
    <w:rsid w:val="00BF5047"/>
    <w:rsid w:val="00BF51E1"/>
    <w:rsid w:val="00BF5254"/>
    <w:rsid w:val="00BF530C"/>
    <w:rsid w:val="00BF540C"/>
    <w:rsid w:val="00BF5649"/>
    <w:rsid w:val="00BF5771"/>
    <w:rsid w:val="00BF5C14"/>
    <w:rsid w:val="00BF5C3D"/>
    <w:rsid w:val="00BF5C63"/>
    <w:rsid w:val="00BF5F78"/>
    <w:rsid w:val="00BF608E"/>
    <w:rsid w:val="00BF61CB"/>
    <w:rsid w:val="00BF6469"/>
    <w:rsid w:val="00BF6798"/>
    <w:rsid w:val="00BF69F0"/>
    <w:rsid w:val="00BF69F7"/>
    <w:rsid w:val="00BF6A50"/>
    <w:rsid w:val="00BF6AB7"/>
    <w:rsid w:val="00BF6CCD"/>
    <w:rsid w:val="00BF6D63"/>
    <w:rsid w:val="00BF6D90"/>
    <w:rsid w:val="00BF73AF"/>
    <w:rsid w:val="00BF7448"/>
    <w:rsid w:val="00BF794D"/>
    <w:rsid w:val="00BF7DE8"/>
    <w:rsid w:val="00BF7E29"/>
    <w:rsid w:val="00BF7F2E"/>
    <w:rsid w:val="00C0018F"/>
    <w:rsid w:val="00C0059E"/>
    <w:rsid w:val="00C00786"/>
    <w:rsid w:val="00C00BB1"/>
    <w:rsid w:val="00C00E2F"/>
    <w:rsid w:val="00C00F7F"/>
    <w:rsid w:val="00C0105F"/>
    <w:rsid w:val="00C0131A"/>
    <w:rsid w:val="00C0131C"/>
    <w:rsid w:val="00C013DF"/>
    <w:rsid w:val="00C01796"/>
    <w:rsid w:val="00C01967"/>
    <w:rsid w:val="00C01DB0"/>
    <w:rsid w:val="00C02029"/>
    <w:rsid w:val="00C02319"/>
    <w:rsid w:val="00C0279D"/>
    <w:rsid w:val="00C02E70"/>
    <w:rsid w:val="00C02FD5"/>
    <w:rsid w:val="00C03032"/>
    <w:rsid w:val="00C034E0"/>
    <w:rsid w:val="00C03749"/>
    <w:rsid w:val="00C03E67"/>
    <w:rsid w:val="00C03F34"/>
    <w:rsid w:val="00C041F8"/>
    <w:rsid w:val="00C04397"/>
    <w:rsid w:val="00C044DB"/>
    <w:rsid w:val="00C04539"/>
    <w:rsid w:val="00C0499B"/>
    <w:rsid w:val="00C049AB"/>
    <w:rsid w:val="00C04C5E"/>
    <w:rsid w:val="00C0588D"/>
    <w:rsid w:val="00C059BE"/>
    <w:rsid w:val="00C05CE6"/>
    <w:rsid w:val="00C05F92"/>
    <w:rsid w:val="00C0604B"/>
    <w:rsid w:val="00C064F3"/>
    <w:rsid w:val="00C065F5"/>
    <w:rsid w:val="00C06716"/>
    <w:rsid w:val="00C06B06"/>
    <w:rsid w:val="00C06DB0"/>
    <w:rsid w:val="00C074EA"/>
    <w:rsid w:val="00C0750D"/>
    <w:rsid w:val="00C075DC"/>
    <w:rsid w:val="00C07A21"/>
    <w:rsid w:val="00C07B9D"/>
    <w:rsid w:val="00C07D98"/>
    <w:rsid w:val="00C07FDE"/>
    <w:rsid w:val="00C102C3"/>
    <w:rsid w:val="00C1051E"/>
    <w:rsid w:val="00C10CA7"/>
    <w:rsid w:val="00C1114D"/>
    <w:rsid w:val="00C1122C"/>
    <w:rsid w:val="00C11354"/>
    <w:rsid w:val="00C113A6"/>
    <w:rsid w:val="00C114E2"/>
    <w:rsid w:val="00C11759"/>
    <w:rsid w:val="00C11767"/>
    <w:rsid w:val="00C11D08"/>
    <w:rsid w:val="00C120C9"/>
    <w:rsid w:val="00C122D1"/>
    <w:rsid w:val="00C1232E"/>
    <w:rsid w:val="00C123CA"/>
    <w:rsid w:val="00C12B4C"/>
    <w:rsid w:val="00C12C5B"/>
    <w:rsid w:val="00C12DA0"/>
    <w:rsid w:val="00C12FE4"/>
    <w:rsid w:val="00C130A1"/>
    <w:rsid w:val="00C13151"/>
    <w:rsid w:val="00C1337F"/>
    <w:rsid w:val="00C133F4"/>
    <w:rsid w:val="00C14697"/>
    <w:rsid w:val="00C146CB"/>
    <w:rsid w:val="00C146DB"/>
    <w:rsid w:val="00C149C5"/>
    <w:rsid w:val="00C14AAC"/>
    <w:rsid w:val="00C14B82"/>
    <w:rsid w:val="00C14C5D"/>
    <w:rsid w:val="00C14DF9"/>
    <w:rsid w:val="00C14EDC"/>
    <w:rsid w:val="00C154FE"/>
    <w:rsid w:val="00C15779"/>
    <w:rsid w:val="00C157D1"/>
    <w:rsid w:val="00C1589A"/>
    <w:rsid w:val="00C15AB1"/>
    <w:rsid w:val="00C15BE5"/>
    <w:rsid w:val="00C15E9F"/>
    <w:rsid w:val="00C16084"/>
    <w:rsid w:val="00C16531"/>
    <w:rsid w:val="00C167A4"/>
    <w:rsid w:val="00C1685B"/>
    <w:rsid w:val="00C16A0C"/>
    <w:rsid w:val="00C16B27"/>
    <w:rsid w:val="00C16B76"/>
    <w:rsid w:val="00C1708B"/>
    <w:rsid w:val="00C170BE"/>
    <w:rsid w:val="00C17181"/>
    <w:rsid w:val="00C17599"/>
    <w:rsid w:val="00C17614"/>
    <w:rsid w:val="00C1769F"/>
    <w:rsid w:val="00C17B08"/>
    <w:rsid w:val="00C17FB4"/>
    <w:rsid w:val="00C200AC"/>
    <w:rsid w:val="00C20398"/>
    <w:rsid w:val="00C20744"/>
    <w:rsid w:val="00C20DC9"/>
    <w:rsid w:val="00C2100A"/>
    <w:rsid w:val="00C210AA"/>
    <w:rsid w:val="00C2147C"/>
    <w:rsid w:val="00C215BF"/>
    <w:rsid w:val="00C21698"/>
    <w:rsid w:val="00C21D97"/>
    <w:rsid w:val="00C21DB6"/>
    <w:rsid w:val="00C22093"/>
    <w:rsid w:val="00C224C2"/>
    <w:rsid w:val="00C2253D"/>
    <w:rsid w:val="00C2275A"/>
    <w:rsid w:val="00C2280D"/>
    <w:rsid w:val="00C22844"/>
    <w:rsid w:val="00C22E99"/>
    <w:rsid w:val="00C22F96"/>
    <w:rsid w:val="00C23960"/>
    <w:rsid w:val="00C23ABF"/>
    <w:rsid w:val="00C2409C"/>
    <w:rsid w:val="00C241DD"/>
    <w:rsid w:val="00C2435B"/>
    <w:rsid w:val="00C243C9"/>
    <w:rsid w:val="00C2460A"/>
    <w:rsid w:val="00C24F4D"/>
    <w:rsid w:val="00C24F54"/>
    <w:rsid w:val="00C2506E"/>
    <w:rsid w:val="00C251B2"/>
    <w:rsid w:val="00C251EC"/>
    <w:rsid w:val="00C25351"/>
    <w:rsid w:val="00C25D24"/>
    <w:rsid w:val="00C25F9F"/>
    <w:rsid w:val="00C264C1"/>
    <w:rsid w:val="00C269A9"/>
    <w:rsid w:val="00C26F51"/>
    <w:rsid w:val="00C27187"/>
    <w:rsid w:val="00C275DD"/>
    <w:rsid w:val="00C278EB"/>
    <w:rsid w:val="00C27AEE"/>
    <w:rsid w:val="00C3011D"/>
    <w:rsid w:val="00C304BC"/>
    <w:rsid w:val="00C306E1"/>
    <w:rsid w:val="00C308AB"/>
    <w:rsid w:val="00C30C7A"/>
    <w:rsid w:val="00C30F3E"/>
    <w:rsid w:val="00C30F61"/>
    <w:rsid w:val="00C31199"/>
    <w:rsid w:val="00C316DC"/>
    <w:rsid w:val="00C317A2"/>
    <w:rsid w:val="00C318BF"/>
    <w:rsid w:val="00C31A8E"/>
    <w:rsid w:val="00C31BC8"/>
    <w:rsid w:val="00C31C32"/>
    <w:rsid w:val="00C31F45"/>
    <w:rsid w:val="00C31FB8"/>
    <w:rsid w:val="00C32A1E"/>
    <w:rsid w:val="00C32DA4"/>
    <w:rsid w:val="00C32E6F"/>
    <w:rsid w:val="00C32E7A"/>
    <w:rsid w:val="00C32EBC"/>
    <w:rsid w:val="00C33056"/>
    <w:rsid w:val="00C334BD"/>
    <w:rsid w:val="00C33A20"/>
    <w:rsid w:val="00C33D40"/>
    <w:rsid w:val="00C33D55"/>
    <w:rsid w:val="00C33E81"/>
    <w:rsid w:val="00C34126"/>
    <w:rsid w:val="00C34408"/>
    <w:rsid w:val="00C3450C"/>
    <w:rsid w:val="00C34517"/>
    <w:rsid w:val="00C34B20"/>
    <w:rsid w:val="00C34C5A"/>
    <w:rsid w:val="00C350EA"/>
    <w:rsid w:val="00C3512E"/>
    <w:rsid w:val="00C35618"/>
    <w:rsid w:val="00C3568D"/>
    <w:rsid w:val="00C35934"/>
    <w:rsid w:val="00C359AA"/>
    <w:rsid w:val="00C35A3F"/>
    <w:rsid w:val="00C35B88"/>
    <w:rsid w:val="00C35D70"/>
    <w:rsid w:val="00C35DFF"/>
    <w:rsid w:val="00C3619F"/>
    <w:rsid w:val="00C36BCD"/>
    <w:rsid w:val="00C3746F"/>
    <w:rsid w:val="00C37547"/>
    <w:rsid w:val="00C37CE4"/>
    <w:rsid w:val="00C40439"/>
    <w:rsid w:val="00C4047E"/>
    <w:rsid w:val="00C407D5"/>
    <w:rsid w:val="00C4093B"/>
    <w:rsid w:val="00C40A99"/>
    <w:rsid w:val="00C40AB9"/>
    <w:rsid w:val="00C40DB1"/>
    <w:rsid w:val="00C40EC2"/>
    <w:rsid w:val="00C413C0"/>
    <w:rsid w:val="00C41808"/>
    <w:rsid w:val="00C41AD4"/>
    <w:rsid w:val="00C41DAF"/>
    <w:rsid w:val="00C41DF2"/>
    <w:rsid w:val="00C4233B"/>
    <w:rsid w:val="00C423C2"/>
    <w:rsid w:val="00C4244B"/>
    <w:rsid w:val="00C428BC"/>
    <w:rsid w:val="00C42AE8"/>
    <w:rsid w:val="00C432EB"/>
    <w:rsid w:val="00C4345A"/>
    <w:rsid w:val="00C4363C"/>
    <w:rsid w:val="00C436FE"/>
    <w:rsid w:val="00C43C33"/>
    <w:rsid w:val="00C444B6"/>
    <w:rsid w:val="00C44667"/>
    <w:rsid w:val="00C44BAF"/>
    <w:rsid w:val="00C44C61"/>
    <w:rsid w:val="00C4547E"/>
    <w:rsid w:val="00C458EE"/>
    <w:rsid w:val="00C45976"/>
    <w:rsid w:val="00C461CC"/>
    <w:rsid w:val="00C4657C"/>
    <w:rsid w:val="00C465EB"/>
    <w:rsid w:val="00C466EB"/>
    <w:rsid w:val="00C46BF3"/>
    <w:rsid w:val="00C46F67"/>
    <w:rsid w:val="00C472A2"/>
    <w:rsid w:val="00C4738B"/>
    <w:rsid w:val="00C47425"/>
    <w:rsid w:val="00C47832"/>
    <w:rsid w:val="00C47D6C"/>
    <w:rsid w:val="00C50015"/>
    <w:rsid w:val="00C5005E"/>
    <w:rsid w:val="00C5079B"/>
    <w:rsid w:val="00C50A51"/>
    <w:rsid w:val="00C50CD8"/>
    <w:rsid w:val="00C50FB6"/>
    <w:rsid w:val="00C51060"/>
    <w:rsid w:val="00C510CF"/>
    <w:rsid w:val="00C51579"/>
    <w:rsid w:val="00C51ACE"/>
    <w:rsid w:val="00C51B32"/>
    <w:rsid w:val="00C5214A"/>
    <w:rsid w:val="00C52487"/>
    <w:rsid w:val="00C52A01"/>
    <w:rsid w:val="00C52A53"/>
    <w:rsid w:val="00C52B00"/>
    <w:rsid w:val="00C52B0E"/>
    <w:rsid w:val="00C52BF3"/>
    <w:rsid w:val="00C52DE6"/>
    <w:rsid w:val="00C52EC2"/>
    <w:rsid w:val="00C52EDD"/>
    <w:rsid w:val="00C5343B"/>
    <w:rsid w:val="00C536B6"/>
    <w:rsid w:val="00C53994"/>
    <w:rsid w:val="00C53B2A"/>
    <w:rsid w:val="00C53E5E"/>
    <w:rsid w:val="00C541A8"/>
    <w:rsid w:val="00C5489F"/>
    <w:rsid w:val="00C54A08"/>
    <w:rsid w:val="00C54AF4"/>
    <w:rsid w:val="00C54CB9"/>
    <w:rsid w:val="00C54E9C"/>
    <w:rsid w:val="00C551EB"/>
    <w:rsid w:val="00C55297"/>
    <w:rsid w:val="00C5596E"/>
    <w:rsid w:val="00C55AF6"/>
    <w:rsid w:val="00C55B3A"/>
    <w:rsid w:val="00C55F87"/>
    <w:rsid w:val="00C5633A"/>
    <w:rsid w:val="00C5644C"/>
    <w:rsid w:val="00C5673E"/>
    <w:rsid w:val="00C5677F"/>
    <w:rsid w:val="00C56A3C"/>
    <w:rsid w:val="00C56D4C"/>
    <w:rsid w:val="00C56DC8"/>
    <w:rsid w:val="00C56E2C"/>
    <w:rsid w:val="00C5725A"/>
    <w:rsid w:val="00C576DB"/>
    <w:rsid w:val="00C57E65"/>
    <w:rsid w:val="00C60229"/>
    <w:rsid w:val="00C6073F"/>
    <w:rsid w:val="00C60917"/>
    <w:rsid w:val="00C60A2A"/>
    <w:rsid w:val="00C60BF4"/>
    <w:rsid w:val="00C60CB8"/>
    <w:rsid w:val="00C61266"/>
    <w:rsid w:val="00C61459"/>
    <w:rsid w:val="00C619B7"/>
    <w:rsid w:val="00C61B66"/>
    <w:rsid w:val="00C62129"/>
    <w:rsid w:val="00C62439"/>
    <w:rsid w:val="00C62617"/>
    <w:rsid w:val="00C62851"/>
    <w:rsid w:val="00C62A61"/>
    <w:rsid w:val="00C62AAC"/>
    <w:rsid w:val="00C62D45"/>
    <w:rsid w:val="00C62ED2"/>
    <w:rsid w:val="00C63645"/>
    <w:rsid w:val="00C636F0"/>
    <w:rsid w:val="00C63A80"/>
    <w:rsid w:val="00C63EDC"/>
    <w:rsid w:val="00C63FB7"/>
    <w:rsid w:val="00C64005"/>
    <w:rsid w:val="00C641A1"/>
    <w:rsid w:val="00C6461D"/>
    <w:rsid w:val="00C64841"/>
    <w:rsid w:val="00C64BDC"/>
    <w:rsid w:val="00C64D8A"/>
    <w:rsid w:val="00C6504B"/>
    <w:rsid w:val="00C65089"/>
    <w:rsid w:val="00C650E5"/>
    <w:rsid w:val="00C65974"/>
    <w:rsid w:val="00C65CC5"/>
    <w:rsid w:val="00C65CC8"/>
    <w:rsid w:val="00C65CCD"/>
    <w:rsid w:val="00C65EE7"/>
    <w:rsid w:val="00C66064"/>
    <w:rsid w:val="00C6611E"/>
    <w:rsid w:val="00C66581"/>
    <w:rsid w:val="00C66939"/>
    <w:rsid w:val="00C66F2E"/>
    <w:rsid w:val="00C66F95"/>
    <w:rsid w:val="00C6736D"/>
    <w:rsid w:val="00C675F2"/>
    <w:rsid w:val="00C679F6"/>
    <w:rsid w:val="00C67B20"/>
    <w:rsid w:val="00C70025"/>
    <w:rsid w:val="00C7046C"/>
    <w:rsid w:val="00C70550"/>
    <w:rsid w:val="00C70907"/>
    <w:rsid w:val="00C70BE3"/>
    <w:rsid w:val="00C70D00"/>
    <w:rsid w:val="00C70D58"/>
    <w:rsid w:val="00C70DBF"/>
    <w:rsid w:val="00C710B3"/>
    <w:rsid w:val="00C71B5F"/>
    <w:rsid w:val="00C71C36"/>
    <w:rsid w:val="00C71EA3"/>
    <w:rsid w:val="00C73399"/>
    <w:rsid w:val="00C7340B"/>
    <w:rsid w:val="00C737B0"/>
    <w:rsid w:val="00C7421E"/>
    <w:rsid w:val="00C74253"/>
    <w:rsid w:val="00C7483A"/>
    <w:rsid w:val="00C74868"/>
    <w:rsid w:val="00C74CC5"/>
    <w:rsid w:val="00C74D1A"/>
    <w:rsid w:val="00C74FC9"/>
    <w:rsid w:val="00C7527D"/>
    <w:rsid w:val="00C75728"/>
    <w:rsid w:val="00C759EF"/>
    <w:rsid w:val="00C75AAB"/>
    <w:rsid w:val="00C75C09"/>
    <w:rsid w:val="00C75C38"/>
    <w:rsid w:val="00C75DBA"/>
    <w:rsid w:val="00C75EB0"/>
    <w:rsid w:val="00C7616C"/>
    <w:rsid w:val="00C761B0"/>
    <w:rsid w:val="00C7664E"/>
    <w:rsid w:val="00C766DA"/>
    <w:rsid w:val="00C76D88"/>
    <w:rsid w:val="00C76D89"/>
    <w:rsid w:val="00C7734F"/>
    <w:rsid w:val="00C777AA"/>
    <w:rsid w:val="00C77820"/>
    <w:rsid w:val="00C778AC"/>
    <w:rsid w:val="00C80157"/>
    <w:rsid w:val="00C802F4"/>
    <w:rsid w:val="00C803C4"/>
    <w:rsid w:val="00C80696"/>
    <w:rsid w:val="00C80CB3"/>
    <w:rsid w:val="00C80D9E"/>
    <w:rsid w:val="00C80DE4"/>
    <w:rsid w:val="00C81126"/>
    <w:rsid w:val="00C81367"/>
    <w:rsid w:val="00C815B5"/>
    <w:rsid w:val="00C819BF"/>
    <w:rsid w:val="00C81AAF"/>
    <w:rsid w:val="00C82384"/>
    <w:rsid w:val="00C82A85"/>
    <w:rsid w:val="00C82B74"/>
    <w:rsid w:val="00C82C53"/>
    <w:rsid w:val="00C82D38"/>
    <w:rsid w:val="00C82F54"/>
    <w:rsid w:val="00C82F76"/>
    <w:rsid w:val="00C83C89"/>
    <w:rsid w:val="00C83FCE"/>
    <w:rsid w:val="00C83FD6"/>
    <w:rsid w:val="00C845C5"/>
    <w:rsid w:val="00C84784"/>
    <w:rsid w:val="00C84B41"/>
    <w:rsid w:val="00C84D8F"/>
    <w:rsid w:val="00C84F1E"/>
    <w:rsid w:val="00C84F90"/>
    <w:rsid w:val="00C8565F"/>
    <w:rsid w:val="00C8612F"/>
    <w:rsid w:val="00C86670"/>
    <w:rsid w:val="00C867D5"/>
    <w:rsid w:val="00C86BA1"/>
    <w:rsid w:val="00C86E24"/>
    <w:rsid w:val="00C87245"/>
    <w:rsid w:val="00C87279"/>
    <w:rsid w:val="00C87345"/>
    <w:rsid w:val="00C87429"/>
    <w:rsid w:val="00C8746E"/>
    <w:rsid w:val="00C8776F"/>
    <w:rsid w:val="00C877DC"/>
    <w:rsid w:val="00C87839"/>
    <w:rsid w:val="00C87A4F"/>
    <w:rsid w:val="00C90113"/>
    <w:rsid w:val="00C90338"/>
    <w:rsid w:val="00C90488"/>
    <w:rsid w:val="00C90647"/>
    <w:rsid w:val="00C90D5D"/>
    <w:rsid w:val="00C910E1"/>
    <w:rsid w:val="00C912AB"/>
    <w:rsid w:val="00C9148B"/>
    <w:rsid w:val="00C916A9"/>
    <w:rsid w:val="00C918D0"/>
    <w:rsid w:val="00C91F0C"/>
    <w:rsid w:val="00C91F99"/>
    <w:rsid w:val="00C920D0"/>
    <w:rsid w:val="00C9240F"/>
    <w:rsid w:val="00C92536"/>
    <w:rsid w:val="00C92870"/>
    <w:rsid w:val="00C9289D"/>
    <w:rsid w:val="00C929E2"/>
    <w:rsid w:val="00C92C47"/>
    <w:rsid w:val="00C92C72"/>
    <w:rsid w:val="00C92D20"/>
    <w:rsid w:val="00C92ED1"/>
    <w:rsid w:val="00C92FD9"/>
    <w:rsid w:val="00C93054"/>
    <w:rsid w:val="00C9337A"/>
    <w:rsid w:val="00C934B4"/>
    <w:rsid w:val="00C936BD"/>
    <w:rsid w:val="00C93756"/>
    <w:rsid w:val="00C94127"/>
    <w:rsid w:val="00C94128"/>
    <w:rsid w:val="00C94182"/>
    <w:rsid w:val="00C94491"/>
    <w:rsid w:val="00C94567"/>
    <w:rsid w:val="00C947C7"/>
    <w:rsid w:val="00C947DE"/>
    <w:rsid w:val="00C94935"/>
    <w:rsid w:val="00C94971"/>
    <w:rsid w:val="00C94B7B"/>
    <w:rsid w:val="00C9507F"/>
    <w:rsid w:val="00C950F4"/>
    <w:rsid w:val="00C9515A"/>
    <w:rsid w:val="00C95440"/>
    <w:rsid w:val="00C9548E"/>
    <w:rsid w:val="00C95621"/>
    <w:rsid w:val="00C9595C"/>
    <w:rsid w:val="00C959F8"/>
    <w:rsid w:val="00C95C66"/>
    <w:rsid w:val="00C96218"/>
    <w:rsid w:val="00C96386"/>
    <w:rsid w:val="00C964E6"/>
    <w:rsid w:val="00C96910"/>
    <w:rsid w:val="00C96BEF"/>
    <w:rsid w:val="00C96DAF"/>
    <w:rsid w:val="00C96F25"/>
    <w:rsid w:val="00C97442"/>
    <w:rsid w:val="00C974F9"/>
    <w:rsid w:val="00C97516"/>
    <w:rsid w:val="00C97638"/>
    <w:rsid w:val="00C97696"/>
    <w:rsid w:val="00C97774"/>
    <w:rsid w:val="00C979CD"/>
    <w:rsid w:val="00C97EC8"/>
    <w:rsid w:val="00C97F30"/>
    <w:rsid w:val="00CA011E"/>
    <w:rsid w:val="00CA03D7"/>
    <w:rsid w:val="00CA06C7"/>
    <w:rsid w:val="00CA08DC"/>
    <w:rsid w:val="00CA0CBE"/>
    <w:rsid w:val="00CA1147"/>
    <w:rsid w:val="00CA1BE2"/>
    <w:rsid w:val="00CA1CEE"/>
    <w:rsid w:val="00CA1E00"/>
    <w:rsid w:val="00CA1F7E"/>
    <w:rsid w:val="00CA215C"/>
    <w:rsid w:val="00CA234D"/>
    <w:rsid w:val="00CA240D"/>
    <w:rsid w:val="00CA25B6"/>
    <w:rsid w:val="00CA2811"/>
    <w:rsid w:val="00CA29D8"/>
    <w:rsid w:val="00CA2A2C"/>
    <w:rsid w:val="00CA2BE2"/>
    <w:rsid w:val="00CA2BE9"/>
    <w:rsid w:val="00CA2D2F"/>
    <w:rsid w:val="00CA2F3B"/>
    <w:rsid w:val="00CA303F"/>
    <w:rsid w:val="00CA3515"/>
    <w:rsid w:val="00CA373C"/>
    <w:rsid w:val="00CA3832"/>
    <w:rsid w:val="00CA3875"/>
    <w:rsid w:val="00CA3B07"/>
    <w:rsid w:val="00CA3D0E"/>
    <w:rsid w:val="00CA3FC9"/>
    <w:rsid w:val="00CA4061"/>
    <w:rsid w:val="00CA40C4"/>
    <w:rsid w:val="00CA413E"/>
    <w:rsid w:val="00CA42B0"/>
    <w:rsid w:val="00CA42B5"/>
    <w:rsid w:val="00CA457E"/>
    <w:rsid w:val="00CA4DBF"/>
    <w:rsid w:val="00CA5149"/>
    <w:rsid w:val="00CA527B"/>
    <w:rsid w:val="00CA57EA"/>
    <w:rsid w:val="00CA5806"/>
    <w:rsid w:val="00CA5DB0"/>
    <w:rsid w:val="00CA5E42"/>
    <w:rsid w:val="00CA60A7"/>
    <w:rsid w:val="00CA613B"/>
    <w:rsid w:val="00CA6636"/>
    <w:rsid w:val="00CA69AD"/>
    <w:rsid w:val="00CA6E1F"/>
    <w:rsid w:val="00CA70E3"/>
    <w:rsid w:val="00CA751D"/>
    <w:rsid w:val="00CA79B7"/>
    <w:rsid w:val="00CA7AE3"/>
    <w:rsid w:val="00CA7FC5"/>
    <w:rsid w:val="00CB0220"/>
    <w:rsid w:val="00CB0590"/>
    <w:rsid w:val="00CB0632"/>
    <w:rsid w:val="00CB07FA"/>
    <w:rsid w:val="00CB0831"/>
    <w:rsid w:val="00CB093F"/>
    <w:rsid w:val="00CB0EDD"/>
    <w:rsid w:val="00CB0EEE"/>
    <w:rsid w:val="00CB1129"/>
    <w:rsid w:val="00CB12F6"/>
    <w:rsid w:val="00CB13E2"/>
    <w:rsid w:val="00CB156A"/>
    <w:rsid w:val="00CB15AC"/>
    <w:rsid w:val="00CB164E"/>
    <w:rsid w:val="00CB1732"/>
    <w:rsid w:val="00CB1E65"/>
    <w:rsid w:val="00CB243E"/>
    <w:rsid w:val="00CB28BA"/>
    <w:rsid w:val="00CB2F9D"/>
    <w:rsid w:val="00CB3122"/>
    <w:rsid w:val="00CB3233"/>
    <w:rsid w:val="00CB374F"/>
    <w:rsid w:val="00CB3AF9"/>
    <w:rsid w:val="00CB3D36"/>
    <w:rsid w:val="00CB4704"/>
    <w:rsid w:val="00CB480B"/>
    <w:rsid w:val="00CB4C24"/>
    <w:rsid w:val="00CB4E79"/>
    <w:rsid w:val="00CB4FB5"/>
    <w:rsid w:val="00CB5187"/>
    <w:rsid w:val="00CB51DD"/>
    <w:rsid w:val="00CB5419"/>
    <w:rsid w:val="00CB5653"/>
    <w:rsid w:val="00CB571F"/>
    <w:rsid w:val="00CB5823"/>
    <w:rsid w:val="00CB59F6"/>
    <w:rsid w:val="00CB5A48"/>
    <w:rsid w:val="00CB5C32"/>
    <w:rsid w:val="00CB62F5"/>
    <w:rsid w:val="00CB64F5"/>
    <w:rsid w:val="00CB6573"/>
    <w:rsid w:val="00CB6605"/>
    <w:rsid w:val="00CB66C9"/>
    <w:rsid w:val="00CB750F"/>
    <w:rsid w:val="00CB75D6"/>
    <w:rsid w:val="00CB7685"/>
    <w:rsid w:val="00CB7718"/>
    <w:rsid w:val="00CB7895"/>
    <w:rsid w:val="00CB7DF4"/>
    <w:rsid w:val="00CB7F67"/>
    <w:rsid w:val="00CC0A43"/>
    <w:rsid w:val="00CC0AEB"/>
    <w:rsid w:val="00CC0BE6"/>
    <w:rsid w:val="00CC0F2E"/>
    <w:rsid w:val="00CC11C2"/>
    <w:rsid w:val="00CC176D"/>
    <w:rsid w:val="00CC1819"/>
    <w:rsid w:val="00CC18C6"/>
    <w:rsid w:val="00CC1B67"/>
    <w:rsid w:val="00CC20D5"/>
    <w:rsid w:val="00CC218B"/>
    <w:rsid w:val="00CC25BA"/>
    <w:rsid w:val="00CC25C7"/>
    <w:rsid w:val="00CC27AF"/>
    <w:rsid w:val="00CC2948"/>
    <w:rsid w:val="00CC2BF9"/>
    <w:rsid w:val="00CC30D0"/>
    <w:rsid w:val="00CC34AE"/>
    <w:rsid w:val="00CC35AE"/>
    <w:rsid w:val="00CC39B9"/>
    <w:rsid w:val="00CC4CB1"/>
    <w:rsid w:val="00CC5394"/>
    <w:rsid w:val="00CC568C"/>
    <w:rsid w:val="00CC5B0C"/>
    <w:rsid w:val="00CC5D30"/>
    <w:rsid w:val="00CC5D38"/>
    <w:rsid w:val="00CC6064"/>
    <w:rsid w:val="00CC666B"/>
    <w:rsid w:val="00CC6ADF"/>
    <w:rsid w:val="00CC72AE"/>
    <w:rsid w:val="00CC72CE"/>
    <w:rsid w:val="00CC7431"/>
    <w:rsid w:val="00CC7972"/>
    <w:rsid w:val="00CD0199"/>
    <w:rsid w:val="00CD0335"/>
    <w:rsid w:val="00CD063B"/>
    <w:rsid w:val="00CD067D"/>
    <w:rsid w:val="00CD07C2"/>
    <w:rsid w:val="00CD0902"/>
    <w:rsid w:val="00CD0935"/>
    <w:rsid w:val="00CD0C09"/>
    <w:rsid w:val="00CD0F6E"/>
    <w:rsid w:val="00CD19C8"/>
    <w:rsid w:val="00CD1C1F"/>
    <w:rsid w:val="00CD1E72"/>
    <w:rsid w:val="00CD23DF"/>
    <w:rsid w:val="00CD25B9"/>
    <w:rsid w:val="00CD28B4"/>
    <w:rsid w:val="00CD28BD"/>
    <w:rsid w:val="00CD2D71"/>
    <w:rsid w:val="00CD2DF8"/>
    <w:rsid w:val="00CD2FF2"/>
    <w:rsid w:val="00CD380B"/>
    <w:rsid w:val="00CD3861"/>
    <w:rsid w:val="00CD3B76"/>
    <w:rsid w:val="00CD3C48"/>
    <w:rsid w:val="00CD3DFF"/>
    <w:rsid w:val="00CD3F8A"/>
    <w:rsid w:val="00CD41A9"/>
    <w:rsid w:val="00CD42C8"/>
    <w:rsid w:val="00CD42D9"/>
    <w:rsid w:val="00CD4311"/>
    <w:rsid w:val="00CD45E8"/>
    <w:rsid w:val="00CD4888"/>
    <w:rsid w:val="00CD519C"/>
    <w:rsid w:val="00CD5534"/>
    <w:rsid w:val="00CD5A54"/>
    <w:rsid w:val="00CD5A80"/>
    <w:rsid w:val="00CD5E2F"/>
    <w:rsid w:val="00CD6355"/>
    <w:rsid w:val="00CD64BE"/>
    <w:rsid w:val="00CD65B0"/>
    <w:rsid w:val="00CD670F"/>
    <w:rsid w:val="00CD696E"/>
    <w:rsid w:val="00CD698D"/>
    <w:rsid w:val="00CD6CEC"/>
    <w:rsid w:val="00CD750B"/>
    <w:rsid w:val="00CD76A4"/>
    <w:rsid w:val="00CD7734"/>
    <w:rsid w:val="00CE091E"/>
    <w:rsid w:val="00CE0D57"/>
    <w:rsid w:val="00CE119C"/>
    <w:rsid w:val="00CE11C4"/>
    <w:rsid w:val="00CE1772"/>
    <w:rsid w:val="00CE17E6"/>
    <w:rsid w:val="00CE1D37"/>
    <w:rsid w:val="00CE1E00"/>
    <w:rsid w:val="00CE22AE"/>
    <w:rsid w:val="00CE2F61"/>
    <w:rsid w:val="00CE32F9"/>
    <w:rsid w:val="00CE334F"/>
    <w:rsid w:val="00CE33E4"/>
    <w:rsid w:val="00CE3555"/>
    <w:rsid w:val="00CE365C"/>
    <w:rsid w:val="00CE3C46"/>
    <w:rsid w:val="00CE4059"/>
    <w:rsid w:val="00CE4501"/>
    <w:rsid w:val="00CE4867"/>
    <w:rsid w:val="00CE50D9"/>
    <w:rsid w:val="00CE54DA"/>
    <w:rsid w:val="00CE5579"/>
    <w:rsid w:val="00CE55A4"/>
    <w:rsid w:val="00CE58AF"/>
    <w:rsid w:val="00CE59D5"/>
    <w:rsid w:val="00CE5F50"/>
    <w:rsid w:val="00CE5F58"/>
    <w:rsid w:val="00CE62D3"/>
    <w:rsid w:val="00CE6400"/>
    <w:rsid w:val="00CE6572"/>
    <w:rsid w:val="00CE65CA"/>
    <w:rsid w:val="00CE67E4"/>
    <w:rsid w:val="00CE68DF"/>
    <w:rsid w:val="00CE6C86"/>
    <w:rsid w:val="00CE6FDB"/>
    <w:rsid w:val="00CE70E4"/>
    <w:rsid w:val="00CE70FF"/>
    <w:rsid w:val="00CE7750"/>
    <w:rsid w:val="00CF04FE"/>
    <w:rsid w:val="00CF08C5"/>
    <w:rsid w:val="00CF0BA3"/>
    <w:rsid w:val="00CF0D4C"/>
    <w:rsid w:val="00CF0E94"/>
    <w:rsid w:val="00CF165C"/>
    <w:rsid w:val="00CF171A"/>
    <w:rsid w:val="00CF1CDB"/>
    <w:rsid w:val="00CF1E1E"/>
    <w:rsid w:val="00CF1FAC"/>
    <w:rsid w:val="00CF20B2"/>
    <w:rsid w:val="00CF20C7"/>
    <w:rsid w:val="00CF2200"/>
    <w:rsid w:val="00CF2723"/>
    <w:rsid w:val="00CF272F"/>
    <w:rsid w:val="00CF2C48"/>
    <w:rsid w:val="00CF3251"/>
    <w:rsid w:val="00CF3426"/>
    <w:rsid w:val="00CF3D51"/>
    <w:rsid w:val="00CF44DB"/>
    <w:rsid w:val="00CF47D9"/>
    <w:rsid w:val="00CF49A5"/>
    <w:rsid w:val="00CF4A22"/>
    <w:rsid w:val="00CF4C7D"/>
    <w:rsid w:val="00CF4D51"/>
    <w:rsid w:val="00CF4FEF"/>
    <w:rsid w:val="00CF55FF"/>
    <w:rsid w:val="00CF5726"/>
    <w:rsid w:val="00CF59CD"/>
    <w:rsid w:val="00CF5A0E"/>
    <w:rsid w:val="00CF5B9C"/>
    <w:rsid w:val="00CF5C0D"/>
    <w:rsid w:val="00CF5D2C"/>
    <w:rsid w:val="00CF5DF9"/>
    <w:rsid w:val="00CF5EBD"/>
    <w:rsid w:val="00CF656F"/>
    <w:rsid w:val="00CF66AE"/>
    <w:rsid w:val="00CF6B4C"/>
    <w:rsid w:val="00CF6D93"/>
    <w:rsid w:val="00CF737F"/>
    <w:rsid w:val="00CF796F"/>
    <w:rsid w:val="00CF79B2"/>
    <w:rsid w:val="00CF7A49"/>
    <w:rsid w:val="00CF7C3D"/>
    <w:rsid w:val="00CF7C46"/>
    <w:rsid w:val="00D00294"/>
    <w:rsid w:val="00D00504"/>
    <w:rsid w:val="00D007F0"/>
    <w:rsid w:val="00D00B07"/>
    <w:rsid w:val="00D00FAF"/>
    <w:rsid w:val="00D01132"/>
    <w:rsid w:val="00D017CC"/>
    <w:rsid w:val="00D01B08"/>
    <w:rsid w:val="00D01BF8"/>
    <w:rsid w:val="00D01C6B"/>
    <w:rsid w:val="00D01C6D"/>
    <w:rsid w:val="00D01F1D"/>
    <w:rsid w:val="00D02364"/>
    <w:rsid w:val="00D02F70"/>
    <w:rsid w:val="00D02FAB"/>
    <w:rsid w:val="00D036FD"/>
    <w:rsid w:val="00D03723"/>
    <w:rsid w:val="00D03977"/>
    <w:rsid w:val="00D0399D"/>
    <w:rsid w:val="00D03AF0"/>
    <w:rsid w:val="00D04576"/>
    <w:rsid w:val="00D045F4"/>
    <w:rsid w:val="00D04644"/>
    <w:rsid w:val="00D0496E"/>
    <w:rsid w:val="00D04C62"/>
    <w:rsid w:val="00D04D23"/>
    <w:rsid w:val="00D04D37"/>
    <w:rsid w:val="00D04E47"/>
    <w:rsid w:val="00D050BD"/>
    <w:rsid w:val="00D0563E"/>
    <w:rsid w:val="00D05A86"/>
    <w:rsid w:val="00D05AFA"/>
    <w:rsid w:val="00D06D69"/>
    <w:rsid w:val="00D06E3B"/>
    <w:rsid w:val="00D06EC7"/>
    <w:rsid w:val="00D07036"/>
    <w:rsid w:val="00D0749F"/>
    <w:rsid w:val="00D07640"/>
    <w:rsid w:val="00D0777C"/>
    <w:rsid w:val="00D07887"/>
    <w:rsid w:val="00D07ABA"/>
    <w:rsid w:val="00D07D6A"/>
    <w:rsid w:val="00D07F8E"/>
    <w:rsid w:val="00D100C4"/>
    <w:rsid w:val="00D10F7E"/>
    <w:rsid w:val="00D11755"/>
    <w:rsid w:val="00D117D3"/>
    <w:rsid w:val="00D11907"/>
    <w:rsid w:val="00D11B7B"/>
    <w:rsid w:val="00D1225A"/>
    <w:rsid w:val="00D1286A"/>
    <w:rsid w:val="00D12A3C"/>
    <w:rsid w:val="00D12DB9"/>
    <w:rsid w:val="00D133C3"/>
    <w:rsid w:val="00D13628"/>
    <w:rsid w:val="00D13C4F"/>
    <w:rsid w:val="00D13D77"/>
    <w:rsid w:val="00D13E9F"/>
    <w:rsid w:val="00D140C9"/>
    <w:rsid w:val="00D1420D"/>
    <w:rsid w:val="00D143A9"/>
    <w:rsid w:val="00D14E39"/>
    <w:rsid w:val="00D150CA"/>
    <w:rsid w:val="00D15136"/>
    <w:rsid w:val="00D1525F"/>
    <w:rsid w:val="00D15692"/>
    <w:rsid w:val="00D15B9D"/>
    <w:rsid w:val="00D15BF4"/>
    <w:rsid w:val="00D15E1A"/>
    <w:rsid w:val="00D15E72"/>
    <w:rsid w:val="00D160FB"/>
    <w:rsid w:val="00D162EC"/>
    <w:rsid w:val="00D16618"/>
    <w:rsid w:val="00D16850"/>
    <w:rsid w:val="00D169B4"/>
    <w:rsid w:val="00D169E0"/>
    <w:rsid w:val="00D16A31"/>
    <w:rsid w:val="00D16BD4"/>
    <w:rsid w:val="00D172E5"/>
    <w:rsid w:val="00D17375"/>
    <w:rsid w:val="00D17E45"/>
    <w:rsid w:val="00D17E82"/>
    <w:rsid w:val="00D17EC7"/>
    <w:rsid w:val="00D2029B"/>
    <w:rsid w:val="00D20B29"/>
    <w:rsid w:val="00D20D39"/>
    <w:rsid w:val="00D20FEC"/>
    <w:rsid w:val="00D2106E"/>
    <w:rsid w:val="00D2126B"/>
    <w:rsid w:val="00D21411"/>
    <w:rsid w:val="00D21942"/>
    <w:rsid w:val="00D21E74"/>
    <w:rsid w:val="00D21EF9"/>
    <w:rsid w:val="00D2295B"/>
    <w:rsid w:val="00D22ACD"/>
    <w:rsid w:val="00D22BE5"/>
    <w:rsid w:val="00D22D4A"/>
    <w:rsid w:val="00D22F99"/>
    <w:rsid w:val="00D2308C"/>
    <w:rsid w:val="00D235D1"/>
    <w:rsid w:val="00D238B1"/>
    <w:rsid w:val="00D23916"/>
    <w:rsid w:val="00D23C1D"/>
    <w:rsid w:val="00D23CD3"/>
    <w:rsid w:val="00D23EDB"/>
    <w:rsid w:val="00D24142"/>
    <w:rsid w:val="00D2421F"/>
    <w:rsid w:val="00D242CE"/>
    <w:rsid w:val="00D24551"/>
    <w:rsid w:val="00D24694"/>
    <w:rsid w:val="00D24705"/>
    <w:rsid w:val="00D2477B"/>
    <w:rsid w:val="00D24AC1"/>
    <w:rsid w:val="00D24E56"/>
    <w:rsid w:val="00D2500B"/>
    <w:rsid w:val="00D25ACF"/>
    <w:rsid w:val="00D25F3D"/>
    <w:rsid w:val="00D25F5A"/>
    <w:rsid w:val="00D26523"/>
    <w:rsid w:val="00D2653A"/>
    <w:rsid w:val="00D266EC"/>
    <w:rsid w:val="00D267E6"/>
    <w:rsid w:val="00D269B9"/>
    <w:rsid w:val="00D26A6B"/>
    <w:rsid w:val="00D26B0B"/>
    <w:rsid w:val="00D26B3E"/>
    <w:rsid w:val="00D26FCA"/>
    <w:rsid w:val="00D270C9"/>
    <w:rsid w:val="00D270D1"/>
    <w:rsid w:val="00D2737E"/>
    <w:rsid w:val="00D274CF"/>
    <w:rsid w:val="00D27508"/>
    <w:rsid w:val="00D27AF9"/>
    <w:rsid w:val="00D27BEC"/>
    <w:rsid w:val="00D27CCF"/>
    <w:rsid w:val="00D30751"/>
    <w:rsid w:val="00D30996"/>
    <w:rsid w:val="00D309FF"/>
    <w:rsid w:val="00D30F43"/>
    <w:rsid w:val="00D314C2"/>
    <w:rsid w:val="00D3162D"/>
    <w:rsid w:val="00D31825"/>
    <w:rsid w:val="00D31BDD"/>
    <w:rsid w:val="00D31BEC"/>
    <w:rsid w:val="00D322E9"/>
    <w:rsid w:val="00D3230D"/>
    <w:rsid w:val="00D3238A"/>
    <w:rsid w:val="00D32699"/>
    <w:rsid w:val="00D327A2"/>
    <w:rsid w:val="00D32AAA"/>
    <w:rsid w:val="00D32B20"/>
    <w:rsid w:val="00D32C8E"/>
    <w:rsid w:val="00D32D50"/>
    <w:rsid w:val="00D32EF1"/>
    <w:rsid w:val="00D33079"/>
    <w:rsid w:val="00D330B3"/>
    <w:rsid w:val="00D33504"/>
    <w:rsid w:val="00D33888"/>
    <w:rsid w:val="00D339FD"/>
    <w:rsid w:val="00D33BDC"/>
    <w:rsid w:val="00D33F98"/>
    <w:rsid w:val="00D342D7"/>
    <w:rsid w:val="00D34500"/>
    <w:rsid w:val="00D34A28"/>
    <w:rsid w:val="00D34BD2"/>
    <w:rsid w:val="00D3538B"/>
    <w:rsid w:val="00D3553B"/>
    <w:rsid w:val="00D357B9"/>
    <w:rsid w:val="00D35EB7"/>
    <w:rsid w:val="00D36822"/>
    <w:rsid w:val="00D36B36"/>
    <w:rsid w:val="00D36DFA"/>
    <w:rsid w:val="00D36E2B"/>
    <w:rsid w:val="00D37166"/>
    <w:rsid w:val="00D3790E"/>
    <w:rsid w:val="00D3798B"/>
    <w:rsid w:val="00D37DA5"/>
    <w:rsid w:val="00D400F8"/>
    <w:rsid w:val="00D4061B"/>
    <w:rsid w:val="00D40699"/>
    <w:rsid w:val="00D4070B"/>
    <w:rsid w:val="00D407B4"/>
    <w:rsid w:val="00D407D3"/>
    <w:rsid w:val="00D408ED"/>
    <w:rsid w:val="00D40A9B"/>
    <w:rsid w:val="00D41072"/>
    <w:rsid w:val="00D410AE"/>
    <w:rsid w:val="00D41A03"/>
    <w:rsid w:val="00D41AA0"/>
    <w:rsid w:val="00D41B2F"/>
    <w:rsid w:val="00D42929"/>
    <w:rsid w:val="00D42A3B"/>
    <w:rsid w:val="00D42B74"/>
    <w:rsid w:val="00D430F0"/>
    <w:rsid w:val="00D431BB"/>
    <w:rsid w:val="00D431C5"/>
    <w:rsid w:val="00D4343A"/>
    <w:rsid w:val="00D436D7"/>
    <w:rsid w:val="00D437B6"/>
    <w:rsid w:val="00D4383C"/>
    <w:rsid w:val="00D43883"/>
    <w:rsid w:val="00D43CB8"/>
    <w:rsid w:val="00D43F9F"/>
    <w:rsid w:val="00D4421E"/>
    <w:rsid w:val="00D44374"/>
    <w:rsid w:val="00D4454B"/>
    <w:rsid w:val="00D449E5"/>
    <w:rsid w:val="00D44DDA"/>
    <w:rsid w:val="00D44F88"/>
    <w:rsid w:val="00D452B5"/>
    <w:rsid w:val="00D459F8"/>
    <w:rsid w:val="00D45A80"/>
    <w:rsid w:val="00D45B7D"/>
    <w:rsid w:val="00D4617E"/>
    <w:rsid w:val="00D464CC"/>
    <w:rsid w:val="00D4689E"/>
    <w:rsid w:val="00D46DBA"/>
    <w:rsid w:val="00D46FF6"/>
    <w:rsid w:val="00D470A7"/>
    <w:rsid w:val="00D4739D"/>
    <w:rsid w:val="00D47494"/>
    <w:rsid w:val="00D47759"/>
    <w:rsid w:val="00D479B1"/>
    <w:rsid w:val="00D47A51"/>
    <w:rsid w:val="00D47B49"/>
    <w:rsid w:val="00D47BB2"/>
    <w:rsid w:val="00D5001F"/>
    <w:rsid w:val="00D5031D"/>
    <w:rsid w:val="00D508BC"/>
    <w:rsid w:val="00D50D0D"/>
    <w:rsid w:val="00D51327"/>
    <w:rsid w:val="00D51527"/>
    <w:rsid w:val="00D5182E"/>
    <w:rsid w:val="00D51B92"/>
    <w:rsid w:val="00D51E1A"/>
    <w:rsid w:val="00D52261"/>
    <w:rsid w:val="00D523C9"/>
    <w:rsid w:val="00D525C5"/>
    <w:rsid w:val="00D52DFD"/>
    <w:rsid w:val="00D52FEB"/>
    <w:rsid w:val="00D531DA"/>
    <w:rsid w:val="00D5327B"/>
    <w:rsid w:val="00D53C0A"/>
    <w:rsid w:val="00D53DC4"/>
    <w:rsid w:val="00D53E85"/>
    <w:rsid w:val="00D540FE"/>
    <w:rsid w:val="00D5420F"/>
    <w:rsid w:val="00D544F7"/>
    <w:rsid w:val="00D545A0"/>
    <w:rsid w:val="00D552A6"/>
    <w:rsid w:val="00D552DA"/>
    <w:rsid w:val="00D55542"/>
    <w:rsid w:val="00D55BDC"/>
    <w:rsid w:val="00D55D42"/>
    <w:rsid w:val="00D55F48"/>
    <w:rsid w:val="00D55FDB"/>
    <w:rsid w:val="00D55FFA"/>
    <w:rsid w:val="00D5605F"/>
    <w:rsid w:val="00D561CF"/>
    <w:rsid w:val="00D5687E"/>
    <w:rsid w:val="00D56FCB"/>
    <w:rsid w:val="00D5700A"/>
    <w:rsid w:val="00D5737B"/>
    <w:rsid w:val="00D57456"/>
    <w:rsid w:val="00D57614"/>
    <w:rsid w:val="00D5766D"/>
    <w:rsid w:val="00D578BF"/>
    <w:rsid w:val="00D578C8"/>
    <w:rsid w:val="00D6010E"/>
    <w:rsid w:val="00D604E7"/>
    <w:rsid w:val="00D607B6"/>
    <w:rsid w:val="00D60D93"/>
    <w:rsid w:val="00D60E8B"/>
    <w:rsid w:val="00D60EDC"/>
    <w:rsid w:val="00D610D4"/>
    <w:rsid w:val="00D610DE"/>
    <w:rsid w:val="00D611A9"/>
    <w:rsid w:val="00D611AC"/>
    <w:rsid w:val="00D612CD"/>
    <w:rsid w:val="00D614B8"/>
    <w:rsid w:val="00D615B0"/>
    <w:rsid w:val="00D615BB"/>
    <w:rsid w:val="00D617E8"/>
    <w:rsid w:val="00D6188A"/>
    <w:rsid w:val="00D625A3"/>
    <w:rsid w:val="00D62701"/>
    <w:rsid w:val="00D62A75"/>
    <w:rsid w:val="00D62B79"/>
    <w:rsid w:val="00D62C0B"/>
    <w:rsid w:val="00D62D1B"/>
    <w:rsid w:val="00D62EBE"/>
    <w:rsid w:val="00D631C6"/>
    <w:rsid w:val="00D63243"/>
    <w:rsid w:val="00D6352C"/>
    <w:rsid w:val="00D63751"/>
    <w:rsid w:val="00D63D2C"/>
    <w:rsid w:val="00D641CD"/>
    <w:rsid w:val="00D642DF"/>
    <w:rsid w:val="00D644A2"/>
    <w:rsid w:val="00D64639"/>
    <w:rsid w:val="00D64AD1"/>
    <w:rsid w:val="00D65298"/>
    <w:rsid w:val="00D655A3"/>
    <w:rsid w:val="00D6588D"/>
    <w:rsid w:val="00D65979"/>
    <w:rsid w:val="00D65D47"/>
    <w:rsid w:val="00D65E8D"/>
    <w:rsid w:val="00D65E97"/>
    <w:rsid w:val="00D65F0B"/>
    <w:rsid w:val="00D65FE4"/>
    <w:rsid w:val="00D66469"/>
    <w:rsid w:val="00D66992"/>
    <w:rsid w:val="00D669B8"/>
    <w:rsid w:val="00D66C54"/>
    <w:rsid w:val="00D66FF3"/>
    <w:rsid w:val="00D671B6"/>
    <w:rsid w:val="00D673DE"/>
    <w:rsid w:val="00D675DC"/>
    <w:rsid w:val="00D6790B"/>
    <w:rsid w:val="00D6793C"/>
    <w:rsid w:val="00D6797B"/>
    <w:rsid w:val="00D67FE4"/>
    <w:rsid w:val="00D7024B"/>
    <w:rsid w:val="00D7039C"/>
    <w:rsid w:val="00D705F8"/>
    <w:rsid w:val="00D70618"/>
    <w:rsid w:val="00D706FB"/>
    <w:rsid w:val="00D707B6"/>
    <w:rsid w:val="00D70870"/>
    <w:rsid w:val="00D70A3C"/>
    <w:rsid w:val="00D70B48"/>
    <w:rsid w:val="00D710BE"/>
    <w:rsid w:val="00D71134"/>
    <w:rsid w:val="00D717BC"/>
    <w:rsid w:val="00D7181B"/>
    <w:rsid w:val="00D71A35"/>
    <w:rsid w:val="00D71C43"/>
    <w:rsid w:val="00D71F24"/>
    <w:rsid w:val="00D7231E"/>
    <w:rsid w:val="00D72416"/>
    <w:rsid w:val="00D726FD"/>
    <w:rsid w:val="00D727A0"/>
    <w:rsid w:val="00D727C4"/>
    <w:rsid w:val="00D728FF"/>
    <w:rsid w:val="00D72BAB"/>
    <w:rsid w:val="00D73A3F"/>
    <w:rsid w:val="00D73A8B"/>
    <w:rsid w:val="00D74480"/>
    <w:rsid w:val="00D74A11"/>
    <w:rsid w:val="00D74AF5"/>
    <w:rsid w:val="00D74BA3"/>
    <w:rsid w:val="00D74E91"/>
    <w:rsid w:val="00D752BE"/>
    <w:rsid w:val="00D7560C"/>
    <w:rsid w:val="00D75B78"/>
    <w:rsid w:val="00D75D1F"/>
    <w:rsid w:val="00D75D2D"/>
    <w:rsid w:val="00D76113"/>
    <w:rsid w:val="00D76179"/>
    <w:rsid w:val="00D7620C"/>
    <w:rsid w:val="00D762FF"/>
    <w:rsid w:val="00D76451"/>
    <w:rsid w:val="00D76A66"/>
    <w:rsid w:val="00D76A98"/>
    <w:rsid w:val="00D770D4"/>
    <w:rsid w:val="00D77568"/>
    <w:rsid w:val="00D77828"/>
    <w:rsid w:val="00D77B1E"/>
    <w:rsid w:val="00D77ED9"/>
    <w:rsid w:val="00D77F63"/>
    <w:rsid w:val="00D804A0"/>
    <w:rsid w:val="00D804A7"/>
    <w:rsid w:val="00D80A7A"/>
    <w:rsid w:val="00D80A7D"/>
    <w:rsid w:val="00D80EE6"/>
    <w:rsid w:val="00D812A7"/>
    <w:rsid w:val="00D81AFA"/>
    <w:rsid w:val="00D82183"/>
    <w:rsid w:val="00D82218"/>
    <w:rsid w:val="00D825BE"/>
    <w:rsid w:val="00D8271A"/>
    <w:rsid w:val="00D828C4"/>
    <w:rsid w:val="00D82B33"/>
    <w:rsid w:val="00D82ED3"/>
    <w:rsid w:val="00D82F41"/>
    <w:rsid w:val="00D8347A"/>
    <w:rsid w:val="00D83B16"/>
    <w:rsid w:val="00D83D71"/>
    <w:rsid w:val="00D8434B"/>
    <w:rsid w:val="00D844FC"/>
    <w:rsid w:val="00D844FD"/>
    <w:rsid w:val="00D84575"/>
    <w:rsid w:val="00D84ADE"/>
    <w:rsid w:val="00D84B5D"/>
    <w:rsid w:val="00D850BF"/>
    <w:rsid w:val="00D85135"/>
    <w:rsid w:val="00D851B7"/>
    <w:rsid w:val="00D851BF"/>
    <w:rsid w:val="00D85275"/>
    <w:rsid w:val="00D855F3"/>
    <w:rsid w:val="00D8573F"/>
    <w:rsid w:val="00D85896"/>
    <w:rsid w:val="00D859AD"/>
    <w:rsid w:val="00D85FEA"/>
    <w:rsid w:val="00D86031"/>
    <w:rsid w:val="00D860CD"/>
    <w:rsid w:val="00D8623A"/>
    <w:rsid w:val="00D865FF"/>
    <w:rsid w:val="00D86601"/>
    <w:rsid w:val="00D868C0"/>
    <w:rsid w:val="00D868C6"/>
    <w:rsid w:val="00D868D7"/>
    <w:rsid w:val="00D86A14"/>
    <w:rsid w:val="00D86D99"/>
    <w:rsid w:val="00D876E3"/>
    <w:rsid w:val="00D87796"/>
    <w:rsid w:val="00D877F5"/>
    <w:rsid w:val="00D8797B"/>
    <w:rsid w:val="00D87A94"/>
    <w:rsid w:val="00D87D04"/>
    <w:rsid w:val="00D87DD2"/>
    <w:rsid w:val="00D87DE9"/>
    <w:rsid w:val="00D87E09"/>
    <w:rsid w:val="00D90F6F"/>
    <w:rsid w:val="00D90F90"/>
    <w:rsid w:val="00D91334"/>
    <w:rsid w:val="00D91B1F"/>
    <w:rsid w:val="00D91C2C"/>
    <w:rsid w:val="00D921C0"/>
    <w:rsid w:val="00D923A2"/>
    <w:rsid w:val="00D92536"/>
    <w:rsid w:val="00D925E0"/>
    <w:rsid w:val="00D92744"/>
    <w:rsid w:val="00D9296D"/>
    <w:rsid w:val="00D92CC6"/>
    <w:rsid w:val="00D9332A"/>
    <w:rsid w:val="00D934FF"/>
    <w:rsid w:val="00D93A90"/>
    <w:rsid w:val="00D94220"/>
    <w:rsid w:val="00D942A4"/>
    <w:rsid w:val="00D947D2"/>
    <w:rsid w:val="00D9498A"/>
    <w:rsid w:val="00D94A5F"/>
    <w:rsid w:val="00D94FCD"/>
    <w:rsid w:val="00D95291"/>
    <w:rsid w:val="00D9533A"/>
    <w:rsid w:val="00D953CB"/>
    <w:rsid w:val="00D95DE0"/>
    <w:rsid w:val="00D96797"/>
    <w:rsid w:val="00D96AD8"/>
    <w:rsid w:val="00D96D4C"/>
    <w:rsid w:val="00D96D8E"/>
    <w:rsid w:val="00D9718C"/>
    <w:rsid w:val="00D9753D"/>
    <w:rsid w:val="00D97665"/>
    <w:rsid w:val="00D9766C"/>
    <w:rsid w:val="00D97B5D"/>
    <w:rsid w:val="00D97DA8"/>
    <w:rsid w:val="00DA0967"/>
    <w:rsid w:val="00DA0983"/>
    <w:rsid w:val="00DA13D0"/>
    <w:rsid w:val="00DA18C2"/>
    <w:rsid w:val="00DA1B49"/>
    <w:rsid w:val="00DA1C1D"/>
    <w:rsid w:val="00DA1FB2"/>
    <w:rsid w:val="00DA2142"/>
    <w:rsid w:val="00DA2EDE"/>
    <w:rsid w:val="00DA3545"/>
    <w:rsid w:val="00DA3640"/>
    <w:rsid w:val="00DA3B1B"/>
    <w:rsid w:val="00DA3C87"/>
    <w:rsid w:val="00DA3FDC"/>
    <w:rsid w:val="00DA43C0"/>
    <w:rsid w:val="00DA45A6"/>
    <w:rsid w:val="00DA45DF"/>
    <w:rsid w:val="00DA45EE"/>
    <w:rsid w:val="00DA4802"/>
    <w:rsid w:val="00DA4946"/>
    <w:rsid w:val="00DA4D10"/>
    <w:rsid w:val="00DA4E13"/>
    <w:rsid w:val="00DA4E76"/>
    <w:rsid w:val="00DA509D"/>
    <w:rsid w:val="00DA51FE"/>
    <w:rsid w:val="00DA525B"/>
    <w:rsid w:val="00DA52B9"/>
    <w:rsid w:val="00DA52C4"/>
    <w:rsid w:val="00DA5661"/>
    <w:rsid w:val="00DA58B6"/>
    <w:rsid w:val="00DA5BE7"/>
    <w:rsid w:val="00DA5F33"/>
    <w:rsid w:val="00DA6250"/>
    <w:rsid w:val="00DA6648"/>
    <w:rsid w:val="00DA6E48"/>
    <w:rsid w:val="00DA7022"/>
    <w:rsid w:val="00DA71F7"/>
    <w:rsid w:val="00DA7243"/>
    <w:rsid w:val="00DA7604"/>
    <w:rsid w:val="00DA7634"/>
    <w:rsid w:val="00DA7654"/>
    <w:rsid w:val="00DA76C4"/>
    <w:rsid w:val="00DA7A13"/>
    <w:rsid w:val="00DB00E2"/>
    <w:rsid w:val="00DB017C"/>
    <w:rsid w:val="00DB043F"/>
    <w:rsid w:val="00DB06BF"/>
    <w:rsid w:val="00DB06F4"/>
    <w:rsid w:val="00DB076E"/>
    <w:rsid w:val="00DB0930"/>
    <w:rsid w:val="00DB11A6"/>
    <w:rsid w:val="00DB13BA"/>
    <w:rsid w:val="00DB1716"/>
    <w:rsid w:val="00DB1A09"/>
    <w:rsid w:val="00DB1F67"/>
    <w:rsid w:val="00DB22BC"/>
    <w:rsid w:val="00DB26E3"/>
    <w:rsid w:val="00DB275F"/>
    <w:rsid w:val="00DB27C3"/>
    <w:rsid w:val="00DB2F4F"/>
    <w:rsid w:val="00DB37C9"/>
    <w:rsid w:val="00DB37CC"/>
    <w:rsid w:val="00DB3A76"/>
    <w:rsid w:val="00DB3B3B"/>
    <w:rsid w:val="00DB3C25"/>
    <w:rsid w:val="00DB3CBC"/>
    <w:rsid w:val="00DB3D8E"/>
    <w:rsid w:val="00DB3E65"/>
    <w:rsid w:val="00DB3EA5"/>
    <w:rsid w:val="00DB3FAB"/>
    <w:rsid w:val="00DB3FDC"/>
    <w:rsid w:val="00DB4088"/>
    <w:rsid w:val="00DB4551"/>
    <w:rsid w:val="00DB45A9"/>
    <w:rsid w:val="00DB464D"/>
    <w:rsid w:val="00DB49DB"/>
    <w:rsid w:val="00DB4A89"/>
    <w:rsid w:val="00DB4CBD"/>
    <w:rsid w:val="00DB4CD0"/>
    <w:rsid w:val="00DB4F29"/>
    <w:rsid w:val="00DB5007"/>
    <w:rsid w:val="00DB5168"/>
    <w:rsid w:val="00DB544E"/>
    <w:rsid w:val="00DB54BE"/>
    <w:rsid w:val="00DB56F7"/>
    <w:rsid w:val="00DB58EA"/>
    <w:rsid w:val="00DB59E0"/>
    <w:rsid w:val="00DB5D75"/>
    <w:rsid w:val="00DB5D99"/>
    <w:rsid w:val="00DB5F9C"/>
    <w:rsid w:val="00DB6131"/>
    <w:rsid w:val="00DB644E"/>
    <w:rsid w:val="00DB68FF"/>
    <w:rsid w:val="00DB6CF2"/>
    <w:rsid w:val="00DB6DF6"/>
    <w:rsid w:val="00DB7022"/>
    <w:rsid w:val="00DB749D"/>
    <w:rsid w:val="00DB74A2"/>
    <w:rsid w:val="00DB7840"/>
    <w:rsid w:val="00DB7B2B"/>
    <w:rsid w:val="00DC00FC"/>
    <w:rsid w:val="00DC02A1"/>
    <w:rsid w:val="00DC041C"/>
    <w:rsid w:val="00DC0517"/>
    <w:rsid w:val="00DC052D"/>
    <w:rsid w:val="00DC0A0D"/>
    <w:rsid w:val="00DC0A84"/>
    <w:rsid w:val="00DC0C1F"/>
    <w:rsid w:val="00DC0CE3"/>
    <w:rsid w:val="00DC102B"/>
    <w:rsid w:val="00DC127E"/>
    <w:rsid w:val="00DC134D"/>
    <w:rsid w:val="00DC188A"/>
    <w:rsid w:val="00DC19E4"/>
    <w:rsid w:val="00DC1A8F"/>
    <w:rsid w:val="00DC1AF8"/>
    <w:rsid w:val="00DC1D1C"/>
    <w:rsid w:val="00DC215E"/>
    <w:rsid w:val="00DC2752"/>
    <w:rsid w:val="00DC28AE"/>
    <w:rsid w:val="00DC2979"/>
    <w:rsid w:val="00DC2AD1"/>
    <w:rsid w:val="00DC3445"/>
    <w:rsid w:val="00DC3799"/>
    <w:rsid w:val="00DC3A2C"/>
    <w:rsid w:val="00DC3B5D"/>
    <w:rsid w:val="00DC3C6A"/>
    <w:rsid w:val="00DC3CE3"/>
    <w:rsid w:val="00DC3D15"/>
    <w:rsid w:val="00DC3D9B"/>
    <w:rsid w:val="00DC3DD2"/>
    <w:rsid w:val="00DC3DE7"/>
    <w:rsid w:val="00DC3E15"/>
    <w:rsid w:val="00DC43AC"/>
    <w:rsid w:val="00DC44E1"/>
    <w:rsid w:val="00DC48AE"/>
    <w:rsid w:val="00DC4C0E"/>
    <w:rsid w:val="00DC4CE5"/>
    <w:rsid w:val="00DC4CFC"/>
    <w:rsid w:val="00DC4E5F"/>
    <w:rsid w:val="00DC5179"/>
    <w:rsid w:val="00DC5355"/>
    <w:rsid w:val="00DC55AA"/>
    <w:rsid w:val="00DC566F"/>
    <w:rsid w:val="00DC5A2E"/>
    <w:rsid w:val="00DC5F4F"/>
    <w:rsid w:val="00DC69B1"/>
    <w:rsid w:val="00DC6B04"/>
    <w:rsid w:val="00DC6F6E"/>
    <w:rsid w:val="00DC71FC"/>
    <w:rsid w:val="00DC7237"/>
    <w:rsid w:val="00DC72A9"/>
    <w:rsid w:val="00DC75B0"/>
    <w:rsid w:val="00DC76F9"/>
    <w:rsid w:val="00DC774F"/>
    <w:rsid w:val="00DC784D"/>
    <w:rsid w:val="00DC7A6E"/>
    <w:rsid w:val="00DC7B26"/>
    <w:rsid w:val="00DC7BCD"/>
    <w:rsid w:val="00DC7CB8"/>
    <w:rsid w:val="00DC7E60"/>
    <w:rsid w:val="00DC7FB4"/>
    <w:rsid w:val="00DD020C"/>
    <w:rsid w:val="00DD044D"/>
    <w:rsid w:val="00DD082B"/>
    <w:rsid w:val="00DD08F6"/>
    <w:rsid w:val="00DD0B37"/>
    <w:rsid w:val="00DD14ED"/>
    <w:rsid w:val="00DD15A2"/>
    <w:rsid w:val="00DD15F5"/>
    <w:rsid w:val="00DD1A78"/>
    <w:rsid w:val="00DD249C"/>
    <w:rsid w:val="00DD2668"/>
    <w:rsid w:val="00DD26BE"/>
    <w:rsid w:val="00DD2AB9"/>
    <w:rsid w:val="00DD2CC4"/>
    <w:rsid w:val="00DD2DD1"/>
    <w:rsid w:val="00DD2FB2"/>
    <w:rsid w:val="00DD3150"/>
    <w:rsid w:val="00DD316F"/>
    <w:rsid w:val="00DD32CB"/>
    <w:rsid w:val="00DD348E"/>
    <w:rsid w:val="00DD370D"/>
    <w:rsid w:val="00DD38B6"/>
    <w:rsid w:val="00DD3B7C"/>
    <w:rsid w:val="00DD3BBC"/>
    <w:rsid w:val="00DD492C"/>
    <w:rsid w:val="00DD4939"/>
    <w:rsid w:val="00DD5062"/>
    <w:rsid w:val="00DD5182"/>
    <w:rsid w:val="00DD579C"/>
    <w:rsid w:val="00DD5C78"/>
    <w:rsid w:val="00DD67C2"/>
    <w:rsid w:val="00DD67C7"/>
    <w:rsid w:val="00DD6A3E"/>
    <w:rsid w:val="00DD6F82"/>
    <w:rsid w:val="00DD70B8"/>
    <w:rsid w:val="00DD75B1"/>
    <w:rsid w:val="00DD75BE"/>
    <w:rsid w:val="00DD75C4"/>
    <w:rsid w:val="00DD76F8"/>
    <w:rsid w:val="00DD7C5E"/>
    <w:rsid w:val="00DE0190"/>
    <w:rsid w:val="00DE02C8"/>
    <w:rsid w:val="00DE0678"/>
    <w:rsid w:val="00DE0721"/>
    <w:rsid w:val="00DE085E"/>
    <w:rsid w:val="00DE0BE7"/>
    <w:rsid w:val="00DE0D0F"/>
    <w:rsid w:val="00DE110F"/>
    <w:rsid w:val="00DE1675"/>
    <w:rsid w:val="00DE1AB8"/>
    <w:rsid w:val="00DE1AC9"/>
    <w:rsid w:val="00DE1DAB"/>
    <w:rsid w:val="00DE22C2"/>
    <w:rsid w:val="00DE235B"/>
    <w:rsid w:val="00DE2414"/>
    <w:rsid w:val="00DE2429"/>
    <w:rsid w:val="00DE284E"/>
    <w:rsid w:val="00DE2953"/>
    <w:rsid w:val="00DE2B88"/>
    <w:rsid w:val="00DE2F27"/>
    <w:rsid w:val="00DE2FB3"/>
    <w:rsid w:val="00DE2FDD"/>
    <w:rsid w:val="00DE3110"/>
    <w:rsid w:val="00DE3396"/>
    <w:rsid w:val="00DE33C7"/>
    <w:rsid w:val="00DE3707"/>
    <w:rsid w:val="00DE3F30"/>
    <w:rsid w:val="00DE40BD"/>
    <w:rsid w:val="00DE41A5"/>
    <w:rsid w:val="00DE41B8"/>
    <w:rsid w:val="00DE4474"/>
    <w:rsid w:val="00DE44BC"/>
    <w:rsid w:val="00DE4561"/>
    <w:rsid w:val="00DE4816"/>
    <w:rsid w:val="00DE483C"/>
    <w:rsid w:val="00DE49F8"/>
    <w:rsid w:val="00DE4A5B"/>
    <w:rsid w:val="00DE4DAA"/>
    <w:rsid w:val="00DE5226"/>
    <w:rsid w:val="00DE54D3"/>
    <w:rsid w:val="00DE5675"/>
    <w:rsid w:val="00DE567A"/>
    <w:rsid w:val="00DE574F"/>
    <w:rsid w:val="00DE5BDC"/>
    <w:rsid w:val="00DE5FE5"/>
    <w:rsid w:val="00DE60A5"/>
    <w:rsid w:val="00DE6682"/>
    <w:rsid w:val="00DE6C03"/>
    <w:rsid w:val="00DE6C63"/>
    <w:rsid w:val="00DE6E86"/>
    <w:rsid w:val="00DE6EF5"/>
    <w:rsid w:val="00DE7290"/>
    <w:rsid w:val="00DE743B"/>
    <w:rsid w:val="00DE747F"/>
    <w:rsid w:val="00DE776A"/>
    <w:rsid w:val="00DE782C"/>
    <w:rsid w:val="00DE7B86"/>
    <w:rsid w:val="00DE7BF4"/>
    <w:rsid w:val="00DE7D03"/>
    <w:rsid w:val="00DF0090"/>
    <w:rsid w:val="00DF0426"/>
    <w:rsid w:val="00DF0523"/>
    <w:rsid w:val="00DF05D4"/>
    <w:rsid w:val="00DF07C4"/>
    <w:rsid w:val="00DF0874"/>
    <w:rsid w:val="00DF0A34"/>
    <w:rsid w:val="00DF0BF1"/>
    <w:rsid w:val="00DF0D17"/>
    <w:rsid w:val="00DF1B10"/>
    <w:rsid w:val="00DF1C94"/>
    <w:rsid w:val="00DF22B7"/>
    <w:rsid w:val="00DF234E"/>
    <w:rsid w:val="00DF2374"/>
    <w:rsid w:val="00DF2826"/>
    <w:rsid w:val="00DF2878"/>
    <w:rsid w:val="00DF2A4F"/>
    <w:rsid w:val="00DF33FB"/>
    <w:rsid w:val="00DF35AF"/>
    <w:rsid w:val="00DF37AA"/>
    <w:rsid w:val="00DF38B0"/>
    <w:rsid w:val="00DF399C"/>
    <w:rsid w:val="00DF3E34"/>
    <w:rsid w:val="00DF437E"/>
    <w:rsid w:val="00DF457A"/>
    <w:rsid w:val="00DF48B4"/>
    <w:rsid w:val="00DF49E6"/>
    <w:rsid w:val="00DF4B42"/>
    <w:rsid w:val="00DF4DC9"/>
    <w:rsid w:val="00DF4F96"/>
    <w:rsid w:val="00DF52BE"/>
    <w:rsid w:val="00DF57BB"/>
    <w:rsid w:val="00DF5A71"/>
    <w:rsid w:val="00DF5B33"/>
    <w:rsid w:val="00DF5B74"/>
    <w:rsid w:val="00DF5D32"/>
    <w:rsid w:val="00DF5D7E"/>
    <w:rsid w:val="00DF5ECC"/>
    <w:rsid w:val="00DF6420"/>
    <w:rsid w:val="00DF648D"/>
    <w:rsid w:val="00DF7014"/>
    <w:rsid w:val="00DF7270"/>
    <w:rsid w:val="00DF73C6"/>
    <w:rsid w:val="00DF740B"/>
    <w:rsid w:val="00DF7503"/>
    <w:rsid w:val="00E00641"/>
    <w:rsid w:val="00E00ACF"/>
    <w:rsid w:val="00E00CEA"/>
    <w:rsid w:val="00E00EE4"/>
    <w:rsid w:val="00E00EFB"/>
    <w:rsid w:val="00E00F13"/>
    <w:rsid w:val="00E00F99"/>
    <w:rsid w:val="00E010C0"/>
    <w:rsid w:val="00E0110D"/>
    <w:rsid w:val="00E01279"/>
    <w:rsid w:val="00E01393"/>
    <w:rsid w:val="00E016FC"/>
    <w:rsid w:val="00E02031"/>
    <w:rsid w:val="00E0211F"/>
    <w:rsid w:val="00E02141"/>
    <w:rsid w:val="00E022A0"/>
    <w:rsid w:val="00E0239F"/>
    <w:rsid w:val="00E02585"/>
    <w:rsid w:val="00E031DF"/>
    <w:rsid w:val="00E03254"/>
    <w:rsid w:val="00E03301"/>
    <w:rsid w:val="00E03454"/>
    <w:rsid w:val="00E03639"/>
    <w:rsid w:val="00E037EE"/>
    <w:rsid w:val="00E03976"/>
    <w:rsid w:val="00E03DD0"/>
    <w:rsid w:val="00E03DD5"/>
    <w:rsid w:val="00E03E33"/>
    <w:rsid w:val="00E04176"/>
    <w:rsid w:val="00E0419C"/>
    <w:rsid w:val="00E0463B"/>
    <w:rsid w:val="00E05126"/>
    <w:rsid w:val="00E0540B"/>
    <w:rsid w:val="00E057D6"/>
    <w:rsid w:val="00E057EA"/>
    <w:rsid w:val="00E05A91"/>
    <w:rsid w:val="00E05FA4"/>
    <w:rsid w:val="00E064ED"/>
    <w:rsid w:val="00E069B8"/>
    <w:rsid w:val="00E06AAA"/>
    <w:rsid w:val="00E06C9E"/>
    <w:rsid w:val="00E06EA2"/>
    <w:rsid w:val="00E070B8"/>
    <w:rsid w:val="00E075F6"/>
    <w:rsid w:val="00E07956"/>
    <w:rsid w:val="00E07BE4"/>
    <w:rsid w:val="00E07C41"/>
    <w:rsid w:val="00E07DA9"/>
    <w:rsid w:val="00E10164"/>
    <w:rsid w:val="00E10693"/>
    <w:rsid w:val="00E10E47"/>
    <w:rsid w:val="00E10E99"/>
    <w:rsid w:val="00E10FC7"/>
    <w:rsid w:val="00E1111B"/>
    <w:rsid w:val="00E11221"/>
    <w:rsid w:val="00E11465"/>
    <w:rsid w:val="00E1157F"/>
    <w:rsid w:val="00E11C30"/>
    <w:rsid w:val="00E11D80"/>
    <w:rsid w:val="00E11F9F"/>
    <w:rsid w:val="00E1204E"/>
    <w:rsid w:val="00E1230E"/>
    <w:rsid w:val="00E12445"/>
    <w:rsid w:val="00E124D2"/>
    <w:rsid w:val="00E127BB"/>
    <w:rsid w:val="00E128C5"/>
    <w:rsid w:val="00E12AAD"/>
    <w:rsid w:val="00E12CFB"/>
    <w:rsid w:val="00E13045"/>
    <w:rsid w:val="00E131EC"/>
    <w:rsid w:val="00E1337A"/>
    <w:rsid w:val="00E135AB"/>
    <w:rsid w:val="00E13636"/>
    <w:rsid w:val="00E13A19"/>
    <w:rsid w:val="00E13C79"/>
    <w:rsid w:val="00E142E0"/>
    <w:rsid w:val="00E1438D"/>
    <w:rsid w:val="00E1477F"/>
    <w:rsid w:val="00E14838"/>
    <w:rsid w:val="00E14924"/>
    <w:rsid w:val="00E14D28"/>
    <w:rsid w:val="00E14F7B"/>
    <w:rsid w:val="00E1515E"/>
    <w:rsid w:val="00E155F1"/>
    <w:rsid w:val="00E15714"/>
    <w:rsid w:val="00E15810"/>
    <w:rsid w:val="00E15F5E"/>
    <w:rsid w:val="00E15FBB"/>
    <w:rsid w:val="00E160E7"/>
    <w:rsid w:val="00E164D8"/>
    <w:rsid w:val="00E169B9"/>
    <w:rsid w:val="00E16C33"/>
    <w:rsid w:val="00E16CAF"/>
    <w:rsid w:val="00E16CD7"/>
    <w:rsid w:val="00E1706B"/>
    <w:rsid w:val="00E17153"/>
    <w:rsid w:val="00E1765E"/>
    <w:rsid w:val="00E17981"/>
    <w:rsid w:val="00E17B98"/>
    <w:rsid w:val="00E17DDA"/>
    <w:rsid w:val="00E17F04"/>
    <w:rsid w:val="00E17FC6"/>
    <w:rsid w:val="00E20124"/>
    <w:rsid w:val="00E203FC"/>
    <w:rsid w:val="00E206A3"/>
    <w:rsid w:val="00E20E5A"/>
    <w:rsid w:val="00E20E99"/>
    <w:rsid w:val="00E20F17"/>
    <w:rsid w:val="00E212C2"/>
    <w:rsid w:val="00E21348"/>
    <w:rsid w:val="00E2174D"/>
    <w:rsid w:val="00E2183C"/>
    <w:rsid w:val="00E2184C"/>
    <w:rsid w:val="00E219A9"/>
    <w:rsid w:val="00E21A4D"/>
    <w:rsid w:val="00E21BA5"/>
    <w:rsid w:val="00E21F75"/>
    <w:rsid w:val="00E21FAD"/>
    <w:rsid w:val="00E2200B"/>
    <w:rsid w:val="00E22176"/>
    <w:rsid w:val="00E22297"/>
    <w:rsid w:val="00E223F6"/>
    <w:rsid w:val="00E22508"/>
    <w:rsid w:val="00E226DB"/>
    <w:rsid w:val="00E22E1B"/>
    <w:rsid w:val="00E23199"/>
    <w:rsid w:val="00E23DFC"/>
    <w:rsid w:val="00E24002"/>
    <w:rsid w:val="00E244DE"/>
    <w:rsid w:val="00E2478A"/>
    <w:rsid w:val="00E24850"/>
    <w:rsid w:val="00E249F0"/>
    <w:rsid w:val="00E24C81"/>
    <w:rsid w:val="00E24C94"/>
    <w:rsid w:val="00E24CD4"/>
    <w:rsid w:val="00E24CE7"/>
    <w:rsid w:val="00E24DFE"/>
    <w:rsid w:val="00E24EBB"/>
    <w:rsid w:val="00E2517B"/>
    <w:rsid w:val="00E25372"/>
    <w:rsid w:val="00E25583"/>
    <w:rsid w:val="00E25684"/>
    <w:rsid w:val="00E25785"/>
    <w:rsid w:val="00E25A3A"/>
    <w:rsid w:val="00E25A48"/>
    <w:rsid w:val="00E25D5C"/>
    <w:rsid w:val="00E25DDA"/>
    <w:rsid w:val="00E264D0"/>
    <w:rsid w:val="00E26719"/>
    <w:rsid w:val="00E26958"/>
    <w:rsid w:val="00E27104"/>
    <w:rsid w:val="00E2715F"/>
    <w:rsid w:val="00E272EC"/>
    <w:rsid w:val="00E2779D"/>
    <w:rsid w:val="00E2797C"/>
    <w:rsid w:val="00E27B33"/>
    <w:rsid w:val="00E27B8F"/>
    <w:rsid w:val="00E27C16"/>
    <w:rsid w:val="00E27C53"/>
    <w:rsid w:val="00E301AC"/>
    <w:rsid w:val="00E302F2"/>
    <w:rsid w:val="00E30819"/>
    <w:rsid w:val="00E308D6"/>
    <w:rsid w:val="00E30C9D"/>
    <w:rsid w:val="00E30E53"/>
    <w:rsid w:val="00E31068"/>
    <w:rsid w:val="00E31324"/>
    <w:rsid w:val="00E31689"/>
    <w:rsid w:val="00E31915"/>
    <w:rsid w:val="00E31F82"/>
    <w:rsid w:val="00E32425"/>
    <w:rsid w:val="00E32615"/>
    <w:rsid w:val="00E326E1"/>
    <w:rsid w:val="00E327C0"/>
    <w:rsid w:val="00E3297F"/>
    <w:rsid w:val="00E33022"/>
    <w:rsid w:val="00E330BF"/>
    <w:rsid w:val="00E335B8"/>
    <w:rsid w:val="00E33D63"/>
    <w:rsid w:val="00E33F1C"/>
    <w:rsid w:val="00E342A0"/>
    <w:rsid w:val="00E34396"/>
    <w:rsid w:val="00E3446A"/>
    <w:rsid w:val="00E34498"/>
    <w:rsid w:val="00E34536"/>
    <w:rsid w:val="00E349FE"/>
    <w:rsid w:val="00E34C18"/>
    <w:rsid w:val="00E34CA2"/>
    <w:rsid w:val="00E358DE"/>
    <w:rsid w:val="00E35B15"/>
    <w:rsid w:val="00E35CFF"/>
    <w:rsid w:val="00E363FB"/>
    <w:rsid w:val="00E3643E"/>
    <w:rsid w:val="00E36935"/>
    <w:rsid w:val="00E36D31"/>
    <w:rsid w:val="00E37040"/>
    <w:rsid w:val="00E3792D"/>
    <w:rsid w:val="00E40065"/>
    <w:rsid w:val="00E400C9"/>
    <w:rsid w:val="00E400F4"/>
    <w:rsid w:val="00E4014F"/>
    <w:rsid w:val="00E406E4"/>
    <w:rsid w:val="00E406E7"/>
    <w:rsid w:val="00E4076C"/>
    <w:rsid w:val="00E40882"/>
    <w:rsid w:val="00E40E59"/>
    <w:rsid w:val="00E40EF0"/>
    <w:rsid w:val="00E4165B"/>
    <w:rsid w:val="00E416CF"/>
    <w:rsid w:val="00E41758"/>
    <w:rsid w:val="00E4180E"/>
    <w:rsid w:val="00E41A71"/>
    <w:rsid w:val="00E41C54"/>
    <w:rsid w:val="00E41E3A"/>
    <w:rsid w:val="00E42053"/>
    <w:rsid w:val="00E42457"/>
    <w:rsid w:val="00E42934"/>
    <w:rsid w:val="00E429ED"/>
    <w:rsid w:val="00E42A32"/>
    <w:rsid w:val="00E42B06"/>
    <w:rsid w:val="00E42E4E"/>
    <w:rsid w:val="00E432FC"/>
    <w:rsid w:val="00E4377F"/>
    <w:rsid w:val="00E439E0"/>
    <w:rsid w:val="00E43AA3"/>
    <w:rsid w:val="00E43AF4"/>
    <w:rsid w:val="00E43DCF"/>
    <w:rsid w:val="00E440C9"/>
    <w:rsid w:val="00E4426A"/>
    <w:rsid w:val="00E442F7"/>
    <w:rsid w:val="00E447A9"/>
    <w:rsid w:val="00E4489D"/>
    <w:rsid w:val="00E44973"/>
    <w:rsid w:val="00E44B42"/>
    <w:rsid w:val="00E44F37"/>
    <w:rsid w:val="00E45520"/>
    <w:rsid w:val="00E45580"/>
    <w:rsid w:val="00E458BA"/>
    <w:rsid w:val="00E459A1"/>
    <w:rsid w:val="00E45C47"/>
    <w:rsid w:val="00E4606A"/>
    <w:rsid w:val="00E46428"/>
    <w:rsid w:val="00E466DC"/>
    <w:rsid w:val="00E467AA"/>
    <w:rsid w:val="00E46D4E"/>
    <w:rsid w:val="00E46ED2"/>
    <w:rsid w:val="00E475EE"/>
    <w:rsid w:val="00E47665"/>
    <w:rsid w:val="00E47986"/>
    <w:rsid w:val="00E50301"/>
    <w:rsid w:val="00E5031E"/>
    <w:rsid w:val="00E5041B"/>
    <w:rsid w:val="00E50497"/>
    <w:rsid w:val="00E505DD"/>
    <w:rsid w:val="00E50604"/>
    <w:rsid w:val="00E508FC"/>
    <w:rsid w:val="00E50DE9"/>
    <w:rsid w:val="00E51828"/>
    <w:rsid w:val="00E51BA2"/>
    <w:rsid w:val="00E51D53"/>
    <w:rsid w:val="00E522AA"/>
    <w:rsid w:val="00E52697"/>
    <w:rsid w:val="00E52A0B"/>
    <w:rsid w:val="00E52A5E"/>
    <w:rsid w:val="00E52BB7"/>
    <w:rsid w:val="00E52CA0"/>
    <w:rsid w:val="00E53139"/>
    <w:rsid w:val="00E5314E"/>
    <w:rsid w:val="00E533B3"/>
    <w:rsid w:val="00E53982"/>
    <w:rsid w:val="00E539C6"/>
    <w:rsid w:val="00E539C8"/>
    <w:rsid w:val="00E53A93"/>
    <w:rsid w:val="00E53B90"/>
    <w:rsid w:val="00E53C8D"/>
    <w:rsid w:val="00E53E5B"/>
    <w:rsid w:val="00E54053"/>
    <w:rsid w:val="00E541A3"/>
    <w:rsid w:val="00E543F8"/>
    <w:rsid w:val="00E54953"/>
    <w:rsid w:val="00E54D6E"/>
    <w:rsid w:val="00E553CA"/>
    <w:rsid w:val="00E55522"/>
    <w:rsid w:val="00E555AF"/>
    <w:rsid w:val="00E556D2"/>
    <w:rsid w:val="00E5612C"/>
    <w:rsid w:val="00E565C7"/>
    <w:rsid w:val="00E565ED"/>
    <w:rsid w:val="00E566AC"/>
    <w:rsid w:val="00E5696C"/>
    <w:rsid w:val="00E56CA1"/>
    <w:rsid w:val="00E56D88"/>
    <w:rsid w:val="00E56E0C"/>
    <w:rsid w:val="00E57279"/>
    <w:rsid w:val="00E5729F"/>
    <w:rsid w:val="00E5735C"/>
    <w:rsid w:val="00E57F6B"/>
    <w:rsid w:val="00E603F6"/>
    <w:rsid w:val="00E60788"/>
    <w:rsid w:val="00E6095D"/>
    <w:rsid w:val="00E60A17"/>
    <w:rsid w:val="00E60BE2"/>
    <w:rsid w:val="00E60EBC"/>
    <w:rsid w:val="00E60F8D"/>
    <w:rsid w:val="00E6120B"/>
    <w:rsid w:val="00E61763"/>
    <w:rsid w:val="00E618B6"/>
    <w:rsid w:val="00E6194D"/>
    <w:rsid w:val="00E61CA3"/>
    <w:rsid w:val="00E61E3C"/>
    <w:rsid w:val="00E61E43"/>
    <w:rsid w:val="00E620CC"/>
    <w:rsid w:val="00E625B1"/>
    <w:rsid w:val="00E628F6"/>
    <w:rsid w:val="00E62A10"/>
    <w:rsid w:val="00E62AB1"/>
    <w:rsid w:val="00E62E2C"/>
    <w:rsid w:val="00E63357"/>
    <w:rsid w:val="00E63592"/>
    <w:rsid w:val="00E63637"/>
    <w:rsid w:val="00E6364E"/>
    <w:rsid w:val="00E638E5"/>
    <w:rsid w:val="00E63904"/>
    <w:rsid w:val="00E63BB5"/>
    <w:rsid w:val="00E63BF8"/>
    <w:rsid w:val="00E63E19"/>
    <w:rsid w:val="00E6407E"/>
    <w:rsid w:val="00E645C6"/>
    <w:rsid w:val="00E647DC"/>
    <w:rsid w:val="00E64876"/>
    <w:rsid w:val="00E64B2D"/>
    <w:rsid w:val="00E64C12"/>
    <w:rsid w:val="00E64C2C"/>
    <w:rsid w:val="00E64DAA"/>
    <w:rsid w:val="00E64DDA"/>
    <w:rsid w:val="00E6596E"/>
    <w:rsid w:val="00E65A8C"/>
    <w:rsid w:val="00E65A99"/>
    <w:rsid w:val="00E662CA"/>
    <w:rsid w:val="00E6644A"/>
    <w:rsid w:val="00E66701"/>
    <w:rsid w:val="00E66AAA"/>
    <w:rsid w:val="00E66BAF"/>
    <w:rsid w:val="00E66ED4"/>
    <w:rsid w:val="00E66EFD"/>
    <w:rsid w:val="00E670E5"/>
    <w:rsid w:val="00E67276"/>
    <w:rsid w:val="00E673FA"/>
    <w:rsid w:val="00E673FB"/>
    <w:rsid w:val="00E67B54"/>
    <w:rsid w:val="00E70196"/>
    <w:rsid w:val="00E70AB2"/>
    <w:rsid w:val="00E70DB3"/>
    <w:rsid w:val="00E70DB7"/>
    <w:rsid w:val="00E70EFF"/>
    <w:rsid w:val="00E70F7D"/>
    <w:rsid w:val="00E71166"/>
    <w:rsid w:val="00E713C3"/>
    <w:rsid w:val="00E7149F"/>
    <w:rsid w:val="00E71606"/>
    <w:rsid w:val="00E71657"/>
    <w:rsid w:val="00E71CF3"/>
    <w:rsid w:val="00E71D68"/>
    <w:rsid w:val="00E71DBB"/>
    <w:rsid w:val="00E724D5"/>
    <w:rsid w:val="00E72708"/>
    <w:rsid w:val="00E72BCA"/>
    <w:rsid w:val="00E72D58"/>
    <w:rsid w:val="00E730ED"/>
    <w:rsid w:val="00E733EF"/>
    <w:rsid w:val="00E73742"/>
    <w:rsid w:val="00E73825"/>
    <w:rsid w:val="00E7403B"/>
    <w:rsid w:val="00E7422E"/>
    <w:rsid w:val="00E744EC"/>
    <w:rsid w:val="00E74609"/>
    <w:rsid w:val="00E748CA"/>
    <w:rsid w:val="00E74D9B"/>
    <w:rsid w:val="00E74F9A"/>
    <w:rsid w:val="00E75284"/>
    <w:rsid w:val="00E753AB"/>
    <w:rsid w:val="00E754AA"/>
    <w:rsid w:val="00E75A85"/>
    <w:rsid w:val="00E7600C"/>
    <w:rsid w:val="00E766C7"/>
    <w:rsid w:val="00E76A20"/>
    <w:rsid w:val="00E774EE"/>
    <w:rsid w:val="00E7764E"/>
    <w:rsid w:val="00E77B03"/>
    <w:rsid w:val="00E77FBD"/>
    <w:rsid w:val="00E800AA"/>
    <w:rsid w:val="00E802A8"/>
    <w:rsid w:val="00E80639"/>
    <w:rsid w:val="00E80939"/>
    <w:rsid w:val="00E80A74"/>
    <w:rsid w:val="00E80B28"/>
    <w:rsid w:val="00E80FFD"/>
    <w:rsid w:val="00E81241"/>
    <w:rsid w:val="00E812BB"/>
    <w:rsid w:val="00E81415"/>
    <w:rsid w:val="00E81B5C"/>
    <w:rsid w:val="00E81BE7"/>
    <w:rsid w:val="00E822BE"/>
    <w:rsid w:val="00E82304"/>
    <w:rsid w:val="00E824C9"/>
    <w:rsid w:val="00E82727"/>
    <w:rsid w:val="00E827CA"/>
    <w:rsid w:val="00E82ABD"/>
    <w:rsid w:val="00E82B7C"/>
    <w:rsid w:val="00E82BAD"/>
    <w:rsid w:val="00E82F44"/>
    <w:rsid w:val="00E8341F"/>
    <w:rsid w:val="00E834FB"/>
    <w:rsid w:val="00E83725"/>
    <w:rsid w:val="00E83940"/>
    <w:rsid w:val="00E83A8D"/>
    <w:rsid w:val="00E83DFA"/>
    <w:rsid w:val="00E8437C"/>
    <w:rsid w:val="00E8481E"/>
    <w:rsid w:val="00E84DBE"/>
    <w:rsid w:val="00E84E5C"/>
    <w:rsid w:val="00E853F4"/>
    <w:rsid w:val="00E858DB"/>
    <w:rsid w:val="00E85A99"/>
    <w:rsid w:val="00E85AB5"/>
    <w:rsid w:val="00E861D3"/>
    <w:rsid w:val="00E862EB"/>
    <w:rsid w:val="00E86362"/>
    <w:rsid w:val="00E86988"/>
    <w:rsid w:val="00E86C3C"/>
    <w:rsid w:val="00E86E61"/>
    <w:rsid w:val="00E86F81"/>
    <w:rsid w:val="00E870CC"/>
    <w:rsid w:val="00E871A6"/>
    <w:rsid w:val="00E872CD"/>
    <w:rsid w:val="00E87A81"/>
    <w:rsid w:val="00E87B2D"/>
    <w:rsid w:val="00E87D9D"/>
    <w:rsid w:val="00E87EAF"/>
    <w:rsid w:val="00E90197"/>
    <w:rsid w:val="00E906D1"/>
    <w:rsid w:val="00E90740"/>
    <w:rsid w:val="00E909D7"/>
    <w:rsid w:val="00E90D54"/>
    <w:rsid w:val="00E90DF6"/>
    <w:rsid w:val="00E90F68"/>
    <w:rsid w:val="00E90FFB"/>
    <w:rsid w:val="00E91063"/>
    <w:rsid w:val="00E912AB"/>
    <w:rsid w:val="00E914B5"/>
    <w:rsid w:val="00E91527"/>
    <w:rsid w:val="00E9155F"/>
    <w:rsid w:val="00E917DF"/>
    <w:rsid w:val="00E91808"/>
    <w:rsid w:val="00E9189B"/>
    <w:rsid w:val="00E9198B"/>
    <w:rsid w:val="00E91A7F"/>
    <w:rsid w:val="00E91AAE"/>
    <w:rsid w:val="00E91BC2"/>
    <w:rsid w:val="00E92529"/>
    <w:rsid w:val="00E925DB"/>
    <w:rsid w:val="00E9283F"/>
    <w:rsid w:val="00E9285D"/>
    <w:rsid w:val="00E9287C"/>
    <w:rsid w:val="00E929AE"/>
    <w:rsid w:val="00E92C2A"/>
    <w:rsid w:val="00E92C59"/>
    <w:rsid w:val="00E9306F"/>
    <w:rsid w:val="00E9391D"/>
    <w:rsid w:val="00E93C31"/>
    <w:rsid w:val="00E93E06"/>
    <w:rsid w:val="00E9429C"/>
    <w:rsid w:val="00E9467D"/>
    <w:rsid w:val="00E946AD"/>
    <w:rsid w:val="00E9492C"/>
    <w:rsid w:val="00E94FD7"/>
    <w:rsid w:val="00E950B4"/>
    <w:rsid w:val="00E952F5"/>
    <w:rsid w:val="00E95578"/>
    <w:rsid w:val="00E95B94"/>
    <w:rsid w:val="00E95C38"/>
    <w:rsid w:val="00E95D1C"/>
    <w:rsid w:val="00E95FB1"/>
    <w:rsid w:val="00E96182"/>
    <w:rsid w:val="00E964D4"/>
    <w:rsid w:val="00E965AF"/>
    <w:rsid w:val="00E965C6"/>
    <w:rsid w:val="00E96FB7"/>
    <w:rsid w:val="00E97179"/>
    <w:rsid w:val="00E978E4"/>
    <w:rsid w:val="00E97913"/>
    <w:rsid w:val="00E97A97"/>
    <w:rsid w:val="00EA0073"/>
    <w:rsid w:val="00EA00E8"/>
    <w:rsid w:val="00EA01AE"/>
    <w:rsid w:val="00EA0239"/>
    <w:rsid w:val="00EA0276"/>
    <w:rsid w:val="00EA04BE"/>
    <w:rsid w:val="00EA0525"/>
    <w:rsid w:val="00EA06B2"/>
    <w:rsid w:val="00EA091F"/>
    <w:rsid w:val="00EA0AE9"/>
    <w:rsid w:val="00EA0C13"/>
    <w:rsid w:val="00EA0D16"/>
    <w:rsid w:val="00EA0DD4"/>
    <w:rsid w:val="00EA0F80"/>
    <w:rsid w:val="00EA1427"/>
    <w:rsid w:val="00EA177D"/>
    <w:rsid w:val="00EA17C2"/>
    <w:rsid w:val="00EA196C"/>
    <w:rsid w:val="00EA19AA"/>
    <w:rsid w:val="00EA1A4B"/>
    <w:rsid w:val="00EA1AB4"/>
    <w:rsid w:val="00EA206B"/>
    <w:rsid w:val="00EA2794"/>
    <w:rsid w:val="00EA27F4"/>
    <w:rsid w:val="00EA2C77"/>
    <w:rsid w:val="00EA2E15"/>
    <w:rsid w:val="00EA2FB8"/>
    <w:rsid w:val="00EA32DF"/>
    <w:rsid w:val="00EA388D"/>
    <w:rsid w:val="00EA4048"/>
    <w:rsid w:val="00EA4170"/>
    <w:rsid w:val="00EA4560"/>
    <w:rsid w:val="00EA4755"/>
    <w:rsid w:val="00EA4B2E"/>
    <w:rsid w:val="00EA4BBA"/>
    <w:rsid w:val="00EA50A9"/>
    <w:rsid w:val="00EA50CD"/>
    <w:rsid w:val="00EA51BD"/>
    <w:rsid w:val="00EA53B7"/>
    <w:rsid w:val="00EA54AF"/>
    <w:rsid w:val="00EA5966"/>
    <w:rsid w:val="00EA59FB"/>
    <w:rsid w:val="00EA5A60"/>
    <w:rsid w:val="00EA5BA8"/>
    <w:rsid w:val="00EA5CC2"/>
    <w:rsid w:val="00EA603F"/>
    <w:rsid w:val="00EA641D"/>
    <w:rsid w:val="00EA6801"/>
    <w:rsid w:val="00EA6CA5"/>
    <w:rsid w:val="00EA7759"/>
    <w:rsid w:val="00EA78EE"/>
    <w:rsid w:val="00EA7D3C"/>
    <w:rsid w:val="00EA7EDE"/>
    <w:rsid w:val="00EB011E"/>
    <w:rsid w:val="00EB0169"/>
    <w:rsid w:val="00EB0433"/>
    <w:rsid w:val="00EB0504"/>
    <w:rsid w:val="00EB0828"/>
    <w:rsid w:val="00EB0894"/>
    <w:rsid w:val="00EB1396"/>
    <w:rsid w:val="00EB15B6"/>
    <w:rsid w:val="00EB16E5"/>
    <w:rsid w:val="00EB1995"/>
    <w:rsid w:val="00EB1DA2"/>
    <w:rsid w:val="00EB1EF2"/>
    <w:rsid w:val="00EB2104"/>
    <w:rsid w:val="00EB2368"/>
    <w:rsid w:val="00EB2520"/>
    <w:rsid w:val="00EB25C3"/>
    <w:rsid w:val="00EB271E"/>
    <w:rsid w:val="00EB2CE8"/>
    <w:rsid w:val="00EB2FCC"/>
    <w:rsid w:val="00EB336D"/>
    <w:rsid w:val="00EB34F5"/>
    <w:rsid w:val="00EB3702"/>
    <w:rsid w:val="00EB3B93"/>
    <w:rsid w:val="00EB482F"/>
    <w:rsid w:val="00EB4903"/>
    <w:rsid w:val="00EB49EE"/>
    <w:rsid w:val="00EB4CD3"/>
    <w:rsid w:val="00EB5441"/>
    <w:rsid w:val="00EB5455"/>
    <w:rsid w:val="00EB54E4"/>
    <w:rsid w:val="00EB55A5"/>
    <w:rsid w:val="00EB5662"/>
    <w:rsid w:val="00EB5690"/>
    <w:rsid w:val="00EB5A4F"/>
    <w:rsid w:val="00EB5A5A"/>
    <w:rsid w:val="00EB5AC7"/>
    <w:rsid w:val="00EB5AD0"/>
    <w:rsid w:val="00EB5BFD"/>
    <w:rsid w:val="00EB5CD8"/>
    <w:rsid w:val="00EB6098"/>
    <w:rsid w:val="00EB690D"/>
    <w:rsid w:val="00EB6A3B"/>
    <w:rsid w:val="00EB6A6C"/>
    <w:rsid w:val="00EB6B59"/>
    <w:rsid w:val="00EB6E71"/>
    <w:rsid w:val="00EB73AF"/>
    <w:rsid w:val="00EB7A49"/>
    <w:rsid w:val="00EB7C1B"/>
    <w:rsid w:val="00EB7D74"/>
    <w:rsid w:val="00EC03E3"/>
    <w:rsid w:val="00EC063E"/>
    <w:rsid w:val="00EC06BF"/>
    <w:rsid w:val="00EC0F62"/>
    <w:rsid w:val="00EC139C"/>
    <w:rsid w:val="00EC16F0"/>
    <w:rsid w:val="00EC175D"/>
    <w:rsid w:val="00EC1942"/>
    <w:rsid w:val="00EC199D"/>
    <w:rsid w:val="00EC1C39"/>
    <w:rsid w:val="00EC1D23"/>
    <w:rsid w:val="00EC1D4B"/>
    <w:rsid w:val="00EC2101"/>
    <w:rsid w:val="00EC2400"/>
    <w:rsid w:val="00EC278E"/>
    <w:rsid w:val="00EC2D32"/>
    <w:rsid w:val="00EC2EBD"/>
    <w:rsid w:val="00EC2FA3"/>
    <w:rsid w:val="00EC304E"/>
    <w:rsid w:val="00EC3560"/>
    <w:rsid w:val="00EC35E3"/>
    <w:rsid w:val="00EC36A1"/>
    <w:rsid w:val="00EC3864"/>
    <w:rsid w:val="00EC3A56"/>
    <w:rsid w:val="00EC3C2F"/>
    <w:rsid w:val="00EC3DDB"/>
    <w:rsid w:val="00EC3E6A"/>
    <w:rsid w:val="00EC400A"/>
    <w:rsid w:val="00EC431E"/>
    <w:rsid w:val="00EC4B15"/>
    <w:rsid w:val="00EC510A"/>
    <w:rsid w:val="00EC54FE"/>
    <w:rsid w:val="00EC556B"/>
    <w:rsid w:val="00EC5640"/>
    <w:rsid w:val="00EC583E"/>
    <w:rsid w:val="00EC5A65"/>
    <w:rsid w:val="00EC5F33"/>
    <w:rsid w:val="00EC6484"/>
    <w:rsid w:val="00EC6725"/>
    <w:rsid w:val="00EC6AB4"/>
    <w:rsid w:val="00EC6B11"/>
    <w:rsid w:val="00EC6C29"/>
    <w:rsid w:val="00EC702E"/>
    <w:rsid w:val="00EC710D"/>
    <w:rsid w:val="00EC71EC"/>
    <w:rsid w:val="00EC7273"/>
    <w:rsid w:val="00EC72A7"/>
    <w:rsid w:val="00EC79DC"/>
    <w:rsid w:val="00EC7C22"/>
    <w:rsid w:val="00EC7CFE"/>
    <w:rsid w:val="00EC7F6E"/>
    <w:rsid w:val="00ED0699"/>
    <w:rsid w:val="00ED0791"/>
    <w:rsid w:val="00ED0F08"/>
    <w:rsid w:val="00ED141B"/>
    <w:rsid w:val="00ED15FD"/>
    <w:rsid w:val="00ED186A"/>
    <w:rsid w:val="00ED1984"/>
    <w:rsid w:val="00ED1A10"/>
    <w:rsid w:val="00ED21B3"/>
    <w:rsid w:val="00ED2872"/>
    <w:rsid w:val="00ED294F"/>
    <w:rsid w:val="00ED2A9A"/>
    <w:rsid w:val="00ED2BB4"/>
    <w:rsid w:val="00ED2E93"/>
    <w:rsid w:val="00ED2F72"/>
    <w:rsid w:val="00ED3037"/>
    <w:rsid w:val="00ED35A6"/>
    <w:rsid w:val="00ED3836"/>
    <w:rsid w:val="00ED3944"/>
    <w:rsid w:val="00ED3AA2"/>
    <w:rsid w:val="00ED3CCC"/>
    <w:rsid w:val="00ED3D46"/>
    <w:rsid w:val="00ED4420"/>
    <w:rsid w:val="00ED4698"/>
    <w:rsid w:val="00ED47D3"/>
    <w:rsid w:val="00ED49E8"/>
    <w:rsid w:val="00ED4BA6"/>
    <w:rsid w:val="00ED4CE7"/>
    <w:rsid w:val="00ED50D1"/>
    <w:rsid w:val="00ED515D"/>
    <w:rsid w:val="00ED53B8"/>
    <w:rsid w:val="00ED54C8"/>
    <w:rsid w:val="00ED585B"/>
    <w:rsid w:val="00ED5BD2"/>
    <w:rsid w:val="00ED5C09"/>
    <w:rsid w:val="00ED5CAE"/>
    <w:rsid w:val="00ED5DBB"/>
    <w:rsid w:val="00ED64F9"/>
    <w:rsid w:val="00ED678E"/>
    <w:rsid w:val="00ED6927"/>
    <w:rsid w:val="00ED6A86"/>
    <w:rsid w:val="00ED6AED"/>
    <w:rsid w:val="00ED6D82"/>
    <w:rsid w:val="00ED6FA0"/>
    <w:rsid w:val="00ED7328"/>
    <w:rsid w:val="00ED73BB"/>
    <w:rsid w:val="00ED78B3"/>
    <w:rsid w:val="00ED7BBB"/>
    <w:rsid w:val="00EE020F"/>
    <w:rsid w:val="00EE021C"/>
    <w:rsid w:val="00EE0549"/>
    <w:rsid w:val="00EE06B4"/>
    <w:rsid w:val="00EE06ED"/>
    <w:rsid w:val="00EE06F3"/>
    <w:rsid w:val="00EE0EE3"/>
    <w:rsid w:val="00EE15A8"/>
    <w:rsid w:val="00EE15B2"/>
    <w:rsid w:val="00EE1EC4"/>
    <w:rsid w:val="00EE2062"/>
    <w:rsid w:val="00EE2191"/>
    <w:rsid w:val="00EE2551"/>
    <w:rsid w:val="00EE288B"/>
    <w:rsid w:val="00EE2A41"/>
    <w:rsid w:val="00EE2E0E"/>
    <w:rsid w:val="00EE2F14"/>
    <w:rsid w:val="00EE3B4B"/>
    <w:rsid w:val="00EE412C"/>
    <w:rsid w:val="00EE4599"/>
    <w:rsid w:val="00EE4B20"/>
    <w:rsid w:val="00EE4DA7"/>
    <w:rsid w:val="00EE4E71"/>
    <w:rsid w:val="00EE534E"/>
    <w:rsid w:val="00EE5563"/>
    <w:rsid w:val="00EE5B59"/>
    <w:rsid w:val="00EE5B87"/>
    <w:rsid w:val="00EE5DA1"/>
    <w:rsid w:val="00EE619A"/>
    <w:rsid w:val="00EE6616"/>
    <w:rsid w:val="00EE6690"/>
    <w:rsid w:val="00EE67D8"/>
    <w:rsid w:val="00EE6A16"/>
    <w:rsid w:val="00EE6B4C"/>
    <w:rsid w:val="00EE6D86"/>
    <w:rsid w:val="00EE6EB1"/>
    <w:rsid w:val="00EE7C22"/>
    <w:rsid w:val="00EF0069"/>
    <w:rsid w:val="00EF0195"/>
    <w:rsid w:val="00EF040A"/>
    <w:rsid w:val="00EF056E"/>
    <w:rsid w:val="00EF0DC4"/>
    <w:rsid w:val="00EF0F80"/>
    <w:rsid w:val="00EF1155"/>
    <w:rsid w:val="00EF13DF"/>
    <w:rsid w:val="00EF188E"/>
    <w:rsid w:val="00EF18A8"/>
    <w:rsid w:val="00EF1FE4"/>
    <w:rsid w:val="00EF208C"/>
    <w:rsid w:val="00EF22AB"/>
    <w:rsid w:val="00EF268F"/>
    <w:rsid w:val="00EF2A89"/>
    <w:rsid w:val="00EF2F45"/>
    <w:rsid w:val="00EF32A7"/>
    <w:rsid w:val="00EF3634"/>
    <w:rsid w:val="00EF379D"/>
    <w:rsid w:val="00EF37B7"/>
    <w:rsid w:val="00EF392A"/>
    <w:rsid w:val="00EF4277"/>
    <w:rsid w:val="00EF447E"/>
    <w:rsid w:val="00EF4A87"/>
    <w:rsid w:val="00EF4A97"/>
    <w:rsid w:val="00EF4FA2"/>
    <w:rsid w:val="00EF5372"/>
    <w:rsid w:val="00EF59B4"/>
    <w:rsid w:val="00EF5A8B"/>
    <w:rsid w:val="00EF610B"/>
    <w:rsid w:val="00EF6252"/>
    <w:rsid w:val="00EF62AF"/>
    <w:rsid w:val="00EF62C6"/>
    <w:rsid w:val="00EF644B"/>
    <w:rsid w:val="00EF64F3"/>
    <w:rsid w:val="00EF6585"/>
    <w:rsid w:val="00EF65ED"/>
    <w:rsid w:val="00EF6AEC"/>
    <w:rsid w:val="00EF6C45"/>
    <w:rsid w:val="00EF6D57"/>
    <w:rsid w:val="00EF6EDC"/>
    <w:rsid w:val="00EF707C"/>
    <w:rsid w:val="00EF70AB"/>
    <w:rsid w:val="00EF7228"/>
    <w:rsid w:val="00EF76BB"/>
    <w:rsid w:val="00EF7EA0"/>
    <w:rsid w:val="00EF7EC6"/>
    <w:rsid w:val="00F00086"/>
    <w:rsid w:val="00F00287"/>
    <w:rsid w:val="00F00A63"/>
    <w:rsid w:val="00F00BC6"/>
    <w:rsid w:val="00F00E3B"/>
    <w:rsid w:val="00F00F81"/>
    <w:rsid w:val="00F011EC"/>
    <w:rsid w:val="00F0161B"/>
    <w:rsid w:val="00F0162B"/>
    <w:rsid w:val="00F019DB"/>
    <w:rsid w:val="00F01CFA"/>
    <w:rsid w:val="00F01EFB"/>
    <w:rsid w:val="00F01EFE"/>
    <w:rsid w:val="00F01F8E"/>
    <w:rsid w:val="00F02675"/>
    <w:rsid w:val="00F02691"/>
    <w:rsid w:val="00F02749"/>
    <w:rsid w:val="00F02751"/>
    <w:rsid w:val="00F0299D"/>
    <w:rsid w:val="00F029ED"/>
    <w:rsid w:val="00F02B10"/>
    <w:rsid w:val="00F02BC7"/>
    <w:rsid w:val="00F02ED6"/>
    <w:rsid w:val="00F032E7"/>
    <w:rsid w:val="00F033D8"/>
    <w:rsid w:val="00F035D1"/>
    <w:rsid w:val="00F0399D"/>
    <w:rsid w:val="00F03A05"/>
    <w:rsid w:val="00F03BF4"/>
    <w:rsid w:val="00F03FF5"/>
    <w:rsid w:val="00F044D1"/>
    <w:rsid w:val="00F04594"/>
    <w:rsid w:val="00F04D02"/>
    <w:rsid w:val="00F04DA1"/>
    <w:rsid w:val="00F04DB5"/>
    <w:rsid w:val="00F05176"/>
    <w:rsid w:val="00F052CD"/>
    <w:rsid w:val="00F05DA8"/>
    <w:rsid w:val="00F05FC9"/>
    <w:rsid w:val="00F062F5"/>
    <w:rsid w:val="00F063B9"/>
    <w:rsid w:val="00F065E0"/>
    <w:rsid w:val="00F067FC"/>
    <w:rsid w:val="00F068CD"/>
    <w:rsid w:val="00F06A27"/>
    <w:rsid w:val="00F06FDD"/>
    <w:rsid w:val="00F070A6"/>
    <w:rsid w:val="00F072B5"/>
    <w:rsid w:val="00F07533"/>
    <w:rsid w:val="00F07A74"/>
    <w:rsid w:val="00F1009C"/>
    <w:rsid w:val="00F10225"/>
    <w:rsid w:val="00F10BD7"/>
    <w:rsid w:val="00F10D05"/>
    <w:rsid w:val="00F1121A"/>
    <w:rsid w:val="00F1146C"/>
    <w:rsid w:val="00F117A3"/>
    <w:rsid w:val="00F11BBE"/>
    <w:rsid w:val="00F11BDD"/>
    <w:rsid w:val="00F120ED"/>
    <w:rsid w:val="00F12832"/>
    <w:rsid w:val="00F12878"/>
    <w:rsid w:val="00F12A69"/>
    <w:rsid w:val="00F12B91"/>
    <w:rsid w:val="00F12F44"/>
    <w:rsid w:val="00F1328D"/>
    <w:rsid w:val="00F13600"/>
    <w:rsid w:val="00F13AFB"/>
    <w:rsid w:val="00F13BDC"/>
    <w:rsid w:val="00F13C71"/>
    <w:rsid w:val="00F13DCF"/>
    <w:rsid w:val="00F13F6F"/>
    <w:rsid w:val="00F142BE"/>
    <w:rsid w:val="00F14331"/>
    <w:rsid w:val="00F146C4"/>
    <w:rsid w:val="00F146FF"/>
    <w:rsid w:val="00F1489F"/>
    <w:rsid w:val="00F14937"/>
    <w:rsid w:val="00F149AF"/>
    <w:rsid w:val="00F14C37"/>
    <w:rsid w:val="00F15337"/>
    <w:rsid w:val="00F1541A"/>
    <w:rsid w:val="00F15715"/>
    <w:rsid w:val="00F15B23"/>
    <w:rsid w:val="00F161EA"/>
    <w:rsid w:val="00F16585"/>
    <w:rsid w:val="00F1691D"/>
    <w:rsid w:val="00F16A31"/>
    <w:rsid w:val="00F16CBA"/>
    <w:rsid w:val="00F17096"/>
    <w:rsid w:val="00F17292"/>
    <w:rsid w:val="00F175DA"/>
    <w:rsid w:val="00F17CF6"/>
    <w:rsid w:val="00F2005E"/>
    <w:rsid w:val="00F204DA"/>
    <w:rsid w:val="00F20919"/>
    <w:rsid w:val="00F20B36"/>
    <w:rsid w:val="00F20DD5"/>
    <w:rsid w:val="00F20E9A"/>
    <w:rsid w:val="00F20F03"/>
    <w:rsid w:val="00F20F23"/>
    <w:rsid w:val="00F20FC8"/>
    <w:rsid w:val="00F2132A"/>
    <w:rsid w:val="00F21401"/>
    <w:rsid w:val="00F21C05"/>
    <w:rsid w:val="00F21F14"/>
    <w:rsid w:val="00F21FCC"/>
    <w:rsid w:val="00F2200C"/>
    <w:rsid w:val="00F220E1"/>
    <w:rsid w:val="00F22338"/>
    <w:rsid w:val="00F22376"/>
    <w:rsid w:val="00F223E3"/>
    <w:rsid w:val="00F225E1"/>
    <w:rsid w:val="00F227E7"/>
    <w:rsid w:val="00F22A15"/>
    <w:rsid w:val="00F22CC3"/>
    <w:rsid w:val="00F23306"/>
    <w:rsid w:val="00F233B1"/>
    <w:rsid w:val="00F23596"/>
    <w:rsid w:val="00F23B46"/>
    <w:rsid w:val="00F23DC8"/>
    <w:rsid w:val="00F2417A"/>
    <w:rsid w:val="00F24278"/>
    <w:rsid w:val="00F2477B"/>
    <w:rsid w:val="00F247FC"/>
    <w:rsid w:val="00F24A03"/>
    <w:rsid w:val="00F25150"/>
    <w:rsid w:val="00F25217"/>
    <w:rsid w:val="00F25388"/>
    <w:rsid w:val="00F253AC"/>
    <w:rsid w:val="00F2548D"/>
    <w:rsid w:val="00F25711"/>
    <w:rsid w:val="00F25B3D"/>
    <w:rsid w:val="00F25FF0"/>
    <w:rsid w:val="00F264F0"/>
    <w:rsid w:val="00F265B2"/>
    <w:rsid w:val="00F26A73"/>
    <w:rsid w:val="00F2713A"/>
    <w:rsid w:val="00F27268"/>
    <w:rsid w:val="00F273EB"/>
    <w:rsid w:val="00F276B2"/>
    <w:rsid w:val="00F278C8"/>
    <w:rsid w:val="00F27BEA"/>
    <w:rsid w:val="00F27D6B"/>
    <w:rsid w:val="00F27F68"/>
    <w:rsid w:val="00F30204"/>
    <w:rsid w:val="00F30415"/>
    <w:rsid w:val="00F3082D"/>
    <w:rsid w:val="00F30C0B"/>
    <w:rsid w:val="00F30DFC"/>
    <w:rsid w:val="00F30F4D"/>
    <w:rsid w:val="00F31630"/>
    <w:rsid w:val="00F3169B"/>
    <w:rsid w:val="00F31A95"/>
    <w:rsid w:val="00F31B4B"/>
    <w:rsid w:val="00F321DD"/>
    <w:rsid w:val="00F3244A"/>
    <w:rsid w:val="00F3278B"/>
    <w:rsid w:val="00F33189"/>
    <w:rsid w:val="00F335BE"/>
    <w:rsid w:val="00F337C7"/>
    <w:rsid w:val="00F33999"/>
    <w:rsid w:val="00F33B71"/>
    <w:rsid w:val="00F33E60"/>
    <w:rsid w:val="00F34544"/>
    <w:rsid w:val="00F345CA"/>
    <w:rsid w:val="00F3486D"/>
    <w:rsid w:val="00F34D7C"/>
    <w:rsid w:val="00F34DD0"/>
    <w:rsid w:val="00F354C3"/>
    <w:rsid w:val="00F35A5D"/>
    <w:rsid w:val="00F35A83"/>
    <w:rsid w:val="00F35B85"/>
    <w:rsid w:val="00F35E95"/>
    <w:rsid w:val="00F3602C"/>
    <w:rsid w:val="00F36091"/>
    <w:rsid w:val="00F36478"/>
    <w:rsid w:val="00F36A6B"/>
    <w:rsid w:val="00F36BA7"/>
    <w:rsid w:val="00F36F0A"/>
    <w:rsid w:val="00F36FDC"/>
    <w:rsid w:val="00F3709A"/>
    <w:rsid w:val="00F3717F"/>
    <w:rsid w:val="00F37F1D"/>
    <w:rsid w:val="00F37FEF"/>
    <w:rsid w:val="00F4037F"/>
    <w:rsid w:val="00F41817"/>
    <w:rsid w:val="00F4201A"/>
    <w:rsid w:val="00F4214B"/>
    <w:rsid w:val="00F4277E"/>
    <w:rsid w:val="00F42877"/>
    <w:rsid w:val="00F42A2D"/>
    <w:rsid w:val="00F42CAE"/>
    <w:rsid w:val="00F43048"/>
    <w:rsid w:val="00F43123"/>
    <w:rsid w:val="00F4330C"/>
    <w:rsid w:val="00F438FE"/>
    <w:rsid w:val="00F43ED8"/>
    <w:rsid w:val="00F44685"/>
    <w:rsid w:val="00F44782"/>
    <w:rsid w:val="00F4478D"/>
    <w:rsid w:val="00F448B4"/>
    <w:rsid w:val="00F458F8"/>
    <w:rsid w:val="00F45AD5"/>
    <w:rsid w:val="00F45C79"/>
    <w:rsid w:val="00F461C5"/>
    <w:rsid w:val="00F464A2"/>
    <w:rsid w:val="00F466AA"/>
    <w:rsid w:val="00F466C1"/>
    <w:rsid w:val="00F4681B"/>
    <w:rsid w:val="00F46971"/>
    <w:rsid w:val="00F46A04"/>
    <w:rsid w:val="00F46BEB"/>
    <w:rsid w:val="00F46DE0"/>
    <w:rsid w:val="00F4722B"/>
    <w:rsid w:val="00F47471"/>
    <w:rsid w:val="00F475EF"/>
    <w:rsid w:val="00F47627"/>
    <w:rsid w:val="00F47897"/>
    <w:rsid w:val="00F47ACB"/>
    <w:rsid w:val="00F47CC9"/>
    <w:rsid w:val="00F47F79"/>
    <w:rsid w:val="00F502C4"/>
    <w:rsid w:val="00F5092A"/>
    <w:rsid w:val="00F50F5F"/>
    <w:rsid w:val="00F515AB"/>
    <w:rsid w:val="00F519E4"/>
    <w:rsid w:val="00F51A16"/>
    <w:rsid w:val="00F51AE6"/>
    <w:rsid w:val="00F51C98"/>
    <w:rsid w:val="00F52493"/>
    <w:rsid w:val="00F5251E"/>
    <w:rsid w:val="00F52B7A"/>
    <w:rsid w:val="00F52C8C"/>
    <w:rsid w:val="00F52D7F"/>
    <w:rsid w:val="00F52E59"/>
    <w:rsid w:val="00F531CA"/>
    <w:rsid w:val="00F532DA"/>
    <w:rsid w:val="00F5347F"/>
    <w:rsid w:val="00F53B06"/>
    <w:rsid w:val="00F53B7B"/>
    <w:rsid w:val="00F53D01"/>
    <w:rsid w:val="00F54B41"/>
    <w:rsid w:val="00F551E4"/>
    <w:rsid w:val="00F553DE"/>
    <w:rsid w:val="00F55549"/>
    <w:rsid w:val="00F55800"/>
    <w:rsid w:val="00F55A89"/>
    <w:rsid w:val="00F55CFD"/>
    <w:rsid w:val="00F56A85"/>
    <w:rsid w:val="00F56B8E"/>
    <w:rsid w:val="00F56E3F"/>
    <w:rsid w:val="00F57885"/>
    <w:rsid w:val="00F579C5"/>
    <w:rsid w:val="00F57A65"/>
    <w:rsid w:val="00F57DD7"/>
    <w:rsid w:val="00F57ECC"/>
    <w:rsid w:val="00F57F80"/>
    <w:rsid w:val="00F6005F"/>
    <w:rsid w:val="00F60468"/>
    <w:rsid w:val="00F606A5"/>
    <w:rsid w:val="00F608DE"/>
    <w:rsid w:val="00F60E64"/>
    <w:rsid w:val="00F61144"/>
    <w:rsid w:val="00F61165"/>
    <w:rsid w:val="00F612FC"/>
    <w:rsid w:val="00F61783"/>
    <w:rsid w:val="00F617C2"/>
    <w:rsid w:val="00F61827"/>
    <w:rsid w:val="00F61897"/>
    <w:rsid w:val="00F61A95"/>
    <w:rsid w:val="00F61CD5"/>
    <w:rsid w:val="00F620B5"/>
    <w:rsid w:val="00F622CD"/>
    <w:rsid w:val="00F62740"/>
    <w:rsid w:val="00F627DC"/>
    <w:rsid w:val="00F62A3C"/>
    <w:rsid w:val="00F62ACA"/>
    <w:rsid w:val="00F62C5D"/>
    <w:rsid w:val="00F63740"/>
    <w:rsid w:val="00F639E1"/>
    <w:rsid w:val="00F63B92"/>
    <w:rsid w:val="00F64720"/>
    <w:rsid w:val="00F64B95"/>
    <w:rsid w:val="00F64F82"/>
    <w:rsid w:val="00F653C1"/>
    <w:rsid w:val="00F6636A"/>
    <w:rsid w:val="00F66444"/>
    <w:rsid w:val="00F6646B"/>
    <w:rsid w:val="00F664FF"/>
    <w:rsid w:val="00F6657E"/>
    <w:rsid w:val="00F66969"/>
    <w:rsid w:val="00F66C1A"/>
    <w:rsid w:val="00F672BB"/>
    <w:rsid w:val="00F67410"/>
    <w:rsid w:val="00F6758B"/>
    <w:rsid w:val="00F6790C"/>
    <w:rsid w:val="00F70235"/>
    <w:rsid w:val="00F7024D"/>
    <w:rsid w:val="00F7039F"/>
    <w:rsid w:val="00F704C2"/>
    <w:rsid w:val="00F70C9D"/>
    <w:rsid w:val="00F71327"/>
    <w:rsid w:val="00F71370"/>
    <w:rsid w:val="00F714FB"/>
    <w:rsid w:val="00F71EA2"/>
    <w:rsid w:val="00F7216D"/>
    <w:rsid w:val="00F7222A"/>
    <w:rsid w:val="00F72282"/>
    <w:rsid w:val="00F72633"/>
    <w:rsid w:val="00F72662"/>
    <w:rsid w:val="00F7299D"/>
    <w:rsid w:val="00F72C8F"/>
    <w:rsid w:val="00F72D3B"/>
    <w:rsid w:val="00F73199"/>
    <w:rsid w:val="00F7334F"/>
    <w:rsid w:val="00F736A2"/>
    <w:rsid w:val="00F737E8"/>
    <w:rsid w:val="00F73B03"/>
    <w:rsid w:val="00F74070"/>
    <w:rsid w:val="00F7465C"/>
    <w:rsid w:val="00F747F2"/>
    <w:rsid w:val="00F74911"/>
    <w:rsid w:val="00F74AED"/>
    <w:rsid w:val="00F74C60"/>
    <w:rsid w:val="00F74D2E"/>
    <w:rsid w:val="00F74ED0"/>
    <w:rsid w:val="00F7525F"/>
    <w:rsid w:val="00F756B5"/>
    <w:rsid w:val="00F756F9"/>
    <w:rsid w:val="00F7590D"/>
    <w:rsid w:val="00F759D7"/>
    <w:rsid w:val="00F75AA6"/>
    <w:rsid w:val="00F75E03"/>
    <w:rsid w:val="00F75FC8"/>
    <w:rsid w:val="00F76F79"/>
    <w:rsid w:val="00F76F86"/>
    <w:rsid w:val="00F7708C"/>
    <w:rsid w:val="00F77101"/>
    <w:rsid w:val="00F774AE"/>
    <w:rsid w:val="00F774B4"/>
    <w:rsid w:val="00F775D5"/>
    <w:rsid w:val="00F77972"/>
    <w:rsid w:val="00F77FCD"/>
    <w:rsid w:val="00F80202"/>
    <w:rsid w:val="00F80339"/>
    <w:rsid w:val="00F8048A"/>
    <w:rsid w:val="00F80491"/>
    <w:rsid w:val="00F80BE3"/>
    <w:rsid w:val="00F80CDD"/>
    <w:rsid w:val="00F8108A"/>
    <w:rsid w:val="00F81321"/>
    <w:rsid w:val="00F81AA7"/>
    <w:rsid w:val="00F81EEF"/>
    <w:rsid w:val="00F81FA1"/>
    <w:rsid w:val="00F82018"/>
    <w:rsid w:val="00F8202E"/>
    <w:rsid w:val="00F821F6"/>
    <w:rsid w:val="00F82459"/>
    <w:rsid w:val="00F824C1"/>
    <w:rsid w:val="00F825BB"/>
    <w:rsid w:val="00F82D4C"/>
    <w:rsid w:val="00F82ECE"/>
    <w:rsid w:val="00F832AA"/>
    <w:rsid w:val="00F83336"/>
    <w:rsid w:val="00F836CA"/>
    <w:rsid w:val="00F836E2"/>
    <w:rsid w:val="00F83896"/>
    <w:rsid w:val="00F838DD"/>
    <w:rsid w:val="00F83911"/>
    <w:rsid w:val="00F839F8"/>
    <w:rsid w:val="00F83E60"/>
    <w:rsid w:val="00F83EDC"/>
    <w:rsid w:val="00F83F7A"/>
    <w:rsid w:val="00F8410A"/>
    <w:rsid w:val="00F8440C"/>
    <w:rsid w:val="00F844B7"/>
    <w:rsid w:val="00F84598"/>
    <w:rsid w:val="00F846AD"/>
    <w:rsid w:val="00F847F2"/>
    <w:rsid w:val="00F84991"/>
    <w:rsid w:val="00F84A54"/>
    <w:rsid w:val="00F84DBD"/>
    <w:rsid w:val="00F85067"/>
    <w:rsid w:val="00F854DE"/>
    <w:rsid w:val="00F857DE"/>
    <w:rsid w:val="00F85A63"/>
    <w:rsid w:val="00F85DF6"/>
    <w:rsid w:val="00F8634C"/>
    <w:rsid w:val="00F86465"/>
    <w:rsid w:val="00F864D1"/>
    <w:rsid w:val="00F86746"/>
    <w:rsid w:val="00F86AA0"/>
    <w:rsid w:val="00F87023"/>
    <w:rsid w:val="00F87027"/>
    <w:rsid w:val="00F8738F"/>
    <w:rsid w:val="00F87615"/>
    <w:rsid w:val="00F878D6"/>
    <w:rsid w:val="00F87962"/>
    <w:rsid w:val="00F87D80"/>
    <w:rsid w:val="00F87E06"/>
    <w:rsid w:val="00F900AC"/>
    <w:rsid w:val="00F9032C"/>
    <w:rsid w:val="00F904ED"/>
    <w:rsid w:val="00F9066E"/>
    <w:rsid w:val="00F9101D"/>
    <w:rsid w:val="00F91625"/>
    <w:rsid w:val="00F91639"/>
    <w:rsid w:val="00F91711"/>
    <w:rsid w:val="00F91831"/>
    <w:rsid w:val="00F91A92"/>
    <w:rsid w:val="00F91EEB"/>
    <w:rsid w:val="00F92098"/>
    <w:rsid w:val="00F92188"/>
    <w:rsid w:val="00F923D6"/>
    <w:rsid w:val="00F924C3"/>
    <w:rsid w:val="00F925FC"/>
    <w:rsid w:val="00F932E8"/>
    <w:rsid w:val="00F93398"/>
    <w:rsid w:val="00F938F8"/>
    <w:rsid w:val="00F93971"/>
    <w:rsid w:val="00F939A8"/>
    <w:rsid w:val="00F93B07"/>
    <w:rsid w:val="00F93D17"/>
    <w:rsid w:val="00F94978"/>
    <w:rsid w:val="00F94F1B"/>
    <w:rsid w:val="00F95021"/>
    <w:rsid w:val="00F951D4"/>
    <w:rsid w:val="00F95233"/>
    <w:rsid w:val="00F95252"/>
    <w:rsid w:val="00F95264"/>
    <w:rsid w:val="00F95872"/>
    <w:rsid w:val="00F95B8E"/>
    <w:rsid w:val="00F95C07"/>
    <w:rsid w:val="00F95F8E"/>
    <w:rsid w:val="00F9661D"/>
    <w:rsid w:val="00F97139"/>
    <w:rsid w:val="00F973C0"/>
    <w:rsid w:val="00F97415"/>
    <w:rsid w:val="00F97665"/>
    <w:rsid w:val="00F97AC7"/>
    <w:rsid w:val="00F97B0E"/>
    <w:rsid w:val="00F97C5D"/>
    <w:rsid w:val="00F97CD9"/>
    <w:rsid w:val="00F97D34"/>
    <w:rsid w:val="00FA054F"/>
    <w:rsid w:val="00FA056E"/>
    <w:rsid w:val="00FA05E0"/>
    <w:rsid w:val="00FA0D12"/>
    <w:rsid w:val="00FA0F61"/>
    <w:rsid w:val="00FA0FE2"/>
    <w:rsid w:val="00FA11EE"/>
    <w:rsid w:val="00FA12E5"/>
    <w:rsid w:val="00FA1D50"/>
    <w:rsid w:val="00FA1EC2"/>
    <w:rsid w:val="00FA2144"/>
    <w:rsid w:val="00FA2339"/>
    <w:rsid w:val="00FA26A0"/>
    <w:rsid w:val="00FA2BA8"/>
    <w:rsid w:val="00FA2F39"/>
    <w:rsid w:val="00FA322C"/>
    <w:rsid w:val="00FA327E"/>
    <w:rsid w:val="00FA3364"/>
    <w:rsid w:val="00FA39B4"/>
    <w:rsid w:val="00FA3B84"/>
    <w:rsid w:val="00FA3E8F"/>
    <w:rsid w:val="00FA428D"/>
    <w:rsid w:val="00FA42E1"/>
    <w:rsid w:val="00FA4A5A"/>
    <w:rsid w:val="00FA4B1D"/>
    <w:rsid w:val="00FA5037"/>
    <w:rsid w:val="00FA560C"/>
    <w:rsid w:val="00FA5A51"/>
    <w:rsid w:val="00FA5F53"/>
    <w:rsid w:val="00FA6410"/>
    <w:rsid w:val="00FA685E"/>
    <w:rsid w:val="00FA694B"/>
    <w:rsid w:val="00FA6ACE"/>
    <w:rsid w:val="00FA6DAB"/>
    <w:rsid w:val="00FA719D"/>
    <w:rsid w:val="00FA7299"/>
    <w:rsid w:val="00FA7A91"/>
    <w:rsid w:val="00FA7B39"/>
    <w:rsid w:val="00FB01DE"/>
    <w:rsid w:val="00FB022E"/>
    <w:rsid w:val="00FB08FA"/>
    <w:rsid w:val="00FB1676"/>
    <w:rsid w:val="00FB18CD"/>
    <w:rsid w:val="00FB193A"/>
    <w:rsid w:val="00FB1C56"/>
    <w:rsid w:val="00FB1C60"/>
    <w:rsid w:val="00FB1D43"/>
    <w:rsid w:val="00FB2061"/>
    <w:rsid w:val="00FB219C"/>
    <w:rsid w:val="00FB22AF"/>
    <w:rsid w:val="00FB2485"/>
    <w:rsid w:val="00FB262E"/>
    <w:rsid w:val="00FB265B"/>
    <w:rsid w:val="00FB27C9"/>
    <w:rsid w:val="00FB286C"/>
    <w:rsid w:val="00FB2BC9"/>
    <w:rsid w:val="00FB2C79"/>
    <w:rsid w:val="00FB30C0"/>
    <w:rsid w:val="00FB3207"/>
    <w:rsid w:val="00FB33BC"/>
    <w:rsid w:val="00FB374B"/>
    <w:rsid w:val="00FB37DF"/>
    <w:rsid w:val="00FB3836"/>
    <w:rsid w:val="00FB3947"/>
    <w:rsid w:val="00FB3960"/>
    <w:rsid w:val="00FB3CB9"/>
    <w:rsid w:val="00FB424C"/>
    <w:rsid w:val="00FB480B"/>
    <w:rsid w:val="00FB4943"/>
    <w:rsid w:val="00FB4A3E"/>
    <w:rsid w:val="00FB4A85"/>
    <w:rsid w:val="00FB4AE3"/>
    <w:rsid w:val="00FB4F0D"/>
    <w:rsid w:val="00FB4F16"/>
    <w:rsid w:val="00FB5346"/>
    <w:rsid w:val="00FB5543"/>
    <w:rsid w:val="00FB6117"/>
    <w:rsid w:val="00FB64AD"/>
    <w:rsid w:val="00FB678F"/>
    <w:rsid w:val="00FB6B9D"/>
    <w:rsid w:val="00FB6D18"/>
    <w:rsid w:val="00FB6D26"/>
    <w:rsid w:val="00FB6DDD"/>
    <w:rsid w:val="00FB6FA9"/>
    <w:rsid w:val="00FB730B"/>
    <w:rsid w:val="00FB7360"/>
    <w:rsid w:val="00FB76A5"/>
    <w:rsid w:val="00FB787C"/>
    <w:rsid w:val="00FB7B13"/>
    <w:rsid w:val="00FC0185"/>
    <w:rsid w:val="00FC022D"/>
    <w:rsid w:val="00FC02F3"/>
    <w:rsid w:val="00FC07D1"/>
    <w:rsid w:val="00FC0820"/>
    <w:rsid w:val="00FC0A5F"/>
    <w:rsid w:val="00FC0A94"/>
    <w:rsid w:val="00FC0FA5"/>
    <w:rsid w:val="00FC10A8"/>
    <w:rsid w:val="00FC1281"/>
    <w:rsid w:val="00FC12F6"/>
    <w:rsid w:val="00FC1416"/>
    <w:rsid w:val="00FC148F"/>
    <w:rsid w:val="00FC14A9"/>
    <w:rsid w:val="00FC1661"/>
    <w:rsid w:val="00FC177A"/>
    <w:rsid w:val="00FC1829"/>
    <w:rsid w:val="00FC1836"/>
    <w:rsid w:val="00FC1EE9"/>
    <w:rsid w:val="00FC2240"/>
    <w:rsid w:val="00FC2284"/>
    <w:rsid w:val="00FC241F"/>
    <w:rsid w:val="00FC247F"/>
    <w:rsid w:val="00FC2B4D"/>
    <w:rsid w:val="00FC2D27"/>
    <w:rsid w:val="00FC3200"/>
    <w:rsid w:val="00FC3312"/>
    <w:rsid w:val="00FC3364"/>
    <w:rsid w:val="00FC4BC1"/>
    <w:rsid w:val="00FC4CD0"/>
    <w:rsid w:val="00FC4E01"/>
    <w:rsid w:val="00FC4E28"/>
    <w:rsid w:val="00FC4E42"/>
    <w:rsid w:val="00FC5049"/>
    <w:rsid w:val="00FC5446"/>
    <w:rsid w:val="00FC5541"/>
    <w:rsid w:val="00FC5585"/>
    <w:rsid w:val="00FC5CB5"/>
    <w:rsid w:val="00FC6229"/>
    <w:rsid w:val="00FC6297"/>
    <w:rsid w:val="00FC6357"/>
    <w:rsid w:val="00FC6369"/>
    <w:rsid w:val="00FC6381"/>
    <w:rsid w:val="00FC69AE"/>
    <w:rsid w:val="00FC6C08"/>
    <w:rsid w:val="00FC6C96"/>
    <w:rsid w:val="00FC6E9B"/>
    <w:rsid w:val="00FC7145"/>
    <w:rsid w:val="00FC77F2"/>
    <w:rsid w:val="00FC796D"/>
    <w:rsid w:val="00FC79C8"/>
    <w:rsid w:val="00FC7AC6"/>
    <w:rsid w:val="00FC7E2F"/>
    <w:rsid w:val="00FC7F37"/>
    <w:rsid w:val="00FD06C1"/>
    <w:rsid w:val="00FD0BEB"/>
    <w:rsid w:val="00FD1225"/>
    <w:rsid w:val="00FD16A0"/>
    <w:rsid w:val="00FD19E9"/>
    <w:rsid w:val="00FD1B8B"/>
    <w:rsid w:val="00FD1D93"/>
    <w:rsid w:val="00FD20C1"/>
    <w:rsid w:val="00FD24AC"/>
    <w:rsid w:val="00FD2887"/>
    <w:rsid w:val="00FD2A6B"/>
    <w:rsid w:val="00FD2D65"/>
    <w:rsid w:val="00FD2EC8"/>
    <w:rsid w:val="00FD30BD"/>
    <w:rsid w:val="00FD314E"/>
    <w:rsid w:val="00FD363A"/>
    <w:rsid w:val="00FD37C1"/>
    <w:rsid w:val="00FD3DCE"/>
    <w:rsid w:val="00FD4250"/>
    <w:rsid w:val="00FD4264"/>
    <w:rsid w:val="00FD44C5"/>
    <w:rsid w:val="00FD4766"/>
    <w:rsid w:val="00FD4801"/>
    <w:rsid w:val="00FD4B3E"/>
    <w:rsid w:val="00FD54C3"/>
    <w:rsid w:val="00FD576C"/>
    <w:rsid w:val="00FD5CD4"/>
    <w:rsid w:val="00FD5FE8"/>
    <w:rsid w:val="00FD634F"/>
    <w:rsid w:val="00FD652F"/>
    <w:rsid w:val="00FD6792"/>
    <w:rsid w:val="00FD696A"/>
    <w:rsid w:val="00FD6BD7"/>
    <w:rsid w:val="00FD6CE3"/>
    <w:rsid w:val="00FD7397"/>
    <w:rsid w:val="00FD7698"/>
    <w:rsid w:val="00FD7BDE"/>
    <w:rsid w:val="00FE04D3"/>
    <w:rsid w:val="00FE0BEE"/>
    <w:rsid w:val="00FE0C56"/>
    <w:rsid w:val="00FE10B5"/>
    <w:rsid w:val="00FE133E"/>
    <w:rsid w:val="00FE1E5A"/>
    <w:rsid w:val="00FE256A"/>
    <w:rsid w:val="00FE26AF"/>
    <w:rsid w:val="00FE2E9E"/>
    <w:rsid w:val="00FE384B"/>
    <w:rsid w:val="00FE3EF4"/>
    <w:rsid w:val="00FE41C6"/>
    <w:rsid w:val="00FE460A"/>
    <w:rsid w:val="00FE4763"/>
    <w:rsid w:val="00FE4A72"/>
    <w:rsid w:val="00FE4AF3"/>
    <w:rsid w:val="00FE4C45"/>
    <w:rsid w:val="00FE4E3F"/>
    <w:rsid w:val="00FE4F40"/>
    <w:rsid w:val="00FE503A"/>
    <w:rsid w:val="00FE50AE"/>
    <w:rsid w:val="00FE50D0"/>
    <w:rsid w:val="00FE52A6"/>
    <w:rsid w:val="00FE5506"/>
    <w:rsid w:val="00FE5687"/>
    <w:rsid w:val="00FE5756"/>
    <w:rsid w:val="00FE5977"/>
    <w:rsid w:val="00FE5ADF"/>
    <w:rsid w:val="00FE5C49"/>
    <w:rsid w:val="00FE5F92"/>
    <w:rsid w:val="00FE62EB"/>
    <w:rsid w:val="00FE66B9"/>
    <w:rsid w:val="00FE678C"/>
    <w:rsid w:val="00FE6839"/>
    <w:rsid w:val="00FE6880"/>
    <w:rsid w:val="00FE7441"/>
    <w:rsid w:val="00FE753E"/>
    <w:rsid w:val="00FE7551"/>
    <w:rsid w:val="00FE7572"/>
    <w:rsid w:val="00FE77FE"/>
    <w:rsid w:val="00FE7A9B"/>
    <w:rsid w:val="00FE7B36"/>
    <w:rsid w:val="00FE7ED0"/>
    <w:rsid w:val="00FF0072"/>
    <w:rsid w:val="00FF024D"/>
    <w:rsid w:val="00FF06CA"/>
    <w:rsid w:val="00FF071F"/>
    <w:rsid w:val="00FF087C"/>
    <w:rsid w:val="00FF0B0A"/>
    <w:rsid w:val="00FF0C3F"/>
    <w:rsid w:val="00FF0E7D"/>
    <w:rsid w:val="00FF1067"/>
    <w:rsid w:val="00FF16AB"/>
    <w:rsid w:val="00FF1A38"/>
    <w:rsid w:val="00FF1C8A"/>
    <w:rsid w:val="00FF1C92"/>
    <w:rsid w:val="00FF1CA6"/>
    <w:rsid w:val="00FF1E05"/>
    <w:rsid w:val="00FF1F2D"/>
    <w:rsid w:val="00FF1F9E"/>
    <w:rsid w:val="00FF23B9"/>
    <w:rsid w:val="00FF293A"/>
    <w:rsid w:val="00FF295A"/>
    <w:rsid w:val="00FF2C27"/>
    <w:rsid w:val="00FF2F64"/>
    <w:rsid w:val="00FF2FF9"/>
    <w:rsid w:val="00FF3423"/>
    <w:rsid w:val="00FF36F3"/>
    <w:rsid w:val="00FF3ACF"/>
    <w:rsid w:val="00FF3C3F"/>
    <w:rsid w:val="00FF3C7A"/>
    <w:rsid w:val="00FF41C2"/>
    <w:rsid w:val="00FF4651"/>
    <w:rsid w:val="00FF4E9D"/>
    <w:rsid w:val="00FF4FC9"/>
    <w:rsid w:val="00FF583E"/>
    <w:rsid w:val="00FF5AA8"/>
    <w:rsid w:val="00FF636E"/>
    <w:rsid w:val="00FF63AA"/>
    <w:rsid w:val="00FF65F9"/>
    <w:rsid w:val="00FF66E2"/>
    <w:rsid w:val="00FF67BA"/>
    <w:rsid w:val="00FF67E0"/>
    <w:rsid w:val="00FF6E56"/>
    <w:rsid w:val="00FF7505"/>
    <w:rsid w:val="00FF767F"/>
    <w:rsid w:val="00FF7819"/>
    <w:rsid w:val="00FF782B"/>
    <w:rsid w:val="00FF78CF"/>
    <w:rsid w:val="00FF7C89"/>
    <w:rsid w:val="00FF7CCE"/>
    <w:rsid w:val="00FF7F4A"/>
    <w:rsid w:val="04C2B375"/>
    <w:rsid w:val="07871957"/>
    <w:rsid w:val="098B37C5"/>
    <w:rsid w:val="0B6BCFC7"/>
    <w:rsid w:val="0F1A7917"/>
    <w:rsid w:val="1013BC73"/>
    <w:rsid w:val="10BCE8FA"/>
    <w:rsid w:val="1253364E"/>
    <w:rsid w:val="16FF6407"/>
    <w:rsid w:val="192FB83C"/>
    <w:rsid w:val="241291A4"/>
    <w:rsid w:val="2527D4B4"/>
    <w:rsid w:val="2BC0B32D"/>
    <w:rsid w:val="2CA6C383"/>
    <w:rsid w:val="2E290DBB"/>
    <w:rsid w:val="30A4CC16"/>
    <w:rsid w:val="34563333"/>
    <w:rsid w:val="370B77D6"/>
    <w:rsid w:val="38A2E776"/>
    <w:rsid w:val="3CCA99EA"/>
    <w:rsid w:val="3DE1FC85"/>
    <w:rsid w:val="3E4C3449"/>
    <w:rsid w:val="3F1E51CA"/>
    <w:rsid w:val="422374A0"/>
    <w:rsid w:val="46F8D25B"/>
    <w:rsid w:val="49401226"/>
    <w:rsid w:val="4ADCD942"/>
    <w:rsid w:val="54C52AE5"/>
    <w:rsid w:val="5AB27225"/>
    <w:rsid w:val="5DC3E254"/>
    <w:rsid w:val="5E6B58EF"/>
    <w:rsid w:val="64EED689"/>
    <w:rsid w:val="671CC56A"/>
    <w:rsid w:val="6C006AA7"/>
    <w:rsid w:val="6DD58E63"/>
    <w:rsid w:val="769FEC8E"/>
    <w:rsid w:val="79D86EA2"/>
    <w:rsid w:val="7B1A50F4"/>
    <w:rsid w:val="7B2ACDF7"/>
    <w:rsid w:val="7BAA180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725CB"/>
  <w15:chartTrackingRefBased/>
  <w15:docId w15:val="{E818611E-F545-480E-AC33-4D44EE73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BDC"/>
    <w:pPr>
      <w:ind w:left="720"/>
      <w:contextualSpacing/>
    </w:pPr>
  </w:style>
  <w:style w:type="character" w:styleId="CommentReference">
    <w:name w:val="annotation reference"/>
    <w:basedOn w:val="DefaultParagraphFont"/>
    <w:uiPriority w:val="99"/>
    <w:semiHidden/>
    <w:unhideWhenUsed/>
    <w:rsid w:val="00E17F04"/>
    <w:rPr>
      <w:sz w:val="16"/>
      <w:szCs w:val="16"/>
    </w:rPr>
  </w:style>
  <w:style w:type="paragraph" w:styleId="CommentText">
    <w:name w:val="annotation text"/>
    <w:basedOn w:val="Normal"/>
    <w:link w:val="CommentTextChar"/>
    <w:uiPriority w:val="99"/>
    <w:semiHidden/>
    <w:unhideWhenUsed/>
    <w:rsid w:val="00E17F04"/>
    <w:pPr>
      <w:spacing w:line="240" w:lineRule="auto"/>
    </w:pPr>
    <w:rPr>
      <w:sz w:val="20"/>
      <w:szCs w:val="25"/>
    </w:rPr>
  </w:style>
  <w:style w:type="character" w:customStyle="1" w:styleId="CommentTextChar">
    <w:name w:val="Comment Text Char"/>
    <w:basedOn w:val="DefaultParagraphFont"/>
    <w:link w:val="CommentText"/>
    <w:uiPriority w:val="99"/>
    <w:semiHidden/>
    <w:rsid w:val="00E17F04"/>
    <w:rPr>
      <w:sz w:val="20"/>
      <w:szCs w:val="25"/>
    </w:rPr>
  </w:style>
  <w:style w:type="paragraph" w:styleId="CommentSubject">
    <w:name w:val="annotation subject"/>
    <w:basedOn w:val="CommentText"/>
    <w:next w:val="CommentText"/>
    <w:link w:val="CommentSubjectChar"/>
    <w:uiPriority w:val="99"/>
    <w:semiHidden/>
    <w:unhideWhenUsed/>
    <w:rsid w:val="00E17F04"/>
    <w:rPr>
      <w:b/>
      <w:bCs/>
    </w:rPr>
  </w:style>
  <w:style w:type="character" w:customStyle="1" w:styleId="CommentSubjectChar">
    <w:name w:val="Comment Subject Char"/>
    <w:basedOn w:val="CommentTextChar"/>
    <w:link w:val="CommentSubject"/>
    <w:uiPriority w:val="99"/>
    <w:semiHidden/>
    <w:rsid w:val="00E17F04"/>
    <w:rPr>
      <w:b/>
      <w:bCs/>
      <w:sz w:val="20"/>
      <w:szCs w:val="25"/>
    </w:rPr>
  </w:style>
  <w:style w:type="paragraph" w:styleId="BalloonText">
    <w:name w:val="Balloon Text"/>
    <w:basedOn w:val="Normal"/>
    <w:link w:val="BalloonTextChar"/>
    <w:uiPriority w:val="99"/>
    <w:semiHidden/>
    <w:unhideWhenUsed/>
    <w:rsid w:val="00E17F04"/>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E17F04"/>
    <w:rPr>
      <w:rFonts w:ascii="Segoe UI" w:hAnsi="Segoe UI" w:cs="Angsana New"/>
      <w:sz w:val="18"/>
      <w:szCs w:val="22"/>
    </w:rPr>
  </w:style>
  <w:style w:type="character" w:styleId="Hyperlink">
    <w:name w:val="Hyperlink"/>
    <w:basedOn w:val="DefaultParagraphFont"/>
    <w:uiPriority w:val="99"/>
    <w:unhideWhenUsed/>
    <w:rsid w:val="007A4C65"/>
    <w:rPr>
      <w:color w:val="0000FF"/>
      <w:u w:val="single"/>
    </w:rPr>
  </w:style>
  <w:style w:type="character" w:styleId="LineNumber">
    <w:name w:val="line number"/>
    <w:basedOn w:val="DefaultParagraphFont"/>
    <w:uiPriority w:val="99"/>
    <w:semiHidden/>
    <w:unhideWhenUsed/>
    <w:rsid w:val="00DE41A5"/>
  </w:style>
  <w:style w:type="paragraph" w:styleId="FootnoteText">
    <w:name w:val="footnote text"/>
    <w:basedOn w:val="Normal"/>
    <w:link w:val="FootnoteTextChar"/>
    <w:uiPriority w:val="99"/>
    <w:semiHidden/>
    <w:unhideWhenUsed/>
    <w:rsid w:val="00AE66E2"/>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AE66E2"/>
    <w:rPr>
      <w:sz w:val="20"/>
      <w:szCs w:val="25"/>
    </w:rPr>
  </w:style>
  <w:style w:type="character" w:styleId="FootnoteReference">
    <w:name w:val="footnote reference"/>
    <w:basedOn w:val="DefaultParagraphFont"/>
    <w:uiPriority w:val="99"/>
    <w:semiHidden/>
    <w:unhideWhenUsed/>
    <w:rsid w:val="00AE66E2"/>
    <w:rPr>
      <w:vertAlign w:val="superscript"/>
    </w:rPr>
  </w:style>
  <w:style w:type="paragraph" w:styleId="Header">
    <w:name w:val="header"/>
    <w:basedOn w:val="Normal"/>
    <w:link w:val="HeaderChar"/>
    <w:uiPriority w:val="99"/>
    <w:unhideWhenUsed/>
    <w:rsid w:val="00197CC8"/>
    <w:pPr>
      <w:tabs>
        <w:tab w:val="center" w:pos="4703"/>
        <w:tab w:val="right" w:pos="9406"/>
      </w:tabs>
      <w:spacing w:after="0" w:line="240" w:lineRule="auto"/>
    </w:pPr>
  </w:style>
  <w:style w:type="character" w:customStyle="1" w:styleId="HeaderChar">
    <w:name w:val="Header Char"/>
    <w:basedOn w:val="DefaultParagraphFont"/>
    <w:link w:val="Header"/>
    <w:uiPriority w:val="99"/>
    <w:rsid w:val="00197CC8"/>
  </w:style>
  <w:style w:type="paragraph" w:styleId="Footer">
    <w:name w:val="footer"/>
    <w:basedOn w:val="Normal"/>
    <w:link w:val="FooterChar"/>
    <w:uiPriority w:val="99"/>
    <w:unhideWhenUsed/>
    <w:rsid w:val="00197CC8"/>
    <w:pPr>
      <w:tabs>
        <w:tab w:val="center" w:pos="4703"/>
        <w:tab w:val="right" w:pos="9406"/>
      </w:tabs>
      <w:spacing w:after="0" w:line="240" w:lineRule="auto"/>
    </w:pPr>
  </w:style>
  <w:style w:type="character" w:customStyle="1" w:styleId="FooterChar">
    <w:name w:val="Footer Char"/>
    <w:basedOn w:val="DefaultParagraphFont"/>
    <w:link w:val="Footer"/>
    <w:uiPriority w:val="99"/>
    <w:rsid w:val="00197CC8"/>
  </w:style>
  <w:style w:type="character" w:styleId="PlaceholderText">
    <w:name w:val="Placeholder Text"/>
    <w:basedOn w:val="DefaultParagraphFont"/>
    <w:uiPriority w:val="99"/>
    <w:semiHidden/>
    <w:rsid w:val="0008518F"/>
    <w:rPr>
      <w:color w:val="808080"/>
    </w:rPr>
  </w:style>
  <w:style w:type="table" w:styleId="TableGrid">
    <w:name w:val="Table Grid"/>
    <w:basedOn w:val="TableNormal"/>
    <w:uiPriority w:val="39"/>
    <w:rsid w:val="00FE0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E0B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CA240D"/>
    <w:pPr>
      <w:tabs>
        <w:tab w:val="left" w:pos="624"/>
      </w:tabs>
      <w:spacing w:after="0" w:line="240" w:lineRule="auto"/>
      <w:ind w:left="624" w:hanging="624"/>
    </w:pPr>
  </w:style>
  <w:style w:type="paragraph" w:styleId="NormalWeb">
    <w:name w:val="Normal (Web)"/>
    <w:basedOn w:val="Normal"/>
    <w:uiPriority w:val="99"/>
    <w:unhideWhenUsed/>
    <w:rsid w:val="00A4453D"/>
    <w:pPr>
      <w:spacing w:before="100" w:beforeAutospacing="1" w:after="100" w:afterAutospacing="1" w:line="240" w:lineRule="auto"/>
    </w:pPr>
    <w:rPr>
      <w:rFonts w:ascii="Times New Roman" w:eastAsiaTheme="minorEastAsia" w:hAnsi="Times New Roman" w:cs="Times New Roman"/>
      <w:sz w:val="24"/>
      <w:szCs w:val="24"/>
      <w:lang w:bidi="ar-SA"/>
    </w:rPr>
  </w:style>
  <w:style w:type="character" w:styleId="EndnoteReference">
    <w:name w:val="endnote reference"/>
    <w:basedOn w:val="DefaultParagraphFont"/>
    <w:uiPriority w:val="99"/>
    <w:semiHidden/>
    <w:unhideWhenUsed/>
    <w:rsid w:val="00C005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171075">
      <w:bodyDiv w:val="1"/>
      <w:marLeft w:val="0"/>
      <w:marRight w:val="0"/>
      <w:marTop w:val="0"/>
      <w:marBottom w:val="0"/>
      <w:divBdr>
        <w:top w:val="none" w:sz="0" w:space="0" w:color="auto"/>
        <w:left w:val="none" w:sz="0" w:space="0" w:color="auto"/>
        <w:bottom w:val="none" w:sz="0" w:space="0" w:color="auto"/>
        <w:right w:val="none" w:sz="0" w:space="0" w:color="auto"/>
      </w:divBdr>
    </w:div>
    <w:div w:id="206316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ungka@insa-toulouse.fr"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cambioscop.cnrs.fr" TargetMode="External"/><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A71B545EE7C843B6A32A3F7CF5BA28" ma:contentTypeVersion="9" ma:contentTypeDescription="Crée un document." ma:contentTypeScope="" ma:versionID="b794c6bd13e11f5d8835f4d0823d0251">
  <xsd:schema xmlns:xsd="http://www.w3.org/2001/XMLSchema" xmlns:xs="http://www.w3.org/2001/XMLSchema" xmlns:p="http://schemas.microsoft.com/office/2006/metadata/properties" xmlns:ns2="799abe25-6874-442f-970b-29f65054a707" targetNamespace="http://schemas.microsoft.com/office/2006/metadata/properties" ma:root="true" ma:fieldsID="2524dd274b891fef06da4a361173d391" ns2:_="">
    <xsd:import namespace="799abe25-6874-442f-970b-29f65054a7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abe25-6874-442f-970b-29f65054a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54FC4-15A5-4940-8CE0-56F78368C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abe25-6874-442f-970b-29f65054a7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B9A38-C53C-4F51-A94A-6E7BC54A89DA}">
  <ds:schemaRefs>
    <ds:schemaRef ds:uri="http://schemas.microsoft.com/sharepoint/v3/contenttype/forms"/>
  </ds:schemaRefs>
</ds:datastoreItem>
</file>

<file path=customXml/itemProps3.xml><?xml version="1.0" encoding="utf-8"?>
<ds:datastoreItem xmlns:ds="http://schemas.openxmlformats.org/officeDocument/2006/customXml" ds:itemID="{C9EA6CA7-C9C8-4416-A74E-B517D446CD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9FEF59-FA61-4048-A42C-00F622DB5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49</Pages>
  <Words>187384</Words>
  <Characters>1068089</Characters>
  <Application>Microsoft Office Word</Application>
  <DocSecurity>0</DocSecurity>
  <Lines>8900</Lines>
  <Paragraphs>2505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Pimchanok Su-ungkavatin</dc:creator>
  <cp:keywords/>
  <dc:description/>
  <cp:lastModifiedBy>Pimchanok Su-ungkavatin</cp:lastModifiedBy>
  <cp:revision>70</cp:revision>
  <dcterms:created xsi:type="dcterms:W3CDTF">2021-06-29T09:09:00Z</dcterms:created>
  <dcterms:modified xsi:type="dcterms:W3CDTF">2021-06-30T08:41:00Z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http://www.zotero.org/styles/progress-in-energy-and-combustion-science</vt:lpwstr>
  </property>
  <property fmtid="{D5CDD505-2E9C-101B-9397-08002B2CF9AE}" pid="4" name="Mendeley Unique User Id_1">
    <vt:lpwstr>659696b6-31df-3e39-a055-f2c581a896df</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http://www.zotero.org/styles/energy-and-environmental-science</vt:lpwstr>
  </property>
  <property fmtid="{D5CDD505-2E9C-101B-9397-08002B2CF9AE}" pid="16" name="Mendeley Recent Style Name 5_1">
    <vt:lpwstr>Energy &amp; Environmental Science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http://www.zotero.org/styles/journal-of-environmental-management</vt:lpwstr>
  </property>
  <property fmtid="{D5CDD505-2E9C-101B-9397-08002B2CF9AE}" pid="20" name="Mendeley Recent Style Name 7_1">
    <vt:lpwstr>Journal of Environmental Management</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http://www.zotero.org/styles/progress-in-energy-and-combustion-science</vt:lpwstr>
  </property>
  <property fmtid="{D5CDD505-2E9C-101B-9397-08002B2CF9AE}" pid="24" name="Mendeley Recent Style Name 9_1">
    <vt:lpwstr>Progress in Energy and Combustion Science</vt:lpwstr>
  </property>
  <property fmtid="{D5CDD505-2E9C-101B-9397-08002B2CF9AE}" pid="25" name="ZOTERO_PREF_1">
    <vt:lpwstr>&lt;data data-version="3" zotero-version="5.0.96.2"&gt;&lt;session id="968HXJ10"/&gt;&lt;style id="http://www.zotero.org/styles/progress-in-energy-and-combustion-science" hasBibliography="1" bibliographyStyleHasBeenSet="1"/&gt;&lt;prefs&gt;&lt;pref name="fieldType" value="Field"/&gt;&lt;</vt:lpwstr>
  </property>
  <property fmtid="{D5CDD505-2E9C-101B-9397-08002B2CF9AE}" pid="26" name="ZOTERO_PREF_2">
    <vt:lpwstr>pref name="dontAskDelayCitationUpdates" value="true"/&gt;&lt;/prefs&gt;&lt;/data&gt;</vt:lpwstr>
  </property>
  <property fmtid="{D5CDD505-2E9C-101B-9397-08002B2CF9AE}" pid="27" name="ContentTypeId">
    <vt:lpwstr>0x01010050A71B545EE7C843B6A32A3F7CF5BA28</vt:lpwstr>
  </property>
</Properties>
</file>