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48B1F" w14:textId="0D263637" w:rsidR="00CF5AE2" w:rsidRDefault="00254A56">
      <w:pPr>
        <w:jc w:val="both"/>
        <w:rPr>
          <w:rFonts w:ascii="Times New Roman" w:eastAsia="Times New Roman" w:hAnsi="Times New Roman" w:cs="Times New Roman"/>
          <w:b/>
          <w:bCs/>
          <w:color w:val="000000" w:themeColor="text1"/>
          <w:sz w:val="40"/>
          <w:szCs w:val="40"/>
        </w:rPr>
      </w:pPr>
      <w:r>
        <w:rPr>
          <w:rFonts w:ascii="Times New Roman" w:eastAsia="Times New Roman" w:hAnsi="Times New Roman" w:cs="Times New Roman"/>
          <w:b/>
          <w:bCs/>
          <w:color w:val="000000" w:themeColor="text1"/>
          <w:sz w:val="40"/>
          <w:szCs w:val="40"/>
        </w:rPr>
        <w:t>Validation of drinking water distribution monitoring schemes including water demand variability and minimum detectable concentrations</w:t>
      </w:r>
    </w:p>
    <w:p w14:paraId="1767F2EF" w14:textId="77777777" w:rsidR="00254A56" w:rsidRDefault="00254A56">
      <w:pPr>
        <w:jc w:val="both"/>
        <w:rPr>
          <w:rFonts w:ascii="Times New Roman" w:hAnsi="Times New Roman"/>
        </w:rPr>
      </w:pPr>
    </w:p>
    <w:p w14:paraId="7EC9F974" w14:textId="77777777" w:rsidR="00CF5AE2" w:rsidRDefault="009278B3">
      <w:pPr>
        <w:jc w:val="center"/>
        <w:rPr>
          <w:rFonts w:ascii="Times New Roman" w:hAnsi="Times New Roman" w:cs="Times New Roman"/>
          <w:sz w:val="32"/>
          <w:szCs w:val="32"/>
        </w:rPr>
      </w:pPr>
      <w:r>
        <w:rPr>
          <w:rFonts w:ascii="Times New Roman" w:hAnsi="Times New Roman" w:cs="Times New Roman"/>
          <w:sz w:val="32"/>
          <w:szCs w:val="32"/>
        </w:rPr>
        <w:t>Supplementary materials</w:t>
      </w:r>
    </w:p>
    <w:p w14:paraId="2573C523" w14:textId="560A996A" w:rsidR="00CF5AE2" w:rsidRDefault="009278B3">
      <w:pPr>
        <w:jc w:val="center"/>
        <w:rPr>
          <w:rFonts w:ascii="Times New Roman" w:hAnsi="Times New Roman" w:cs="Times New Roman"/>
          <w:sz w:val="32"/>
          <w:szCs w:val="32"/>
        </w:rPr>
      </w:pPr>
      <w:r>
        <w:rPr>
          <w:rFonts w:ascii="Times New Roman" w:hAnsi="Times New Roman" w:cs="Times New Roman"/>
          <w:sz w:val="32"/>
          <w:szCs w:val="32"/>
        </w:rPr>
        <w:t xml:space="preserve">Number of pages: </w:t>
      </w:r>
      <w:r w:rsidR="00254A56">
        <w:rPr>
          <w:rFonts w:ascii="Times New Roman" w:hAnsi="Times New Roman" w:cs="Times New Roman"/>
          <w:color w:val="000000"/>
          <w:sz w:val="32"/>
          <w:szCs w:val="32"/>
        </w:rPr>
        <w:t>6</w:t>
      </w:r>
      <w:r>
        <w:rPr>
          <w:rFonts w:ascii="Times New Roman" w:hAnsi="Times New Roman" w:cs="Times New Roman"/>
          <w:sz w:val="32"/>
          <w:szCs w:val="32"/>
        </w:rPr>
        <w:t>; number of tables</w:t>
      </w:r>
      <w:r w:rsidRPr="00254A56">
        <w:rPr>
          <w:rFonts w:ascii="Times New Roman" w:hAnsi="Times New Roman" w:cs="Times New Roman"/>
          <w:sz w:val="32"/>
          <w:szCs w:val="32"/>
        </w:rPr>
        <w:t xml:space="preserve">: </w:t>
      </w:r>
      <w:r w:rsidRPr="00254A56">
        <w:rPr>
          <w:rFonts w:ascii="Times New Roman" w:hAnsi="Times New Roman" w:cs="Times New Roman"/>
          <w:color w:val="000000"/>
          <w:sz w:val="32"/>
          <w:szCs w:val="32"/>
        </w:rPr>
        <w:t>2</w:t>
      </w:r>
      <w:r>
        <w:rPr>
          <w:rFonts w:ascii="Times New Roman" w:hAnsi="Times New Roman" w:cs="Times New Roman"/>
          <w:sz w:val="32"/>
          <w:szCs w:val="32"/>
        </w:rPr>
        <w:t>; number of figures</w:t>
      </w:r>
      <w:r w:rsidRPr="00254A56">
        <w:rPr>
          <w:rFonts w:ascii="Times New Roman" w:hAnsi="Times New Roman" w:cs="Times New Roman"/>
          <w:sz w:val="32"/>
          <w:szCs w:val="32"/>
        </w:rPr>
        <w:t xml:space="preserve">: </w:t>
      </w:r>
      <w:r w:rsidRPr="00254A56">
        <w:rPr>
          <w:rFonts w:ascii="Times New Roman" w:hAnsi="Times New Roman" w:cs="Times New Roman"/>
          <w:color w:val="000000"/>
          <w:sz w:val="32"/>
          <w:szCs w:val="32"/>
        </w:rPr>
        <w:t>3</w:t>
      </w:r>
    </w:p>
    <w:p w14:paraId="655E9C11" w14:textId="77777777" w:rsidR="00CF5AE2" w:rsidRDefault="00CF5AE2">
      <w:pPr>
        <w:jc w:val="both"/>
        <w:rPr>
          <w:rFonts w:ascii="Times New Roman" w:hAnsi="Times New Roman"/>
        </w:rPr>
      </w:pPr>
    </w:p>
    <w:p w14:paraId="79961589" w14:textId="77777777" w:rsidR="00CF5AE2" w:rsidRDefault="009278B3">
      <w:pPr>
        <w:jc w:val="both"/>
        <w:rPr>
          <w:rFonts w:ascii="Times New Roman" w:hAnsi="Times New Roman"/>
          <w:lang w:val="it-IT"/>
        </w:rPr>
      </w:pPr>
      <w:r w:rsidRPr="00517B8A">
        <w:rPr>
          <w:rFonts w:ascii="Times New Roman" w:hAnsi="Times New Roman"/>
          <w:lang w:val="it-IT"/>
        </w:rPr>
        <w:t>Marco Gabrielli</w:t>
      </w:r>
      <w:r w:rsidRPr="00517B8A">
        <w:rPr>
          <w:rFonts w:ascii="Times New Roman" w:hAnsi="Times New Roman"/>
          <w:vertAlign w:val="superscript"/>
          <w:lang w:val="it-IT"/>
        </w:rPr>
        <w:t>1</w:t>
      </w:r>
      <w:r w:rsidRPr="00517B8A">
        <w:rPr>
          <w:rFonts w:ascii="Times New Roman" w:hAnsi="Times New Roman"/>
          <w:lang w:val="it-IT"/>
        </w:rPr>
        <w:t>, Alessandro Leoni</w:t>
      </w:r>
      <w:r w:rsidRPr="00517B8A">
        <w:rPr>
          <w:rFonts w:ascii="Times New Roman" w:hAnsi="Times New Roman"/>
          <w:vertAlign w:val="superscript"/>
          <w:lang w:val="it-IT"/>
        </w:rPr>
        <w:t>1</w:t>
      </w:r>
      <w:r w:rsidRPr="00517B8A">
        <w:rPr>
          <w:rFonts w:ascii="Times New Roman" w:hAnsi="Times New Roman"/>
          <w:lang w:val="it-IT"/>
        </w:rPr>
        <w:t>, Laura Di Domenico</w:t>
      </w:r>
      <w:r w:rsidRPr="00517B8A">
        <w:rPr>
          <w:rFonts w:ascii="Times New Roman" w:hAnsi="Times New Roman"/>
          <w:vertAlign w:val="superscript"/>
          <w:lang w:val="it-IT"/>
        </w:rPr>
        <w:t>1</w:t>
      </w:r>
      <w:r w:rsidRPr="00517B8A">
        <w:rPr>
          <w:rFonts w:ascii="Times New Roman" w:hAnsi="Times New Roman"/>
          <w:lang w:val="it-IT"/>
        </w:rPr>
        <w:t>, Manuela Antonelli</w:t>
      </w:r>
      <w:r w:rsidRPr="00517B8A">
        <w:rPr>
          <w:rFonts w:ascii="Times New Roman" w:hAnsi="Times New Roman"/>
          <w:vertAlign w:val="superscript"/>
          <w:lang w:val="it-IT"/>
        </w:rPr>
        <w:t>1</w:t>
      </w:r>
    </w:p>
    <w:p w14:paraId="0DC50F0D" w14:textId="77777777" w:rsidR="00CF5AE2" w:rsidRDefault="00CF5AE2">
      <w:pPr>
        <w:jc w:val="both"/>
        <w:rPr>
          <w:vertAlign w:val="superscript"/>
          <w:lang w:val="it-IT"/>
        </w:rPr>
      </w:pPr>
    </w:p>
    <w:p w14:paraId="5BDF16F3" w14:textId="77777777" w:rsidR="00CF5AE2" w:rsidRDefault="009278B3">
      <w:pPr>
        <w:jc w:val="both"/>
        <w:rPr>
          <w:rFonts w:ascii="Times New Roman" w:hAnsi="Times New Roman"/>
          <w:lang w:val="it-IT"/>
        </w:rPr>
      </w:pPr>
      <w:r w:rsidRPr="00517B8A">
        <w:rPr>
          <w:rFonts w:ascii="Times New Roman" w:hAnsi="Times New Roman"/>
          <w:vertAlign w:val="superscript"/>
          <w:lang w:val="it-IT"/>
        </w:rPr>
        <w:t xml:space="preserve">1 </w:t>
      </w:r>
      <w:r w:rsidRPr="00517B8A">
        <w:rPr>
          <w:rFonts w:ascii="Times New Roman" w:hAnsi="Times New Roman"/>
          <w:lang w:val="it-IT"/>
        </w:rPr>
        <w:t xml:space="preserve">Dipartimento di Ingegneria Civile e Ambientale – Sezione Ambientale, Politecnico di Milano, Milan, </w:t>
      </w:r>
      <w:proofErr w:type="spellStart"/>
      <w:r w:rsidRPr="00517B8A">
        <w:rPr>
          <w:rFonts w:ascii="Times New Roman" w:hAnsi="Times New Roman"/>
          <w:lang w:val="it-IT"/>
        </w:rPr>
        <w:t>Italy</w:t>
      </w:r>
      <w:proofErr w:type="spellEnd"/>
    </w:p>
    <w:p w14:paraId="18804F15" w14:textId="77777777" w:rsidR="00CF5AE2" w:rsidRDefault="00CF5AE2">
      <w:pPr>
        <w:jc w:val="both"/>
        <w:rPr>
          <w:rFonts w:ascii="Times New Roman" w:hAnsi="Times New Roman"/>
          <w:lang w:val="it-IT"/>
        </w:rPr>
      </w:pPr>
    </w:p>
    <w:p w14:paraId="0D669433" w14:textId="77777777" w:rsidR="00CF5AE2" w:rsidRDefault="00CF5AE2">
      <w:pPr>
        <w:jc w:val="both"/>
        <w:rPr>
          <w:rFonts w:ascii="Times New Roman" w:hAnsi="Times New Roman"/>
          <w:lang w:val="it-IT"/>
        </w:rPr>
      </w:pPr>
    </w:p>
    <w:p w14:paraId="33502B84" w14:textId="77777777" w:rsidR="00CF5AE2" w:rsidRPr="00517B8A" w:rsidRDefault="009278B3">
      <w:pPr>
        <w:jc w:val="both"/>
        <w:rPr>
          <w:rFonts w:ascii="Times New Roman" w:hAnsi="Times New Roman"/>
        </w:rPr>
      </w:pPr>
      <w:r>
        <w:rPr>
          <w:rFonts w:ascii="Times New Roman" w:hAnsi="Times New Roman"/>
          <w:b/>
          <w:bCs/>
        </w:rPr>
        <w:t>S1 Graph-based monitoring layout selection strategies details</w:t>
      </w:r>
      <w:r>
        <w:rPr>
          <w:rFonts w:ascii="Times New Roman" w:hAnsi="Times New Roman"/>
          <w:b/>
          <w:bCs/>
        </w:rPr>
        <w:tab/>
      </w:r>
    </w:p>
    <w:p w14:paraId="25A22944" w14:textId="7C7A637E" w:rsidR="00CF5AE2" w:rsidRPr="00517B8A" w:rsidRDefault="009278B3">
      <w:pPr>
        <w:jc w:val="both"/>
        <w:rPr>
          <w:rFonts w:ascii="Times New Roman" w:hAnsi="Times New Roman"/>
        </w:rPr>
      </w:pPr>
      <w:r>
        <w:rPr>
          <w:rFonts w:ascii="Times New Roman" w:hAnsi="Times New Roman"/>
        </w:rPr>
        <w:t xml:space="preserve">Several monitoring layouts were generated following several graph-based methodologies varying </w:t>
      </w:r>
      <w:r>
        <w:rPr>
          <w:rFonts w:ascii="Times New Roman" w:eastAsia="Times New Roman" w:hAnsi="Times New Roman" w:cs="Times New Roman"/>
        </w:rPr>
        <w:t xml:space="preserve">edges weighting, graph clustering and centrality measure. </w:t>
      </w:r>
      <w:r w:rsidRPr="00663CBB">
        <w:rPr>
          <w:rFonts w:ascii="Times New Roman" w:eastAsia="Times New Roman" w:hAnsi="Times New Roman" w:cs="Times New Roman"/>
        </w:rPr>
        <w:t>S</w:t>
      </w:r>
      <w:r w:rsidRPr="00663CBB">
        <w:rPr>
          <w:rFonts w:ascii="Times New Roman" w:hAnsi="Times New Roman"/>
        </w:rPr>
        <w:t xml:space="preserve">imilarly to </w:t>
      </w:r>
      <w:r w:rsidR="00517B8A">
        <w:rPr>
          <w:rFonts w:ascii="Times New Roman" w:hAnsi="Times New Roman"/>
        </w:rPr>
        <w:fldChar w:fldCharType="begin"/>
      </w:r>
      <w:r w:rsidR="00C4749F" w:rsidRPr="00663CBB">
        <w:rPr>
          <w:rFonts w:ascii="Times New Roman" w:hAnsi="Times New Roman"/>
        </w:rPr>
        <w:instrText xml:space="preserve"> ADDIN ZOTERO_ITEM CSL_CITATION {"citationID":"fMba3Xnu","properties":{"formattedCitation":"(Giudicianni et al., 2020)","plainCitation":"(Giudicianni et al., 2020)","dontUpdate":true,"noteIndex":0},"citationItems":[{"id":1854,"uris":["http://zotero.org/users/8477693/items/PKRIBDL6"],"itemData":{"id":1854,"type":"article-journal","abstract":"The detection of contaminant intrusion into a water-distribution network (WDN) is a difficult issue due to uncertainty related to the type of injected contaminant, source location, and intrusion time. The placement of water quality sensors has received increasing interest in the last years, and it still represents an open problem and a great challenge for researchers and utilities. Efficient numerical techniques are needed to support any contamination warning system (CWS) design. These require a well-calibrated hydraulic model of the WDN and a great deal of information, both of which are often unavailable to water utilities. In addition, as the size of the WDN increases, the choice of effective sensor placement becomes a computationally intractable problem. This paper introduces a methodology to support water utilities in the design of an effective CWS without any use of hydraulic information, but just exploiting the knowledge of the topology of the WDN. To ensure a complete coverage of the network, the method relies on a priori clustering of the WDN and on the installation of quality sensors at the most central nodes of each cluster, selected according to different topological centrality metrics. The procedure is tested on a benchmark network and on a real WDN serving a town close to Naples, Italy. The solutions obtained with topological criteria are effective in terms of detection time, detection likelihood, redundancy, and population exposed through ingestion. DOI: 10.1061/(ASCE)WR.1943-5452.0001210. © 2020 American Society of Civil Engineers.","container-title":"Journal of Water Resources Planning and Management","DOI":"10.1061/(ASCE)WR.1943-5452.0001210","ISSN":"0733-9496, 1943-5452","issue":"6","journalAbbreviation":"J. Water Resour. Plann. Manage.","language":"en","page":"04020030","source":"DOI.org (Crossref)","title":"Topological Placement of Quality Sensors in Water-Distribution Networks without the Recourse to Hydraulic Modeling","volume":"146","author":[{"family":"Giudicianni","given":"C."},{"family":"Herrera","given":"M."},{"family":"Di Nardo","given":"A."},{"family":"Greco","given":"R."},{"family":"Creaco","given":"E."},{"family":"Scala","given":"A."}],"issued":{"date-parts":[["2020",6]]}}}],"schema":"https://github.com/citation-style-language/schema/raw/master/csl-citation.json"} </w:instrText>
      </w:r>
      <w:r w:rsidR="00517B8A">
        <w:rPr>
          <w:rFonts w:ascii="Times New Roman" w:hAnsi="Times New Roman"/>
        </w:rPr>
        <w:fldChar w:fldCharType="separate"/>
      </w:r>
      <w:r w:rsidR="00517B8A" w:rsidRPr="00663CBB">
        <w:rPr>
          <w:rFonts w:ascii="Times New Roman" w:hAnsi="Times New Roman" w:cs="Times New Roman"/>
        </w:rPr>
        <w:t>Giudicianni et al. (2020)</w:t>
      </w:r>
      <w:r w:rsidR="00517B8A">
        <w:rPr>
          <w:rFonts w:ascii="Times New Roman" w:hAnsi="Times New Roman"/>
        </w:rPr>
        <w:fldChar w:fldCharType="end"/>
      </w:r>
      <w:r w:rsidRPr="00663CBB">
        <w:rPr>
          <w:rFonts w:ascii="Times New Roman" w:hAnsi="Times New Roman"/>
        </w:rPr>
        <w:t xml:space="preserve"> and </w:t>
      </w:r>
      <w:r w:rsidR="00517B8A">
        <w:rPr>
          <w:rFonts w:ascii="Times New Roman" w:hAnsi="Times New Roman"/>
          <w:lang w:val="it-IT"/>
        </w:rPr>
        <w:fldChar w:fldCharType="begin"/>
      </w:r>
      <w:r w:rsidR="00C4749F" w:rsidRPr="00663CBB">
        <w:rPr>
          <w:rFonts w:ascii="Times New Roman" w:hAnsi="Times New Roman"/>
        </w:rPr>
        <w:instrText xml:space="preserve"> ADDIN ZOTERO_ITEM CSL_CITATION {"citationID":"fq4BXKR0","properties":{"formattedCitation":"(Di Nardo et al., 2017)","plainCitation":"(Di Nardo et al., 2017)","dontUpdate":true,"noteIndex":0},"citationItems":[{"id":1855,"uris":["http://zotero.org/users/8477693/items/5F2RWCUF"],"itemData":{"id":1855,"type":"article-journal","abstract":"In order to improve the management and to better locate water losses, Water Distribution Networks can be physically divided into District Meter Areas (DMAs), inserting hydraulic devices on proper pipes and thus simplifying the control of water budget and pressure regime. Traditionally, the water network division is based on empirical suggestions and on ‘trial and error’ approaches, checking results step by step through hydraulic simulation, and so making it very difficult to apply such approaches to large networks. Recently, some heuristic procedures, based on graph and network theory, have shown that it is possible to automatically identify optimal solutions in terms of number, shape and dimension of DMAs. In this paper, weighted spectral clustering methods have been used to define the optimal layout of districts in a real water distribution system, taking into account both geometric and hydraulic features, through weighted adjacency matrices. The obtained results confirm the feasibility of the use of spectral clustering to address the arduous problem of water supply network partitioning with an elegant mathematical approach compared to other heuristic procedures proposed in the literature. A comparison between different spectral clustering solutions has been carried out through topological and energy performance indices, in order to identify the optimal water network partitioning procedure.","container-title":"Applied Network Science","DOI":"10.1007/s41109-017-0033-4","ISSN":"2364-8228","issue":"1","journalAbbreviation":"Appl Netw Sci","language":"en","page":"19","source":"DOI.org (Crossref)","title":"Weighted spectral clustering for water distribution network partitioning","volume":"2","author":[{"family":"Di Nardo","given":"Armando"},{"family":"Di Natale","given":"Michele"},{"family":"Giudicianni","given":"Carlo"},{"family":"Greco","given":"Roberto"},{"family":"Santonastaso","given":"Giovanni Francesco"}],"issued":{"date-parts":[["2017",12]]}}}],"schema":"https://github.com/citation-style-language/schema/raw/master/csl-citation.json"} </w:instrText>
      </w:r>
      <w:r w:rsidR="00517B8A">
        <w:rPr>
          <w:rFonts w:ascii="Times New Roman" w:hAnsi="Times New Roman"/>
          <w:lang w:val="it-IT"/>
        </w:rPr>
        <w:fldChar w:fldCharType="separate"/>
      </w:r>
      <w:r w:rsidR="00517B8A" w:rsidRPr="00663CBB">
        <w:rPr>
          <w:rFonts w:ascii="Times New Roman" w:hAnsi="Times New Roman" w:cs="Times New Roman"/>
        </w:rPr>
        <w:t xml:space="preserve">Di Nardo et al. </w:t>
      </w:r>
      <w:r w:rsidR="00517B8A" w:rsidRPr="000C44C9">
        <w:rPr>
          <w:rFonts w:ascii="Times New Roman" w:hAnsi="Times New Roman" w:cs="Times New Roman"/>
        </w:rPr>
        <w:t>(2017)</w:t>
      </w:r>
      <w:r w:rsidR="00517B8A">
        <w:rPr>
          <w:rFonts w:ascii="Times New Roman" w:hAnsi="Times New Roman"/>
          <w:lang w:val="it-IT"/>
        </w:rPr>
        <w:fldChar w:fldCharType="end"/>
      </w:r>
      <w:r>
        <w:rPr>
          <w:rFonts w:ascii="Times New Roman" w:hAnsi="Times New Roman"/>
        </w:rPr>
        <w:t>, first, the DWDS structure was considered as a graph composed of nodes (i.e., pipes interconnections) and edges (i.e., pipes)</w:t>
      </w:r>
      <w:r w:rsidR="00663CBB">
        <w:rPr>
          <w:rFonts w:ascii="Times New Roman" w:hAnsi="Times New Roman"/>
        </w:rPr>
        <w:t>,</w:t>
      </w:r>
      <w:r>
        <w:rPr>
          <w:rFonts w:ascii="Times New Roman" w:hAnsi="Times New Roman"/>
        </w:rPr>
        <w:t xml:space="preserve"> which </w:t>
      </w:r>
      <w:r w:rsidR="00663CBB">
        <w:rPr>
          <w:rFonts w:ascii="Times New Roman" w:hAnsi="Times New Roman"/>
        </w:rPr>
        <w:t>were</w:t>
      </w:r>
      <w:r>
        <w:rPr>
          <w:rFonts w:ascii="Times New Roman" w:hAnsi="Times New Roman"/>
        </w:rPr>
        <w:t xml:space="preserve"> either unweighted </w:t>
      </w:r>
      <w:r w:rsidR="009C4027">
        <w:rPr>
          <w:rFonts w:ascii="Times New Roman" w:hAnsi="Times New Roman"/>
        </w:rPr>
        <w:t>(</w:t>
      </w:r>
      <w:proofErr w:type="spellStart"/>
      <w:r w:rsidR="009C4027">
        <w:rPr>
          <w:rFonts w:ascii="Times New Roman" w:hAnsi="Times New Roman"/>
        </w:rPr>
        <w:t>uW</w:t>
      </w:r>
      <w:proofErr w:type="spellEnd"/>
      <w:r w:rsidR="009C4027">
        <w:rPr>
          <w:rFonts w:ascii="Times New Roman" w:hAnsi="Times New Roman"/>
        </w:rPr>
        <w:t xml:space="preserve">) </w:t>
      </w:r>
      <w:r>
        <w:rPr>
          <w:rFonts w:ascii="Times New Roman" w:hAnsi="Times New Roman"/>
        </w:rPr>
        <w:t>or weighted depending on pipes diameter</w:t>
      </w:r>
      <w:r w:rsidR="009C4027">
        <w:rPr>
          <w:rFonts w:ascii="Times New Roman" w:hAnsi="Times New Roman"/>
        </w:rPr>
        <w:t xml:space="preserve"> (D)</w:t>
      </w:r>
      <w:r>
        <w:rPr>
          <w:rFonts w:ascii="Times New Roman" w:hAnsi="Times New Roman"/>
        </w:rPr>
        <w:t xml:space="preserve">, length </w:t>
      </w:r>
      <w:r w:rsidR="009C4027">
        <w:rPr>
          <w:rFonts w:ascii="Times New Roman" w:hAnsi="Times New Roman"/>
        </w:rPr>
        <w:t xml:space="preserve">(L) </w:t>
      </w:r>
      <w:r>
        <w:rPr>
          <w:rFonts w:ascii="Times New Roman" w:hAnsi="Times New Roman"/>
        </w:rPr>
        <w:t>or the ratio between the two</w:t>
      </w:r>
      <w:r w:rsidR="009C4027">
        <w:rPr>
          <w:rFonts w:ascii="Times New Roman" w:hAnsi="Times New Roman"/>
        </w:rPr>
        <w:t xml:space="preserve"> (D/L)</w:t>
      </w:r>
      <w:r>
        <w:rPr>
          <w:rFonts w:ascii="Times New Roman" w:hAnsi="Times New Roman"/>
        </w:rPr>
        <w:t>. Secondly, the DWDS graph, weighted in all different methods, was divided in different clusters using the algorithms presented in Table S1, ensuring manually the interconnection between the nodes within each sub-graph. Finally, within each sub-graph</w:t>
      </w:r>
      <w:r w:rsidR="00663CBB">
        <w:rPr>
          <w:rFonts w:ascii="Times New Roman" w:hAnsi="Times New Roman"/>
        </w:rPr>
        <w:t>,</w:t>
      </w:r>
      <w:r>
        <w:rPr>
          <w:rFonts w:ascii="Times New Roman" w:hAnsi="Times New Roman"/>
        </w:rPr>
        <w:t xml:space="preserve"> the most central node was identified using the centrality measures illustrated in Table S2. </w:t>
      </w:r>
    </w:p>
    <w:p w14:paraId="5915E606" w14:textId="77777777" w:rsidR="00CF5AE2" w:rsidRPr="00517B8A" w:rsidRDefault="00CF5AE2">
      <w:pPr>
        <w:jc w:val="both"/>
        <w:rPr>
          <w:rFonts w:ascii="Times New Roman" w:hAnsi="Times New Roman"/>
        </w:rPr>
      </w:pPr>
    </w:p>
    <w:p w14:paraId="34ADB7E6" w14:textId="3231E6AF" w:rsidR="00CF5AE2" w:rsidRPr="00A73B12" w:rsidRDefault="009278B3">
      <w:pPr>
        <w:jc w:val="both"/>
        <w:rPr>
          <w:rFonts w:ascii="Times New Roman" w:hAnsi="Times New Roman"/>
          <w:sz w:val="20"/>
          <w:szCs w:val="20"/>
        </w:rPr>
      </w:pPr>
      <w:r w:rsidRPr="00A73B12">
        <w:rPr>
          <w:rFonts w:ascii="Times New Roman" w:hAnsi="Times New Roman"/>
          <w:sz w:val="20"/>
          <w:szCs w:val="20"/>
        </w:rPr>
        <w:t xml:space="preserve">Table S1. Clustering algorithms </w:t>
      </w:r>
      <w:proofErr w:type="gramStart"/>
      <w:r w:rsidRPr="00A73B12">
        <w:rPr>
          <w:rFonts w:ascii="Times New Roman" w:hAnsi="Times New Roman"/>
          <w:sz w:val="20"/>
          <w:szCs w:val="20"/>
        </w:rPr>
        <w:t>used</w:t>
      </w:r>
      <w:proofErr w:type="gramEnd"/>
      <w:r w:rsidRPr="00A73B12">
        <w:rPr>
          <w:rFonts w:ascii="Times New Roman" w:hAnsi="Times New Roman"/>
          <w:sz w:val="20"/>
          <w:szCs w:val="20"/>
        </w:rPr>
        <w:t xml:space="preserve"> for graph-based monitoring location identification.</w:t>
      </w:r>
    </w:p>
    <w:tbl>
      <w:tblPr>
        <w:tblStyle w:val="TableGrid"/>
        <w:tblW w:w="9231" w:type="dxa"/>
        <w:tblLook w:val="04A0" w:firstRow="1" w:lastRow="0" w:firstColumn="1" w:lastColumn="0" w:noHBand="0" w:noVBand="1"/>
      </w:tblPr>
      <w:tblGrid>
        <w:gridCol w:w="1469"/>
        <w:gridCol w:w="3404"/>
        <w:gridCol w:w="4358"/>
      </w:tblGrid>
      <w:tr w:rsidR="00CF5AE2" w14:paraId="59840934" w14:textId="77777777" w:rsidTr="007B02B1">
        <w:tc>
          <w:tcPr>
            <w:tcW w:w="1465" w:type="dxa"/>
          </w:tcPr>
          <w:p w14:paraId="0774B791" w14:textId="77777777" w:rsidR="00CF5AE2" w:rsidRDefault="009278B3">
            <w:pPr>
              <w:spacing w:line="276" w:lineRule="auto"/>
              <w:jc w:val="center"/>
              <w:rPr>
                <w:i/>
                <w:iCs/>
              </w:rPr>
            </w:pPr>
            <w:r>
              <w:rPr>
                <w:rFonts w:ascii="Times New Roman" w:hAnsi="Times New Roman"/>
              </w:rPr>
              <w:t>Algorithm</w:t>
            </w:r>
          </w:p>
        </w:tc>
        <w:tc>
          <w:tcPr>
            <w:tcW w:w="3405" w:type="dxa"/>
          </w:tcPr>
          <w:p w14:paraId="23B2F451" w14:textId="77777777" w:rsidR="00CF5AE2" w:rsidRDefault="009278B3">
            <w:pPr>
              <w:spacing w:line="276" w:lineRule="auto"/>
              <w:jc w:val="center"/>
              <w:rPr>
                <w:i/>
                <w:iCs/>
              </w:rPr>
            </w:pPr>
            <w:r>
              <w:rPr>
                <w:rFonts w:ascii="Times New Roman" w:hAnsi="Times New Roman"/>
              </w:rPr>
              <w:t>Theoretic Principle</w:t>
            </w:r>
          </w:p>
        </w:tc>
        <w:tc>
          <w:tcPr>
            <w:tcW w:w="4361" w:type="dxa"/>
          </w:tcPr>
          <w:p w14:paraId="23539B93" w14:textId="77777777" w:rsidR="00CF5AE2" w:rsidRDefault="009278B3">
            <w:pPr>
              <w:jc w:val="center"/>
              <w:rPr>
                <w:i/>
                <w:iCs/>
              </w:rPr>
            </w:pPr>
            <w:r>
              <w:rPr>
                <w:rFonts w:ascii="Times New Roman" w:hAnsi="Times New Roman"/>
              </w:rPr>
              <w:t>Principle</w:t>
            </w:r>
          </w:p>
        </w:tc>
      </w:tr>
      <w:tr w:rsidR="00CF5AE2" w14:paraId="7C00A480" w14:textId="77777777" w:rsidTr="007B02B1">
        <w:trPr>
          <w:trHeight w:val="702"/>
        </w:trPr>
        <w:tc>
          <w:tcPr>
            <w:tcW w:w="1465" w:type="dxa"/>
            <w:vAlign w:val="center"/>
          </w:tcPr>
          <w:p w14:paraId="3961EF93" w14:textId="77777777" w:rsidR="00CF5AE2" w:rsidRDefault="009278B3" w:rsidP="007B02B1">
            <w:pPr>
              <w:spacing w:line="276" w:lineRule="auto"/>
            </w:pPr>
            <w:r>
              <w:rPr>
                <w:rFonts w:ascii="Times New Roman" w:hAnsi="Times New Roman"/>
              </w:rPr>
              <w:t xml:space="preserve">K-means </w:t>
            </w:r>
          </w:p>
        </w:tc>
        <w:tc>
          <w:tcPr>
            <w:tcW w:w="3405" w:type="dxa"/>
            <w:vAlign w:val="center"/>
          </w:tcPr>
          <w:p w14:paraId="7D30B284"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d</m:t>
                    </m:r>
                  </m:e>
                  <m:sub>
                    <m:r>
                      <w:rPr>
                        <w:rFonts w:ascii="Cambria Math" w:hAnsi="Cambria Math"/>
                      </w:rPr>
                      <m:t>j</m:t>
                    </m:r>
                  </m:sub>
                </m:sSub>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C.</m:t>
                                </m:r>
                              </m:sub>
                            </m:sSub>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C.</m:t>
                                </m:r>
                              </m:sub>
                            </m:sSub>
                          </m:e>
                        </m:d>
                      </m:e>
                      <m:sup>
                        <m:r>
                          <w:rPr>
                            <w:rFonts w:ascii="Cambria Math" w:hAnsi="Cambria Math"/>
                          </w:rPr>
                          <m:t>2</m:t>
                        </m:r>
                      </m:sup>
                    </m:sSup>
                  </m:e>
                </m:rad>
              </m:oMath>
            </m:oMathPara>
          </w:p>
        </w:tc>
        <w:tc>
          <w:tcPr>
            <w:tcW w:w="4361" w:type="dxa"/>
          </w:tcPr>
          <w:p w14:paraId="503D632B" w14:textId="77777777" w:rsidR="00CF5AE2" w:rsidRDefault="009278B3">
            <w:r>
              <w:rPr>
                <w:rFonts w:ascii="Times New Roman" w:hAnsi="Times New Roman"/>
              </w:rPr>
              <w:t xml:space="preserve">Vertices clustering into a fixed number </w:t>
            </w:r>
            <w:r>
              <w:rPr>
                <w:rFonts w:ascii="Times New Roman" w:hAnsi="Times New Roman"/>
                <w:i/>
                <w:iCs/>
              </w:rPr>
              <w:t>k</w:t>
            </w:r>
            <w:r>
              <w:rPr>
                <w:rFonts w:ascii="Times New Roman" w:hAnsi="Times New Roman"/>
              </w:rPr>
              <w:t xml:space="preserve"> of communities is performed by:</w:t>
            </w:r>
          </w:p>
          <w:p w14:paraId="5E125424" w14:textId="77777777" w:rsidR="00CF5AE2" w:rsidRDefault="009278B3">
            <w:pPr>
              <w:pStyle w:val="ListParagraph"/>
              <w:numPr>
                <w:ilvl w:val="0"/>
                <w:numId w:val="1"/>
              </w:numPr>
              <w:spacing w:after="0" w:line="240" w:lineRule="auto"/>
            </w:pPr>
            <w:r>
              <w:rPr>
                <w:rFonts w:ascii="Times New Roman" w:hAnsi="Times New Roman"/>
              </w:rPr>
              <w:t xml:space="preserve">Selecting </w:t>
            </w:r>
            <w:r>
              <w:rPr>
                <w:rFonts w:ascii="Times New Roman" w:hAnsi="Times New Roman"/>
                <w:i/>
                <w:iCs/>
              </w:rPr>
              <w:t>k</w:t>
            </w:r>
            <w:r>
              <w:rPr>
                <w:rFonts w:ascii="Times New Roman" w:hAnsi="Times New Roman"/>
              </w:rPr>
              <w:t xml:space="preserve"> random vertices, named </w:t>
            </w:r>
            <w:r>
              <w:rPr>
                <w:rFonts w:ascii="Times New Roman" w:hAnsi="Times New Roman"/>
                <w:i/>
                <w:iCs/>
              </w:rPr>
              <w:t>centroids</w:t>
            </w:r>
            <w:r>
              <w:rPr>
                <w:rFonts w:ascii="Times New Roman" w:hAnsi="Times New Roman"/>
              </w:rPr>
              <w:t xml:space="preserve">, one for each </w:t>
            </w:r>
            <w:proofErr w:type="gramStart"/>
            <w:r>
              <w:rPr>
                <w:rFonts w:ascii="Times New Roman" w:hAnsi="Times New Roman"/>
              </w:rPr>
              <w:t>community;</w:t>
            </w:r>
            <w:proofErr w:type="gramEnd"/>
          </w:p>
          <w:p w14:paraId="0032DC06" w14:textId="77777777" w:rsidR="00CF5AE2" w:rsidRDefault="009278B3">
            <w:pPr>
              <w:pStyle w:val="ListParagraph"/>
              <w:numPr>
                <w:ilvl w:val="0"/>
                <w:numId w:val="1"/>
              </w:numPr>
              <w:spacing w:after="0" w:line="240" w:lineRule="auto"/>
            </w:pPr>
            <w:r>
              <w:rPr>
                <w:rFonts w:ascii="Times New Roman" w:hAnsi="Times New Roman"/>
              </w:rPr>
              <w:t xml:space="preserve">Assigning each of the remaining vertices to the community with the nearest centroid, namely that with the shortest Euclidean distance, computed from the nodes plane </w:t>
            </w:r>
            <w:proofErr w:type="gramStart"/>
            <w:r>
              <w:rPr>
                <w:rFonts w:ascii="Times New Roman" w:hAnsi="Times New Roman"/>
              </w:rPr>
              <w:t>coordinates;</w:t>
            </w:r>
            <w:proofErr w:type="gramEnd"/>
          </w:p>
          <w:p w14:paraId="3A2F77B8" w14:textId="77777777" w:rsidR="00CF5AE2" w:rsidRDefault="009278B3">
            <w:pPr>
              <w:pStyle w:val="ListParagraph"/>
              <w:numPr>
                <w:ilvl w:val="0"/>
                <w:numId w:val="1"/>
              </w:numPr>
              <w:spacing w:after="0" w:line="240" w:lineRule="auto"/>
            </w:pPr>
            <w:r>
              <w:rPr>
                <w:rFonts w:ascii="Times New Roman" w:hAnsi="Times New Roman"/>
              </w:rPr>
              <w:t>Calculating new centroid for each community.</w:t>
            </w:r>
          </w:p>
          <w:p w14:paraId="4A10A7C2" w14:textId="5A890537" w:rsidR="00CF5AE2" w:rsidRDefault="009278B3">
            <w:r>
              <w:rPr>
                <w:rFonts w:ascii="Times New Roman" w:hAnsi="Times New Roman"/>
              </w:rPr>
              <w:t xml:space="preserve">Second and third steps are repeated until convergence </w:t>
            </w:r>
            <w:r w:rsidR="00160880">
              <w:rPr>
                <w:rFonts w:ascii="Times New Roman" w:hAnsi="Times New Roman"/>
              </w:rPr>
              <w:fldChar w:fldCharType="begin"/>
            </w:r>
            <w:r w:rsidR="00160880">
              <w:rPr>
                <w:rFonts w:ascii="Times New Roman" w:hAnsi="Times New Roman"/>
              </w:rPr>
              <w:instrText xml:space="preserve"> ADDIN ZOTERO_ITEM CSL_CITATION {"citationID":"JCnPPdWP","properties":{"formattedCitation":"(Hastie et al., 2009)","plainCitation":"(Hastie et al., 2009)","noteIndex":0},"citationItems":[{"id":2040,"uris":["http://zotero.org/users/8477693/items/P8H3SXCI"],"itemData":{"id":2040,"type":"book","abstract":"\"During the past decade there has been an explosion in computation and information technology. With it have come vast amounts of data in a variety of fields such as medicine, biology, finance, and marketing. The challenge of understanding these data has led to the development of new tools in the field of statistics, and spawned new areas such as data mining, machine learning, and bioinformatics. Many of these tools have common underpinnings but are often expressed with different terminology. This book describes the important ideas in these areas in a common conceptual framework. While the approach is statistical, the emphasis is on concepts rather than mathematics. Many examples are given, with a liberal use of color graphics\"--Jacket","call-number":"006.3","collection-title":"Springer series in statistics","edition":"2nd ed","event-place":"New York","ISBN":"978-0-387-84858-7","language":"eng","publisher":"Springer","publisher-place":"New York","source":"BnF ISBN","title":"The elements of statistical learning: data mining, inference, and prediction","title-short":"The elements of statistical learning","author":[{"family":"Hastie","given":"Trevor J."},{"family":"Tibshirani","given":"Robert"},{"family":"Friedman","given":"Jerome H."}],"issued":{"date-parts":[["2009"]]}}}],"schema":"https://github.com/citation-style-language/schema/raw/master/csl-citation.json"} </w:instrText>
            </w:r>
            <w:r w:rsidR="00160880">
              <w:rPr>
                <w:rFonts w:ascii="Times New Roman" w:hAnsi="Times New Roman"/>
              </w:rPr>
              <w:fldChar w:fldCharType="separate"/>
            </w:r>
            <w:r w:rsidR="00160880" w:rsidRPr="00160880">
              <w:rPr>
                <w:rFonts w:ascii="Times New Roman" w:hAnsi="Times New Roman" w:cs="Times New Roman"/>
              </w:rPr>
              <w:t>(Hastie et al., 2009)</w:t>
            </w:r>
            <w:r w:rsidR="00160880">
              <w:rPr>
                <w:rFonts w:ascii="Times New Roman" w:hAnsi="Times New Roman"/>
              </w:rPr>
              <w:fldChar w:fldCharType="end"/>
            </w:r>
            <w:r>
              <w:rPr>
                <w:rFonts w:ascii="Times New Roman" w:hAnsi="Times New Roman"/>
              </w:rPr>
              <w:t>.</w:t>
            </w:r>
          </w:p>
        </w:tc>
      </w:tr>
      <w:tr w:rsidR="00CF5AE2" w14:paraId="36C25FFC" w14:textId="77777777" w:rsidTr="007B02B1">
        <w:trPr>
          <w:trHeight w:val="854"/>
        </w:trPr>
        <w:tc>
          <w:tcPr>
            <w:tcW w:w="1465" w:type="dxa"/>
            <w:vAlign w:val="center"/>
          </w:tcPr>
          <w:p w14:paraId="3FB3B956" w14:textId="77777777" w:rsidR="00CF5AE2" w:rsidRDefault="009278B3" w:rsidP="007B02B1">
            <w:pPr>
              <w:spacing w:line="276" w:lineRule="auto"/>
            </w:pPr>
            <w:r>
              <w:rPr>
                <w:rFonts w:ascii="Times New Roman" w:hAnsi="Times New Roman"/>
              </w:rPr>
              <w:t xml:space="preserve">Edge Betweenness </w:t>
            </w:r>
          </w:p>
        </w:tc>
        <w:tc>
          <w:tcPr>
            <w:tcW w:w="3405" w:type="dxa"/>
            <w:vAlign w:val="center"/>
          </w:tcPr>
          <w:p w14:paraId="6CD9F560" w14:textId="77777777" w:rsidR="00CF5AE2" w:rsidRDefault="009278B3" w:rsidP="007B02B1">
            <w:pPr>
              <w:spacing w:line="276" w:lineRule="auto"/>
            </w:pPr>
            <m:oMathPara>
              <m:oMath>
                <m:r>
                  <w:rPr>
                    <w:rFonts w:ascii="Cambria Math" w:hAnsi="Cambria Math"/>
                  </w:rPr>
                  <m:t>EB</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j</m:t>
                        </m:r>
                      </m:sub>
                    </m:sSub>
                  </m:e>
                </m:d>
                <m:r>
                  <w:rPr>
                    <w:rFonts w:ascii="Cambria Math" w:hAnsi="Cambria Math"/>
                  </w:rPr>
                  <m:t>=</m:t>
                </m:r>
                <m:nary>
                  <m:naryPr>
                    <m:chr m:val="∑"/>
                    <m:supHide m:val="1"/>
                    <m:ctrlPr>
                      <w:rPr>
                        <w:rFonts w:ascii="Cambria Math" w:hAnsi="Cambria Math"/>
                      </w:rPr>
                    </m:ctrlPr>
                  </m:naryPr>
                  <m: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e>
                    </m:d>
                    <m:r>
                      <w:rPr>
                        <w:rFonts w:ascii="Cambria Math" w:hAnsi="Cambria Math"/>
                      </w:rPr>
                      <m:t>∈G</m:t>
                    </m:r>
                  </m:sub>
                  <m:sup/>
                  <m:e>
                    <m:f>
                      <m:fPr>
                        <m:ctrlPr>
                          <w:rPr>
                            <w:rFonts w:ascii="Cambria Math" w:hAnsi="Cambria Math"/>
                          </w:rPr>
                        </m:ctrlPr>
                      </m:fPr>
                      <m:num>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v</m:t>
                                </m:r>
                              </m:e>
                              <m:sub>
                                <m:r>
                                  <w:rPr>
                                    <w:rFonts w:ascii="Cambria Math" w:hAnsi="Cambria Math"/>
                                  </w:rPr>
                                  <m:t>k</m:t>
                                </m:r>
                              </m:sub>
                            </m:sSub>
                          </m:sub>
                        </m:sSub>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j</m:t>
                                </m:r>
                              </m:sub>
                            </m:sSub>
                          </m:e>
                        </m:d>
                      </m:num>
                      <m:den>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v</m:t>
                                </m:r>
                              </m:e>
                              <m:sub>
                                <m:r>
                                  <w:rPr>
                                    <w:rFonts w:ascii="Cambria Math" w:hAnsi="Cambria Math"/>
                                  </w:rPr>
                                  <m:t>k</m:t>
                                </m:r>
                              </m:sub>
                            </m:sSub>
                          </m:sub>
                        </m:sSub>
                      </m:den>
                    </m:f>
                  </m:e>
                </m:nary>
              </m:oMath>
            </m:oMathPara>
          </w:p>
        </w:tc>
        <w:tc>
          <w:tcPr>
            <w:tcW w:w="4361" w:type="dxa"/>
          </w:tcPr>
          <w:p w14:paraId="00A75B9D" w14:textId="77777777" w:rsidR="00CF5AE2" w:rsidRDefault="009278B3">
            <w:r>
              <w:rPr>
                <w:rFonts w:ascii="Times New Roman" w:hAnsi="Times New Roman"/>
              </w:rPr>
              <w:t>Vertices clustering into a fixed number of communities is performed by:</w:t>
            </w:r>
          </w:p>
          <w:p w14:paraId="2F7253B4" w14:textId="77777777" w:rsidR="00CF5AE2" w:rsidRDefault="009278B3">
            <w:pPr>
              <w:pStyle w:val="ListParagraph"/>
              <w:numPr>
                <w:ilvl w:val="0"/>
                <w:numId w:val="1"/>
              </w:numPr>
              <w:spacing w:after="0" w:line="240" w:lineRule="auto"/>
              <w:jc w:val="both"/>
            </w:pPr>
            <w:r>
              <w:rPr>
                <w:rFonts w:ascii="Times New Roman" w:hAnsi="Times New Roman"/>
              </w:rPr>
              <w:t xml:space="preserve">Calculating the edge betweenness of all the edges of the original </w:t>
            </w:r>
            <w:proofErr w:type="gramStart"/>
            <w:r>
              <w:rPr>
                <w:rFonts w:ascii="Times New Roman" w:hAnsi="Times New Roman"/>
              </w:rPr>
              <w:t>graph;</w:t>
            </w:r>
            <w:proofErr w:type="gramEnd"/>
          </w:p>
          <w:p w14:paraId="5001E6AD" w14:textId="77777777" w:rsidR="00CF5AE2" w:rsidRDefault="009278B3">
            <w:pPr>
              <w:pStyle w:val="ListParagraph"/>
              <w:numPr>
                <w:ilvl w:val="0"/>
                <w:numId w:val="1"/>
              </w:numPr>
              <w:spacing w:after="0" w:line="240" w:lineRule="auto"/>
              <w:jc w:val="both"/>
            </w:pPr>
            <w:r>
              <w:rPr>
                <w:rFonts w:ascii="Times New Roman" w:hAnsi="Times New Roman"/>
              </w:rPr>
              <w:t xml:space="preserve">Removing one or more edges having the highest value of </w:t>
            </w:r>
            <w:proofErr w:type="gramStart"/>
            <w:r>
              <w:rPr>
                <w:rFonts w:ascii="Times New Roman" w:hAnsi="Times New Roman"/>
              </w:rPr>
              <w:t>betweenness;</w:t>
            </w:r>
            <w:proofErr w:type="gramEnd"/>
          </w:p>
          <w:p w14:paraId="73FB485C" w14:textId="77777777" w:rsidR="00CF5AE2" w:rsidRDefault="009278B3">
            <w:pPr>
              <w:pStyle w:val="ListParagraph"/>
              <w:numPr>
                <w:ilvl w:val="0"/>
                <w:numId w:val="1"/>
              </w:numPr>
              <w:spacing w:after="0" w:line="240" w:lineRule="auto"/>
              <w:jc w:val="both"/>
            </w:pPr>
            <w:r>
              <w:rPr>
                <w:rFonts w:ascii="Times New Roman" w:hAnsi="Times New Roman"/>
              </w:rPr>
              <w:lastRenderedPageBreak/>
              <w:t xml:space="preserve">Calculating of betweenness of all the remaining edges in the updated graph </w:t>
            </w:r>
            <w:proofErr w:type="gramStart"/>
            <w:r>
              <w:rPr>
                <w:rFonts w:ascii="Times New Roman" w:hAnsi="Times New Roman"/>
              </w:rPr>
              <w:t>structure;</w:t>
            </w:r>
            <w:proofErr w:type="gramEnd"/>
          </w:p>
          <w:p w14:paraId="0A13DAED" w14:textId="43B0AC87" w:rsidR="00CF5AE2" w:rsidRDefault="009278B3">
            <w:r>
              <w:rPr>
                <w:rFonts w:ascii="Times New Roman" w:hAnsi="Times New Roman"/>
              </w:rPr>
              <w:t xml:space="preserve">Second and third steps are iteratively repeated until the desired number of cluster is obtained </w:t>
            </w:r>
            <w:r w:rsidR="00D15B90">
              <w:rPr>
                <w:rFonts w:ascii="Times New Roman" w:hAnsi="Times New Roman"/>
              </w:rPr>
              <w:fldChar w:fldCharType="begin"/>
            </w:r>
            <w:r w:rsidR="00D15B90">
              <w:rPr>
                <w:rFonts w:ascii="Times New Roman" w:hAnsi="Times New Roman"/>
              </w:rPr>
              <w:instrText xml:space="preserve"> ADDIN ZOTERO_ITEM CSL_CITATION {"citationID":"doELcgDi","properties":{"formattedCitation":"(Newman and Girvan, 2004)","plainCitation":"(Newman and Girvan, 2004)","noteIndex":0},"citationItems":[{"id":1844,"uris":["http://zotero.org/users/8477693/items/V49QSSQR"],"itemData":{"id":1844,"type":"article-journal","container-title":"Physical Review E","DOI":"10.1103/PhysRevE.69.026113","ISSN":"1539-3755, 1550-2376","issue":"2","journalAbbreviation":"Phys. Rev. E","language":"en","page":"026113","source":"DOI.org (Crossref)","title":"Finding and evaluating community structure in networks","volume":"69","author":[{"family":"Newman","given":"M. E. J."},{"family":"Girvan","given":"M."}],"issued":{"date-parts":[["2004",2,26]]}}}],"schema":"https://github.com/citation-style-language/schema/raw/master/csl-citation.json"} </w:instrText>
            </w:r>
            <w:r w:rsidR="00D15B90">
              <w:rPr>
                <w:rFonts w:ascii="Times New Roman" w:hAnsi="Times New Roman"/>
              </w:rPr>
              <w:fldChar w:fldCharType="separate"/>
            </w:r>
            <w:r w:rsidR="00D15B90" w:rsidRPr="00D15B90">
              <w:rPr>
                <w:rFonts w:ascii="Times New Roman" w:hAnsi="Times New Roman" w:cs="Times New Roman"/>
              </w:rPr>
              <w:t>(Newman and Girvan, 2004)</w:t>
            </w:r>
            <w:r w:rsidR="00D15B90">
              <w:rPr>
                <w:rFonts w:ascii="Times New Roman" w:hAnsi="Times New Roman"/>
              </w:rPr>
              <w:fldChar w:fldCharType="end"/>
            </w:r>
            <w:r>
              <w:rPr>
                <w:rFonts w:ascii="Times New Roman" w:hAnsi="Times New Roman"/>
              </w:rPr>
              <w:t>.</w:t>
            </w:r>
          </w:p>
        </w:tc>
      </w:tr>
      <w:tr w:rsidR="00CF5AE2" w14:paraId="3BC3180A" w14:textId="77777777" w:rsidTr="007B02B1">
        <w:trPr>
          <w:trHeight w:val="965"/>
        </w:trPr>
        <w:tc>
          <w:tcPr>
            <w:tcW w:w="1465" w:type="dxa"/>
            <w:vAlign w:val="center"/>
          </w:tcPr>
          <w:p w14:paraId="59E90EA0" w14:textId="77777777" w:rsidR="00CF5AE2" w:rsidRDefault="009278B3" w:rsidP="007B02B1">
            <w:pPr>
              <w:spacing w:line="276" w:lineRule="auto"/>
            </w:pPr>
            <w:r>
              <w:rPr>
                <w:rFonts w:ascii="Times New Roman" w:hAnsi="Times New Roman"/>
              </w:rPr>
              <w:lastRenderedPageBreak/>
              <w:t xml:space="preserve">Spectral </w:t>
            </w:r>
          </w:p>
        </w:tc>
        <w:tc>
          <w:tcPr>
            <w:tcW w:w="3405" w:type="dxa"/>
            <w:vAlign w:val="center"/>
          </w:tcPr>
          <w:p w14:paraId="5CE30649" w14:textId="77777777" w:rsidR="00CF5AE2" w:rsidRDefault="009278B3" w:rsidP="007B02B1">
            <w:pPr>
              <w:spacing w:line="276" w:lineRule="auto"/>
            </w:pPr>
            <m:oMathPara>
              <m:oMath>
                <m:r>
                  <w:rPr>
                    <w:rFonts w:ascii="Cambria Math" w:hAnsi="Cambria Math"/>
                  </w:rPr>
                  <m:t>L=D-A</m:t>
                </m:r>
              </m:oMath>
            </m:oMathPara>
          </w:p>
        </w:tc>
        <w:tc>
          <w:tcPr>
            <w:tcW w:w="4361" w:type="dxa"/>
          </w:tcPr>
          <w:p w14:paraId="0C750985" w14:textId="577F9FF4" w:rsidR="00CF5AE2" w:rsidRDefault="009278B3">
            <w:r>
              <w:rPr>
                <w:rFonts w:ascii="Times New Roman" w:hAnsi="Times New Roman"/>
              </w:rPr>
              <w:t xml:space="preserve">Vertices clustering into a fixed number </w:t>
            </w:r>
            <w:r>
              <w:rPr>
                <w:rFonts w:ascii="Times New Roman" w:hAnsi="Times New Roman"/>
                <w:i/>
                <w:iCs/>
              </w:rPr>
              <w:t>k</w:t>
            </w:r>
            <w:r>
              <w:rPr>
                <w:rFonts w:ascii="Times New Roman" w:hAnsi="Times New Roman"/>
              </w:rPr>
              <w:t xml:space="preserve"> of communities is performed by </w:t>
            </w:r>
            <w:r w:rsidR="00981EDA">
              <w:rPr>
                <w:rFonts w:ascii="Times New Roman" w:hAnsi="Times New Roman"/>
              </w:rPr>
              <w:fldChar w:fldCharType="begin"/>
            </w:r>
            <w:r w:rsidR="00F16DF6">
              <w:rPr>
                <w:rFonts w:ascii="Times New Roman" w:hAnsi="Times New Roman"/>
              </w:rPr>
              <w:instrText xml:space="preserve"> ADDIN ZOTERO_ITEM CSL_CITATION {"citationID":"112xMeaY","properties":{"formattedCitation":"(Di Nardo et al., 2017)","plainCitation":"(Di Nardo et al., 2017)","dontUpdate":true,"noteIndex":0},"citationItems":[{"id":1855,"uris":["http://zotero.org/users/8477693/items/5F2RWCUF"],"itemData":{"id":1855,"type":"article-journal","abstract":"In order to improve the management and to better locate water losses, Water Distribution Networks can be physically divided into District Meter Areas (DMAs), inserting hydraulic devices on proper pipes and thus simplifying the control of water budget and pressure regime. Traditionally, the water network division is based on empirical suggestions and on ‘trial and error’ approaches, checking results step by step through hydraulic simulation, and so making it very difficult to apply such approaches to large networks. Recently, some heuristic procedures, based on graph and network theory, have shown that it is possible to automatically identify optimal solutions in terms of number, shape and dimension of DMAs. In this paper, weighted spectral clustering methods have been used to define the optimal layout of districts in a real water distribution system, taking into account both geometric and hydraulic features, through weighted adjacency matrices. The obtained results confirm the feasibility of the use of spectral clustering to address the arduous problem of water supply network partitioning with an elegant mathematical approach compared to other heuristic procedures proposed in the literature. A comparison between different spectral clustering solutions has been carried out through topological and energy performance indices, in order to identify the optimal water network partitioning procedure.","container-title":"Applied Network Science","DOI":"10.1007/s41109-017-0033-4","ISSN":"2364-8228","issue":"1","journalAbbreviation":"Appl Netw Sci","language":"en","page":"19","source":"DOI.org (Crossref)","title":"Weighted spectral clustering for water distribution network partitioning","volume":"2","author":[{"family":"Di Nardo","given":"Armando"},{"family":"Di Natale","given":"Michele"},{"family":"Giudicianni","given":"Carlo"},{"family":"Greco","given":"Roberto"},{"family":"Santonastaso","given":"Giovanni Francesco"}],"issued":{"date-parts":[["2017",12]]}}}],"schema":"https://github.com/citation-style-language/schema/raw/master/csl-citation.json"} </w:instrText>
            </w:r>
            <w:r w:rsidR="00981EDA">
              <w:rPr>
                <w:rFonts w:ascii="Times New Roman" w:hAnsi="Times New Roman"/>
              </w:rPr>
              <w:fldChar w:fldCharType="separate"/>
            </w:r>
            <w:r w:rsidR="00981EDA" w:rsidRPr="00981EDA">
              <w:rPr>
                <w:rFonts w:ascii="Times New Roman" w:hAnsi="Times New Roman" w:cs="Times New Roman"/>
              </w:rPr>
              <w:t xml:space="preserve">Di Nardo et al. </w:t>
            </w:r>
            <w:r w:rsidR="00981EDA">
              <w:rPr>
                <w:rFonts w:ascii="Times New Roman" w:hAnsi="Times New Roman" w:cs="Times New Roman"/>
              </w:rPr>
              <w:t>(</w:t>
            </w:r>
            <w:r w:rsidR="00981EDA" w:rsidRPr="00981EDA">
              <w:rPr>
                <w:rFonts w:ascii="Times New Roman" w:hAnsi="Times New Roman" w:cs="Times New Roman"/>
              </w:rPr>
              <w:t>2017)</w:t>
            </w:r>
            <w:r w:rsidR="00981EDA">
              <w:rPr>
                <w:rFonts w:ascii="Times New Roman" w:hAnsi="Times New Roman"/>
              </w:rPr>
              <w:fldChar w:fldCharType="end"/>
            </w:r>
            <w:r>
              <w:rPr>
                <w:rFonts w:ascii="Times New Roman" w:hAnsi="Times New Roman"/>
              </w:rPr>
              <w:t>:</w:t>
            </w:r>
          </w:p>
          <w:p w14:paraId="00FAF57B" w14:textId="77777777" w:rsidR="00CF5AE2" w:rsidRDefault="009278B3">
            <w:pPr>
              <w:pStyle w:val="ListParagraph"/>
              <w:numPr>
                <w:ilvl w:val="0"/>
                <w:numId w:val="1"/>
              </w:numPr>
              <w:spacing w:after="0" w:line="240" w:lineRule="auto"/>
              <w:jc w:val="both"/>
            </w:pPr>
            <w:r>
              <w:rPr>
                <w:rFonts w:ascii="Times New Roman" w:hAnsi="Times New Roman"/>
              </w:rPr>
              <w:t xml:space="preserve">Computing the first </w:t>
            </w:r>
            <w:r>
              <w:rPr>
                <w:rFonts w:ascii="Times New Roman" w:hAnsi="Times New Roman"/>
                <w:i/>
                <w:iCs/>
              </w:rPr>
              <w:t>k</w:t>
            </w:r>
            <w:r>
              <w:rPr>
                <w:rFonts w:ascii="Times New Roman" w:hAnsi="Times New Roman"/>
              </w:rPr>
              <w:t xml:space="preserve"> eigenvectors </w:t>
            </w:r>
            <w:r>
              <w:rPr>
                <w:rFonts w:ascii="Times New Roman" w:hAnsi="Times New Roman"/>
                <w:i/>
                <w:iCs/>
              </w:rPr>
              <w:t>u</w:t>
            </w:r>
            <w:proofErr w:type="gramStart"/>
            <w:r>
              <w:rPr>
                <w:rFonts w:ascii="Times New Roman" w:hAnsi="Times New Roman"/>
                <w:i/>
                <w:iCs/>
                <w:vertAlign w:val="subscript"/>
              </w:rPr>
              <w:t>1</w:t>
            </w:r>
            <w:r>
              <w:rPr>
                <w:rFonts w:ascii="Times New Roman" w:hAnsi="Times New Roman"/>
                <w:i/>
                <w:iCs/>
              </w:rPr>
              <w:t>,…</w:t>
            </w:r>
            <w:proofErr w:type="gramEnd"/>
            <w:r>
              <w:rPr>
                <w:rFonts w:ascii="Times New Roman" w:hAnsi="Times New Roman"/>
                <w:i/>
                <w:iCs/>
              </w:rPr>
              <w:t>,</w:t>
            </w:r>
            <w:proofErr w:type="spellStart"/>
            <w:r>
              <w:rPr>
                <w:rFonts w:ascii="Times New Roman" w:hAnsi="Times New Roman"/>
                <w:i/>
                <w:iCs/>
              </w:rPr>
              <w:t>u</w:t>
            </w:r>
            <w:r>
              <w:rPr>
                <w:rFonts w:ascii="Times New Roman" w:hAnsi="Times New Roman"/>
                <w:i/>
                <w:iCs/>
                <w:vertAlign w:val="subscript"/>
              </w:rPr>
              <w:t>k</w:t>
            </w:r>
            <w:proofErr w:type="spellEnd"/>
            <w:r>
              <w:rPr>
                <w:rFonts w:ascii="Times New Roman" w:hAnsi="Times New Roman"/>
              </w:rPr>
              <w:t xml:space="preserve"> of the Laplacian matrix </w:t>
            </w:r>
            <w:r>
              <w:rPr>
                <w:rFonts w:ascii="Times New Roman" w:hAnsi="Times New Roman"/>
                <w:i/>
                <w:iCs/>
              </w:rPr>
              <w:t>L</w:t>
            </w:r>
            <w:r>
              <w:rPr>
                <w:rFonts w:ascii="Times New Roman" w:hAnsi="Times New Roman"/>
              </w:rPr>
              <w:t xml:space="preserve">, i.e. the eigenvectors corresponding to the smallest </w:t>
            </w:r>
            <w:r>
              <w:rPr>
                <w:rFonts w:ascii="Times New Roman" w:hAnsi="Times New Roman"/>
                <w:i/>
                <w:iCs/>
              </w:rPr>
              <w:t>k</w:t>
            </w:r>
            <w:r>
              <w:rPr>
                <w:rFonts w:ascii="Times New Roman" w:hAnsi="Times New Roman"/>
              </w:rPr>
              <w:t xml:space="preserve"> eigenvalues;</w:t>
            </w:r>
          </w:p>
          <w:p w14:paraId="36A83212" w14:textId="77777777" w:rsidR="00CF5AE2" w:rsidRDefault="009278B3">
            <w:pPr>
              <w:pStyle w:val="ListParagraph"/>
              <w:numPr>
                <w:ilvl w:val="0"/>
                <w:numId w:val="1"/>
              </w:numPr>
              <w:spacing w:after="0" w:line="240" w:lineRule="auto"/>
              <w:jc w:val="both"/>
            </w:pPr>
            <w:r>
              <w:rPr>
                <w:rFonts w:ascii="Times New Roman" w:hAnsi="Times New Roman"/>
              </w:rPr>
              <w:t xml:space="preserve">Storing these eigenvectors as columns of the </w:t>
            </w:r>
            <w:r>
              <w:rPr>
                <w:rFonts w:ascii="Times New Roman" w:hAnsi="Times New Roman"/>
                <w:i/>
                <w:iCs/>
              </w:rPr>
              <w:t>n x k</w:t>
            </w:r>
            <w:r>
              <w:rPr>
                <w:rFonts w:ascii="Times New Roman" w:hAnsi="Times New Roman"/>
              </w:rPr>
              <w:t xml:space="preserve"> matrix </w:t>
            </w:r>
            <w:proofErr w:type="gramStart"/>
            <w:r>
              <w:rPr>
                <w:rFonts w:ascii="Times New Roman" w:hAnsi="Times New Roman"/>
                <w:i/>
                <w:iCs/>
              </w:rPr>
              <w:t>U</w:t>
            </w:r>
            <w:r>
              <w:rPr>
                <w:rFonts w:ascii="Times New Roman" w:hAnsi="Times New Roman"/>
              </w:rPr>
              <w:t>;</w:t>
            </w:r>
            <w:proofErr w:type="gramEnd"/>
          </w:p>
          <w:p w14:paraId="6D95B3D4" w14:textId="77777777" w:rsidR="00CF5AE2" w:rsidRDefault="009278B3">
            <w:pPr>
              <w:pStyle w:val="ListParagraph"/>
              <w:numPr>
                <w:ilvl w:val="0"/>
                <w:numId w:val="1"/>
              </w:numPr>
              <w:spacing w:after="0" w:line="240" w:lineRule="auto"/>
              <w:jc w:val="both"/>
            </w:pPr>
            <w:r>
              <w:rPr>
                <w:rFonts w:ascii="Times New Roman" w:hAnsi="Times New Roman"/>
              </w:rPr>
              <w:t xml:space="preserve">Performing same search loop of </w:t>
            </w:r>
          </w:p>
          <w:p w14:paraId="2320C8C6" w14:textId="77777777" w:rsidR="00CF5AE2" w:rsidRDefault="009278B3">
            <w:pPr>
              <w:pStyle w:val="ListParagraph"/>
              <w:spacing w:after="0" w:line="240" w:lineRule="auto"/>
              <w:ind w:left="1440"/>
            </w:pPr>
            <w:r>
              <w:rPr>
                <w:rFonts w:ascii="Times New Roman" w:hAnsi="Times New Roman"/>
              </w:rPr>
              <w:t xml:space="preserve">K-means algorithm as previously discussed, over the rows of matrix </w:t>
            </w:r>
            <w:r>
              <w:rPr>
                <w:rFonts w:ascii="Times New Roman" w:hAnsi="Times New Roman"/>
                <w:i/>
                <w:iCs/>
              </w:rPr>
              <w:t>U</w:t>
            </w:r>
            <w:r>
              <w:rPr>
                <w:rFonts w:ascii="Times New Roman" w:hAnsi="Times New Roman"/>
              </w:rPr>
              <w:t>.</w:t>
            </w:r>
          </w:p>
        </w:tc>
      </w:tr>
      <w:tr w:rsidR="00CF5AE2" w14:paraId="0302F6AD" w14:textId="77777777" w:rsidTr="007B02B1">
        <w:trPr>
          <w:trHeight w:val="565"/>
        </w:trPr>
        <w:tc>
          <w:tcPr>
            <w:tcW w:w="1465" w:type="dxa"/>
            <w:vAlign w:val="center"/>
          </w:tcPr>
          <w:p w14:paraId="467E15BE" w14:textId="0A2264BB" w:rsidR="00CF5AE2" w:rsidRDefault="009278B3" w:rsidP="007B02B1">
            <w:pPr>
              <w:spacing w:line="276" w:lineRule="auto"/>
            </w:pPr>
            <w:proofErr w:type="gramStart"/>
            <w:r>
              <w:rPr>
                <w:rFonts w:ascii="Times New Roman" w:hAnsi="Times New Roman"/>
              </w:rPr>
              <w:t xml:space="preserve">Spectral  </w:t>
            </w:r>
            <w:r w:rsidR="00C719F8">
              <w:rPr>
                <w:rFonts w:ascii="Times New Roman" w:hAnsi="Times New Roman"/>
              </w:rPr>
              <w:t>Random</w:t>
            </w:r>
            <w:proofErr w:type="gramEnd"/>
            <w:r w:rsidR="00C719F8">
              <w:rPr>
                <w:rFonts w:ascii="Times New Roman" w:hAnsi="Times New Roman"/>
              </w:rPr>
              <w:t xml:space="preserve"> Walk</w:t>
            </w:r>
          </w:p>
        </w:tc>
        <w:tc>
          <w:tcPr>
            <w:tcW w:w="3405" w:type="dxa"/>
            <w:vAlign w:val="center"/>
          </w:tcPr>
          <w:p w14:paraId="6E14F941"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L</m:t>
                    </m:r>
                  </m:e>
                  <m:sub>
                    <m:r>
                      <w:rPr>
                        <w:rFonts w:ascii="Cambria Math" w:hAnsi="Cambria Math"/>
                      </w:rPr>
                      <m:t>rw</m:t>
                    </m:r>
                  </m:sub>
                </m:sSub>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-1</m:t>
                    </m:r>
                  </m:sup>
                </m:sSup>
                <m:r>
                  <w:rPr>
                    <w:rFonts w:ascii="Cambria Math" w:hAnsi="Cambria Math"/>
                  </w:rPr>
                  <m:t>∙L</m:t>
                </m:r>
              </m:oMath>
            </m:oMathPara>
          </w:p>
        </w:tc>
        <w:tc>
          <w:tcPr>
            <w:tcW w:w="4361" w:type="dxa"/>
          </w:tcPr>
          <w:p w14:paraId="35AB2DA6" w14:textId="478A6D1A" w:rsidR="00CF5AE2" w:rsidRDefault="009278B3">
            <w:r>
              <w:rPr>
                <w:rFonts w:ascii="Times New Roman" w:hAnsi="Times New Roman"/>
              </w:rPr>
              <w:t xml:space="preserve">Spectral alg. performed upon the normalized random walk Laplacian matrix, </w:t>
            </w:r>
            <w:proofErr w:type="spellStart"/>
            <w:r>
              <w:rPr>
                <w:rFonts w:ascii="Times New Roman" w:hAnsi="Times New Roman"/>
              </w:rPr>
              <w:t>L</w:t>
            </w:r>
            <w:r>
              <w:rPr>
                <w:rFonts w:ascii="Times New Roman" w:hAnsi="Times New Roman"/>
                <w:vertAlign w:val="subscript"/>
              </w:rPr>
              <w:t>rw</w:t>
            </w:r>
            <w:proofErr w:type="spellEnd"/>
            <w:r>
              <w:rPr>
                <w:rFonts w:ascii="Times New Roman" w:hAnsi="Times New Roman"/>
                <w:vertAlign w:val="subscript"/>
              </w:rPr>
              <w:t xml:space="preserve"> </w:t>
            </w:r>
            <w:r w:rsidR="00981EDA">
              <w:rPr>
                <w:rFonts w:ascii="Times New Roman" w:hAnsi="Times New Roman"/>
                <w:vertAlign w:val="subscript"/>
              </w:rPr>
              <w:fldChar w:fldCharType="begin"/>
            </w:r>
            <w:r w:rsidR="00981EDA">
              <w:rPr>
                <w:rFonts w:ascii="Times New Roman" w:hAnsi="Times New Roman"/>
                <w:vertAlign w:val="subscript"/>
              </w:rPr>
              <w:instrText xml:space="preserve"> ADDIN ZOTERO_ITEM CSL_CITATION {"citationID":"ZeEAWQsm","properties":{"formattedCitation":"(Di Nardo et al., 2017)","plainCitation":"(Di Nardo et al., 2017)","noteIndex":0},"citationItems":[{"id":1855,"uris":["http://zotero.org/users/8477693/items/5F2RWCUF"],"itemData":{"id":1855,"type":"article-journal","abstract":"In order to improve the management and to better locate water losses, Water Distribution Networks can be physically divided into District Meter Areas (DMAs), inserting hydraulic devices on proper pipes and thus simplifying the control of water budget and pressure regime. Traditionally, the water network division is based on empirical suggestions and on ‘trial and error’ approaches, checking results step by step through hydraulic simulation, and so making it very difficult to apply such approaches to large networks. Recently, some heuristic procedures, based on graph and network theory, have shown that it is possible to automatically identify optimal solutions in terms of number, shape and dimension of DMAs. In this paper, weighted spectral clustering methods have been used to define the optimal layout of districts in a real water distribution system, taking into account both geometric and hydraulic features, through weighted adjacency matrices. The obtained results confirm the feasibility of the use of spectral clustering to address the arduous problem of water supply network partitioning with an elegant mathematical approach compared to other heuristic procedures proposed in the literature. A comparison between different spectral clustering solutions has been carried out through topological and energy performance indices, in order to identify the optimal water network partitioning procedure.","container-title":"Applied Network Science","DOI":"10.1007/s41109-017-0033-4","ISSN":"2364-8228","issue":"1","journalAbbreviation":"Appl Netw Sci","language":"en","page":"19","source":"DOI.org (Crossref)","title":"Weighted spectral clustering for water distribution network partitioning","volume":"2","author":[{"family":"Di Nardo","given":"Armando"},{"family":"Di Natale","given":"Michele"},{"family":"Giudicianni","given":"Carlo"},{"family":"Greco","given":"Roberto"},{"family":"Santonastaso","given":"Giovanni Francesco"}],"issued":{"date-parts":[["2017",12]]}}}],"schema":"https://github.com/citation-style-language/schema/raw/master/csl-citation.json"} </w:instrText>
            </w:r>
            <w:r w:rsidR="00981EDA">
              <w:rPr>
                <w:rFonts w:ascii="Times New Roman" w:hAnsi="Times New Roman"/>
                <w:vertAlign w:val="subscript"/>
              </w:rPr>
              <w:fldChar w:fldCharType="separate"/>
            </w:r>
            <w:r w:rsidR="00981EDA" w:rsidRPr="00981EDA">
              <w:rPr>
                <w:rFonts w:ascii="Times New Roman" w:hAnsi="Times New Roman" w:cs="Times New Roman"/>
              </w:rPr>
              <w:t xml:space="preserve">(Di </w:t>
            </w:r>
            <w:proofErr w:type="spellStart"/>
            <w:r w:rsidR="00981EDA" w:rsidRPr="00981EDA">
              <w:rPr>
                <w:rFonts w:ascii="Times New Roman" w:hAnsi="Times New Roman" w:cs="Times New Roman"/>
              </w:rPr>
              <w:t>Nardo</w:t>
            </w:r>
            <w:proofErr w:type="spellEnd"/>
            <w:r w:rsidR="00981EDA" w:rsidRPr="00981EDA">
              <w:rPr>
                <w:rFonts w:ascii="Times New Roman" w:hAnsi="Times New Roman" w:cs="Times New Roman"/>
              </w:rPr>
              <w:t xml:space="preserve"> et al., 2017)</w:t>
            </w:r>
            <w:r w:rsidR="00981EDA">
              <w:rPr>
                <w:rFonts w:ascii="Times New Roman" w:hAnsi="Times New Roman"/>
                <w:vertAlign w:val="subscript"/>
              </w:rPr>
              <w:fldChar w:fldCharType="end"/>
            </w:r>
            <w:r>
              <w:rPr>
                <w:rFonts w:ascii="Times New Roman" w:hAnsi="Times New Roman"/>
              </w:rPr>
              <w:t>.</w:t>
            </w:r>
          </w:p>
        </w:tc>
      </w:tr>
      <w:tr w:rsidR="00CF5AE2" w14:paraId="6E5D9AFB" w14:textId="77777777" w:rsidTr="007B02B1">
        <w:trPr>
          <w:trHeight w:val="564"/>
        </w:trPr>
        <w:tc>
          <w:tcPr>
            <w:tcW w:w="1465" w:type="dxa"/>
            <w:vAlign w:val="center"/>
          </w:tcPr>
          <w:p w14:paraId="23BDF542" w14:textId="46DFE3C0" w:rsidR="00CF5AE2" w:rsidRDefault="009278B3" w:rsidP="007B02B1">
            <w:pPr>
              <w:spacing w:line="276" w:lineRule="auto"/>
              <w:rPr>
                <w:i/>
                <w:iCs/>
              </w:rPr>
            </w:pPr>
            <w:proofErr w:type="gramStart"/>
            <w:r>
              <w:rPr>
                <w:rFonts w:ascii="Times New Roman" w:hAnsi="Times New Roman"/>
              </w:rPr>
              <w:t xml:space="preserve">Spectral  </w:t>
            </w:r>
            <w:r w:rsidR="00C719F8">
              <w:rPr>
                <w:rFonts w:ascii="Times New Roman" w:hAnsi="Times New Roman"/>
              </w:rPr>
              <w:t>Symmetric</w:t>
            </w:r>
            <w:proofErr w:type="gramEnd"/>
          </w:p>
        </w:tc>
        <w:tc>
          <w:tcPr>
            <w:tcW w:w="3405" w:type="dxa"/>
            <w:vAlign w:val="center"/>
          </w:tcPr>
          <w:p w14:paraId="4976B77A"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L</m:t>
                    </m:r>
                  </m:e>
                  <m:sub>
                    <m:r>
                      <w:rPr>
                        <w:rFonts w:ascii="Cambria Math" w:hAnsi="Cambria Math"/>
                      </w:rPr>
                      <m:t>sym</m:t>
                    </m:r>
                  </m:sub>
                </m:sSub>
                <m:r>
                  <w:rPr>
                    <w:rFonts w:ascii="Cambria Math" w:hAnsi="Cambria Math"/>
                  </w:rPr>
                  <m:t>=</m:t>
                </m:r>
                <m:sSup>
                  <m:sSupPr>
                    <m:ctrlPr>
                      <w:rPr>
                        <w:rFonts w:ascii="Cambria Math" w:hAnsi="Cambria Math"/>
                      </w:rPr>
                    </m:ctrlPr>
                  </m:sSupPr>
                  <m:e>
                    <m:r>
                      <w:rPr>
                        <w:rFonts w:ascii="Cambria Math" w:hAnsi="Cambria Math"/>
                      </w:rPr>
                      <m:t>D</m:t>
                    </m:r>
                  </m:e>
                  <m:sup>
                    <m:f>
                      <m:fPr>
                        <m:type m:val="lin"/>
                        <m:ctrlPr>
                          <w:rPr>
                            <w:rFonts w:ascii="Cambria Math" w:hAnsi="Cambria Math"/>
                          </w:rPr>
                        </m:ctrlPr>
                      </m:fPr>
                      <m:num>
                        <m:r>
                          <w:rPr>
                            <w:rFonts w:ascii="Cambria Math" w:hAnsi="Cambria Math"/>
                          </w:rPr>
                          <m:t>-1</m:t>
                        </m:r>
                      </m:num>
                      <m:den>
                        <m:r>
                          <w:rPr>
                            <w:rFonts w:ascii="Cambria Math" w:hAnsi="Cambria Math"/>
                          </w:rPr>
                          <m:t>2</m:t>
                        </m:r>
                      </m:den>
                    </m:f>
                  </m:sup>
                </m:sSup>
                <m:r>
                  <w:rPr>
                    <w:rFonts w:ascii="Cambria Math" w:hAnsi="Cambria Math"/>
                  </w:rPr>
                  <m:t>∙L∙</m:t>
                </m:r>
                <m:sSup>
                  <m:sSupPr>
                    <m:ctrlPr>
                      <w:rPr>
                        <w:rFonts w:ascii="Cambria Math" w:hAnsi="Cambria Math"/>
                      </w:rPr>
                    </m:ctrlPr>
                  </m:sSupPr>
                  <m:e>
                    <m:r>
                      <w:rPr>
                        <w:rFonts w:ascii="Cambria Math" w:hAnsi="Cambria Math"/>
                      </w:rPr>
                      <m:t>D</m:t>
                    </m:r>
                  </m:e>
                  <m:sup>
                    <m:f>
                      <m:fPr>
                        <m:type m:val="lin"/>
                        <m:ctrlPr>
                          <w:rPr>
                            <w:rFonts w:ascii="Cambria Math" w:hAnsi="Cambria Math"/>
                          </w:rPr>
                        </m:ctrlPr>
                      </m:fPr>
                      <m:num>
                        <m:r>
                          <w:rPr>
                            <w:rFonts w:ascii="Cambria Math" w:hAnsi="Cambria Math"/>
                          </w:rPr>
                          <m:t>-1</m:t>
                        </m:r>
                      </m:num>
                      <m:den>
                        <m:r>
                          <w:rPr>
                            <w:rFonts w:ascii="Cambria Math" w:hAnsi="Cambria Math"/>
                          </w:rPr>
                          <m:t>2</m:t>
                        </m:r>
                      </m:den>
                    </m:f>
                  </m:sup>
                </m:sSup>
              </m:oMath>
            </m:oMathPara>
          </w:p>
        </w:tc>
        <w:tc>
          <w:tcPr>
            <w:tcW w:w="4361" w:type="dxa"/>
          </w:tcPr>
          <w:p w14:paraId="6A698D46" w14:textId="03A2F926" w:rsidR="00CF5AE2" w:rsidRDefault="009278B3">
            <w:r>
              <w:rPr>
                <w:rFonts w:ascii="Times New Roman" w:hAnsi="Times New Roman"/>
              </w:rPr>
              <w:t xml:space="preserve">Modified Spectral Alg., performed upon normalized symmetric Laplacian matrix, </w:t>
            </w:r>
            <w:proofErr w:type="spellStart"/>
            <w:r>
              <w:rPr>
                <w:rFonts w:ascii="Times New Roman" w:hAnsi="Times New Roman"/>
              </w:rPr>
              <w:t>L</w:t>
            </w:r>
            <w:r>
              <w:rPr>
                <w:rFonts w:ascii="Times New Roman" w:hAnsi="Times New Roman"/>
                <w:vertAlign w:val="subscript"/>
              </w:rPr>
              <w:t>sym</w:t>
            </w:r>
            <w:proofErr w:type="spellEnd"/>
            <w:r>
              <w:rPr>
                <w:rFonts w:ascii="Times New Roman" w:hAnsi="Times New Roman"/>
                <w:vertAlign w:val="subscript"/>
              </w:rPr>
              <w:t xml:space="preserve"> </w:t>
            </w:r>
            <w:r w:rsidR="00981EDA">
              <w:rPr>
                <w:rFonts w:ascii="Times New Roman" w:hAnsi="Times New Roman"/>
                <w:vertAlign w:val="subscript"/>
              </w:rPr>
              <w:fldChar w:fldCharType="begin"/>
            </w:r>
            <w:r w:rsidR="00981EDA">
              <w:rPr>
                <w:rFonts w:ascii="Times New Roman" w:hAnsi="Times New Roman"/>
                <w:vertAlign w:val="subscript"/>
              </w:rPr>
              <w:instrText xml:space="preserve"> ADDIN ZOTERO_ITEM CSL_CITATION {"citationID":"kTAd7EnR","properties":{"formattedCitation":"(Di Nardo et al., 2017)","plainCitation":"(Di Nardo et al., 2017)","noteIndex":0},"citationItems":[{"id":1855,"uris":["http://zotero.org/users/8477693/items/5F2RWCUF"],"itemData":{"id":1855,"type":"article-journal","abstract":"In order to improve the management and to better locate water losses, Water Distribution Networks can be physically divided into District Meter Areas (DMAs), inserting hydraulic devices on proper pipes and thus simplifying the control of water budget and pressure regime. Traditionally, the water network division is based on empirical suggestions and on ‘trial and error’ approaches, checking results step by step through hydraulic simulation, and so making it very difficult to apply such approaches to large networks. Recently, some heuristic procedures, based on graph and network theory, have shown that it is possible to automatically identify optimal solutions in terms of number, shape and dimension of DMAs. In this paper, weighted spectral clustering methods have been used to define the optimal layout of districts in a real water distribution system, taking into account both geometric and hydraulic features, through weighted adjacency matrices. The obtained results confirm the feasibility of the use of spectral clustering to address the arduous problem of water supply network partitioning with an elegant mathematical approach compared to other heuristic procedures proposed in the literature. A comparison between different spectral clustering solutions has been carried out through topological and energy performance indices, in order to identify the optimal water network partitioning procedure.","container-title":"Applied Network Science","DOI":"10.1007/s41109-017-0033-4","ISSN":"2364-8228","issue":"1","journalAbbreviation":"Appl Netw Sci","language":"en","page":"19","source":"DOI.org (Crossref)","title":"Weighted spectral clustering for water distribution network partitioning","volume":"2","author":[{"family":"Di Nardo","given":"Armando"},{"family":"Di Natale","given":"Michele"},{"family":"Giudicianni","given":"Carlo"},{"family":"Greco","given":"Roberto"},{"family":"Santonastaso","given":"Giovanni Francesco"}],"issued":{"date-parts":[["2017",12]]}}}],"schema":"https://github.com/citation-style-language/schema/raw/master/csl-citation.json"} </w:instrText>
            </w:r>
            <w:r w:rsidR="00981EDA">
              <w:rPr>
                <w:rFonts w:ascii="Times New Roman" w:hAnsi="Times New Roman"/>
                <w:vertAlign w:val="subscript"/>
              </w:rPr>
              <w:fldChar w:fldCharType="separate"/>
            </w:r>
            <w:r w:rsidR="00981EDA" w:rsidRPr="00981EDA">
              <w:rPr>
                <w:rFonts w:ascii="Times New Roman" w:hAnsi="Times New Roman" w:cs="Times New Roman"/>
              </w:rPr>
              <w:t xml:space="preserve">(Di </w:t>
            </w:r>
            <w:proofErr w:type="spellStart"/>
            <w:r w:rsidR="00981EDA" w:rsidRPr="00981EDA">
              <w:rPr>
                <w:rFonts w:ascii="Times New Roman" w:hAnsi="Times New Roman" w:cs="Times New Roman"/>
              </w:rPr>
              <w:t>Nardo</w:t>
            </w:r>
            <w:proofErr w:type="spellEnd"/>
            <w:r w:rsidR="00981EDA" w:rsidRPr="00981EDA">
              <w:rPr>
                <w:rFonts w:ascii="Times New Roman" w:hAnsi="Times New Roman" w:cs="Times New Roman"/>
              </w:rPr>
              <w:t xml:space="preserve"> et al., 2017)</w:t>
            </w:r>
            <w:r w:rsidR="00981EDA">
              <w:rPr>
                <w:rFonts w:ascii="Times New Roman" w:hAnsi="Times New Roman"/>
                <w:vertAlign w:val="subscript"/>
              </w:rPr>
              <w:fldChar w:fldCharType="end"/>
            </w:r>
            <w:r>
              <w:rPr>
                <w:rFonts w:ascii="Times New Roman" w:hAnsi="Times New Roman"/>
              </w:rPr>
              <w:t>.</w:t>
            </w:r>
          </w:p>
        </w:tc>
      </w:tr>
    </w:tbl>
    <w:p w14:paraId="269DEA7E" w14:textId="77777777" w:rsidR="00CF5AE2" w:rsidRDefault="00CF5AE2"/>
    <w:p w14:paraId="1339A1D1" w14:textId="77777777" w:rsidR="00CF5AE2" w:rsidRPr="00A73B12" w:rsidRDefault="009278B3">
      <w:pPr>
        <w:rPr>
          <w:sz w:val="20"/>
          <w:szCs w:val="20"/>
        </w:rPr>
      </w:pPr>
      <w:r w:rsidRPr="00A73B12">
        <w:rPr>
          <w:sz w:val="20"/>
          <w:szCs w:val="20"/>
        </w:rPr>
        <w:t xml:space="preserve">Table S2. Centrality measures </w:t>
      </w:r>
      <w:r w:rsidRPr="00A73B12">
        <w:rPr>
          <w:rFonts w:ascii="Times New Roman" w:hAnsi="Times New Roman"/>
          <w:sz w:val="20"/>
          <w:szCs w:val="20"/>
        </w:rPr>
        <w:t>used for graph-based monitoring location identification.</w:t>
      </w:r>
    </w:p>
    <w:tbl>
      <w:tblPr>
        <w:tblStyle w:val="TableGrid"/>
        <w:tblW w:w="9231" w:type="dxa"/>
        <w:tblLook w:val="04A0" w:firstRow="1" w:lastRow="0" w:firstColumn="1" w:lastColumn="0" w:noHBand="0" w:noVBand="1"/>
      </w:tblPr>
      <w:tblGrid>
        <w:gridCol w:w="2829"/>
        <w:gridCol w:w="2920"/>
        <w:gridCol w:w="3482"/>
      </w:tblGrid>
      <w:tr w:rsidR="00CF5AE2" w14:paraId="2CCA28FA" w14:textId="77777777" w:rsidTr="007B02B1">
        <w:tc>
          <w:tcPr>
            <w:tcW w:w="2829" w:type="dxa"/>
          </w:tcPr>
          <w:p w14:paraId="250191B0" w14:textId="77777777" w:rsidR="00CF5AE2" w:rsidRDefault="009278B3">
            <w:pPr>
              <w:spacing w:line="276" w:lineRule="auto"/>
              <w:jc w:val="center"/>
              <w:rPr>
                <w:i/>
                <w:iCs/>
              </w:rPr>
            </w:pPr>
            <w:r>
              <w:rPr>
                <w:rFonts w:ascii="Times New Roman" w:hAnsi="Times New Roman"/>
              </w:rPr>
              <w:t>Measure</w:t>
            </w:r>
          </w:p>
        </w:tc>
        <w:tc>
          <w:tcPr>
            <w:tcW w:w="2920" w:type="dxa"/>
          </w:tcPr>
          <w:p w14:paraId="483EE0B5" w14:textId="77777777" w:rsidR="00CF5AE2" w:rsidRDefault="009278B3">
            <w:pPr>
              <w:spacing w:line="276" w:lineRule="auto"/>
              <w:jc w:val="center"/>
              <w:rPr>
                <w:i/>
                <w:iCs/>
              </w:rPr>
            </w:pPr>
            <w:r>
              <w:rPr>
                <w:rFonts w:ascii="Times New Roman" w:hAnsi="Times New Roman"/>
              </w:rPr>
              <w:t>Formula</w:t>
            </w:r>
          </w:p>
        </w:tc>
        <w:tc>
          <w:tcPr>
            <w:tcW w:w="3482" w:type="dxa"/>
          </w:tcPr>
          <w:p w14:paraId="2F3F5C71" w14:textId="77777777" w:rsidR="00CF5AE2" w:rsidRDefault="009278B3">
            <w:pPr>
              <w:spacing w:line="276" w:lineRule="auto"/>
              <w:jc w:val="center"/>
              <w:rPr>
                <w:i/>
                <w:iCs/>
              </w:rPr>
            </w:pPr>
            <w:r>
              <w:rPr>
                <w:rFonts w:ascii="Times New Roman" w:hAnsi="Times New Roman"/>
              </w:rPr>
              <w:t>Theoretic Principle</w:t>
            </w:r>
          </w:p>
        </w:tc>
      </w:tr>
      <w:tr w:rsidR="00CF5AE2" w14:paraId="32DACDF6" w14:textId="77777777" w:rsidTr="007B02B1">
        <w:trPr>
          <w:trHeight w:val="1128"/>
        </w:trPr>
        <w:tc>
          <w:tcPr>
            <w:tcW w:w="2829" w:type="dxa"/>
            <w:vAlign w:val="center"/>
          </w:tcPr>
          <w:p w14:paraId="6292D510" w14:textId="77777777" w:rsidR="00CF5AE2" w:rsidRDefault="009278B3" w:rsidP="007B02B1">
            <w:pPr>
              <w:spacing w:line="276" w:lineRule="auto"/>
            </w:pPr>
            <w:r>
              <w:rPr>
                <w:rFonts w:ascii="Times New Roman" w:hAnsi="Times New Roman"/>
              </w:rPr>
              <w:t>Closeness Centrality</w:t>
            </w:r>
          </w:p>
        </w:tc>
        <w:tc>
          <w:tcPr>
            <w:tcW w:w="2920" w:type="dxa"/>
            <w:vAlign w:val="center"/>
          </w:tcPr>
          <w:p w14:paraId="3604A346"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C</m:t>
                    </m:r>
                  </m:e>
                  <m:sub>
                    <m:r>
                      <w:rPr>
                        <w:rFonts w:ascii="Cambria Math" w:hAnsi="Cambria Math"/>
                      </w:rPr>
                      <m:t>C</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rPr>
                    </m:ctrlPr>
                  </m:fPr>
                  <m:num>
                    <m:r>
                      <w:rPr>
                        <w:rFonts w:ascii="Cambria Math" w:hAnsi="Cambria Math"/>
                      </w:rPr>
                      <m:t>1</m:t>
                    </m:r>
                  </m:num>
                  <m:den>
                    <m:nary>
                      <m:naryPr>
                        <m:chr m:val="∑"/>
                        <m:ctrlPr>
                          <w:rPr>
                            <w:rFonts w:ascii="Cambria Math" w:hAnsi="Cambria Math"/>
                          </w:rPr>
                        </m:ctrlPr>
                      </m:naryPr>
                      <m:sub>
                        <m:sSub>
                          <m:sSubPr>
                            <m:ctrlPr>
                              <w:rPr>
                                <w:rFonts w:ascii="Cambria Math" w:hAnsi="Cambria Math"/>
                              </w:rPr>
                            </m:ctrlPr>
                          </m:sSubPr>
                          <m:e>
                            <m:r>
                              <w:rPr>
                                <w:rFonts w:ascii="Cambria Math" w:hAnsi="Cambria Math"/>
                              </w:rPr>
                              <m:t>v</m:t>
                            </m:r>
                          </m:e>
                          <m:sub>
                            <m:r>
                              <w:rPr>
                                <w:rFonts w:ascii="Cambria Math" w:hAnsi="Cambria Math"/>
                              </w:rPr>
                              <m:t>j</m:t>
                            </m:r>
                          </m:sub>
                        </m:sSub>
                        <m:r>
                          <w:rPr>
                            <w:rFonts w:ascii="Cambria Math" w:hAnsi="Cambria Math"/>
                          </w:rPr>
                          <m:t>∊G</m:t>
                        </m:r>
                      </m:sub>
                      <m:sup>
                        <m:r>
                          <w:rPr>
                            <w:rFonts w:ascii="Cambria Math" w:hAnsi="Cambria Math"/>
                          </w:rPr>
                          <m:t>n-1</m:t>
                        </m:r>
                      </m:sup>
                      <m:e>
                        <m:r>
                          <w:rPr>
                            <w:rFonts w:ascii="Cambria Math" w:hAnsi="Cambria Math"/>
                          </w:rPr>
                          <m:t>d</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j</m:t>
                                </m:r>
                              </m:sub>
                            </m:sSub>
                          </m:e>
                        </m:d>
                      </m:e>
                    </m:nary>
                  </m:den>
                </m:f>
              </m:oMath>
            </m:oMathPara>
          </w:p>
          <w:p w14:paraId="6AF893D0" w14:textId="77777777" w:rsidR="00CF5AE2" w:rsidRDefault="00CF5AE2" w:rsidP="007B02B1">
            <w:pPr>
              <w:spacing w:line="276" w:lineRule="auto"/>
            </w:pPr>
          </w:p>
        </w:tc>
        <w:tc>
          <w:tcPr>
            <w:tcW w:w="3482" w:type="dxa"/>
          </w:tcPr>
          <w:p w14:paraId="5D4B752B" w14:textId="2224D5DF" w:rsidR="00CF5AE2" w:rsidRDefault="009278B3">
            <w:pPr>
              <w:spacing w:line="276" w:lineRule="auto"/>
            </w:pPr>
            <w:r>
              <w:rPr>
                <w:rFonts w:ascii="Times New Roman" w:hAnsi="Times New Roman"/>
              </w:rPr>
              <w:t xml:space="preserve">Reciprocal of the sum of shortest paths lengths connecting the vertex </w:t>
            </w:r>
            <w:r>
              <w:rPr>
                <w:rFonts w:ascii="Times New Roman" w:hAnsi="Times New Roman"/>
                <w:i/>
                <w:iCs/>
              </w:rPr>
              <w:t>v</w:t>
            </w:r>
            <w:r>
              <w:rPr>
                <w:rFonts w:ascii="Times New Roman" w:hAnsi="Times New Roman"/>
                <w:i/>
                <w:iCs/>
                <w:vertAlign w:val="subscript"/>
              </w:rPr>
              <w:t>i</w:t>
            </w:r>
            <w:r>
              <w:rPr>
                <w:rFonts w:ascii="Times New Roman" w:hAnsi="Times New Roman"/>
                <w:i/>
                <w:iCs/>
              </w:rPr>
              <w:t xml:space="preserve"> </w:t>
            </w:r>
            <w:r>
              <w:rPr>
                <w:rFonts w:ascii="Times New Roman" w:hAnsi="Times New Roman"/>
              </w:rPr>
              <w:t xml:space="preserve">to all others </w:t>
            </w:r>
            <w:r>
              <w:rPr>
                <w:rFonts w:ascii="Times New Roman" w:hAnsi="Times New Roman"/>
              </w:rPr>
              <w:fldChar w:fldCharType="begin"/>
            </w:r>
            <w:r>
              <w:rPr>
                <w:rFonts w:ascii="Times New Roman" w:hAnsi="Times New Roman"/>
              </w:rPr>
              <w:instrText xml:space="preserve"> ADDIN ZOTERO_ITEM CSL_CITATION {"citationID":"vnfaPdyg","properties":{"formattedCitation":"(Freeman, 1978)","plainCitation":"(Freeman, 1978)","noteIndex":0},"citationItems":[{"id":1847,"uris":["http://zotero.org/users/8477693/items/7R6IP4C8"],"itemData":{"id":1847,"type":"article-journal","container-title":"Social Networks","DOI":"10.1016/0378-8733(78)90021-7","ISSN":"03788733","issue":"3","journalAbbreviation":"Social Networks","language":"en","page":"215-239","source":"DOI.org (Crossref)","title":"Centrality in social networks conceptual clarification","volume":"1","author":[{"family":"Freeman","given":"Linton C."}],"issued":{"date-parts":[["1978",1]]}}}],"schema":"https://github.com/citation-style-language/schema/raw/master/csl-citation.json"}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(Freeman, 1978)</w:t>
            </w:r>
            <w:r>
              <w:rPr>
                <w:rFonts w:ascii="Times New Roman" w:hAnsi="Times New Roman"/>
              </w:rPr>
              <w:fldChar w:fldCharType="end"/>
            </w:r>
            <w:r>
              <w:rPr>
                <w:rFonts w:ascii="Times New Roman" w:hAnsi="Times New Roman"/>
              </w:rPr>
              <w:t>.</w:t>
            </w:r>
          </w:p>
        </w:tc>
      </w:tr>
      <w:tr w:rsidR="00CF5AE2" w14:paraId="0B89886B" w14:textId="77777777" w:rsidTr="007B02B1">
        <w:trPr>
          <w:trHeight w:val="1128"/>
        </w:trPr>
        <w:tc>
          <w:tcPr>
            <w:tcW w:w="2829" w:type="dxa"/>
            <w:vAlign w:val="center"/>
          </w:tcPr>
          <w:p w14:paraId="0F1C19F5" w14:textId="77777777" w:rsidR="00CF5AE2" w:rsidRDefault="009278B3" w:rsidP="007B02B1">
            <w:pPr>
              <w:spacing w:line="276" w:lineRule="auto"/>
            </w:pPr>
            <w:r>
              <w:rPr>
                <w:rFonts w:ascii="Times New Roman" w:hAnsi="Times New Roman"/>
              </w:rPr>
              <w:t>Harmonic Centrality</w:t>
            </w:r>
          </w:p>
        </w:tc>
        <w:tc>
          <w:tcPr>
            <w:tcW w:w="2920" w:type="dxa"/>
            <w:vAlign w:val="center"/>
          </w:tcPr>
          <w:p w14:paraId="441C7956" w14:textId="77777777" w:rsidR="00CF5AE2" w:rsidRDefault="00847596" w:rsidP="007B02B1">
            <w:pPr>
              <w:shd w:val="clear" w:color="auto" w:fill="FFFFFF"/>
              <w:spacing w:beforeAutospacing="1" w:line="276" w:lineRule="auto"/>
              <w:rPr>
                <w:rFonts w:ascii="Arial" w:hAnsi="Arial" w:cs="Arial"/>
                <w:color w:val="212529"/>
              </w:rPr>
            </w:pPr>
            <m:oMathPara>
              <m:oMath>
                <m:sSub>
                  <m:sSubPr>
                    <m:ctrlPr>
                      <w:rPr>
                        <w:rFonts w:ascii="Cambria Math" w:hAnsi="Cambria Math"/>
                      </w:rPr>
                    </m:ctrlPr>
                  </m:sSubPr>
                  <m:e>
                    <m:r>
                      <w:rPr>
                        <w:rFonts w:ascii="Cambria Math" w:hAnsi="Cambria Math"/>
                      </w:rPr>
                      <m:t>C</m:t>
                    </m:r>
                  </m:e>
                  <m:sub>
                    <m:r>
                      <w:rPr>
                        <w:rFonts w:ascii="Cambria Math" w:hAnsi="Cambria Math"/>
                      </w:rPr>
                      <m:t>H</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nary>
                  <m:naryPr>
                    <m:chr m:val="∑"/>
                    <m:ctrlPr>
                      <w:rPr>
                        <w:rFonts w:ascii="Cambria Math" w:hAnsi="Cambria Math"/>
                      </w:rPr>
                    </m:ctrlPr>
                  </m:naryPr>
                  <m:sub>
                    <m:sSub>
                      <m:sSubPr>
                        <m:ctrlPr>
                          <w:rPr>
                            <w:rFonts w:ascii="Cambria Math" w:hAnsi="Cambria Math"/>
                          </w:rPr>
                        </m:ctrlPr>
                      </m:sSubPr>
                      <m:e>
                        <m:r>
                          <w:rPr>
                            <w:rFonts w:ascii="Cambria Math" w:hAnsi="Cambria Math"/>
                          </w:rPr>
                          <m:t>v</m:t>
                        </m:r>
                      </m:e>
                      <m:sub>
                        <m:r>
                          <w:rPr>
                            <w:rFonts w:ascii="Cambria Math" w:hAnsi="Cambria Math"/>
                          </w:rPr>
                          <m:t>j</m:t>
                        </m:r>
                      </m:sub>
                    </m:sSub>
                    <m:r>
                      <w:rPr>
                        <w:rFonts w:ascii="Cambria Math" w:hAnsi="Cambria Math"/>
                      </w:rPr>
                      <m:t>∈G</m:t>
                    </m:r>
                  </m:sub>
                  <m:sup>
                    <m:r>
                      <w:rPr>
                        <w:rFonts w:ascii="Cambria Math" w:hAnsi="Cambria Math"/>
                      </w:rPr>
                      <m:t>n-1</m:t>
                    </m:r>
                  </m:sup>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d</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j</m:t>
                                    </m:r>
                                  </m:sub>
                                </m:sSub>
                              </m:e>
                            </m:d>
                          </m:den>
                        </m:f>
                      </m:e>
                    </m:d>
                  </m:e>
                </m:nary>
              </m:oMath>
            </m:oMathPara>
          </w:p>
        </w:tc>
        <w:tc>
          <w:tcPr>
            <w:tcW w:w="3482" w:type="dxa"/>
          </w:tcPr>
          <w:p w14:paraId="1367ADF7" w14:textId="211D13C1" w:rsidR="00CF5AE2" w:rsidRDefault="009278B3">
            <w:pPr>
              <w:spacing w:line="276" w:lineRule="auto"/>
            </w:pPr>
            <w:r>
              <w:rPr>
                <w:rFonts w:ascii="Times New Roman" w:hAnsi="Times New Roman"/>
              </w:rPr>
              <w:t xml:space="preserve">Sum of the reciprocal of shortest paths lengths connecting the vertex </w:t>
            </w:r>
            <w:r>
              <w:rPr>
                <w:rFonts w:ascii="Times New Roman" w:hAnsi="Times New Roman"/>
                <w:i/>
                <w:iCs/>
              </w:rPr>
              <w:t>v</w:t>
            </w:r>
            <w:r>
              <w:rPr>
                <w:rFonts w:ascii="Times New Roman" w:hAnsi="Times New Roman"/>
                <w:i/>
                <w:iCs/>
                <w:vertAlign w:val="subscript"/>
              </w:rPr>
              <w:t>i</w:t>
            </w:r>
            <w:r>
              <w:rPr>
                <w:rFonts w:ascii="Times New Roman" w:hAnsi="Times New Roman"/>
                <w:i/>
                <w:iCs/>
              </w:rPr>
              <w:t xml:space="preserve"> </w:t>
            </w:r>
            <w:r>
              <w:rPr>
                <w:rFonts w:ascii="Times New Roman" w:hAnsi="Times New Roman"/>
              </w:rPr>
              <w:t xml:space="preserve">to all others </w:t>
            </w:r>
            <w:r>
              <w:rPr>
                <w:rFonts w:ascii="Times New Roman" w:hAnsi="Times New Roman"/>
              </w:rPr>
              <w:fldChar w:fldCharType="begin"/>
            </w:r>
            <w:r>
              <w:rPr>
                <w:rFonts w:ascii="Times New Roman" w:hAnsi="Times New Roman"/>
              </w:rPr>
              <w:instrText xml:space="preserve"> ADDIN ZOTERO_ITEM CSL_CITATION {"citationID":"1WXY2Wx3","properties":{"formattedCitation":"(Marchiori and Latora, 2000)","plainCitation":"(Marchiori and Latora, 2000)","noteIndex":0},"citationItems":[{"id":1845,"uris":["http://zotero.org/users/8477693/items/3GJU2BMD"],"itemData":{"id":1845,"type":"article-journal","abstract":"The small-world phenomenon, popularly known as six degrees of separation, has been mathematically formalized by Watts and Strogatz in a study of the topological properties of a network. Small-world networks are deÿned in terms of two quantities: they have a high clustering coe cient C like regular lattices and a short characteristic path length L typical of random networks. Physical distances are of fundamental importance in applications to real cases; nevertheless, this basic ingredient is missing in the original formulation. Here, we introduce a new concept, the connectivity length D, that gives harmony to the whole theory. D can be evaluated on a global and on a local scale and plays in turn the role of L and 1=C. Moreover, it can be computed for any metrical network and not only for the topological cases. D has a precise meaning in terms of information propagation and describes in a uniÿed way, both the structural and the dynamical aspects of a network: small-worlds are deÿned by a small global and local D, i.e., by a high e ciency in propagating information both on a local and global scale. The neural system of the nematode C. elegans, the collaboration graph of ÿlm actors, and the oldest US subway system, can now be studied also as metrical networks and are shown to be small-worlds. c 2000 Elsevier Science B.V. All rights reserved.","container-title":"Physica A: Statistical Mechanics and its Applications","DOI":"10.1016/S0378-4371(00)00311-3","ISSN":"03784371","issue":"3-4","journalAbbreviation":"Physica A: Statistical Mechanics and its Applications","language":"en","page":"539-546","source":"DOI.org (Crossref)","title":"Harmony in the small-world","volume":"285","author":[{"family":"Marchiori","given":"Massimo"},{"family":"Latora","given":"Vito"}],"issued":{"date-parts":[["2000",10]]}}}],"schema":"https://github.com/citation-style-language/schema/raw/master/csl-citation.json"}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(Marchiori and Latora, 2000)</w:t>
            </w:r>
            <w:r>
              <w:rPr>
                <w:rFonts w:ascii="Times New Roman" w:hAnsi="Times New Roman"/>
              </w:rPr>
              <w:fldChar w:fldCharType="end"/>
            </w:r>
            <w:r>
              <w:rPr>
                <w:rFonts w:ascii="Times New Roman" w:hAnsi="Times New Roman"/>
              </w:rPr>
              <w:t>.</w:t>
            </w:r>
          </w:p>
        </w:tc>
      </w:tr>
      <w:tr w:rsidR="00CF5AE2" w14:paraId="4C70DE97" w14:textId="77777777" w:rsidTr="007B02B1">
        <w:trPr>
          <w:trHeight w:val="1400"/>
        </w:trPr>
        <w:tc>
          <w:tcPr>
            <w:tcW w:w="2829" w:type="dxa"/>
            <w:vAlign w:val="center"/>
          </w:tcPr>
          <w:p w14:paraId="36432060" w14:textId="77777777" w:rsidR="00CF5AE2" w:rsidRDefault="009278B3" w:rsidP="007B02B1">
            <w:pPr>
              <w:spacing w:line="276" w:lineRule="auto"/>
            </w:pPr>
            <w:r>
              <w:rPr>
                <w:rFonts w:ascii="Times New Roman" w:hAnsi="Times New Roman"/>
              </w:rPr>
              <w:t>Betweenness Centrality</w:t>
            </w:r>
          </w:p>
        </w:tc>
        <w:tc>
          <w:tcPr>
            <w:tcW w:w="2920" w:type="dxa"/>
            <w:vAlign w:val="center"/>
          </w:tcPr>
          <w:p w14:paraId="483DE2DC" w14:textId="77777777" w:rsidR="00CF5AE2" w:rsidRDefault="00847596" w:rsidP="007B02B1">
            <w:pPr>
              <w:spacing w:line="276" w:lineRule="auto"/>
              <w:rPr>
                <w:rFonts w:eastAsiaTheme="minorEastAsia"/>
              </w:rPr>
            </w:pPr>
            <m:oMathPara>
              <m:oMath>
                <m:sSub>
                  <m:sSubPr>
                    <m:ctrlPr>
                      <w:rPr>
                        <w:rFonts w:ascii="Cambria Math" w:hAnsi="Cambria Math"/>
                      </w:rPr>
                    </m:ctrlPr>
                  </m:sSubPr>
                  <m:e>
                    <m:r>
                      <w:rPr>
                        <w:rFonts w:ascii="Cambria Math" w:hAnsi="Cambria Math"/>
                      </w:rPr>
                      <m:t>C</m:t>
                    </m:r>
                  </m:e>
                  <m:sub>
                    <m:r>
                      <w:rPr>
                        <w:rFonts w:ascii="Cambria Math" w:hAnsi="Cambria Math"/>
                      </w:rPr>
                      <m:t>B</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nary>
                  <m:naryPr>
                    <m:chr m:val="∑"/>
                    <m:supHide m:val="1"/>
                    <m:ctrlPr>
                      <w:rPr>
                        <w:rFonts w:ascii="Cambria Math" w:hAnsi="Cambria Math"/>
                      </w:rPr>
                    </m:ctrlPr>
                  </m:naryPr>
                  <m: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e>
                    </m:d>
                    <m:r>
                      <w:rPr>
                        <w:rFonts w:ascii="Cambria Math" w:hAnsi="Cambria Math"/>
                      </w:rPr>
                      <m:t>∈G</m:t>
                    </m:r>
                  </m:sub>
                  <m:sup/>
                  <m:e>
                    <m:f>
                      <m:fPr>
                        <m:ctrlPr>
                          <w:rPr>
                            <w:rFonts w:ascii="Cambria Math" w:hAnsi="Cambria Math"/>
                          </w:rPr>
                        </m:ctrlPr>
                      </m:fPr>
                      <m:num>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v</m:t>
                                </m:r>
                              </m:e>
                              <m:sub>
                                <m:r>
                                  <w:rPr>
                                    <w:rFonts w:ascii="Cambria Math" w:hAnsi="Cambria Math"/>
                                  </w:rPr>
                                  <m:t>k</m:t>
                                </m:r>
                              </m:sub>
                            </m:sSub>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num>
                      <m:den>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v</m:t>
                                </m:r>
                              </m:e>
                              <m:sub>
                                <m:r>
                                  <w:rPr>
                                    <w:rFonts w:ascii="Cambria Math" w:hAnsi="Cambria Math"/>
                                  </w:rPr>
                                  <m:t>k</m:t>
                                </m:r>
                              </m:sub>
                            </m:sSub>
                          </m:sub>
                        </m:sSub>
                      </m:den>
                    </m:f>
                  </m:e>
                </m:nary>
              </m:oMath>
            </m:oMathPara>
          </w:p>
        </w:tc>
        <w:tc>
          <w:tcPr>
            <w:tcW w:w="3482" w:type="dxa"/>
          </w:tcPr>
          <w:p w14:paraId="0934DF8D" w14:textId="5C23901F" w:rsidR="00CF5AE2" w:rsidRDefault="009278B3">
            <w:pPr>
              <w:spacing w:line="276" w:lineRule="auto"/>
            </w:pPr>
            <w:r>
              <w:rPr>
                <w:rFonts w:ascii="Times New Roman" w:hAnsi="Times New Roman"/>
              </w:rPr>
              <w:t xml:space="preserve">Number of shortest paths passing through vertex </w:t>
            </w:r>
            <w:r>
              <w:rPr>
                <w:rFonts w:ascii="Times New Roman" w:hAnsi="Times New Roman"/>
                <w:i/>
                <w:iCs/>
              </w:rPr>
              <w:t>v</w:t>
            </w:r>
            <w:r>
              <w:rPr>
                <w:rFonts w:ascii="Times New Roman" w:hAnsi="Times New Roman"/>
                <w:i/>
                <w:iCs/>
                <w:vertAlign w:val="subscript"/>
              </w:rPr>
              <w:t>i</w:t>
            </w:r>
            <w:r>
              <w:rPr>
                <w:rFonts w:ascii="Times New Roman" w:hAnsi="Times New Roman"/>
              </w:rPr>
              <w:t xml:space="preserve">, divided by total number of shortest paths </w:t>
            </w:r>
            <w:r>
              <w:rPr>
                <w:rFonts w:ascii="Times New Roman" w:hAnsi="Times New Roman"/>
              </w:rPr>
              <w:fldChar w:fldCharType="begin"/>
            </w:r>
            <w:r>
              <w:rPr>
                <w:rFonts w:ascii="Times New Roman" w:hAnsi="Times New Roman"/>
              </w:rPr>
              <w:instrText xml:space="preserve"> ADDIN ZOTERO_ITEM CSL_CITATION {"citationID":"LE0ov4SK","properties":{"formattedCitation":"(Freeman, 1977)","plainCitation":"(Freeman, 1977)","noteIndex":0},"citationItems":[{"id":1848,"uris":["http://zotero.org/users/8477693/items/2T75VEYH"],"itemData":{"id":1848,"type":"article-journal","container-title":"Sociometry","DOI":"10.2307/3033543","ISSN":"00380431","issue":"1","journalAbbreviation":"Sociometry","language":"en","page":"35","source":"DOI.org (Crossref)","title":"A Set of Measures of Centrality Based on Betweenness","volume":"40","author":[{"family":"Freeman","given":"Linton C."}],"issued":{"date-parts":[["1977",3]]}}}],"schema":"https://github.com/citation-style-language/schema/raw/master/csl-citation.json"}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(Freeman, 1977)</w:t>
            </w:r>
            <w:r>
              <w:rPr>
                <w:rFonts w:ascii="Times New Roman" w:hAnsi="Times New Roman"/>
              </w:rPr>
              <w:fldChar w:fldCharType="end"/>
            </w:r>
            <w:r>
              <w:rPr>
                <w:rFonts w:ascii="Times New Roman" w:hAnsi="Times New Roman"/>
              </w:rPr>
              <w:t>.</w:t>
            </w:r>
          </w:p>
        </w:tc>
      </w:tr>
      <w:tr w:rsidR="00CF5AE2" w14:paraId="68EAD2C8" w14:textId="77777777" w:rsidTr="007B02B1">
        <w:trPr>
          <w:trHeight w:val="1206"/>
        </w:trPr>
        <w:tc>
          <w:tcPr>
            <w:tcW w:w="2829" w:type="dxa"/>
            <w:vAlign w:val="center"/>
          </w:tcPr>
          <w:p w14:paraId="211833CE" w14:textId="77777777" w:rsidR="00CF5AE2" w:rsidRDefault="009278B3" w:rsidP="007B02B1">
            <w:pPr>
              <w:spacing w:line="276" w:lineRule="auto"/>
            </w:pPr>
            <w:r>
              <w:rPr>
                <w:rFonts w:ascii="Times New Roman" w:hAnsi="Times New Roman"/>
              </w:rPr>
              <w:t>Degree Centrality</w:t>
            </w:r>
          </w:p>
        </w:tc>
        <w:tc>
          <w:tcPr>
            <w:tcW w:w="2920" w:type="dxa"/>
            <w:vAlign w:val="center"/>
          </w:tcPr>
          <w:p w14:paraId="38881D5C"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C</m:t>
                    </m:r>
                  </m:e>
                  <m:sub>
                    <m:r>
                      <w:rPr>
                        <w:rFonts w:ascii="Cambria Math" w:hAnsi="Cambria Math"/>
                      </w:rPr>
                      <m:t>D</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n-1</m:t>
                    </m:r>
                  </m:sup>
                  <m:e>
                    <m:sSub>
                      <m:sSubPr>
                        <m:ctrlPr>
                          <w:rPr>
                            <w:rFonts w:ascii="Cambria Math" w:hAnsi="Cambria Math"/>
                          </w:rPr>
                        </m:ctrlPr>
                      </m:sSubPr>
                      <m:e>
                        <m:r>
                          <w:rPr>
                            <w:rFonts w:ascii="Cambria Math" w:hAnsi="Cambria Math"/>
                          </w:rPr>
                          <m:t>w</m:t>
                        </m:r>
                      </m:e>
                      <m:sub>
                        <m:r>
                          <w:rPr>
                            <w:rFonts w:ascii="Cambria Math" w:hAnsi="Cambria Math"/>
                          </w:rPr>
                          <m:t>ij</m:t>
                        </m:r>
                      </m:sub>
                    </m:sSub>
                  </m:e>
                </m:nary>
              </m:oMath>
            </m:oMathPara>
          </w:p>
        </w:tc>
        <w:tc>
          <w:tcPr>
            <w:tcW w:w="3482" w:type="dxa"/>
          </w:tcPr>
          <w:p w14:paraId="58DB1CC0" w14:textId="453B9B22" w:rsidR="00CF5AE2" w:rsidRDefault="009278B3">
            <w:pPr>
              <w:spacing w:line="276" w:lineRule="auto"/>
            </w:pPr>
            <w:r>
              <w:rPr>
                <w:rFonts w:ascii="Times New Roman" w:hAnsi="Times New Roman"/>
              </w:rPr>
              <w:t xml:space="preserve">Sum of the weights of the edges incident to vertex </w:t>
            </w:r>
            <w:r>
              <w:rPr>
                <w:rFonts w:ascii="Times New Roman" w:hAnsi="Times New Roman"/>
                <w:i/>
                <w:iCs/>
              </w:rPr>
              <w:t>v</w:t>
            </w:r>
            <w:r>
              <w:rPr>
                <w:rFonts w:ascii="Times New Roman" w:hAnsi="Times New Roman"/>
                <w:i/>
                <w:iCs/>
                <w:vertAlign w:val="subscript"/>
              </w:rPr>
              <w:t>i</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{"citationID":"HjSXn4dd","properties":{"formattedCitation":"(Freeman, 1978)","plainCitation":"(Freeman, 1978)","noteIndex":0},"citationItems":[{"id":1847,"uris":["http://zotero.org/users/8477693/items/7R6IP4C8"],"itemData":{"id":1847,"type":"article-journal","container-title":"Social Networks","DOI":"10.1016/0378-8733(78)90021-7","ISSN":"03788733","issue":"3","journalAbbreviation":"Social Networks","language":"en","page":"215-239","source":"DOI.org (Crossref)","title":"Centrality in social networks conceptual clarification","volume":"1","author":[{"family":"Freeman","given":"Linton C."}],"issued":{"date-parts":[["1978",1]]}}}],"schema":"https://github.com/citation-style-language/schema/raw/master/csl-citation.json"}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(Freeman, 1978)</w:t>
            </w:r>
            <w:r>
              <w:rPr>
                <w:rFonts w:ascii="Times New Roman" w:hAnsi="Times New Roman"/>
              </w:rPr>
              <w:fldChar w:fldCharType="end"/>
            </w:r>
            <w:r>
              <w:rPr>
                <w:rFonts w:ascii="Times New Roman" w:hAnsi="Times New Roman"/>
              </w:rPr>
              <w:t>.</w:t>
            </w:r>
          </w:p>
        </w:tc>
      </w:tr>
      <w:tr w:rsidR="00CF5AE2" w14:paraId="229F0967" w14:textId="77777777" w:rsidTr="007B02B1">
        <w:trPr>
          <w:trHeight w:val="975"/>
        </w:trPr>
        <w:tc>
          <w:tcPr>
            <w:tcW w:w="2829" w:type="dxa"/>
            <w:vAlign w:val="center"/>
          </w:tcPr>
          <w:p w14:paraId="13A5251D" w14:textId="77777777" w:rsidR="00CF5AE2" w:rsidRDefault="009278B3" w:rsidP="007B02B1">
            <w:pPr>
              <w:spacing w:line="276" w:lineRule="auto"/>
            </w:pPr>
            <w:r>
              <w:rPr>
                <w:rFonts w:ascii="Times New Roman" w:hAnsi="Times New Roman"/>
              </w:rPr>
              <w:lastRenderedPageBreak/>
              <w:t>Eigenvector Centrality</w:t>
            </w:r>
          </w:p>
        </w:tc>
        <w:tc>
          <w:tcPr>
            <w:tcW w:w="2920" w:type="dxa"/>
            <w:vAlign w:val="center"/>
          </w:tcPr>
          <w:p w14:paraId="418D96F0"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C</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λ</m:t>
                    </m:r>
                  </m:den>
                </m:f>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n-1</m:t>
                    </m:r>
                  </m:sup>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j</m:t>
                            </m:r>
                          </m:sub>
                        </m:sSub>
                      </m:e>
                    </m:d>
                  </m:e>
                </m:nary>
              </m:oMath>
            </m:oMathPara>
          </w:p>
        </w:tc>
        <w:tc>
          <w:tcPr>
            <w:tcW w:w="3482" w:type="dxa"/>
          </w:tcPr>
          <w:p w14:paraId="6FE44103" w14:textId="5A873B43" w:rsidR="00CF5AE2" w:rsidRDefault="009278B3">
            <w:pPr>
              <w:spacing w:line="276" w:lineRule="auto"/>
            </w:pPr>
            <w:r>
              <w:rPr>
                <w:rFonts w:ascii="Times New Roman" w:hAnsi="Times New Roman"/>
              </w:rPr>
              <w:t xml:space="preserve">The eigenvector corresponding to the dominant eigenvalue of the adjacency matrix </w:t>
            </w:r>
            <w:r>
              <w:rPr>
                <w:rFonts w:ascii="Times New Roman" w:hAnsi="Times New Roman"/>
              </w:rPr>
              <w:fldChar w:fldCharType="begin"/>
            </w:r>
            <w:r>
              <w:rPr>
                <w:rFonts w:ascii="Times New Roman" w:hAnsi="Times New Roman"/>
              </w:rPr>
              <w:instrText xml:space="preserve"> ADDIN ZOTERO_ITEM CSL_CITATION {"citationID":"Vjl10VTl","properties":{"formattedCitation":"(Bonacich, 1972)","plainCitation":"(Bonacich, 1972)","noteIndex":0},"citationItems":[{"id":1850,"uris":["http://zotero.org/users/8477693/items/YF6JHKT3"],"itemData":{"id":1850,"type":"article-journal","container-title":"Sociological Methodology","DOI":"10.2307/270732","ISSN":"00811750","journalAbbreviation":"Sociological Methodology","language":"en","page":"176","source":"DOI.org (Crossref)","title":"Technique for Analyzing Overlapping Memberships","volume":"4","author":[{"family":"Bonacich","given":"Phillip"}],"issued":{"date-parts":[["1972"]]}}}],"schema":"https://github.com/citation-style-language/schema/raw/master/csl-citation.json"}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(Bonacich, 1972)</w:t>
            </w:r>
            <w:r>
              <w:rPr>
                <w:rFonts w:ascii="Times New Roman" w:hAnsi="Times New Roman"/>
              </w:rPr>
              <w:fldChar w:fldCharType="end"/>
            </w:r>
            <w:r>
              <w:rPr>
                <w:rFonts w:ascii="Times New Roman" w:hAnsi="Times New Roman"/>
              </w:rPr>
              <w:t>.</w:t>
            </w:r>
          </w:p>
        </w:tc>
      </w:tr>
      <w:tr w:rsidR="00CF5AE2" w14:paraId="3C1DB342" w14:textId="77777777" w:rsidTr="007B02B1">
        <w:trPr>
          <w:trHeight w:val="1043"/>
        </w:trPr>
        <w:tc>
          <w:tcPr>
            <w:tcW w:w="2829" w:type="dxa"/>
            <w:vAlign w:val="center"/>
          </w:tcPr>
          <w:p w14:paraId="4A386AE4" w14:textId="77777777" w:rsidR="00CF5AE2" w:rsidRDefault="009278B3" w:rsidP="007B02B1">
            <w:pPr>
              <w:spacing w:line="276" w:lineRule="auto"/>
            </w:pPr>
            <w:r>
              <w:rPr>
                <w:rFonts w:ascii="Times New Roman" w:hAnsi="Times New Roman"/>
              </w:rPr>
              <w:t>Katz Centrality</w:t>
            </w:r>
          </w:p>
        </w:tc>
        <w:tc>
          <w:tcPr>
            <w:tcW w:w="2920" w:type="dxa"/>
            <w:vAlign w:val="center"/>
          </w:tcPr>
          <w:p w14:paraId="716988B0"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=α∙</m:t>
                </m:r>
                <m:nary>
                  <m:naryPr>
                    <m:chr m:val="∑"/>
                    <m:ctrlPr>
                      <w:rPr>
                        <w:rFonts w:ascii="Cambria Math" w:hAnsi="Cambria Math"/>
                      </w:rPr>
                    </m:ctrlPr>
                  </m:naryPr>
                  <m:sub>
                    <m:r>
                      <w:rPr>
                        <w:rFonts w:ascii="Cambria Math" w:hAnsi="Cambria Math"/>
                      </w:rPr>
                      <m:t>j=1</m:t>
                    </m:r>
                  </m:sub>
                  <m:sup>
                    <m:r>
                      <w:rPr>
                        <w:rFonts w:ascii="Cambria Math" w:hAnsi="Cambria Math"/>
                      </w:rPr>
                      <m:t>n-1</m:t>
                    </m:r>
                  </m:sup>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j</m:t>
                            </m:r>
                          </m:sub>
                        </m:sSub>
                      </m:e>
                    </m:d>
                    <m:r>
                      <w:rPr>
                        <w:rFonts w:ascii="Cambria Math" w:hAnsi="Cambria Math"/>
                      </w:rPr>
                      <m:t>+β</m:t>
                    </m:r>
                  </m:e>
                </m:nary>
              </m:oMath>
            </m:oMathPara>
          </w:p>
        </w:tc>
        <w:tc>
          <w:tcPr>
            <w:tcW w:w="3482" w:type="dxa"/>
          </w:tcPr>
          <w:p w14:paraId="78ADBC4C" w14:textId="3943C351" w:rsidR="00CF5AE2" w:rsidRDefault="009278B3">
            <w:pPr>
              <w:spacing w:line="276" w:lineRule="auto"/>
            </w:pPr>
            <w:r>
              <w:rPr>
                <w:rFonts w:ascii="Times New Roman" w:hAnsi="Times New Roman"/>
              </w:rPr>
              <w:t xml:space="preserve">Generalization of Eigenvector Centrality by means of a damping factor </w:t>
            </w:r>
            <w:r>
              <w:rPr>
                <w:rFonts w:ascii="Times New Roman" w:hAnsi="Times New Roman" w:cstheme="minorHAnsi"/>
              </w:rPr>
              <w:t>α</w:t>
            </w:r>
            <w:r>
              <w:rPr>
                <w:rFonts w:ascii="Times New Roman" w:hAnsi="Times New Roman"/>
              </w:rPr>
              <w:t xml:space="preserve"> and an exogenous factor</w:t>
            </w:r>
            <w:r>
              <w:rPr>
                <w:rFonts w:ascii="Times New Roman" w:hAnsi="Times New Roman"/>
                <w:i/>
                <w:iCs/>
              </w:rPr>
              <w:t xml:space="preserve"> </w:t>
            </w:r>
            <w:r>
              <w:rPr>
                <w:rFonts w:ascii="Times New Roman" w:hAnsi="Times New Roman" w:cstheme="minorHAnsi"/>
              </w:rPr>
              <w:t xml:space="preserve">β </w:t>
            </w:r>
            <w:r>
              <w:rPr>
                <w:rFonts w:ascii="Times New Roman" w:hAnsi="Times New Roman" w:cstheme="minorHAnsi"/>
              </w:rPr>
              <w:fldChar w:fldCharType="begin"/>
            </w:r>
            <w:r>
              <w:rPr>
                <w:rFonts w:ascii="Times New Roman" w:hAnsi="Times New Roman" w:cstheme="minorHAnsi"/>
              </w:rPr>
              <w:instrText xml:space="preserve"> ADDIN ZOTERO_ITEM CSL_CITATION {"citationID":"eo9JHWxd","properties":{"formattedCitation":"(Katz, 1953)","plainCitation":"(Katz, 1953)","noteIndex":0},"citationItems":[{"id":1846,"uris":["http://zotero.org/users/8477693/items/J6PA7Z8K"],"itemData":{"id":1846,"type":"article-journal","container-title":"Psychometrika","DOI":"10.1007/BF02289026","ISSN":"0033-3123, 1860-0980","issue":"1","journalAbbreviation":"Psychometrika","language":"en","page":"39-43","source":"DOI.org (Crossref)","title":"A new status index derived from sociometric analysis","volume":"18","author":[{"family":"Katz","given":"Leo"}],"issued":{"date-parts":[["1953",3]]}}}],"schema":"https://github.com/citation-style-language/schema/raw/master/csl-citation.json"} </w:instrText>
            </w:r>
            <w:r>
              <w:rPr>
                <w:rFonts w:ascii="Times New Roman" w:hAnsi="Times New Roman" w:cstheme="minorHAnsi"/>
              </w:rPr>
              <w:fldChar w:fldCharType="separate"/>
            </w:r>
            <w:r w:rsidRPr="009278B3">
              <w:rPr>
                <w:rFonts w:ascii="Times New Roman" w:hAnsi="Times New Roman" w:cs="Times New Roman"/>
              </w:rPr>
              <w:t>(Katz, 1953)</w:t>
            </w:r>
            <w:r>
              <w:rPr>
                <w:rFonts w:ascii="Times New Roman" w:hAnsi="Times New Roman" w:cstheme="minorHAnsi"/>
              </w:rPr>
              <w:fldChar w:fldCharType="end"/>
            </w:r>
            <w:r>
              <w:rPr>
                <w:rFonts w:ascii="Times New Roman" w:hAnsi="Times New Roman"/>
              </w:rPr>
              <w:t>.</w:t>
            </w:r>
          </w:p>
        </w:tc>
      </w:tr>
      <w:tr w:rsidR="00CF5AE2" w14:paraId="3C808AB0" w14:textId="77777777" w:rsidTr="007B02B1">
        <w:trPr>
          <w:trHeight w:val="973"/>
        </w:trPr>
        <w:tc>
          <w:tcPr>
            <w:tcW w:w="2829" w:type="dxa"/>
            <w:vAlign w:val="center"/>
          </w:tcPr>
          <w:p w14:paraId="5A72CA5C" w14:textId="77777777" w:rsidR="00CF5AE2" w:rsidRDefault="009278B3" w:rsidP="007B02B1">
            <w:pPr>
              <w:spacing w:line="276" w:lineRule="auto"/>
            </w:pPr>
            <w:r>
              <w:rPr>
                <w:rFonts w:ascii="Times New Roman" w:hAnsi="Times New Roman"/>
              </w:rPr>
              <w:t>Current-Flow Betweenness C.</w:t>
            </w:r>
          </w:p>
        </w:tc>
        <w:tc>
          <w:tcPr>
            <w:tcW w:w="2920" w:type="dxa"/>
            <w:vAlign w:val="center"/>
          </w:tcPr>
          <w:p w14:paraId="00CA0E08" w14:textId="77777777" w:rsidR="00CF5AE2" w:rsidRDefault="00847596" w:rsidP="007B02B1">
            <w:pPr>
              <w:spacing w:line="276" w:lineRule="auto"/>
            </w:pPr>
            <m:oMathPara>
              <m:oMath>
                <m:sSub>
                  <m:sSubPr>
                    <m:ctrlPr>
                      <w:rPr>
                        <w:rFonts w:ascii="Cambria Math" w:hAnsi="Cambria Math"/>
                      </w:rPr>
                    </m:ctrlPr>
                  </m:sSubPr>
                  <m:e>
                    <m:r>
                      <w:rPr>
                        <w:rFonts w:ascii="Cambria Math" w:hAnsi="Cambria Math"/>
                      </w:rPr>
                      <m:t>C</m:t>
                    </m:r>
                  </m:e>
                  <m:sub>
                    <m:r>
                      <w:rPr>
                        <w:rFonts w:ascii="Cambria Math" w:hAnsi="Cambria Math"/>
                      </w:rPr>
                      <m:t>C-F.B.</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rPr>
                    </m:ctrlPr>
                  </m:fPr>
                  <m:num>
                    <m:nary>
                      <m:naryPr>
                        <m:chr m:val="∑"/>
                        <m:supHide m:val="1"/>
                        <m:ctrlPr>
                          <w:rPr>
                            <w:rFonts w:ascii="Cambria Math" w:hAnsi="Cambria Math"/>
                          </w:rPr>
                        </m:ctrlPr>
                      </m:naryPr>
                      <m:sub>
                        <m:d>
                          <m:dPr>
                            <m:ctrlPr>
                              <w:rPr>
                                <w:rFonts w:ascii="Cambria Math" w:hAnsi="Cambria Math"/>
                              </w:rPr>
                            </m:ctrlPr>
                          </m:dPr>
                          <m:e>
                            <m:r>
                              <w:rPr>
                                <w:rFonts w:ascii="Cambria Math" w:hAnsi="Cambria Math"/>
                              </w:rPr>
                              <m:t>s,t</m:t>
                            </m:r>
                          </m:e>
                        </m:d>
                      </m:sub>
                      <m:sup/>
                      <m:e>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i</m:t>
                                </m:r>
                              </m:sub>
                            </m:sSub>
                          </m:e>
                          <m:sup>
                            <m:d>
                              <m:dPr>
                                <m:ctrlPr>
                                  <w:rPr>
                                    <w:rFonts w:ascii="Cambria Math" w:hAnsi="Cambria Math"/>
                                  </w:rPr>
                                </m:ctrlPr>
                              </m:dPr>
                              <m:e>
                                <m:r>
                                  <w:rPr>
                                    <w:rFonts w:ascii="Cambria Math" w:hAnsi="Cambria Math"/>
                                  </w:rPr>
                                  <m:t>s,t</m:t>
                                </m:r>
                              </m:e>
                            </m:d>
                          </m:sup>
                        </m:sSup>
                      </m:e>
                    </m:nary>
                  </m:num>
                  <m:den>
                    <m:f>
                      <m:fPr>
                        <m:type m:val="lin"/>
                        <m:ctrlPr>
                          <w:rPr>
                            <w:rFonts w:ascii="Cambria Math" w:hAnsi="Cambria Math"/>
                          </w:rPr>
                        </m:ctrlPr>
                      </m:fPr>
                      <m:num>
                        <m:d>
                          <m:dPr>
                            <m:begChr m:val="["/>
                            <m:endChr m:val="]"/>
                            <m:ctrlPr>
                              <w:rPr>
                                <w:rFonts w:ascii="Cambria Math" w:hAnsi="Cambria Math"/>
                              </w:rPr>
                            </m:ctrlPr>
                          </m:dPr>
                          <m:e>
                            <m:r>
                              <w:rPr>
                                <w:rFonts w:ascii="Cambria Math" w:hAnsi="Cambria Math"/>
                              </w:rPr>
                              <m:t>n∙</m:t>
                            </m:r>
                            <m:d>
                              <m:dPr>
                                <m:ctrlPr>
                                  <w:rPr>
                                    <w:rFonts w:ascii="Cambria Math" w:hAnsi="Cambria Math"/>
                                  </w:rPr>
                                </m:ctrlPr>
                              </m:dPr>
                              <m:e>
                                <m:r>
                                  <w:rPr>
                                    <w:rFonts w:ascii="Cambria Math" w:hAnsi="Cambria Math"/>
                                  </w:rPr>
                                  <m:t>n-1</m:t>
                                </m:r>
                              </m:e>
                            </m:d>
                          </m:e>
                        </m:d>
                      </m:num>
                      <m:den>
                        <m:r>
                          <w:rPr>
                            <w:rFonts w:ascii="Cambria Math" w:hAnsi="Cambria Math"/>
                          </w:rPr>
                          <m:t>2</m:t>
                        </m:r>
                      </m:den>
                    </m:f>
                  </m:den>
                </m:f>
              </m:oMath>
            </m:oMathPara>
          </w:p>
        </w:tc>
        <w:tc>
          <w:tcPr>
            <w:tcW w:w="3482" w:type="dxa"/>
          </w:tcPr>
          <w:p w14:paraId="6288FDE1" w14:textId="636D23C8" w:rsidR="00CF5AE2" w:rsidRDefault="009278B3">
            <w:pPr>
              <w:spacing w:line="276" w:lineRule="auto"/>
            </w:pPr>
            <w:r>
              <w:rPr>
                <w:rFonts w:ascii="Times New Roman" w:hAnsi="Times New Roman"/>
              </w:rPr>
              <w:t xml:space="preserve">Simulation of and electrical current-flow spreading mechanism </w:t>
            </w:r>
            <w:r>
              <w:rPr>
                <w:rFonts w:ascii="Times New Roman" w:hAnsi="Times New Roman"/>
              </w:rPr>
              <w:fldChar w:fldCharType="begin"/>
            </w:r>
            <w:r>
              <w:rPr>
                <w:rFonts w:ascii="Times New Roman" w:hAnsi="Times New Roman"/>
              </w:rPr>
              <w:instrText xml:space="preserve"> ADDIN ZOTERO_ITEM CSL_CITATION {"citationID":"mG2tZHeV","properties":{"formattedCitation":"(Brandes and Fleischer, 2005)","plainCitation":"(Brandes and Fleischer, 2005)","noteIndex":0},"citationItems":[{"id":1849,"uris":["http://zotero.org/users/8477693/items/73TCFCMM"],"itemData":{"id":1849,"type":"chapter","abstract":"We consider variations of two well-known centrality measures, betweenness and closeness, with a diﬀerent model of information spread. Rather than along shortest paths only, it is assumed that information spreads eﬃciently like an electrical current. We prove that the current-ﬂow variant of closeness centrality is identical with another known measure, information centrality, and give improved algorithms for computing both measures exactly. Since running times and space requirements are prohibitive for large networks, we also present a randomized approximation scheme for current-ﬂow betweenness.","container-title":"STACS 2005","event-place":"Berlin, Heidelberg","ISBN":"978-3-540-24998-6","language":"en","note":"collection-title: Lecture Notes in Computer Science\nDOI: 10.1007/978-3-540-31856-9_44","page":"533-544","publisher":"Springer Berlin Heidelberg","publisher-place":"Berlin, Heidelberg","source":"DOI.org (Crossref)","title":"Centrality Measures Based on Current Flow","URL":"http://link.springer.com/10.1007/978-3-540-31856-9_44","volume":"3404","collection-editor":[{"family":"Hutchison","given":"David"},{"family":"Kanade","given":"Takeo"},{"family":"Kittler","given":"Josef"},{"family":"Kleinberg","given":"Jon M."},{"family":"Mattern","given":"Friedemann"},{"family":"Mitchell","given":"John C."},{"family":"Naor","given":"Moni"},{"family":"Nierstrasz","given":"Oscar"},{"family":"Pandu Rangan","given":"C."},{"family":"Steffen","given":"Bernhard"},{"family":"Sudan","given":"Madhu"},{"family":"Terzopoulos","given":"Demetri"},{"family":"Tygar","given":"Dough"},{"family":"Vardi","given":"Moshe Y."},{"family":"Weikum","given":"Gerhard"}],"editor":[{"family":"Diekert","given":"Volker"},{"family":"Durand","given":"Bruno"}],"author":[{"family":"Brandes","given":"Ulrik"},{"family":"Fleischer","given":"Daniel"}],"accessed":{"date-parts":[["2023",1,19]]},"issued":{"date-parts":[["2005"]]}}}],"schema":"https://github.com/citation-style-language/schema/raw/master/csl-citation.json"} </w:instrText>
            </w:r>
            <w:r>
              <w:rPr>
                <w:rFonts w:ascii="Times New Roman" w:hAnsi="Times New Roman"/>
              </w:rPr>
              <w:fldChar w:fldCharType="separate"/>
            </w:r>
            <w:r w:rsidRPr="009278B3">
              <w:rPr>
                <w:rFonts w:ascii="Times New Roman" w:hAnsi="Times New Roman" w:cs="Times New Roman"/>
              </w:rPr>
              <w:t>(Brandes and Fleischer, 2005)</w:t>
            </w:r>
            <w:r>
              <w:rPr>
                <w:rFonts w:ascii="Times New Roman" w:hAnsi="Times New Roman"/>
              </w:rPr>
              <w:fldChar w:fldCharType="end"/>
            </w:r>
            <w:r>
              <w:rPr>
                <w:rFonts w:ascii="Times New Roman" w:hAnsi="Times New Roman"/>
              </w:rPr>
              <w:t>.</w:t>
            </w:r>
          </w:p>
        </w:tc>
      </w:tr>
      <w:tr w:rsidR="0045687E" w14:paraId="77958F39" w14:textId="77777777" w:rsidTr="007B02B1">
        <w:trPr>
          <w:trHeight w:val="973"/>
        </w:trPr>
        <w:tc>
          <w:tcPr>
            <w:tcW w:w="2829" w:type="dxa"/>
            <w:vAlign w:val="center"/>
          </w:tcPr>
          <w:p w14:paraId="14D5DC02" w14:textId="0A9CE4B6" w:rsidR="0045687E" w:rsidRDefault="0045687E" w:rsidP="007B02B1">
            <w:pPr>
              <w:spacing w:line="276" w:lineRule="auto"/>
              <w:rPr>
                <w:rFonts w:ascii="Times New Roman" w:hAnsi="Times New Roman"/>
              </w:rPr>
            </w:pPr>
            <w:r>
              <w:rPr>
                <w:rFonts w:ascii="Times New Roman" w:hAnsi="Times New Roman"/>
              </w:rPr>
              <w:t>Jordan Centrality</w:t>
            </w:r>
          </w:p>
        </w:tc>
        <w:tc>
          <w:tcPr>
            <w:tcW w:w="2920" w:type="dxa"/>
            <w:vAlign w:val="center"/>
          </w:tcPr>
          <w:p w14:paraId="6B65F3E9" w14:textId="251046EE" w:rsidR="0045687E" w:rsidRDefault="00847596" w:rsidP="007B02B1">
            <w:pPr>
              <w:spacing w:line="276" w:lineRule="auto"/>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ϵ</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∈V</m:t>
                                </m:r>
                              </m:lim>
                            </m:limLow>
                          </m:fName>
                          <m:e>
                            <m:r>
                              <w:rPr>
                                <w:rFonts w:ascii="Cambria Math" w:hAnsi="Cambria Math"/>
                              </w:rPr>
                              <m:t>d(</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e>
                        </m:func>
                      </m:e>
                      <m:e>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m:t>
                        </m:r>
                        <m:func>
                          <m:funcPr>
                            <m:ctrlPr>
                              <w:rPr>
                                <w:rFonts w:ascii="Cambria Math" w:eastAsiaTheme="minorEastAsia" w:hAnsi="Cambria Math"/>
                              </w:rPr>
                            </m:ctrlPr>
                          </m:funcPr>
                          <m:fName>
                            <m:limLow>
                              <m:limLowPr>
                                <m:ctrlPr>
                                  <w:rPr>
                                    <w:rFonts w:ascii="Cambria Math" w:eastAsiaTheme="minorEastAsia" w:hAnsi="Cambria Math"/>
                                  </w:rPr>
                                </m:ctrlPr>
                              </m:limLowPr>
                              <m:e>
                                <m:r>
                                  <m:rPr>
                                    <m:sty m:val="p"/>
                                  </m:rPr>
                                  <w:rPr>
                                    <w:rFonts w:ascii="Cambria Math" w:hAnsi="Cambria Math"/>
                                  </w:rPr>
                                  <m:t>min</m:t>
                                </m:r>
                              </m:e>
                              <m:li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∈V</m:t>
                                </m:r>
                              </m:lim>
                            </m:limLow>
                          </m:fName>
                          <m:e>
                            <m:r>
                              <w:rPr>
                                <w:rFonts w:ascii="Cambria Math" w:eastAsiaTheme="minorEastAsia" w:hAnsi="Cambria Math"/>
                              </w:rPr>
                              <m:t>ϵ(</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m:t>
                            </m:r>
                          </m:e>
                        </m:func>
                      </m:e>
                    </m:eqArr>
                    <m:r>
                      <w:rPr>
                        <w:rFonts w:ascii="Cambria Math" w:hAnsi="Cambria Math"/>
                      </w:rPr>
                      <m:t xml:space="preserve"> </m:t>
                    </m:r>
                  </m:e>
                </m:d>
              </m:oMath>
            </m:oMathPara>
          </w:p>
        </w:tc>
        <w:tc>
          <w:tcPr>
            <w:tcW w:w="3482" w:type="dxa"/>
          </w:tcPr>
          <w:p w14:paraId="414B0F45" w14:textId="72E9FC2D" w:rsidR="0045687E" w:rsidRDefault="004720D5" w:rsidP="004720D5">
            <w:pPr>
              <w:spacing w:line="276" w:lineRule="auto"/>
              <w:rPr>
                <w:rFonts w:ascii="Times New Roman" w:hAnsi="Times New Roman"/>
              </w:rPr>
            </w:pPr>
            <w:r w:rsidRPr="004720D5">
              <w:rPr>
                <w:rFonts w:ascii="Times New Roman" w:hAnsi="Times New Roman"/>
              </w:rPr>
              <w:t>Vertex having eccentricity equal to</w:t>
            </w:r>
            <w:r>
              <w:rPr>
                <w:rFonts w:ascii="Times New Roman" w:hAnsi="Times New Roman"/>
              </w:rPr>
              <w:t xml:space="preserve"> </w:t>
            </w:r>
            <w:r w:rsidRPr="004720D5">
              <w:rPr>
                <w:rFonts w:ascii="Times New Roman" w:hAnsi="Times New Roman"/>
              </w:rPr>
              <w:t>the radius</w:t>
            </w:r>
            <w:r>
              <w:rPr>
                <w:rFonts w:ascii="Times New Roman" w:hAnsi="Times New Roman"/>
              </w:rPr>
              <w:t xml:space="preserve"> </w:t>
            </w:r>
            <w:r w:rsidRPr="004720D5">
              <w:rPr>
                <w:rFonts w:ascii="Times New Roman" w:hAnsi="Times New Roman"/>
                <w:i/>
                <w:iCs/>
              </w:rPr>
              <w:t>r</w:t>
            </w:r>
            <w:r w:rsidRPr="004720D5">
              <w:rPr>
                <w:rFonts w:ascii="Times New Roman" w:hAnsi="Times New Roman"/>
              </w:rPr>
              <w:t xml:space="preserve"> of the graph</w:t>
            </w:r>
            <w:r w:rsidR="00BC1029">
              <w:rPr>
                <w:rFonts w:ascii="Times New Roman" w:hAnsi="Times New Roman"/>
              </w:rPr>
              <w:t xml:space="preserve"> </w:t>
            </w:r>
            <w:r w:rsidR="00F16DF6">
              <w:rPr>
                <w:rFonts w:ascii="Times New Roman" w:hAnsi="Times New Roman"/>
              </w:rPr>
              <w:fldChar w:fldCharType="begin"/>
            </w:r>
            <w:r w:rsidR="00F16DF6">
              <w:rPr>
                <w:rFonts w:ascii="Times New Roman" w:hAnsi="Times New Roman"/>
              </w:rPr>
              <w:instrText xml:space="preserve"> ADDIN ZOTERO_ITEM CSL_CITATION {"citationID":"dQ9hFsib","properties":{"formattedCitation":"(Wasserman and Faust, 2009)","plainCitation":"(Wasserman and Faust, 2009)","noteIndex":0},"citationItems":[{"id":1843,"uris":["http://zotero.org/users/8477693/items/ASGB4XVV"],"itemData":{"id":1843,"type":"book","collection-number":"8","collection-title":"Structural analysis in the social sciences","edition":"18. print","event-place":"Cambridge","ISBN":"978-0-521-38269-4","language":"en","number-of-pages":"825","publisher":"Cambridge Univ. Press","publisher-place":"Cambridge","source":"K10plus ISBN","title":"Social network analysis: methods and applications","title-short":"Social network analysis","author":[{"family":"Wasserman","given":"Stanley"},{"family":"Faust","given":"Katherine"}],"issued":{"date-parts":[["2009"]]}}}],"schema":"https://github.com/citation-style-language/schema/raw/master/csl-citation.json"} </w:instrText>
            </w:r>
            <w:r w:rsidR="00F16DF6">
              <w:rPr>
                <w:rFonts w:ascii="Times New Roman" w:hAnsi="Times New Roman"/>
              </w:rPr>
              <w:fldChar w:fldCharType="separate"/>
            </w:r>
            <w:r w:rsidR="00F16DF6" w:rsidRPr="00F16DF6">
              <w:rPr>
                <w:rFonts w:ascii="Times New Roman" w:hAnsi="Times New Roman" w:cs="Times New Roman"/>
              </w:rPr>
              <w:t>(Wasserman and Faust, 2009)</w:t>
            </w:r>
            <w:r w:rsidR="00F16DF6">
              <w:rPr>
                <w:rFonts w:ascii="Times New Roman" w:hAnsi="Times New Roman"/>
              </w:rPr>
              <w:fldChar w:fldCharType="end"/>
            </w:r>
            <w:r w:rsidRPr="004720D5">
              <w:rPr>
                <w:rFonts w:ascii="Times New Roman" w:hAnsi="Times New Roman"/>
              </w:rPr>
              <w:t>.</w:t>
            </w:r>
          </w:p>
        </w:tc>
      </w:tr>
    </w:tbl>
    <w:p w14:paraId="2A556119" w14:textId="77777777" w:rsidR="00CF5AE2" w:rsidRDefault="00CF5AE2"/>
    <w:p w14:paraId="287AC9C9" w14:textId="77777777" w:rsidR="00CF5AE2" w:rsidRPr="00517B8A" w:rsidRDefault="00CF5AE2">
      <w:pPr>
        <w:jc w:val="both"/>
        <w:rPr>
          <w:rFonts w:ascii="Times New Roman" w:hAnsi="Times New Roman"/>
        </w:rPr>
      </w:pPr>
    </w:p>
    <w:p w14:paraId="099BE55C" w14:textId="77777777" w:rsidR="00CF5AE2" w:rsidRPr="00A73B12" w:rsidRDefault="009278B3">
      <w:pPr>
        <w:jc w:val="both"/>
        <w:rPr>
          <w:rFonts w:ascii="Times New Roman" w:hAnsi="Times New Roman"/>
          <w:sz w:val="20"/>
          <w:szCs w:val="20"/>
        </w:rPr>
      </w:pPr>
      <w:r w:rsidRPr="00A73B12">
        <w:rPr>
          <w:noProof/>
          <w:sz w:val="20"/>
          <w:szCs w:val="20"/>
        </w:rPr>
        <w:drawing>
          <wp:anchor distT="0" distB="0" distL="0" distR="0" simplePos="0" relativeHeight="2" behindDoc="0" locked="0" layoutInCell="1" allowOverlap="1" wp14:anchorId="5E2983E4" wp14:editId="79B5B9A3">
            <wp:simplePos x="0" y="0"/>
            <wp:positionH relativeFrom="column">
              <wp:align>center</wp:align>
            </wp:positionH>
            <wp:positionV relativeFrom="paragraph">
              <wp:posOffset>635</wp:posOffset>
            </wp:positionV>
            <wp:extent cx="6120130" cy="3976370"/>
            <wp:effectExtent l="0" t="0" r="0" b="0"/>
            <wp:wrapTopAndBottom/>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6120130" cy="3976370"/>
                    </a:xfrm>
                    <a:prstGeom prst="rect">
                      <a:avLst/>
                    </a:prstGeom>
                  </pic:spPr>
                </pic:pic>
              </a:graphicData>
            </a:graphic>
          </wp:anchor>
        </w:drawing>
      </w:r>
      <w:r w:rsidRPr="00A73B12">
        <w:rPr>
          <w:rFonts w:ascii="Times New Roman" w:eastAsia="Times New Roman" w:hAnsi="Times New Roman" w:cs="Times New Roman"/>
          <w:sz w:val="20"/>
          <w:szCs w:val="20"/>
        </w:rPr>
        <w:t>Figure S1. Minimum detection time (</w:t>
      </w:r>
      <w:proofErr w:type="spellStart"/>
      <w:r w:rsidRPr="00A73B12">
        <w:rPr>
          <w:rFonts w:ascii="Times New Roman" w:eastAsia="Times New Roman" w:hAnsi="Times New Roman" w:cs="Times New Roman"/>
          <w:sz w:val="20"/>
          <w:szCs w:val="20"/>
        </w:rPr>
        <w:t>detTime</w:t>
      </w:r>
      <w:proofErr w:type="spellEnd"/>
      <w:r w:rsidRPr="00A73B12">
        <w:rPr>
          <w:rFonts w:ascii="Times New Roman" w:eastAsia="Times New Roman" w:hAnsi="Times New Roman" w:cs="Times New Roman"/>
          <w:sz w:val="20"/>
          <w:szCs w:val="20"/>
        </w:rPr>
        <w:t>) in the different scenarios for each simulated event in case-study C.</w:t>
      </w:r>
    </w:p>
    <w:p w14:paraId="3CBABCE2" w14:textId="77777777" w:rsidR="00CF5AE2" w:rsidRPr="00517B8A" w:rsidRDefault="00CF5AE2">
      <w:pPr>
        <w:jc w:val="both"/>
        <w:rPr>
          <w:rFonts w:ascii="Times New Roman" w:hAnsi="Times New Roman"/>
        </w:rPr>
      </w:pPr>
    </w:p>
    <w:p w14:paraId="62ED085C" w14:textId="77777777" w:rsidR="00CF5AE2" w:rsidRPr="00517B8A" w:rsidRDefault="00CF5AE2">
      <w:pPr>
        <w:jc w:val="both"/>
        <w:rPr>
          <w:rFonts w:ascii="Times New Roman" w:hAnsi="Times New Roman"/>
        </w:rPr>
      </w:pPr>
    </w:p>
    <w:p w14:paraId="3A669E98" w14:textId="77777777" w:rsidR="00CF5AE2" w:rsidRPr="00517B8A" w:rsidRDefault="00CF5AE2">
      <w:pPr>
        <w:jc w:val="both"/>
        <w:rPr>
          <w:rFonts w:ascii="Times New Roman" w:hAnsi="Times New Roman"/>
        </w:rPr>
      </w:pPr>
    </w:p>
    <w:p w14:paraId="0DDEF9A6" w14:textId="26BBA323" w:rsidR="00CF5AE2" w:rsidRPr="00A73B12" w:rsidRDefault="009278B3">
      <w:pPr>
        <w:jc w:val="both"/>
        <w:rPr>
          <w:rFonts w:ascii="Times New Roman" w:hAnsi="Times New Roman"/>
          <w:sz w:val="20"/>
          <w:szCs w:val="20"/>
        </w:rPr>
      </w:pPr>
      <w:r w:rsidRPr="00A73B12">
        <w:rPr>
          <w:noProof/>
          <w:sz w:val="20"/>
          <w:szCs w:val="20"/>
        </w:rPr>
        <w:lastRenderedPageBreak/>
        <w:drawing>
          <wp:anchor distT="0" distB="0" distL="0" distR="0" simplePos="0" relativeHeight="3" behindDoc="0" locked="0" layoutInCell="1" allowOverlap="1" wp14:anchorId="4B9F8D10" wp14:editId="42F3798D">
            <wp:simplePos x="0" y="0"/>
            <wp:positionH relativeFrom="column">
              <wp:align>center</wp:align>
            </wp:positionH>
            <wp:positionV relativeFrom="paragraph">
              <wp:posOffset>635</wp:posOffset>
            </wp:positionV>
            <wp:extent cx="6120130" cy="4060190"/>
            <wp:effectExtent l="0" t="0" r="0" b="0"/>
            <wp:wrapTopAndBottom/>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tretch>
                      <a:fillRect/>
                    </a:stretch>
                  </pic:blipFill>
                  <pic:spPr bwMode="auto">
                    <a:xfrm>
                      <a:off x="0" y="0"/>
                      <a:ext cx="6120130" cy="4060190"/>
                    </a:xfrm>
                    <a:prstGeom prst="rect">
                      <a:avLst/>
                    </a:prstGeom>
                  </pic:spPr>
                </pic:pic>
              </a:graphicData>
            </a:graphic>
          </wp:anchor>
        </w:drawing>
      </w:r>
      <w:r w:rsidRPr="00A73B12">
        <w:rPr>
          <w:rFonts w:ascii="Times New Roman" w:eastAsia="Times New Roman" w:hAnsi="Times New Roman" w:cs="Times New Roman"/>
          <w:sz w:val="20"/>
          <w:szCs w:val="20"/>
        </w:rPr>
        <w:t>Figure S2. Fraction of events</w:t>
      </w:r>
      <w:r w:rsidR="003F5123" w:rsidRPr="00A73B12">
        <w:rPr>
          <w:rFonts w:ascii="Times New Roman" w:eastAsia="Times New Roman" w:hAnsi="Times New Roman" w:cs="Times New Roman"/>
          <w:sz w:val="20"/>
          <w:szCs w:val="20"/>
        </w:rPr>
        <w:t>,</w:t>
      </w:r>
      <w:r w:rsidRPr="00A73B12">
        <w:rPr>
          <w:rFonts w:ascii="Times New Roman" w:eastAsia="Times New Roman" w:hAnsi="Times New Roman" w:cs="Times New Roman"/>
          <w:sz w:val="20"/>
          <w:szCs w:val="20"/>
        </w:rPr>
        <w:t xml:space="preserve"> detected in the ideal scenario</w:t>
      </w:r>
      <w:r w:rsidR="003F5123" w:rsidRPr="00A73B12">
        <w:rPr>
          <w:rFonts w:ascii="Times New Roman" w:eastAsia="Times New Roman" w:hAnsi="Times New Roman" w:cs="Times New Roman"/>
          <w:sz w:val="20"/>
          <w:szCs w:val="20"/>
        </w:rPr>
        <w:t>,</w:t>
      </w:r>
      <w:r w:rsidRPr="00A73B12">
        <w:rPr>
          <w:rFonts w:ascii="Times New Roman" w:eastAsia="Times New Roman" w:hAnsi="Times New Roman" w:cs="Times New Roman"/>
          <w:sz w:val="20"/>
          <w:szCs w:val="20"/>
        </w:rPr>
        <w:t xml:space="preserve"> detected also in the alternative scenarios tested as a function of the minimum detection time deciles achieved in the ideal scenario for case-study R.</w:t>
      </w:r>
    </w:p>
    <w:p w14:paraId="3E1C1345" w14:textId="77777777" w:rsidR="00CF5AE2" w:rsidRPr="00517B8A" w:rsidRDefault="00CF5AE2">
      <w:pPr>
        <w:jc w:val="both"/>
        <w:rPr>
          <w:rFonts w:ascii="Times New Roman" w:hAnsi="Times New Roman"/>
        </w:rPr>
      </w:pPr>
    </w:p>
    <w:p w14:paraId="561C2039" w14:textId="77777777" w:rsidR="00CF5AE2" w:rsidRPr="00517B8A" w:rsidRDefault="00CF5AE2">
      <w:pPr>
        <w:jc w:val="both"/>
        <w:rPr>
          <w:rFonts w:ascii="Times New Roman" w:hAnsi="Times New Roman"/>
        </w:rPr>
      </w:pPr>
    </w:p>
    <w:p w14:paraId="100D029A" w14:textId="658021B1" w:rsidR="00CF5AE2" w:rsidRDefault="009278B3">
      <w:pPr>
        <w:jc w:val="both"/>
        <w:rPr>
          <w:rFonts w:ascii="Times New Roman" w:eastAsiaTheme="minorHAnsi" w:hAnsi="Times New Roman" w:cstheme="minorBidi"/>
          <w:kern w:val="0"/>
          <w:lang w:eastAsia="en-US" w:bidi="ar-SA"/>
        </w:rPr>
      </w:pPr>
      <w:r>
        <w:rPr>
          <w:noProof/>
        </w:rPr>
        <w:lastRenderedPageBreak/>
        <w:drawing>
          <wp:anchor distT="0" distB="0" distL="0" distR="0" simplePos="0" relativeHeight="4" behindDoc="0" locked="0" layoutInCell="1" allowOverlap="1" wp14:anchorId="118AEECB" wp14:editId="19F789AF">
            <wp:simplePos x="0" y="0"/>
            <wp:positionH relativeFrom="column">
              <wp:align>center</wp:align>
            </wp:positionH>
            <wp:positionV relativeFrom="paragraph">
              <wp:posOffset>635</wp:posOffset>
            </wp:positionV>
            <wp:extent cx="6120130" cy="4885690"/>
            <wp:effectExtent l="0" t="0" r="0" b="0"/>
            <wp:wrapTopAndBottom/>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tretch>
                      <a:fillRect/>
                    </a:stretch>
                  </pic:blipFill>
                  <pic:spPr bwMode="auto">
                    <a:xfrm>
                      <a:off x="0" y="0"/>
                      <a:ext cx="6120130" cy="4885690"/>
                    </a:xfrm>
                    <a:prstGeom prst="rect">
                      <a:avLst/>
                    </a:prstGeom>
                  </pic:spPr>
                </pic:pic>
              </a:graphicData>
            </a:graphic>
          </wp:anchor>
        </w:drawing>
      </w:r>
      <w:r>
        <w:rPr>
          <w:rFonts w:ascii="Times New Roman" w:eastAsia="Times New Roman" w:hAnsi="Times New Roman" w:cs="Times New Roman"/>
        </w:rPr>
        <w:t xml:space="preserve">Figure S3. Harmonic average of the minimum detection times for the </w:t>
      </w:r>
      <w:r>
        <w:rPr>
          <w:rFonts w:ascii="Times New Roman" w:eastAsiaTheme="minorHAnsi" w:hAnsi="Times New Roman" w:cstheme="minorBidi"/>
          <w:kern w:val="0"/>
          <w:lang w:eastAsia="en-US" w:bidi="ar-SA"/>
        </w:rPr>
        <w:t xml:space="preserve">different water quality alteration scenarios tested. In </w:t>
      </w:r>
      <w:r w:rsidR="007B02B1">
        <w:rPr>
          <w:rFonts w:ascii="Times New Roman" w:eastAsiaTheme="minorHAnsi" w:hAnsi="Times New Roman" w:cstheme="minorBidi"/>
          <w:kern w:val="0"/>
          <w:lang w:eastAsia="en-US" w:bidi="ar-SA"/>
        </w:rPr>
        <w:t xml:space="preserve">the </w:t>
      </w:r>
      <w:r>
        <w:rPr>
          <w:rFonts w:ascii="Times New Roman" w:eastAsiaTheme="minorHAnsi" w:hAnsi="Times New Roman" w:cstheme="minorBidi"/>
          <w:kern w:val="0"/>
          <w:lang w:eastAsia="en-US" w:bidi="ar-SA"/>
        </w:rPr>
        <w:t>case of non-detect</w:t>
      </w:r>
      <w:r w:rsidR="003F5123">
        <w:rPr>
          <w:rFonts w:ascii="Times New Roman" w:eastAsiaTheme="minorHAnsi" w:hAnsi="Times New Roman" w:cstheme="minorBidi"/>
          <w:kern w:val="0"/>
          <w:lang w:eastAsia="en-US" w:bidi="ar-SA"/>
        </w:rPr>
        <w:t>ed</w:t>
      </w:r>
      <w:r>
        <w:rPr>
          <w:rFonts w:ascii="Times New Roman" w:eastAsiaTheme="minorHAnsi" w:hAnsi="Times New Roman" w:cstheme="minorBidi"/>
          <w:kern w:val="0"/>
          <w:lang w:eastAsia="en-US" w:bidi="ar-SA"/>
        </w:rPr>
        <w:t xml:space="preserve"> events, a</w:t>
      </w:r>
      <w:r w:rsidR="003F5123">
        <w:rPr>
          <w:rFonts w:ascii="Times New Roman" w:eastAsiaTheme="minorHAnsi" w:hAnsi="Times New Roman" w:cstheme="minorBidi"/>
          <w:kern w:val="0"/>
          <w:lang w:eastAsia="en-US" w:bidi="ar-SA"/>
        </w:rPr>
        <w:t>n</w:t>
      </w:r>
      <w:r>
        <w:rPr>
          <w:rFonts w:ascii="Times New Roman" w:eastAsiaTheme="minorHAnsi" w:hAnsi="Times New Roman" w:cstheme="minorBidi"/>
          <w:kern w:val="0"/>
          <w:lang w:eastAsia="en-US" w:bidi="ar-SA"/>
        </w:rPr>
        <w:t xml:space="preserve"> infinite detection time was assumed in the estimation of the harmonic mean.</w:t>
      </w:r>
    </w:p>
    <w:p w14:paraId="17220AA3" w14:textId="0FFECBAF" w:rsidR="009278B3" w:rsidRDefault="009278B3">
      <w:pPr>
        <w:jc w:val="both"/>
        <w:rPr>
          <w:rFonts w:ascii="Times New Roman" w:eastAsiaTheme="minorHAnsi" w:hAnsi="Times New Roman" w:cstheme="minorBidi"/>
          <w:kern w:val="0"/>
          <w:lang w:eastAsia="en-US" w:bidi="ar-SA"/>
        </w:rPr>
      </w:pPr>
    </w:p>
    <w:p w14:paraId="3CD8C274" w14:textId="62A8B9B9" w:rsidR="009278B3" w:rsidRDefault="009278B3">
      <w:pPr>
        <w:jc w:val="both"/>
        <w:rPr>
          <w:rFonts w:ascii="Times New Roman" w:eastAsiaTheme="minorHAnsi" w:hAnsi="Times New Roman" w:cstheme="minorBidi"/>
          <w:kern w:val="0"/>
          <w:lang w:eastAsia="en-US" w:bidi="ar-SA"/>
        </w:rPr>
      </w:pPr>
    </w:p>
    <w:p w14:paraId="25BC3E63" w14:textId="3FA15B8B" w:rsidR="009278B3" w:rsidRDefault="009278B3">
      <w:pPr>
        <w:jc w:val="both"/>
        <w:rPr>
          <w:rFonts w:ascii="Times New Roman" w:eastAsiaTheme="minorHAnsi" w:hAnsi="Times New Roman" w:cstheme="minorBidi"/>
          <w:b/>
          <w:bCs/>
          <w:kern w:val="0"/>
          <w:lang w:eastAsia="en-US" w:bidi="ar-SA"/>
        </w:rPr>
      </w:pPr>
      <w:r>
        <w:rPr>
          <w:rFonts w:ascii="Times New Roman" w:eastAsiaTheme="minorHAnsi" w:hAnsi="Times New Roman" w:cstheme="minorBidi"/>
          <w:b/>
          <w:bCs/>
          <w:kern w:val="0"/>
          <w:lang w:eastAsia="en-US" w:bidi="ar-SA"/>
        </w:rPr>
        <w:t>References</w:t>
      </w:r>
    </w:p>
    <w:p w14:paraId="3305EDC9" w14:textId="77777777" w:rsidR="00F16DF6" w:rsidRPr="00F16DF6" w:rsidRDefault="009278B3" w:rsidP="00F16DF6">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00F16DF6" w:rsidRPr="00F16DF6">
        <w:rPr>
          <w:rFonts w:ascii="Times New Roman" w:hAnsi="Times New Roman" w:cs="Times New Roman"/>
        </w:rPr>
        <w:t>Bonacich, P., 1972. Technique for Analyzing Overlapping Memberships. Sociological Methodology 4, 176. https://doi.org/10.2307/270732</w:t>
      </w:r>
    </w:p>
    <w:p w14:paraId="057FF5D7"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Brandes, U., Fleischer, D., 2005. Centrality Measures Based on Current Flow, in: Diekert, V., Durand, B. (Eds.), STACS 2005, Lecture Notes in Computer Science. Springer Berlin Heidelberg, Berlin, Heidelberg, pp. 533–544. https://doi.org/10.1007/978-3-540-31856-9_44</w:t>
      </w:r>
    </w:p>
    <w:p w14:paraId="1906E6F7" w14:textId="77777777" w:rsidR="00F16DF6" w:rsidRPr="00F16DF6" w:rsidRDefault="00F16DF6" w:rsidP="00F16DF6">
      <w:pPr>
        <w:pStyle w:val="Bibliography"/>
        <w:rPr>
          <w:rFonts w:ascii="Times New Roman" w:hAnsi="Times New Roman" w:cs="Times New Roman"/>
          <w:lang w:val="it-IT"/>
        </w:rPr>
      </w:pPr>
      <w:r w:rsidRPr="00F16DF6">
        <w:rPr>
          <w:rFonts w:ascii="Times New Roman" w:hAnsi="Times New Roman" w:cs="Times New Roman"/>
        </w:rPr>
        <w:t xml:space="preserve">Csardi, G., Nepusz, T., 2006. The igraph software package for complex network research. </w:t>
      </w:r>
      <w:r w:rsidRPr="00F16DF6">
        <w:rPr>
          <w:rFonts w:ascii="Times New Roman" w:hAnsi="Times New Roman" w:cs="Times New Roman"/>
          <w:lang w:val="it-IT"/>
        </w:rPr>
        <w:t>InterJournal, complex systems 1695, 1–9.</w:t>
      </w:r>
    </w:p>
    <w:p w14:paraId="38D74B80"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lang w:val="it-IT"/>
        </w:rPr>
        <w:t xml:space="preserve">Di Nardo, A., Di Natale, M., Giudicianni, C., Greco, R., Santonastaso, G.F., 2017. </w:t>
      </w:r>
      <w:r w:rsidRPr="00F16DF6">
        <w:rPr>
          <w:rFonts w:ascii="Times New Roman" w:hAnsi="Times New Roman" w:cs="Times New Roman"/>
        </w:rPr>
        <w:t>Weighted spectral clustering for water distribution network partitioning. Appl Netw Sci 2, 19. https://doi.org/10.1007/s41109-017-0033-4</w:t>
      </w:r>
    </w:p>
    <w:p w14:paraId="36784910"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Freeman, L.C., 1978. Centrality in social networks conceptual clarification. Social Networks 1, 215–239. https://doi.org/10.1016/0378-8733(78)90021-7</w:t>
      </w:r>
    </w:p>
    <w:p w14:paraId="3F97C34E" w14:textId="77777777" w:rsidR="00F16DF6" w:rsidRPr="00F16DF6" w:rsidRDefault="00F16DF6" w:rsidP="00F16DF6">
      <w:pPr>
        <w:pStyle w:val="Bibliography"/>
        <w:rPr>
          <w:rFonts w:ascii="Times New Roman" w:hAnsi="Times New Roman" w:cs="Times New Roman"/>
          <w:lang w:val="it-IT"/>
        </w:rPr>
      </w:pPr>
      <w:r w:rsidRPr="00F16DF6">
        <w:rPr>
          <w:rFonts w:ascii="Times New Roman" w:hAnsi="Times New Roman" w:cs="Times New Roman"/>
        </w:rPr>
        <w:t xml:space="preserve">Freeman, L.C., 1977. A Set of Measures of Centrality Based on Betweenness. </w:t>
      </w:r>
      <w:r w:rsidRPr="00F16DF6">
        <w:rPr>
          <w:rFonts w:ascii="Times New Roman" w:hAnsi="Times New Roman" w:cs="Times New Roman"/>
          <w:lang w:val="it-IT"/>
        </w:rPr>
        <w:t>Sociometry 40, 35. https://doi.org/10.2307/3033543</w:t>
      </w:r>
    </w:p>
    <w:p w14:paraId="3C2C4EAB"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lang w:val="it-IT"/>
        </w:rPr>
        <w:t xml:space="preserve">Giudicianni, C., Herrera, M., Di Nardo, A., Greco, R., Creaco, E., Scala, A., 2020. </w:t>
      </w:r>
      <w:r w:rsidRPr="00F16DF6">
        <w:rPr>
          <w:rFonts w:ascii="Times New Roman" w:hAnsi="Times New Roman" w:cs="Times New Roman"/>
        </w:rPr>
        <w:t>Topological Placement of Quality Sensors in Water-Distribution Networks without the Recourse to Hydraulic Modeling. J. Water Resour. Plann. Manage. 146, 04020030. https://doi.org/10.1061/(ASCE)WR.1943-5452.0001210</w:t>
      </w:r>
    </w:p>
    <w:p w14:paraId="0AD2CCF7" w14:textId="77777777" w:rsidR="00F16DF6" w:rsidRPr="00F16DF6" w:rsidRDefault="00F16DF6" w:rsidP="00F16DF6">
      <w:pPr>
        <w:pStyle w:val="Bibliography"/>
        <w:rPr>
          <w:rFonts w:ascii="Times New Roman" w:hAnsi="Times New Roman" w:cs="Times New Roman"/>
          <w:lang w:val="it-IT"/>
        </w:rPr>
      </w:pPr>
      <w:r w:rsidRPr="00F16DF6">
        <w:rPr>
          <w:rFonts w:ascii="Times New Roman" w:hAnsi="Times New Roman" w:cs="Times New Roman"/>
        </w:rPr>
        <w:lastRenderedPageBreak/>
        <w:t xml:space="preserve">Hagberg, A.A., Schult, D.A., Swart, P.J., 2008. Exploring Network Structure, Dynamics, and Function using NetworkX, in: Varoquaux, G., Vaught, T., Millman, J. (Eds.), Proceedings of the 7th Python in Science Conference. </w:t>
      </w:r>
      <w:r w:rsidRPr="00F16DF6">
        <w:rPr>
          <w:rFonts w:ascii="Times New Roman" w:hAnsi="Times New Roman" w:cs="Times New Roman"/>
          <w:lang w:val="it-IT"/>
        </w:rPr>
        <w:t>Pasadena, CA USA, pp. 11–15.</w:t>
      </w:r>
    </w:p>
    <w:p w14:paraId="540DE736"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lang w:val="it-IT"/>
        </w:rPr>
        <w:t xml:space="preserve">Hastie, T.J., Tibshirani, R., Friedman, J.H., 2009. </w:t>
      </w:r>
      <w:r w:rsidRPr="00F16DF6">
        <w:rPr>
          <w:rFonts w:ascii="Times New Roman" w:hAnsi="Times New Roman" w:cs="Times New Roman"/>
        </w:rPr>
        <w:t>The elements of statistical learning: data mining, inference, and prediction, 2nd ed. ed, Springer series in statistics. Springer, New York.</w:t>
      </w:r>
    </w:p>
    <w:p w14:paraId="346BE766"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Katz, L., 1953. A new status index derived from sociometric analysis. Psychometrika 18, 39–43. https://doi.org/10.1007/BF02289026</w:t>
      </w:r>
    </w:p>
    <w:p w14:paraId="2A98F34C"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Marchiori, M., Latora, V., 2000. Harmony in the small-world. Physica A: Statistical Mechanics and its Applications 285, 539–546. https://doi.org/10.1016/S0378-4371(00)00311-3</w:t>
      </w:r>
    </w:p>
    <w:p w14:paraId="48BA69C6"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Newman, M.E.J., Girvan, M., 2004. Finding and evaluating community structure in networks. Phys. Rev. E 69, 026113. https://doi.org/10.1103/PhysRevE.69.026113</w:t>
      </w:r>
    </w:p>
    <w:p w14:paraId="3278AF7E" w14:textId="77777777" w:rsidR="00F16DF6" w:rsidRPr="00F16DF6" w:rsidRDefault="00F16DF6" w:rsidP="00F16DF6">
      <w:pPr>
        <w:pStyle w:val="Bibliography"/>
        <w:rPr>
          <w:rFonts w:ascii="Times New Roman" w:hAnsi="Times New Roman" w:cs="Times New Roman"/>
        </w:rPr>
      </w:pPr>
      <w:r w:rsidRPr="00F16DF6">
        <w:rPr>
          <w:rFonts w:ascii="Times New Roman" w:hAnsi="Times New Roman" w:cs="Times New Roman"/>
        </w:rPr>
        <w:t>Wasserman, S., Faust, K., 2009. Social network analysis: methods and applications, 18. print. ed, Structural analysis in the social sciences. Cambridge Univ. Press, Cambridge.</w:t>
      </w:r>
    </w:p>
    <w:p w14:paraId="2C41C342" w14:textId="64193638" w:rsidR="009278B3" w:rsidRPr="009278B3" w:rsidRDefault="009278B3">
      <w:pPr>
        <w:jc w:val="both"/>
        <w:rPr>
          <w:rFonts w:ascii="Times New Roman" w:hAnsi="Times New Roman"/>
        </w:rPr>
      </w:pPr>
      <w:r>
        <w:rPr>
          <w:rFonts w:ascii="Times New Roman" w:hAnsi="Times New Roman"/>
        </w:rPr>
        <w:fldChar w:fldCharType="end"/>
      </w:r>
    </w:p>
    <w:sectPr w:rsidR="009278B3" w:rsidRPr="009278B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450A6"/>
    <w:multiLevelType w:val="multilevel"/>
    <w:tmpl w:val="522CC1D6"/>
    <w:lvl w:ilvl="0">
      <w:start w:val="1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1E2588E"/>
    <w:multiLevelType w:val="multilevel"/>
    <w:tmpl w:val="F43E83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79413486">
    <w:abstractNumId w:val="0"/>
  </w:num>
  <w:num w:numId="2" w16cid:durableId="625964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E2"/>
    <w:rsid w:val="000C44C9"/>
    <w:rsid w:val="00160880"/>
    <w:rsid w:val="00254A56"/>
    <w:rsid w:val="003F5123"/>
    <w:rsid w:val="0045687E"/>
    <w:rsid w:val="004720D5"/>
    <w:rsid w:val="00517B8A"/>
    <w:rsid w:val="00663CBB"/>
    <w:rsid w:val="007B02B1"/>
    <w:rsid w:val="00847596"/>
    <w:rsid w:val="009278B3"/>
    <w:rsid w:val="00981EDA"/>
    <w:rsid w:val="009C4027"/>
    <w:rsid w:val="00A73B12"/>
    <w:rsid w:val="00BC1029"/>
    <w:rsid w:val="00C4749F"/>
    <w:rsid w:val="00C719F8"/>
    <w:rsid w:val="00CF5AE2"/>
    <w:rsid w:val="00D15B90"/>
    <w:rsid w:val="00F16DF6"/>
    <w:rsid w:val="00FC463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1878"/>
  <w15:docId w15:val="{264F24A1-9D6D-4E90-A4F5-BFD134DC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qFormat/>
    <w:pPr>
      <w:spacing w:after="160" w:line="259" w:lineRule="auto"/>
      <w:ind w:left="720"/>
      <w:contextualSpacing/>
    </w:pPr>
    <w:rPr>
      <w:rFonts w:eastAsiaTheme="minorHAnsi" w:cstheme="minorBidi"/>
      <w:szCs w:val="22"/>
      <w:lang w:eastAsia="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Bibliography">
    <w:name w:val="Bibliography"/>
    <w:basedOn w:val="Normal"/>
    <w:next w:val="Normal"/>
    <w:uiPriority w:val="37"/>
    <w:unhideWhenUsed/>
    <w:rsid w:val="009278B3"/>
    <w:pPr>
      <w:ind w:left="720" w:hanging="720"/>
    </w:pPr>
    <w:rPr>
      <w:rFonts w:cs="Mangal"/>
      <w:szCs w:val="21"/>
    </w:rPr>
  </w:style>
  <w:style w:type="character" w:styleId="CommentReference">
    <w:name w:val="annotation reference"/>
    <w:basedOn w:val="DefaultParagraphFont"/>
    <w:uiPriority w:val="99"/>
    <w:semiHidden/>
    <w:unhideWhenUsed/>
    <w:rsid w:val="003F5123"/>
    <w:rPr>
      <w:sz w:val="16"/>
      <w:szCs w:val="16"/>
    </w:rPr>
  </w:style>
  <w:style w:type="paragraph" w:styleId="CommentText">
    <w:name w:val="annotation text"/>
    <w:basedOn w:val="Normal"/>
    <w:link w:val="CommentTextChar"/>
    <w:uiPriority w:val="99"/>
    <w:semiHidden/>
    <w:unhideWhenUsed/>
    <w:rsid w:val="003F5123"/>
    <w:rPr>
      <w:rFonts w:cs="Mangal"/>
      <w:sz w:val="20"/>
      <w:szCs w:val="18"/>
    </w:rPr>
  </w:style>
  <w:style w:type="character" w:customStyle="1" w:styleId="CommentTextChar">
    <w:name w:val="Comment Text Char"/>
    <w:basedOn w:val="DefaultParagraphFont"/>
    <w:link w:val="CommentText"/>
    <w:uiPriority w:val="99"/>
    <w:semiHidden/>
    <w:rsid w:val="003F5123"/>
    <w:rPr>
      <w:rFonts w:cs="Mangal"/>
      <w:szCs w:val="18"/>
    </w:rPr>
  </w:style>
  <w:style w:type="paragraph" w:styleId="CommentSubject">
    <w:name w:val="annotation subject"/>
    <w:basedOn w:val="CommentText"/>
    <w:next w:val="CommentText"/>
    <w:link w:val="CommentSubjectChar"/>
    <w:uiPriority w:val="99"/>
    <w:semiHidden/>
    <w:unhideWhenUsed/>
    <w:rsid w:val="003F5123"/>
    <w:rPr>
      <w:b/>
      <w:bCs/>
    </w:rPr>
  </w:style>
  <w:style w:type="character" w:customStyle="1" w:styleId="CommentSubjectChar">
    <w:name w:val="Comment Subject Char"/>
    <w:basedOn w:val="CommentTextChar"/>
    <w:link w:val="CommentSubject"/>
    <w:uiPriority w:val="99"/>
    <w:semiHidden/>
    <w:rsid w:val="003F5123"/>
    <w:rPr>
      <w:rFonts w:cs="Mangal"/>
      <w:b/>
      <w:bCs/>
      <w:szCs w:val="18"/>
    </w:rPr>
  </w:style>
  <w:style w:type="character" w:styleId="PlaceholderText">
    <w:name w:val="Placeholder Text"/>
    <w:basedOn w:val="DefaultParagraphFont"/>
    <w:uiPriority w:val="99"/>
    <w:semiHidden/>
    <w:rsid w:val="004720D5"/>
    <w:rPr>
      <w:color w:val="808080"/>
    </w:rPr>
  </w:style>
  <w:style w:type="table" w:styleId="TableGrid">
    <w:name w:val="Table Grid"/>
    <w:basedOn w:val="TableNormal"/>
    <w:uiPriority w:val="39"/>
    <w:rsid w:val="007B0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4769</Words>
  <Characters>27185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Gabrielli</dc:creator>
  <dc:description/>
  <cp:lastModifiedBy>Marco Gabrielli</cp:lastModifiedBy>
  <cp:revision>2</cp:revision>
  <dcterms:created xsi:type="dcterms:W3CDTF">2023-04-19T16:45:00Z</dcterms:created>
  <dcterms:modified xsi:type="dcterms:W3CDTF">2023-04-19T16:45:00Z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id="l0VKzBze"/&gt;&lt;style id="http://www.zotero.org/styles/water-research" hasBibliography="1" bibliographyStyleHasBeenSet="1"/&gt;&lt;prefs&gt;&lt;pref name="fieldType" value="Field"/&gt;&lt;/prefs&gt;&lt;/data&gt;</vt:lpwstr>
  </property>
</Properties>
</file>