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charts/chart7.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Narrow" w:hAnsi="Arial Narrow"/>
          <w:b/>
          <w:b/>
          <w:sz w:val="28"/>
        </w:rPr>
      </w:pPr>
      <w:r>
        <w:rPr>
          <w:rFonts w:ascii="Arial Narrow" w:hAnsi="Arial Narrow"/>
          <w:b/>
          <w:sz w:val="28"/>
        </w:rPr>
        <w:t>Heavy – Fermion Semiconductor Behaviour  and Phase Transition of  CeCu</w:t>
      </w:r>
      <w:r>
        <w:rPr>
          <w:rFonts w:ascii="Arial Narrow" w:hAnsi="Arial Narrow"/>
          <w:b/>
          <w:sz w:val="28"/>
          <w:vertAlign w:val="subscript"/>
        </w:rPr>
        <w:t>2</w:t>
      </w:r>
      <w:r>
        <w:rPr>
          <w:rFonts w:ascii="Arial Narrow" w:hAnsi="Arial Narrow"/>
          <w:b/>
          <w:sz w:val="28"/>
        </w:rPr>
        <w:t>Si</w:t>
      </w:r>
      <w:r>
        <w:rPr>
          <w:rFonts w:ascii="Arial Narrow" w:hAnsi="Arial Narrow"/>
          <w:b/>
          <w:sz w:val="28"/>
          <w:vertAlign w:val="subscript"/>
        </w:rPr>
        <w:t>2</w:t>
      </w:r>
      <w:r>
        <w:rPr>
          <w:rFonts w:ascii="Arial Narrow" w:hAnsi="Arial Narrow"/>
          <w:b/>
          <w:sz w:val="28"/>
        </w:rPr>
        <w:t xml:space="preserve"> in the Single Site Impurity Anderson Model.</w:t>
      </w:r>
    </w:p>
    <w:p>
      <w:pPr>
        <w:pStyle w:val="Normal"/>
        <w:jc w:val="center"/>
        <w:rPr/>
      </w:pPr>
      <w:r>
        <w:rPr>
          <w:rFonts w:ascii="Arial Narrow" w:hAnsi="Arial Narrow"/>
          <w:sz w:val="24"/>
        </w:rPr>
        <w:t xml:space="preserve">Omamoke O.  </w:t>
      </w:r>
      <w:r>
        <w:rPr>
          <w:rFonts w:ascii="Arial Narrow" w:hAnsi="Arial Narrow"/>
          <w:sz w:val="24"/>
        </w:rPr>
        <w:t>E. Enaroseha</w:t>
      </w:r>
      <w:r>
        <w:rPr>
          <w:rFonts w:ascii="Arial Narrow" w:hAnsi="Arial Narrow"/>
          <w:sz w:val="24"/>
          <w:vertAlign w:val="superscript"/>
        </w:rPr>
        <w:t>1</w:t>
      </w:r>
      <w:r>
        <w:rPr>
          <w:rFonts w:ascii="Arial Narrow" w:hAnsi="Arial Narrow"/>
          <w:sz w:val="24"/>
        </w:rPr>
        <w:t xml:space="preserve"> and Edwin Igherighe</w:t>
      </w:r>
      <w:r>
        <w:rPr>
          <w:rFonts w:ascii="Arial Narrow" w:hAnsi="Arial Narrow"/>
          <w:sz w:val="24"/>
          <w:vertAlign w:val="superscript"/>
        </w:rPr>
        <w:t>2</w:t>
      </w:r>
    </w:p>
    <w:p>
      <w:pPr>
        <w:pStyle w:val="Normal"/>
        <w:jc w:val="center"/>
        <w:rPr/>
      </w:pPr>
      <w:r>
        <w:rPr>
          <w:rFonts w:ascii="Arial Narrow" w:hAnsi="Arial Narrow"/>
          <w:i/>
          <w:sz w:val="24"/>
          <w:vertAlign w:val="superscript"/>
        </w:rPr>
        <w:t>1</w:t>
      </w:r>
      <w:r>
        <w:rPr>
          <w:rFonts w:ascii="Arial Narrow" w:hAnsi="Arial Narrow"/>
          <w:i/>
          <w:sz w:val="24"/>
        </w:rPr>
        <w:t xml:space="preserve">Department of Physics, </w:t>
      </w:r>
      <w:r>
        <w:rPr>
          <w:rFonts w:ascii="Arial Narrow" w:hAnsi="Arial Narrow"/>
          <w:i/>
          <w:sz w:val="24"/>
        </w:rPr>
        <w:t>Delta State University Abraka</w:t>
      </w:r>
      <w:r>
        <w:rPr>
          <w:rFonts w:ascii="Arial Narrow" w:hAnsi="Arial Narrow"/>
          <w:i/>
          <w:sz w:val="24"/>
        </w:rPr>
        <w:t>, Nigeria</w:t>
      </w:r>
    </w:p>
    <w:p>
      <w:pPr>
        <w:pStyle w:val="Normal"/>
        <w:jc w:val="center"/>
        <w:rPr>
          <w:rFonts w:ascii="Arial Narrow" w:hAnsi="Arial Narrow"/>
          <w:i/>
          <w:i/>
          <w:sz w:val="24"/>
        </w:rPr>
      </w:pPr>
      <w:r>
        <w:rPr>
          <w:rFonts w:ascii="Arial Narrow" w:hAnsi="Arial Narrow"/>
          <w:i/>
          <w:sz w:val="24"/>
          <w:vertAlign w:val="superscript"/>
        </w:rPr>
        <w:t>2</w:t>
      </w:r>
      <w:r>
        <w:rPr>
          <w:rFonts w:ascii="Arial Narrow" w:hAnsi="Arial Narrow"/>
          <w:i/>
          <w:sz w:val="24"/>
        </w:rPr>
        <w:t>Department of Physics, College of Education, Agbor, Nigeria</w:t>
      </w:r>
    </w:p>
    <w:p>
      <w:pPr>
        <w:pStyle w:val="Normal"/>
        <w:jc w:val="both"/>
        <w:rPr>
          <w:rFonts w:ascii="Arial Narrow" w:hAnsi="Arial Narrow"/>
          <w:sz w:val="28"/>
        </w:rPr>
      </w:pPr>
      <w:r>
        <w:rPr>
          <w:rFonts w:ascii="Arial Narrow" w:hAnsi="Arial Narrow"/>
          <w:sz w:val="28"/>
        </w:rPr>
      </w:r>
    </w:p>
    <w:p>
      <w:pPr>
        <w:pStyle w:val="Normal"/>
        <w:jc w:val="both"/>
        <w:rPr>
          <w:rFonts w:ascii="Arial Narrow" w:hAnsi="Arial Narrow"/>
          <w:sz w:val="24"/>
        </w:rPr>
      </w:pPr>
      <w:r>
        <w:rPr>
          <w:rFonts w:ascii="Arial Narrow" w:hAnsi="Arial Narrow"/>
          <w:sz w:val="28"/>
          <w:vertAlign w:val="superscript"/>
        </w:rPr>
        <w:t>1</w:t>
      </w:r>
      <w:r>
        <w:rPr>
          <w:rFonts w:ascii="Arial Narrow" w:hAnsi="Arial Narrow"/>
          <w:sz w:val="24"/>
        </w:rPr>
        <w:t>Corresponding author’s email: enarosehaomamoke@gmail.com; Tel: +234(0)8036204434</w:t>
      </w:r>
    </w:p>
    <w:p>
      <w:pPr>
        <w:pStyle w:val="Normal"/>
        <w:jc w:val="both"/>
        <w:rPr>
          <w:rFonts w:ascii="Arial Narrow" w:hAnsi="Arial Narrow"/>
          <w:sz w:val="24"/>
        </w:rPr>
      </w:pPr>
      <w:r>
        <w:rPr>
          <w:rFonts w:ascii="Arial Narrow" w:hAnsi="Arial Narrow"/>
          <w:sz w:val="24"/>
          <w:vertAlign w:val="superscript"/>
        </w:rPr>
        <w:t>1</w:t>
      </w:r>
      <w:r>
        <w:rPr>
          <w:rFonts w:ascii="Arial Narrow" w:hAnsi="Arial Narrow"/>
          <w:sz w:val="24"/>
        </w:rPr>
        <w:t>Present Postal Address: P.O.Box 60, Ozoro, Delta State, Nigeria</w:t>
      </w:r>
    </w:p>
    <w:p>
      <w:pPr>
        <w:pStyle w:val="Normal"/>
        <w:jc w:val="both"/>
        <w:rPr>
          <w:rFonts w:ascii="Arial Narrow" w:hAnsi="Arial Narrow"/>
          <w:sz w:val="28"/>
        </w:rPr>
      </w:pPr>
      <w:r>
        <w:rPr>
          <w:rFonts w:ascii="Arial Narrow" w:hAnsi="Arial Narrow"/>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center"/>
        <w:rPr>
          <w:rFonts w:ascii="Arial Narrow" w:hAnsi="Arial Narrow"/>
          <w:sz w:val="28"/>
        </w:rPr>
      </w:pPr>
      <w:r>
        <w:rPr>
          <w:rFonts w:ascii="Arial Narrow" w:hAnsi="Arial Narrow"/>
          <w:sz w:val="28"/>
        </w:rPr>
        <w:t>Abstract</w:t>
      </w:r>
    </w:p>
    <w:p>
      <w:pPr>
        <w:pStyle w:val="Normal"/>
        <w:jc w:val="both"/>
        <w:rPr>
          <w:rFonts w:ascii="Arial Narrow" w:hAnsi="Arial Narrow"/>
          <w:i/>
          <w:i/>
          <w:sz w:val="26"/>
        </w:rPr>
      </w:pPr>
      <w:r>
        <w:rPr>
          <w:rFonts w:ascii="Arial Narrow" w:hAnsi="Arial Narrow"/>
          <w:i/>
          <w:sz w:val="24"/>
        </w:rPr>
        <w:t>We investigate the electronic properties of CeCu</w:t>
      </w:r>
      <w:r>
        <w:rPr>
          <w:rFonts w:ascii="Arial Narrow" w:hAnsi="Arial Narrow"/>
          <w:i/>
          <w:sz w:val="24"/>
          <w:vertAlign w:val="subscript"/>
        </w:rPr>
        <w:t>2</w:t>
      </w:r>
      <w:r>
        <w:rPr>
          <w:rFonts w:ascii="Arial Narrow" w:hAnsi="Arial Narrow"/>
          <w:i/>
          <w:sz w:val="24"/>
        </w:rPr>
        <w:t>Si</w:t>
      </w:r>
      <w:r>
        <w:rPr>
          <w:rFonts w:ascii="Arial Narrow" w:hAnsi="Arial Narrow"/>
          <w:i/>
          <w:sz w:val="24"/>
          <w:vertAlign w:val="subscript"/>
        </w:rPr>
        <w:t xml:space="preserve">2 </w:t>
      </w:r>
      <w:r>
        <w:rPr>
          <w:rFonts w:ascii="Arial Narrow" w:hAnsi="Arial Narrow"/>
          <w:i/>
          <w:sz w:val="24"/>
        </w:rPr>
        <w:t xml:space="preserve">in the low temperature regime using the Exact-Diagonalization technique. This technique allows the study of the physics of strongly correlated electron systems. We show that when the hybridization term in the Single Site Impurity Anderson Model (SIAM) is increased: (1) there is a smooth phase transition from an antiferromagnetic phase to a ferromagnetic phase and (2) there is a semiconductor gap ∆ between the singlet state and triplet states energies as the lattice sites and dimensions is increasing. The basic features of this theory are in qualitative agreement with the experimentally observed heavy-fermion semiconductor of some rare-earth </w:t>
      </w:r>
      <w:r>
        <w:rPr>
          <w:rFonts w:ascii="Arial Narrow" w:hAnsi="Arial Narrow"/>
          <w:i/>
          <w:sz w:val="26"/>
        </w:rPr>
        <w:t>compounds.</w:t>
      </w:r>
    </w:p>
    <w:p>
      <w:pPr>
        <w:pStyle w:val="Normal"/>
        <w:jc w:val="both"/>
        <w:rPr>
          <w:rFonts w:ascii="Arial Narrow" w:hAnsi="Arial Narrow"/>
          <w:sz w:val="24"/>
        </w:rPr>
      </w:pPr>
      <w:r>
        <w:rPr>
          <w:rFonts w:ascii="Arial Narrow" w:hAnsi="Arial Narrow"/>
          <w:b/>
          <w:sz w:val="24"/>
        </w:rPr>
        <w:t>KEYWORDS:</w:t>
      </w:r>
      <w:r>
        <w:rPr>
          <w:rFonts w:ascii="Arial Narrow" w:hAnsi="Arial Narrow"/>
          <w:sz w:val="24"/>
        </w:rPr>
        <w:t xml:space="preserve"> Transition point, hybridization gap, Antiferromagnetic phase, Ferromagnetic phase</w:t>
      </w:r>
    </w:p>
    <w:p>
      <w:pPr>
        <w:pStyle w:val="Normal"/>
        <w:jc w:val="both"/>
        <w:rPr>
          <w:rFonts w:ascii="Arial Narrow" w:hAnsi="Arial Narrow"/>
          <w:b/>
          <w:b/>
          <w:sz w:val="24"/>
        </w:rPr>
      </w:pPr>
      <w:r>
        <w:rPr>
          <w:rFonts w:ascii="Arial Narrow" w:hAnsi="Arial Narrow"/>
          <w:b/>
          <w:sz w:val="24"/>
        </w:rPr>
        <w:t>INTRODUCTION</w:t>
      </w:r>
    </w:p>
    <w:p>
      <w:pPr>
        <w:pStyle w:val="Normal"/>
        <w:spacing w:lineRule="auto" w:line="240" w:before="0" w:after="0"/>
        <w:jc w:val="both"/>
        <w:rPr>
          <w:rFonts w:ascii="Arial Narrow" w:hAnsi="Arial Narrow" w:cs="Times New Roman"/>
          <w:sz w:val="24"/>
          <w:szCs w:val="24"/>
        </w:rPr>
      </w:pPr>
      <w:r>
        <w:rPr>
          <w:rFonts w:ascii="Arial Narrow" w:hAnsi="Arial Narrow"/>
          <w:sz w:val="24"/>
        </w:rPr>
        <w:tab/>
      </w:r>
      <w:r>
        <w:rPr>
          <w:rFonts w:cs="Times New Roman" w:ascii="Arial Narrow" w:hAnsi="Arial Narrow"/>
          <w:sz w:val="24"/>
          <w:szCs w:val="24"/>
        </w:rPr>
        <w:t xml:space="preserve">The discovery of carrier-induced ferromagnetism in diluted magnetic semiconductor </w:t>
      </w:r>
      <w:r>
        <w:rPr>
          <w:rFonts w:cs="Universal-GreekwithMathPi" w:ascii="Arial Narrow" w:hAnsi="Arial Narrow"/>
          <w:sz w:val="24"/>
          <w:szCs w:val="24"/>
        </w:rPr>
        <w:t>(</w:t>
      </w:r>
      <w:r>
        <w:rPr>
          <w:rFonts w:cs="Times New Roman" w:ascii="Arial Narrow" w:hAnsi="Arial Narrow"/>
          <w:sz w:val="24"/>
          <w:szCs w:val="24"/>
        </w:rPr>
        <w:t>DMS</w:t>
      </w:r>
      <w:r>
        <w:rPr>
          <w:rFonts w:cs="Universal-GreekwithMathPi" w:ascii="Arial Narrow" w:hAnsi="Arial Narrow"/>
          <w:sz w:val="24"/>
          <w:szCs w:val="24"/>
        </w:rPr>
        <w:t xml:space="preserve">) </w:t>
      </w:r>
      <w:r>
        <w:rPr>
          <w:rFonts w:cs="Times New Roman" w:ascii="Arial Narrow" w:hAnsi="Arial Narrow"/>
          <w:sz w:val="24"/>
          <w:szCs w:val="24"/>
        </w:rPr>
        <w:t>has attracted considerable attention from both theoreticians and experimentalists. The interest in these material is mainly stimulated by the possible technological applications e.g. semiconductor spin devices. For example by doping GaAs with magnetic impurities Mn</w:t>
      </w:r>
      <w:r>
        <w:rPr>
          <w:rFonts w:cs="Times New Roman" w:ascii="Arial Narrow" w:hAnsi="Arial Narrow"/>
          <w:sz w:val="24"/>
          <w:szCs w:val="24"/>
          <w:vertAlign w:val="superscript"/>
        </w:rPr>
        <w:t>2</w:t>
      </w:r>
      <w:r>
        <w:rPr>
          <w:rFonts w:cs="MathematicalPi-One" w:ascii="Arial Narrow" w:hAnsi="Arial Narrow"/>
          <w:sz w:val="24"/>
          <w:szCs w:val="24"/>
          <w:vertAlign w:val="superscript"/>
        </w:rPr>
        <w:t>+</w:t>
      </w:r>
      <w:r>
        <w:rPr>
          <w:rFonts w:cs="Times New Roman" w:ascii="Arial Narrow" w:hAnsi="Arial Narrow"/>
          <w:sz w:val="24"/>
          <w:szCs w:val="24"/>
        </w:rPr>
        <w:t>, T</w:t>
      </w:r>
      <w:r>
        <w:rPr>
          <w:rFonts w:cs="Times New Roman" w:ascii="Arial Narrow" w:hAnsi="Arial Narrow"/>
          <w:i/>
          <w:iCs/>
          <w:sz w:val="24"/>
          <w:szCs w:val="24"/>
          <w:vertAlign w:val="subscript"/>
        </w:rPr>
        <w:t>c</w:t>
      </w:r>
      <w:r>
        <w:rPr>
          <w:rFonts w:cs="Times New Roman" w:ascii="Arial Narrow" w:hAnsi="Arial Narrow"/>
          <w:i/>
          <w:iCs/>
          <w:sz w:val="24"/>
          <w:szCs w:val="24"/>
        </w:rPr>
        <w:t xml:space="preserve"> </w:t>
      </w:r>
      <w:r>
        <w:rPr>
          <w:rFonts w:cs="Times New Roman" w:ascii="Arial Narrow" w:hAnsi="Arial Narrow"/>
          <w:sz w:val="24"/>
          <w:szCs w:val="24"/>
        </w:rPr>
        <w:t>exceeding 100 K has been reached. The doping of a III-V semiconductor compound with Mn impurities introduces simultaneously local magnetic moments and itinerant valence-band carriers</w:t>
      </w:r>
      <w:r>
        <w:rPr>
          <w:rFonts w:cs="Times New Roman" w:ascii="Arial Narrow" w:hAnsi="Arial Narrow"/>
          <w:sz w:val="24"/>
          <w:szCs w:val="24"/>
          <w:vertAlign w:val="superscript"/>
        </w:rPr>
        <w:t>[1]</w:t>
      </w:r>
      <w:r>
        <w:rPr>
          <w:rFonts w:cs="Times New Roman" w:ascii="Arial Narrow" w:hAnsi="Arial Narrow"/>
          <w:sz w:val="24"/>
          <w:szCs w:val="24"/>
        </w:rPr>
        <w:t>.</w:t>
      </w:r>
    </w:p>
    <w:p>
      <w:pPr>
        <w:pStyle w:val="Normal"/>
        <w:spacing w:lineRule="auto" w:line="240" w:before="0" w:after="0"/>
        <w:ind w:firstLine="720"/>
        <w:jc w:val="both"/>
        <w:rPr>
          <w:rFonts w:ascii="Arial Narrow" w:hAnsi="Arial Narrow" w:cs="CMR10"/>
          <w:sz w:val="24"/>
          <w:szCs w:val="24"/>
        </w:rPr>
      </w:pPr>
      <w:r>
        <w:rPr>
          <w:rFonts w:cs="CMR10" w:ascii="Arial Narrow" w:hAnsi="Arial Narrow"/>
          <w:sz w:val="24"/>
          <w:szCs w:val="24"/>
        </w:rPr>
        <w:t xml:space="preserve">The Sigle Site Impurity Anderson model (SIAM), in which a single, locally correlated orbital couples to a non-interacting metallic band of electrons, is a longstanding paradigm of strongly-correlated electron physics </w:t>
      </w:r>
      <w:r>
        <w:rPr>
          <w:rFonts w:cs="CMR10" w:ascii="Arial Narrow" w:hAnsi="Arial Narrow"/>
          <w:sz w:val="24"/>
          <w:szCs w:val="24"/>
          <w:vertAlign w:val="superscript"/>
        </w:rPr>
        <w:t>[2]</w:t>
      </w:r>
      <w:r>
        <w:rPr>
          <w:rFonts w:cs="CMR10" w:ascii="Arial Narrow" w:hAnsi="Arial Narrow"/>
          <w:sz w:val="24"/>
          <w:szCs w:val="24"/>
        </w:rPr>
        <w:t>. Conceived originally</w:t>
      </w:r>
      <w:r>
        <w:rPr>
          <w:rFonts w:cs="CMR7" w:ascii="Arial Narrow" w:hAnsi="Arial Narrow"/>
          <w:sz w:val="24"/>
          <w:szCs w:val="24"/>
          <w:vertAlign w:val="superscript"/>
        </w:rPr>
        <w:t>[3]</w:t>
      </w:r>
      <w:r>
        <w:rPr>
          <w:rFonts w:cs="CMR7" w:ascii="Arial Narrow" w:hAnsi="Arial Narrow"/>
          <w:sz w:val="24"/>
          <w:szCs w:val="24"/>
        </w:rPr>
        <w:t xml:space="preserve"> </w:t>
      </w:r>
      <w:r>
        <w:rPr>
          <w:rFonts w:cs="CMR10" w:ascii="Arial Narrow" w:hAnsi="Arial Narrow"/>
          <w:sz w:val="24"/>
          <w:szCs w:val="24"/>
        </w:rPr>
        <w:t>to explain the formation of localized magnetic moments on impurities in non-magnetic hosts, it has since formed the cornerstone of our understanding of the Kondo effect</w:t>
      </w:r>
      <w:r>
        <w:rPr>
          <w:rFonts w:cs="CMR7" w:ascii="Arial Narrow" w:hAnsi="Arial Narrow"/>
          <w:sz w:val="24"/>
          <w:szCs w:val="24"/>
          <w:vertAlign w:val="superscript"/>
        </w:rPr>
        <w:t>[4]</w:t>
      </w:r>
      <w:r>
        <w:rPr>
          <w:rFonts w:cs="CMR7" w:ascii="Arial Narrow" w:hAnsi="Arial Narrow"/>
          <w:sz w:val="24"/>
          <w:szCs w:val="24"/>
        </w:rPr>
        <w:t xml:space="preserve"> </w:t>
      </w:r>
      <w:r>
        <w:rPr>
          <w:rFonts w:cs="CMR10" w:ascii="Arial Narrow" w:hAnsi="Arial Narrow"/>
          <w:sz w:val="24"/>
          <w:szCs w:val="24"/>
        </w:rPr>
        <w:t>and related many-body phenomena. Interest in the area is currently particularly strong, both experimentally and theoretically, after the Kondo effect was predicted</w:t>
      </w:r>
      <w:r>
        <w:rPr>
          <w:rFonts w:cs="CMR7" w:ascii="Arial Narrow" w:hAnsi="Arial Narrow"/>
          <w:sz w:val="24"/>
          <w:szCs w:val="24"/>
        </w:rPr>
        <w:t xml:space="preserve"> </w:t>
      </w:r>
      <w:r>
        <w:rPr>
          <w:rFonts w:cs="CMR10" w:ascii="Arial Narrow" w:hAnsi="Arial Narrow"/>
          <w:sz w:val="24"/>
          <w:szCs w:val="24"/>
        </w:rPr>
        <w:t>and then directly confirmed</w:t>
      </w:r>
      <w:r>
        <w:rPr>
          <w:rFonts w:cs="CMR7" w:ascii="Arial Narrow" w:hAnsi="Arial Narrow"/>
          <w:sz w:val="24"/>
          <w:szCs w:val="24"/>
        </w:rPr>
        <w:t xml:space="preserve"> </w:t>
      </w:r>
      <w:r>
        <w:rPr>
          <w:rFonts w:cs="CMR10" w:ascii="Arial Narrow" w:hAnsi="Arial Narrow"/>
          <w:sz w:val="24"/>
          <w:szCs w:val="24"/>
        </w:rPr>
        <w:t>to arise in mesoscopic quantum dot systems</w:t>
      </w:r>
      <w:r>
        <w:rPr>
          <w:rFonts w:cs="CMR10" w:ascii="Arial Narrow" w:hAnsi="Arial Narrow"/>
          <w:sz w:val="24"/>
          <w:szCs w:val="24"/>
          <w:vertAlign w:val="superscript"/>
        </w:rPr>
        <w:t>[5]</w:t>
      </w:r>
      <w:r>
        <w:rPr>
          <w:rFonts w:cs="CMR10" w:ascii="Arial Narrow" w:hAnsi="Arial Narrow"/>
          <w:sz w:val="24"/>
          <w:szCs w:val="24"/>
        </w:rPr>
        <w:t>.</w:t>
      </w:r>
      <w:r>
        <w:rPr>
          <w:rFonts w:cs="CMR7" w:ascii="Arial Narrow" w:hAnsi="Arial Narrow"/>
          <w:sz w:val="24"/>
          <w:szCs w:val="24"/>
        </w:rPr>
        <w:t xml:space="preserve"> </w:t>
      </w:r>
      <w:r>
        <w:rPr>
          <w:rFonts w:cs="CMR10" w:ascii="Arial Narrow" w:hAnsi="Arial Narrow"/>
          <w:sz w:val="24"/>
          <w:szCs w:val="24"/>
        </w:rPr>
        <w:t xml:space="preserve">After some 50 years of intense theoretical work, the spin- </w:t>
      </w:r>
      <w:r>
        <w:rPr>
          <w:rFonts w:cs="CMR7" w:ascii="Arial Narrow" w:hAnsi="Arial Narrow"/>
          <w:sz w:val="24"/>
          <w:szCs w:val="24"/>
        </w:rPr>
        <w:t xml:space="preserve">1/2 </w:t>
      </w:r>
      <w:r>
        <w:rPr>
          <w:rFonts w:cs="CMR10" w:ascii="Arial Narrow" w:hAnsi="Arial Narrow"/>
          <w:sz w:val="24"/>
          <w:szCs w:val="24"/>
        </w:rPr>
        <w:t xml:space="preserve">Kondo effect as manifest in Anderson’s original model is naturally rather well understood. Below some characteristic Kondo temperature </w:t>
      </w:r>
      <w:r>
        <w:rPr>
          <w:rFonts w:eastAsia="CMMI10" w:cs="CMMI10" w:ascii="Arial Narrow" w:hAnsi="Arial Narrow"/>
          <w:sz w:val="24"/>
          <w:szCs w:val="24"/>
        </w:rPr>
        <w:t>T</w:t>
      </w:r>
      <w:r>
        <w:rPr>
          <w:rFonts w:cs="CMR7" w:ascii="Arial Narrow" w:hAnsi="Arial Narrow"/>
          <w:sz w:val="24"/>
          <w:szCs w:val="24"/>
        </w:rPr>
        <w:t>K</w:t>
      </w:r>
      <w:r>
        <w:rPr>
          <w:rFonts w:cs="CMR10" w:ascii="Arial Narrow" w:hAnsi="Arial Narrow"/>
          <w:sz w:val="24"/>
          <w:szCs w:val="24"/>
        </w:rPr>
        <w:t>, a complex many-body state develops in which the impurity spin is completely screened by the host metal, leading at low energies to a ‘local’ Fermi-liquid and universal transport properties</w:t>
      </w:r>
      <w:r>
        <w:rPr>
          <w:rFonts w:cs="CMR10" w:ascii="Arial Narrow" w:hAnsi="Arial Narrow"/>
          <w:sz w:val="24"/>
          <w:szCs w:val="24"/>
          <w:vertAlign w:val="superscript"/>
        </w:rPr>
        <w:t>[2]</w:t>
      </w:r>
      <w:r>
        <w:rPr>
          <w:rFonts w:cs="CMR10" w:ascii="Arial Narrow" w:hAnsi="Arial Narrow"/>
          <w:sz w:val="24"/>
          <w:szCs w:val="24"/>
        </w:rPr>
        <w:t>.</w:t>
      </w:r>
    </w:p>
    <w:p>
      <w:pPr>
        <w:pStyle w:val="Normal"/>
        <w:spacing w:lineRule="auto" w:line="240" w:before="0" w:after="0"/>
        <w:ind w:firstLine="720"/>
        <w:jc w:val="both"/>
        <w:rPr>
          <w:rFonts w:ascii="Arial Narrow" w:hAnsi="Arial Narrow" w:cs="CMR10"/>
          <w:sz w:val="24"/>
          <w:szCs w:val="24"/>
        </w:rPr>
      </w:pPr>
      <w:r>
        <w:rPr>
          <w:rFonts w:cs="CMR10" w:ascii="Arial Narrow" w:hAnsi="Arial Narrow"/>
          <w:sz w:val="24"/>
          <w:szCs w:val="24"/>
        </w:rPr>
        <w:t>One of the hallmark of the Kondo effect</w:t>
      </w:r>
      <w:r>
        <w:rPr>
          <w:rFonts w:cs="CMR10" w:ascii="Arial Narrow" w:hAnsi="Arial Narrow"/>
          <w:sz w:val="24"/>
          <w:szCs w:val="24"/>
          <w:vertAlign w:val="superscript"/>
        </w:rPr>
        <w:t>[4]</w:t>
      </w:r>
      <w:r>
        <w:rPr>
          <w:rFonts w:cs="CMR10" w:ascii="Arial Narrow" w:hAnsi="Arial Narrow"/>
          <w:sz w:val="24"/>
          <w:szCs w:val="24"/>
        </w:rPr>
        <w:t xml:space="preserve"> is the raise of a narrow resonance, at the Fermi level, in the spectral density function of the magnetic impurity embedded into a metallic host. The width of the resonance is proportional to the so-called Kondo temperature T</w:t>
      </w:r>
      <w:r>
        <w:rPr>
          <w:rFonts w:cs="CMR10" w:ascii="Arial Narrow" w:hAnsi="Arial Narrow"/>
          <w:sz w:val="24"/>
          <w:szCs w:val="24"/>
          <w:vertAlign w:val="subscript"/>
        </w:rPr>
        <w:t>k</w:t>
      </w:r>
      <w:r>
        <w:rPr>
          <w:rFonts w:cs="CMR10" w:ascii="Arial Narrow" w:hAnsi="Arial Narrow"/>
          <w:sz w:val="24"/>
          <w:szCs w:val="24"/>
        </w:rPr>
        <w:t>, which is the characteristic energy scale. Below the T</w:t>
      </w:r>
      <w:r>
        <w:rPr>
          <w:rFonts w:cs="CMR10" w:ascii="Arial Narrow" w:hAnsi="Arial Narrow"/>
          <w:sz w:val="24"/>
          <w:szCs w:val="24"/>
          <w:vertAlign w:val="subscript"/>
        </w:rPr>
        <w:t>k</w:t>
      </w:r>
      <w:r>
        <w:rPr>
          <w:rFonts w:cs="CMR10" w:ascii="Arial Narrow" w:hAnsi="Arial Narrow"/>
          <w:sz w:val="24"/>
          <w:szCs w:val="24"/>
        </w:rPr>
        <w:t xml:space="preserve"> the impurity spin is completely screened into a singlet by the host metal</w:t>
      </w:r>
      <w:r>
        <w:rPr>
          <w:rFonts w:cs="CMR10" w:ascii="Arial Narrow" w:hAnsi="Arial Narrow"/>
          <w:sz w:val="24"/>
          <w:szCs w:val="24"/>
          <w:vertAlign w:val="superscript"/>
        </w:rPr>
        <w:t>[6]</w:t>
      </w:r>
      <w:r>
        <w:rPr>
          <w:rFonts w:cs="CMR10" w:ascii="Arial Narrow" w:hAnsi="Arial Narrow"/>
          <w:sz w:val="24"/>
          <w:szCs w:val="24"/>
        </w:rPr>
        <w:t>.</w:t>
      </w:r>
    </w:p>
    <w:p>
      <w:pPr>
        <w:pStyle w:val="Normal"/>
        <w:spacing w:lineRule="auto" w:line="240" w:before="0" w:after="0"/>
        <w:ind w:firstLine="720"/>
        <w:jc w:val="both"/>
        <w:rPr>
          <w:rFonts w:ascii="Arial Narrow" w:hAnsi="Arial Narrow" w:cs="CMR10"/>
          <w:sz w:val="24"/>
          <w:szCs w:val="24"/>
        </w:rPr>
      </w:pPr>
      <w:r>
        <w:rPr>
          <w:rFonts w:cs="CMR10" w:ascii="Arial Narrow" w:hAnsi="Arial Narrow"/>
          <w:sz w:val="24"/>
          <w:szCs w:val="24"/>
        </w:rPr>
        <w:t xml:space="preserve">Subsequently, classes of rare-earth and actinide compounds, namely, the Heavy Fermion (HF) Systems, have been attracting much theoretical and experimental interest. These compounds present a variety of ground states, including superconductor, antiferromagnetic e.t.c. Recently a new class of such compounds was discovered, namely, that of HF semiconductors or Kondo insulators and a renewed interest has been attracted to these compounds. These compounds may be characterized as usual HF systems at moderately low temperatures; they behave as semiconductors with rather small energy gap </w:t>
      </w:r>
      <w:r>
        <w:rPr>
          <w:rFonts w:cs="CMR10" w:ascii="Arial Narrow" w:hAnsi="Arial Narrow"/>
          <w:sz w:val="24"/>
          <w:szCs w:val="24"/>
          <w:vertAlign w:val="superscript"/>
        </w:rPr>
        <w:t>[7]</w:t>
      </w:r>
      <w:r>
        <w:rPr>
          <w:rFonts w:cs="CMR10" w:ascii="Arial Narrow" w:hAnsi="Arial Narrow"/>
          <w:sz w:val="24"/>
          <w:szCs w:val="24"/>
        </w:rPr>
        <w:t>.</w:t>
      </w:r>
    </w:p>
    <w:p>
      <w:pPr>
        <w:pStyle w:val="Normal"/>
        <w:spacing w:lineRule="auto" w:line="240" w:before="0" w:after="0"/>
        <w:ind w:firstLine="720"/>
        <w:jc w:val="both"/>
        <w:rPr>
          <w:rFonts w:ascii="Arial Narrow" w:hAnsi="Arial Narrow" w:cs="CMR10"/>
          <w:sz w:val="24"/>
          <w:szCs w:val="24"/>
        </w:rPr>
      </w:pPr>
      <w:r>
        <w:rPr>
          <w:rFonts w:cs="CMR10" w:ascii="Arial Narrow" w:hAnsi="Arial Narrow"/>
          <w:sz w:val="24"/>
          <w:szCs w:val="24"/>
        </w:rPr>
        <w:t>CeCu</w:t>
      </w:r>
      <w:r>
        <w:rPr>
          <w:rFonts w:cs="CMR10" w:ascii="Arial Narrow" w:hAnsi="Arial Narrow"/>
          <w:sz w:val="24"/>
          <w:szCs w:val="24"/>
          <w:vertAlign w:val="subscript"/>
        </w:rPr>
        <w:t>2</w:t>
      </w:r>
      <w:r>
        <w:rPr>
          <w:rFonts w:cs="CMR10" w:ascii="Arial Narrow" w:hAnsi="Arial Narrow"/>
          <w:sz w:val="24"/>
          <w:szCs w:val="24"/>
        </w:rPr>
        <w:t>Si</w:t>
      </w:r>
      <w:r>
        <w:rPr>
          <w:rFonts w:cs="CMR10" w:ascii="Arial Narrow" w:hAnsi="Arial Narrow"/>
          <w:sz w:val="24"/>
          <w:szCs w:val="24"/>
          <w:vertAlign w:val="subscript"/>
        </w:rPr>
        <w:t>2</w:t>
      </w:r>
      <w:r>
        <w:rPr>
          <w:rFonts w:cs="CMR10" w:ascii="Arial Narrow" w:hAnsi="Arial Narrow"/>
          <w:sz w:val="24"/>
          <w:szCs w:val="24"/>
        </w:rPr>
        <w:t xml:space="preserve"> is the original HF compound with superconducting transition temperature T</w:t>
      </w:r>
      <w:r>
        <w:rPr>
          <w:rFonts w:cs="CMR10" w:ascii="Arial Narrow" w:hAnsi="Arial Narrow"/>
          <w:sz w:val="24"/>
          <w:szCs w:val="24"/>
          <w:vertAlign w:val="subscript"/>
        </w:rPr>
        <w:t>c</w:t>
      </w:r>
      <w:r>
        <w:rPr>
          <w:rFonts w:cs="CMR10" w:ascii="Arial Narrow" w:hAnsi="Arial Narrow"/>
          <w:sz w:val="24"/>
          <w:szCs w:val="24"/>
        </w:rPr>
        <w:t xml:space="preserve"> of about 0.6K </w:t>
      </w:r>
      <w:r>
        <w:rPr>
          <w:rFonts w:cs="CMR10" w:ascii="Arial Narrow" w:hAnsi="Arial Narrow"/>
          <w:sz w:val="24"/>
          <w:szCs w:val="24"/>
          <w:vertAlign w:val="superscript"/>
        </w:rPr>
        <w:t>[8,9]</w:t>
      </w:r>
      <w:r>
        <w:rPr>
          <w:rFonts w:cs="CMR10" w:ascii="Arial Narrow" w:hAnsi="Arial Narrow"/>
          <w:sz w:val="24"/>
          <w:szCs w:val="24"/>
        </w:rPr>
        <w:t>. The semiconductor behavior of CeCu</w:t>
      </w:r>
      <w:r>
        <w:rPr>
          <w:rFonts w:cs="CMR10" w:ascii="Arial Narrow" w:hAnsi="Arial Narrow"/>
          <w:sz w:val="24"/>
          <w:szCs w:val="24"/>
          <w:vertAlign w:val="subscript"/>
        </w:rPr>
        <w:t>2</w:t>
      </w:r>
      <w:r>
        <w:rPr>
          <w:rFonts w:cs="CMR10" w:ascii="Arial Narrow" w:hAnsi="Arial Narrow"/>
          <w:sz w:val="24"/>
          <w:szCs w:val="24"/>
        </w:rPr>
        <w:t>Si</w:t>
      </w:r>
      <w:r>
        <w:rPr>
          <w:rFonts w:cs="CMR10" w:ascii="Arial Narrow" w:hAnsi="Arial Narrow"/>
          <w:sz w:val="24"/>
          <w:szCs w:val="24"/>
          <w:vertAlign w:val="subscript"/>
        </w:rPr>
        <w:t xml:space="preserve">2 </w:t>
      </w:r>
      <w:r>
        <w:rPr>
          <w:rFonts w:cs="CMR10" w:ascii="Arial Narrow" w:hAnsi="Arial Narrow"/>
          <w:sz w:val="24"/>
          <w:szCs w:val="24"/>
        </w:rPr>
        <w:t xml:space="preserve">probably originates from interaction between the localized </w:t>
      </w:r>
      <w:r>
        <w:rPr>
          <w:rFonts w:cs="CMR10" w:ascii="Arial Narrow" w:hAnsi="Arial Narrow"/>
          <w:i/>
          <w:sz w:val="24"/>
          <w:szCs w:val="24"/>
        </w:rPr>
        <w:t>Ce 4f</w:t>
      </w:r>
      <w:r>
        <w:rPr>
          <w:rFonts w:cs="CMR10" w:ascii="Arial Narrow" w:hAnsi="Arial Narrow"/>
          <w:sz w:val="24"/>
          <w:szCs w:val="24"/>
        </w:rPr>
        <w:t xml:space="preserve"> electrons and the conduction band.</w:t>
      </w:r>
    </w:p>
    <w:p>
      <w:pPr>
        <w:pStyle w:val="Normal"/>
        <w:spacing w:lineRule="auto" w:line="240" w:before="0" w:after="0"/>
        <w:ind w:firstLine="720"/>
        <w:jc w:val="both"/>
        <w:rPr>
          <w:rFonts w:ascii="Arial Narrow" w:hAnsi="Arial Narrow" w:cs="CMR10"/>
          <w:sz w:val="24"/>
          <w:szCs w:val="24"/>
        </w:rPr>
      </w:pPr>
      <w:r>
        <w:rPr>
          <w:rFonts w:cs="CMR10" w:ascii="Arial Narrow" w:hAnsi="Arial Narrow"/>
          <w:sz w:val="24"/>
          <w:szCs w:val="24"/>
        </w:rPr>
        <w:t xml:space="preserve">In the present work, we address a slightly different problem. That of a magnetic impurity in a degenerate semiconductor host which present a gap across the Fermi level in the conduction- electron spectrum and also try to investigate the role of the hybridization in the Single Impurity Anderson Model (SIAM) alongside that of </w:t>
      </w:r>
      <w:r>
        <w:rPr>
          <w:rFonts w:cs="CMR10" w:ascii="Arial Narrow" w:hAnsi="Arial Narrow"/>
          <w:i/>
          <w:sz w:val="24"/>
          <w:szCs w:val="24"/>
        </w:rPr>
        <w:t>Ce</w:t>
      </w:r>
      <w:r>
        <w:rPr>
          <w:rFonts w:cs="CMR10" w:ascii="Arial Narrow" w:hAnsi="Arial Narrow"/>
          <w:sz w:val="24"/>
          <w:szCs w:val="24"/>
        </w:rPr>
        <w:t xml:space="preserve"> in the CeCu</w:t>
      </w:r>
      <w:r>
        <w:rPr>
          <w:rFonts w:cs="CMR10" w:ascii="Arial Narrow" w:hAnsi="Arial Narrow"/>
          <w:sz w:val="24"/>
          <w:szCs w:val="24"/>
          <w:vertAlign w:val="subscript"/>
        </w:rPr>
        <w:t>2</w:t>
      </w:r>
      <w:r>
        <w:rPr>
          <w:rFonts w:cs="CMR10" w:ascii="Arial Narrow" w:hAnsi="Arial Narrow"/>
          <w:sz w:val="24"/>
          <w:szCs w:val="24"/>
        </w:rPr>
        <w:t>Si</w:t>
      </w:r>
      <w:r>
        <w:rPr>
          <w:rFonts w:cs="CMR10" w:ascii="Arial Narrow" w:hAnsi="Arial Narrow"/>
          <w:sz w:val="24"/>
          <w:szCs w:val="24"/>
          <w:vertAlign w:val="subscript"/>
        </w:rPr>
        <w:t>2</w:t>
      </w:r>
      <w:r>
        <w:rPr>
          <w:rFonts w:cs="CMR10" w:ascii="Arial Narrow" w:hAnsi="Arial Narrow"/>
          <w:sz w:val="24"/>
          <w:szCs w:val="24"/>
        </w:rPr>
        <w:t xml:space="preserve"> HF compound. In removing the all-important low-lying states of the host, one would certainly expect the Kondo effect to be precluded for large enough gaps: the question is, can the effect still arise for sufficiently-small gaps, or is it destroyed as soon as a gap is opened? This question has indeed been the subject of a number of previous papers. Poor man’s scaling, the 1</w:t>
      </w:r>
      <w:r>
        <w:rPr>
          <w:rFonts w:eastAsia="CMMI10" w:cs="CMMI10" w:ascii="Arial Narrow" w:hAnsi="Arial Narrow"/>
          <w:sz w:val="24"/>
          <w:szCs w:val="24"/>
        </w:rPr>
        <w:t xml:space="preserve">/N </w:t>
      </w:r>
      <w:r>
        <w:rPr>
          <w:rFonts w:cs="CMR10" w:ascii="Arial Narrow" w:hAnsi="Arial Narrow"/>
          <w:sz w:val="24"/>
          <w:szCs w:val="24"/>
        </w:rPr>
        <w:t>expansion and the non-crossing approximation predict</w:t>
      </w:r>
      <w:r>
        <w:rPr>
          <w:rFonts w:cs="CMR7" w:ascii="Arial Narrow" w:hAnsi="Arial Narrow"/>
          <w:sz w:val="24"/>
          <w:szCs w:val="24"/>
        </w:rPr>
        <w:t xml:space="preserve">  </w:t>
      </w:r>
      <w:r>
        <w:rPr>
          <w:rFonts w:cs="CMR10" w:ascii="Arial Narrow" w:hAnsi="Arial Narrow"/>
          <w:sz w:val="24"/>
          <w:szCs w:val="24"/>
        </w:rPr>
        <w:t xml:space="preserve">that the Kondo effect always arises whenever the gap is less than the Kondo temperature in the absence of the gap, while for larger gaps the system undergoes a quantum phase transition to an ‘local moment’ (LM) phase where the impurity spin remains unscreened as </w:t>
      </w:r>
      <w:r>
        <w:rPr>
          <w:rFonts w:eastAsia="CMMI10" w:cs="CMMI10" w:ascii="Arial Narrow" w:hAnsi="Arial Narrow"/>
          <w:sz w:val="24"/>
          <w:szCs w:val="24"/>
        </w:rPr>
        <w:t xml:space="preserve">T </w:t>
      </w:r>
      <w:r>
        <w:rPr>
          <w:rFonts w:eastAsia="CMSY10" w:cs="CMSY10" w:ascii="Arial Narrow" w:hAnsi="Arial Narrow"/>
          <w:sz w:val="24"/>
          <w:szCs w:val="24"/>
        </w:rPr>
        <w:t xml:space="preserve">→ </w:t>
      </w:r>
      <w:r>
        <w:rPr>
          <w:rFonts w:cs="CMR10" w:ascii="Arial Narrow" w:hAnsi="Arial Narrow"/>
          <w:sz w:val="24"/>
          <w:szCs w:val="24"/>
        </w:rPr>
        <w:t>0. In addition the problem has been studied numerically by the density-matrix renormalization group</w:t>
      </w:r>
      <w:r>
        <w:rPr>
          <w:rFonts w:cs="CMR7" w:ascii="Arial Narrow" w:hAnsi="Arial Narrow"/>
          <w:sz w:val="24"/>
          <w:szCs w:val="24"/>
        </w:rPr>
        <w:t xml:space="preserve">  </w:t>
      </w:r>
      <w:r>
        <w:rPr>
          <w:rFonts w:cs="CMR10" w:ascii="Arial Narrow" w:hAnsi="Arial Narrow"/>
          <w:sz w:val="24"/>
          <w:szCs w:val="24"/>
        </w:rPr>
        <w:t>and quantum Monte Carlo</w:t>
      </w:r>
      <w:r>
        <w:rPr>
          <w:rFonts w:cs="CMR7" w:ascii="Arial Narrow" w:hAnsi="Arial Narrow"/>
          <w:sz w:val="24"/>
          <w:szCs w:val="24"/>
        </w:rPr>
        <w:t xml:space="preserve"> </w:t>
      </w:r>
      <w:r>
        <w:rPr>
          <w:rFonts w:cs="CMR10" w:ascii="Arial Narrow" w:hAnsi="Arial Narrow"/>
          <w:sz w:val="24"/>
          <w:szCs w:val="24"/>
        </w:rPr>
        <w:t xml:space="preserve"> but with no general consensus reached regarding the nature of the quantum phase transition. The numerical renormalization group (NRG</w:t>
      </w:r>
      <w:r>
        <w:rPr>
          <w:rFonts w:cs="CMR10" w:ascii="Arial Narrow" w:hAnsi="Arial Narrow"/>
          <w:sz w:val="24"/>
          <w:szCs w:val="24"/>
          <w:vertAlign w:val="superscript"/>
        </w:rPr>
        <w:t>)</w:t>
      </w:r>
      <w:r>
        <w:rPr>
          <w:rFonts w:cs="CMR7" w:ascii="Arial Narrow" w:hAnsi="Arial Narrow"/>
          <w:sz w:val="24"/>
          <w:szCs w:val="24"/>
          <w:vertAlign w:val="superscript"/>
        </w:rPr>
        <w:t>[6]</w:t>
      </w:r>
      <w:r>
        <w:rPr>
          <w:rFonts w:cs="CMR7" w:ascii="Arial Narrow" w:hAnsi="Arial Narrow"/>
          <w:sz w:val="24"/>
          <w:szCs w:val="24"/>
        </w:rPr>
        <w:t xml:space="preserve"> </w:t>
      </w:r>
      <w:r>
        <w:rPr>
          <w:rFonts w:cs="CMR10" w:ascii="Arial Narrow" w:hAnsi="Arial Narrow"/>
          <w:sz w:val="24"/>
          <w:szCs w:val="24"/>
        </w:rPr>
        <w:t>on the other hand has been used to argue that the Fermi liquid regime associated with the Kondo effect exists only away from particle–hole-symmetry, and then only below a certain critical gap. In the particle-hole–symmetric limit it is found</w:t>
      </w:r>
      <w:r>
        <w:rPr>
          <w:rFonts w:cs="CMR7" w:ascii="Arial Narrow" w:hAnsi="Arial Narrow"/>
          <w:sz w:val="24"/>
          <w:szCs w:val="24"/>
        </w:rPr>
        <w:t xml:space="preserve"> </w:t>
      </w:r>
      <w:r>
        <w:rPr>
          <w:rFonts w:cs="CMR10" w:ascii="Arial Narrow" w:hAnsi="Arial Narrow"/>
          <w:sz w:val="24"/>
          <w:szCs w:val="24"/>
        </w:rPr>
        <w:t xml:space="preserve">that the Kondo effect </w:t>
      </w:r>
      <w:r>
        <w:rPr>
          <w:rFonts w:cs="CMTI10" w:ascii="Arial Narrow" w:hAnsi="Arial Narrow"/>
          <w:sz w:val="24"/>
          <w:szCs w:val="24"/>
        </w:rPr>
        <w:t xml:space="preserve">never </w:t>
      </w:r>
      <w:r>
        <w:rPr>
          <w:rFonts w:cs="CMR10" w:ascii="Arial Narrow" w:hAnsi="Arial Narrow"/>
          <w:sz w:val="24"/>
          <w:szCs w:val="24"/>
        </w:rPr>
        <w:t xml:space="preserve">arises and the ground state is the doubly-degenerate LM phase for arbitrarily small gaps. </w:t>
      </w:r>
    </w:p>
    <w:p>
      <w:pPr>
        <w:pStyle w:val="Normal"/>
        <w:spacing w:lineRule="auto" w:line="240" w:before="0" w:after="0"/>
        <w:ind w:firstLine="720"/>
        <w:jc w:val="both"/>
        <w:rPr>
          <w:rFonts w:ascii="Arial Narrow" w:hAnsi="Arial Narrow" w:cs="CMR10"/>
          <w:sz w:val="24"/>
          <w:szCs w:val="24"/>
        </w:rPr>
      </w:pPr>
      <w:r>
        <w:rPr>
          <w:rFonts w:cs="CMR10" w:ascii="Arial Narrow" w:hAnsi="Arial Narrow"/>
          <w:sz w:val="24"/>
          <w:szCs w:val="24"/>
        </w:rPr>
        <w:t>We apply the Exact Diagonalization (ED) technique and consider the notionally simple problem of an Anderson impurity in a gapped host, where the density of states vanishes over a finite range about the chemical potential, a model not only of relevance to Anderson impurities in semiconductors but also</w:t>
      </w:r>
      <w:r>
        <w:rPr>
          <w:rFonts w:cs="CMR7" w:ascii="Arial Narrow" w:hAnsi="Arial Narrow"/>
          <w:sz w:val="24"/>
          <w:szCs w:val="24"/>
        </w:rPr>
        <w:t xml:space="preserve"> </w:t>
      </w:r>
      <w:r>
        <w:rPr>
          <w:rFonts w:cs="CMR10" w:ascii="Arial Narrow" w:hAnsi="Arial Narrow"/>
          <w:sz w:val="24"/>
          <w:szCs w:val="24"/>
        </w:rPr>
        <w:t>to the topical issue of impurities in BCS superconductors</w:t>
      </w:r>
      <w:r>
        <w:rPr>
          <w:rFonts w:cs="CMR10" w:ascii="Arial Narrow" w:hAnsi="Arial Narrow"/>
          <w:sz w:val="24"/>
          <w:szCs w:val="24"/>
          <w:vertAlign w:val="superscript"/>
        </w:rPr>
        <w:t>[10]</w:t>
      </w:r>
      <w:r>
        <w:rPr>
          <w:rFonts w:cs="CMR10" w:ascii="Arial Narrow" w:hAnsi="Arial Narrow"/>
          <w:sz w:val="24"/>
          <w:szCs w:val="24"/>
        </w:rPr>
        <w:t>. The rest of the paper will be organized as follows.  In section 2, we presented the theoretical model for the Cerium-based HF compound, and then the results of the ground state properties are presented in section 3. Discussion and concluding remark were offered in section 4.</w:t>
      </w:r>
    </w:p>
    <w:p>
      <w:pPr>
        <w:pStyle w:val="Normal"/>
        <w:spacing w:lineRule="auto" w:line="240" w:before="0" w:after="0"/>
        <w:jc w:val="both"/>
        <w:rPr>
          <w:rFonts w:ascii="Arial Narrow" w:hAnsi="Arial Narrow" w:cs="CMR10"/>
          <w:sz w:val="24"/>
          <w:szCs w:val="24"/>
        </w:rPr>
      </w:pPr>
      <w:r>
        <w:rPr>
          <w:rFonts w:cs="CMR10" w:ascii="Arial Narrow" w:hAnsi="Arial Narrow"/>
          <w:sz w:val="24"/>
          <w:szCs w:val="24"/>
        </w:rPr>
      </w:r>
    </w:p>
    <w:p>
      <w:pPr>
        <w:pStyle w:val="Normal"/>
        <w:spacing w:lineRule="auto" w:line="240" w:before="0" w:after="0"/>
        <w:jc w:val="both"/>
        <w:rPr>
          <w:rFonts w:ascii="Arial Narrow" w:hAnsi="Arial Narrow" w:cs="CMR10"/>
          <w:b/>
          <w:b/>
          <w:sz w:val="24"/>
          <w:szCs w:val="24"/>
        </w:rPr>
      </w:pPr>
      <w:r>
        <w:rPr>
          <w:rFonts w:cs="CMR10" w:ascii="Arial Narrow" w:hAnsi="Arial Narrow"/>
          <w:b/>
          <w:sz w:val="24"/>
          <w:szCs w:val="24"/>
        </w:rPr>
        <w:t>2.0</w:t>
        <w:tab/>
        <w:t>MODEL AND METHODOLOGY</w:t>
      </w:r>
    </w:p>
    <w:p>
      <w:pPr>
        <w:pStyle w:val="Normal"/>
        <w:spacing w:lineRule="auto" w:line="240" w:before="0" w:after="0"/>
        <w:jc w:val="both"/>
        <w:rPr>
          <w:rFonts w:ascii="Arial Narrow" w:hAnsi="Arial Narrow" w:cs="CMR7"/>
          <w:sz w:val="24"/>
          <w:szCs w:val="24"/>
        </w:rPr>
      </w:pPr>
      <w:r>
        <w:rPr>
          <w:rFonts w:cs="CMR10" w:ascii="Arial Narrow" w:hAnsi="Arial Narrow"/>
          <w:sz w:val="24"/>
          <w:szCs w:val="24"/>
        </w:rPr>
        <w:tab/>
        <w:t xml:space="preserve">To describe a local, quantum impurity state, coupled to a conduction band, we use the standard notation generic Anderson Hamiltonian </w:t>
      </w:r>
      <w:r>
        <w:rPr>
          <w:rFonts w:cs="CMR10" w:ascii="Arial Narrow" w:hAnsi="Arial Narrow"/>
          <w:sz w:val="24"/>
          <w:szCs w:val="24"/>
          <w:vertAlign w:val="superscript"/>
        </w:rPr>
        <w:t>[</w:t>
      </w:r>
      <w:r>
        <w:rPr>
          <w:rFonts w:cs="CMR7" w:ascii="Arial Narrow" w:hAnsi="Arial Narrow"/>
          <w:sz w:val="24"/>
          <w:szCs w:val="24"/>
          <w:vertAlign w:val="superscript"/>
        </w:rPr>
        <w:t>2,3,9]</w:t>
      </w:r>
    </w:p>
    <w:p>
      <w:pPr>
        <w:pStyle w:val="Normal"/>
        <w:spacing w:lineRule="auto" w:line="240" w:before="0" w:after="0"/>
        <w:jc w:val="both"/>
        <w:rPr>
          <w:rFonts w:ascii="Arial Narrow" w:hAnsi="Arial Narrow" w:cs="CMR7"/>
          <w:sz w:val="24"/>
          <w:szCs w:val="24"/>
        </w:rPr>
      </w:pPr>
      <w:r>
        <w:rPr/>
      </w:r>
      <m:oMath xmlns:m="http://schemas.openxmlformats.org/officeDocument/2006/math">
        <m:limUpp>
          <m:e>
            <m:r>
              <w:rPr>
                <w:rFonts w:ascii="Cambria Math" w:hAnsi="Cambria Math"/>
              </w:rPr>
              <m:t xml:space="preserve">H</m:t>
            </m:r>
          </m:e>
          <m:lim/>
        </m:limUpp>
        <m:r>
          <w:rPr>
            <w:rFonts w:ascii="Cambria Math" w:hAnsi="Cambria Math"/>
          </w:rPr>
          <m:t xml:space="preserve">=</m:t>
        </m:r>
        <m:nary>
          <m:naryPr>
            <m:chr m:val="∑"/>
            <m:supHide m:val="1"/>
          </m:naryPr>
          <m:sub>
            <m:r>
              <w:rPr>
                <w:rFonts w:ascii="Cambria Math" w:hAnsi="Cambria Math"/>
              </w:rPr>
              <m:t xml:space="preserve">k</m:t>
            </m:r>
            <m:r>
              <w:rPr>
                <w:rFonts w:ascii="Cambria Math" w:hAnsi="Cambria Math"/>
              </w:rPr>
              <m:t xml:space="preserve">,</m:t>
            </m:r>
            <m:r>
              <w:rPr>
                <w:rFonts w:ascii="Cambria Math" w:hAnsi="Cambria Math"/>
              </w:rPr>
              <m:t xml:space="preserve">σ</m:t>
            </m:r>
          </m:sub>
          <m:sup/>
          <m:e>
            <m:sSub>
              <m:e/>
              <m:sub>
                <m:r>
                  <w:rPr>
                    <w:rFonts w:ascii="Cambria Math" w:hAnsi="Cambria Math"/>
                  </w:rPr>
                  <m:t xml:space="preserve">k</m:t>
                </m:r>
              </m:sub>
            </m:sSub>
          </m:e>
        </m:nary>
        <m:limUpp>
          <m:e>
            <m:sSub>
              <m:e>
                <m:r>
                  <w:rPr>
                    <w:rFonts w:ascii="Cambria Math" w:hAnsi="Cambria Math"/>
                  </w:rPr>
                  <m:t xml:space="preserve">n</m:t>
                </m:r>
              </m:e>
              <m:sub>
                <m:r>
                  <w:rPr>
                    <w:rFonts w:ascii="Cambria Math" w:hAnsi="Cambria Math"/>
                  </w:rPr>
                  <m:t xml:space="preserve">kσ</m:t>
                </m:r>
              </m:sub>
            </m:sSub>
          </m:e>
          <m:lim/>
        </m:limUpp>
        <m:r>
          <w:rPr>
            <w:rFonts w:ascii="Cambria Math" w:hAnsi="Cambria Math"/>
          </w:rPr>
          <m:t xml:space="preserve">+</m:t>
        </m:r>
        <m:nary>
          <m:naryPr>
            <m:chr m:val="∑"/>
            <m:subHide m:val="1"/>
            <m:supHide m:val="1"/>
          </m:naryPr>
          <m:sub/>
          <m:sup/>
          <m:e>
            <m:sSub>
              <m:e/>
              <m:sub>
                <m:r>
                  <w:rPr>
                    <w:rFonts w:ascii="Cambria Math" w:hAnsi="Cambria Math"/>
                  </w:rPr>
                  <m:t xml:space="preserve">i</m:t>
                </m:r>
              </m:sub>
            </m:sSub>
          </m:e>
        </m:nary>
        <m:limUpp>
          <m:e>
            <m:sSub>
              <m:e>
                <m:r>
                  <w:rPr>
                    <w:rFonts w:ascii="Cambria Math" w:hAnsi="Cambria Math"/>
                  </w:rPr>
                  <m:t xml:space="preserve">n</m:t>
                </m:r>
              </m:e>
              <m:sub>
                <m:r>
                  <w:rPr>
                    <w:rFonts w:ascii="Cambria Math" w:hAnsi="Cambria Math"/>
                  </w:rPr>
                  <m:t xml:space="preserve">iσ</m:t>
                </m:r>
              </m:sub>
            </m:sSub>
          </m:e>
          <m:lim/>
        </m:limUpp>
        <m:r>
          <w:rPr>
            <w:rFonts w:ascii="Cambria Math" w:hAnsi="Cambria Math"/>
          </w:rPr>
          <m:t xml:space="preserve">+</m:t>
        </m:r>
        <m:sSub>
          <m:e>
            <m:r>
              <w:rPr>
                <w:rFonts w:ascii="Cambria Math" w:hAnsi="Cambria Math"/>
              </w:rPr>
              <m:t xml:space="preserve">U</m:t>
            </m:r>
          </m:e>
          <m:sub/>
        </m:sSub>
        <m:limUpp>
          <m:e>
            <m:sSub>
              <m:e>
                <m:r>
                  <w:rPr>
                    <w:rFonts w:ascii="Cambria Math" w:hAnsi="Cambria Math"/>
                  </w:rPr>
                  <m:t xml:space="preserve">n</m:t>
                </m:r>
              </m:e>
              <m:sub>
                <m:r>
                  <w:rPr>
                    <w:rFonts w:ascii="Cambria Math" w:hAnsi="Cambria Math"/>
                  </w:rPr>
                  <m:t xml:space="preserve">i</m:t>
                </m:r>
                <m:r>
                  <w:rPr>
                    <w:rFonts w:ascii="Cambria Math" w:hAnsi="Cambria Math"/>
                  </w:rPr>
                  <m:t xml:space="preserve">↑</m:t>
                </m:r>
              </m:sub>
            </m:sSub>
          </m:e>
          <m:lim/>
        </m:limUpp>
        <m:limUpp>
          <m:e>
            <m:sSub>
              <m:e>
                <m:r>
                  <w:rPr>
                    <w:rFonts w:ascii="Cambria Math" w:hAnsi="Cambria Math"/>
                  </w:rPr>
                  <m:t xml:space="preserve">n</m:t>
                </m:r>
              </m:e>
              <m:sub>
                <m:r>
                  <w:rPr>
                    <w:rFonts w:ascii="Cambria Math" w:hAnsi="Cambria Math"/>
                  </w:rPr>
                  <m:t xml:space="preserve">i</m:t>
                </m:r>
                <m:r>
                  <w:rPr>
                    <w:rFonts w:ascii="Cambria Math" w:hAnsi="Cambria Math"/>
                  </w:rPr>
                  <m:t xml:space="preserve">↓</m:t>
                </m:r>
              </m:sub>
            </m:sSub>
          </m:e>
          <m:lim/>
        </m:limUpp>
        <m:r>
          <w:rPr>
            <w:rFonts w:ascii="Cambria Math" w:hAnsi="Cambria Math"/>
          </w:rPr>
          <m:t xml:space="preserve">+</m:t>
        </m:r>
        <m:nary>
          <m:naryPr>
            <m:chr m:val="∑"/>
            <m:supHide m:val="1"/>
          </m:naryPr>
          <m:sub>
            <m:r>
              <w:rPr>
                <w:rFonts w:ascii="Cambria Math" w:hAnsi="Cambria Math"/>
              </w:rPr>
              <m:t xml:space="preserve">k</m:t>
            </m:r>
            <m:r>
              <w:rPr>
                <w:rFonts w:ascii="Cambria Math" w:hAnsi="Cambria Math"/>
              </w:rPr>
              <m:t xml:space="preserve">,</m:t>
            </m:r>
            <m:r>
              <w:rPr>
                <w:rFonts w:ascii="Cambria Math" w:hAnsi="Cambria Math"/>
              </w:rPr>
              <m:t xml:space="preserve">σ</m:t>
            </m:r>
          </m:sub>
          <m:sup/>
          <m:e>
            <m:sSub>
              <m:e>
                <m:r>
                  <w:rPr>
                    <w:rFonts w:ascii="Cambria Math" w:hAnsi="Cambria Math"/>
                  </w:rPr>
                  <m:t xml:space="preserve">(</m:t>
                </m:r>
                <m:r>
                  <w:rPr>
                    <w:rFonts w:ascii="Cambria Math" w:hAnsi="Cambria Math"/>
                  </w:rPr>
                  <m:t xml:space="preserve">V</m:t>
                </m:r>
              </m:e>
              <m:sub>
                <m:r>
                  <w:rPr>
                    <w:rFonts w:ascii="Cambria Math" w:hAnsi="Cambria Math"/>
                  </w:rPr>
                  <m:t xml:space="preserve">i</m:t>
                </m:r>
              </m:sub>
            </m:sSub>
          </m:e>
        </m:nary>
        <m:sSubSup>
          <m:e>
            <m:r>
              <w:rPr>
                <w:rFonts w:ascii="Cambria Math" w:hAnsi="Cambria Math"/>
              </w:rPr>
              <m:t xml:space="preserve">C</m:t>
            </m:r>
          </m:e>
          <m:sub>
            <m:r>
              <w:rPr>
                <w:rFonts w:ascii="Cambria Math" w:hAnsi="Cambria Math"/>
              </w:rPr>
              <m:t xml:space="preserve">kσ</m:t>
            </m:r>
          </m:sub>
          <m:sup>
            <m:r>
              <w:rPr>
                <w:rFonts w:ascii="Cambria Math" w:hAnsi="Cambria Math"/>
              </w:rPr>
              <m:t xml:space="preserve">+</m:t>
            </m:r>
          </m:sup>
        </m:sSubSup>
        <m:sSub>
          <m:e>
            <m:r>
              <w:rPr>
                <w:rFonts w:ascii="Cambria Math" w:hAnsi="Cambria Math"/>
              </w:rPr>
              <m:t xml:space="preserve">C</m:t>
            </m:r>
          </m:e>
          <m:sub>
            <m:r>
              <w:rPr>
                <w:rFonts w:ascii="Cambria Math" w:hAnsi="Cambria Math"/>
              </w:rPr>
              <m:t xml:space="preserve">iσ</m:t>
            </m:r>
          </m:sub>
        </m:sSub>
        <m:r>
          <w:rPr>
            <w:rFonts w:ascii="Cambria Math" w:hAnsi="Cambria Math"/>
          </w:rPr>
          <m:t xml:space="preserve">+</m:t>
        </m:r>
        <m:sSub>
          <m:e>
            <m:r>
              <w:rPr>
                <w:rFonts w:ascii="Cambria Math" w:hAnsi="Cambria Math"/>
              </w:rPr>
              <m:t xml:space="preserve">H</m:t>
            </m:r>
            <m:r>
              <m:rPr>
                <m:lit/>
                <m:nor/>
              </m:rPr>
              <w:rPr>
                <w:rFonts w:ascii="Cambria Math" w:hAnsi="Cambria Math"/>
              </w:rPr>
              <m:t xml:space="preserve">.</m:t>
            </m:r>
            <m:r>
              <w:rPr>
                <w:rFonts w:ascii="Cambria Math" w:hAnsi="Cambria Math"/>
              </w:rPr>
              <m:t xml:space="preserve">C</m:t>
            </m:r>
            <m:r>
              <m:rPr>
                <m:lit/>
                <m:nor/>
              </m:rPr>
              <w:rPr>
                <w:rFonts w:ascii="Cambria Math" w:hAnsi="Cambria Math"/>
              </w:rPr>
              <m:t xml:space="preserve">.</m:t>
            </m:r>
            <m:r>
              <w:rPr>
                <w:rFonts w:ascii="Cambria Math" w:hAnsi="Cambria Math"/>
              </w:rPr>
              <m:t xml:space="preserve">)</m:t>
            </m:r>
          </m:e>
          <m:sub/>
        </m:sSub>
      </m:oMath>
      <w:r>
        <w:rPr>
          <w:rFonts w:cs="CMR7" w:ascii="Arial Narrow" w:hAnsi="Arial Narrow"/>
          <w:sz w:val="24"/>
          <w:szCs w:val="24"/>
        </w:rPr>
        <w:tab/>
        <w:tab/>
        <w:tab/>
        <w:t xml:space="preserve">      (1)</w:t>
      </w:r>
    </w:p>
    <w:p>
      <w:pPr>
        <w:pStyle w:val="Normal"/>
        <w:spacing w:lineRule="auto" w:line="240" w:before="0" w:after="0"/>
        <w:jc w:val="both"/>
        <w:rPr>
          <w:rFonts w:ascii="Arial Narrow" w:hAnsi="Arial Narrow" w:cs="CMR10"/>
          <w:sz w:val="24"/>
          <w:szCs w:val="24"/>
        </w:rPr>
      </w:pPr>
      <w:r>
        <w:rPr>
          <w:rFonts w:cs="CMR7" w:ascii="Arial Narrow" w:hAnsi="Arial Narrow"/>
          <w:sz w:val="24"/>
          <w:szCs w:val="24"/>
        </w:rPr>
        <w:t xml:space="preserve"> </w:t>
      </w:r>
      <w:r>
        <w:rPr>
          <w:rFonts w:cs="CMR7" w:ascii="Arial Narrow" w:hAnsi="Arial Narrow"/>
          <w:sz w:val="24"/>
          <w:szCs w:val="24"/>
        </w:rPr>
        <w:t xml:space="preserve">where </w:t>
      </w:r>
      <w:r>
        <w:rPr/>
      </w:r>
      <m:oMath xmlns:m="http://schemas.openxmlformats.org/officeDocument/2006/math">
        <m:limUpp>
          <m:e>
            <m:limUpp>
              <m:e>
                <m:sSub>
                  <m:e>
                    <m:r>
                      <w:rPr>
                        <w:rFonts w:ascii="Cambria Math" w:hAnsi="Cambria Math"/>
                      </w:rPr>
                      <m:t xml:space="preserve">n</m:t>
                    </m:r>
                  </m:e>
                  <m:sub>
                    <m:r>
                      <w:rPr>
                        <w:rFonts w:ascii="Cambria Math" w:hAnsi="Cambria Math"/>
                      </w:rPr>
                      <m:t xml:space="preserve">jσ</m:t>
                    </m:r>
                  </m:sub>
                </m:sSub>
              </m:e>
              <m:lim/>
            </m:limUpp>
            <m:r>
              <w:rPr>
                <w:rFonts w:ascii="Cambria Math" w:hAnsi="Cambria Math"/>
              </w:rPr>
              <m:t xml:space="preserve">=</m:t>
            </m:r>
            <m:sSubSup>
              <m:e>
                <m:r>
                  <w:rPr>
                    <w:rFonts w:ascii="Cambria Math" w:hAnsi="Cambria Math"/>
                  </w:rPr>
                  <m:t xml:space="preserve">C</m:t>
                </m:r>
              </m:e>
              <m:sub>
                <m:r>
                  <w:rPr>
                    <w:rFonts w:ascii="Cambria Math" w:hAnsi="Cambria Math"/>
                  </w:rPr>
                  <m:t xml:space="preserve">jσ</m:t>
                </m:r>
              </m:sub>
              <m:sup>
                <m:r>
                  <w:rPr>
                    <w:rFonts w:ascii="Cambria Math" w:hAnsi="Cambria Math"/>
                  </w:rPr>
                  <m:t xml:space="preserve">+</m:t>
                </m:r>
              </m:sup>
            </m:sSubSup>
          </m:e>
          <m:lim/>
        </m:limUpp>
        <m:sSub>
          <m:e>
            <m:r>
              <w:rPr>
                <w:rFonts w:ascii="Cambria Math" w:hAnsi="Cambria Math"/>
              </w:rPr>
              <m:t xml:space="preserve">C</m:t>
            </m:r>
          </m:e>
          <m:sub>
            <m:r>
              <w:rPr>
                <w:rFonts w:ascii="Cambria Math" w:hAnsi="Cambria Math"/>
              </w:rPr>
              <m:t xml:space="preserve">jσ</m:t>
            </m:r>
          </m:sub>
        </m:sSub>
      </m:oMath>
      <w:r>
        <w:rPr>
          <w:rFonts w:cs="CMR10" w:ascii="Arial Narrow" w:hAnsi="Arial Narrow"/>
          <w:sz w:val="24"/>
          <w:szCs w:val="24"/>
        </w:rPr>
        <w:t xml:space="preserve"> is the number operator for </w:t>
      </w:r>
      <w:r>
        <w:rPr>
          <w:rFonts w:eastAsia="CMMI10" w:cs="CMMI10" w:ascii="Arial Narrow" w:hAnsi="Arial Narrow"/>
          <w:sz w:val="24"/>
          <w:szCs w:val="24"/>
        </w:rPr>
        <w:t>σ</w:t>
      </w:r>
      <w:r>
        <w:rPr>
          <w:rFonts w:cs="CMR10" w:ascii="Arial Narrow" w:hAnsi="Arial Narrow"/>
          <w:sz w:val="24"/>
          <w:szCs w:val="24"/>
        </w:rPr>
        <w:t xml:space="preserve">-spin electrons on ‘site’ </w:t>
      </w:r>
      <w:r>
        <w:rPr>
          <w:rFonts w:eastAsia="CMMI10" w:cs="CMMI10" w:ascii="Arial Narrow" w:hAnsi="Arial Narrow"/>
          <w:sz w:val="24"/>
          <w:szCs w:val="24"/>
        </w:rPr>
        <w:t xml:space="preserve">j </w:t>
      </w:r>
      <w:r>
        <w:rPr>
          <w:rFonts w:cs="CMR10" w:ascii="Arial Narrow" w:hAnsi="Arial Narrow"/>
          <w:sz w:val="24"/>
          <w:szCs w:val="24"/>
        </w:rPr>
        <w:t xml:space="preserve">(with </w:t>
      </w:r>
      <w:r>
        <w:rPr>
          <w:rFonts w:eastAsia="CMMI10" w:cs="CMMI10" w:ascii="Arial Narrow" w:hAnsi="Arial Narrow"/>
          <w:sz w:val="24"/>
          <w:szCs w:val="24"/>
        </w:rPr>
        <w:t xml:space="preserve">j </w:t>
      </w:r>
      <w:r>
        <w:rPr>
          <w:rFonts w:cs="CMR10" w:ascii="Arial Narrow" w:hAnsi="Arial Narrow"/>
          <w:sz w:val="24"/>
          <w:szCs w:val="24"/>
        </w:rPr>
        <w:t xml:space="preserve">= i referring to the impurity site and </w:t>
      </w:r>
      <w:r>
        <w:rPr>
          <w:rFonts w:eastAsia="CMMI10" w:cs="CMMI10" w:ascii="Arial Narrow" w:hAnsi="Arial Narrow"/>
          <w:sz w:val="24"/>
          <w:szCs w:val="24"/>
        </w:rPr>
        <w:t xml:space="preserve">j </w:t>
      </w:r>
      <w:r>
        <w:rPr>
          <w:rFonts w:eastAsia="CMSY10" w:cs="CMSY10" w:ascii="Arial Narrow" w:hAnsi="Arial Narrow"/>
          <w:sz w:val="24"/>
          <w:szCs w:val="24"/>
        </w:rPr>
        <w:t xml:space="preserve">≡ </w:t>
      </w:r>
      <w:r>
        <w:rPr>
          <w:rFonts w:cs="CMBX10" w:ascii="Arial Narrow" w:hAnsi="Arial Narrow"/>
          <w:sz w:val="24"/>
          <w:szCs w:val="24"/>
        </w:rPr>
        <w:t xml:space="preserve">k </w:t>
      </w:r>
      <w:r>
        <w:rPr>
          <w:rFonts w:cs="CMR10" w:ascii="Arial Narrow" w:hAnsi="Arial Narrow"/>
          <w:sz w:val="24"/>
          <w:szCs w:val="24"/>
        </w:rPr>
        <w:t xml:space="preserve">to the host band states). The first term in eqn. (1) thus describes the non-interacting host band, the second and third terms describe the impurity with onsite Coulomb interaction </w:t>
      </w:r>
      <w:r>
        <w:rPr>
          <w:rFonts w:eastAsia="CMMI10" w:cs="CMMI10" w:ascii="Arial Narrow" w:hAnsi="Arial Narrow"/>
          <w:sz w:val="24"/>
          <w:szCs w:val="24"/>
        </w:rPr>
        <w:t>U</w:t>
      </w:r>
      <w:r>
        <w:rPr>
          <w:rFonts w:cs="CMR10" w:ascii="Arial Narrow" w:hAnsi="Arial Narrow"/>
          <w:sz w:val="24"/>
          <w:szCs w:val="24"/>
        </w:rPr>
        <w:t xml:space="preserve">, and the fourth term hybridizes the two. For a symmetric host band, the particle-hole symmetric limit corresponds to the </w:t>
      </w:r>
      <w:r>
        <w:rPr/>
      </w:r>
      <m:oMath xmlns:m="http://schemas.openxmlformats.org/officeDocument/2006/math">
        <m:sSub>
          <m:e/>
          <m:sub>
            <m:r>
              <w:rPr>
                <w:rFonts w:ascii="Cambria Math" w:hAnsi="Cambria Math"/>
              </w:rPr>
              <m:t xml:space="preserve">i</m:t>
            </m:r>
          </m:sub>
        </m:sSub>
        <m:r>
          <w:rPr>
            <w:rFonts w:ascii="Cambria Math" w:hAnsi="Cambria Math"/>
          </w:rPr>
          <m:t xml:space="preserve">=</m:t>
        </m:r>
        <m:r>
          <w:rPr>
            <w:rFonts w:ascii="Cambria Math" w:hAnsi="Cambria Math"/>
          </w:rPr>
          <m:t xml:space="preserve">−</m:t>
        </m:r>
        <m:f>
          <m:num>
            <m:r>
              <w:rPr>
                <w:rFonts w:ascii="Cambria Math" w:hAnsi="Cambria Math"/>
              </w:rPr>
              <m:t xml:space="preserve">u</m:t>
            </m:r>
          </m:num>
          <m:den>
            <m:r>
              <w:rPr>
                <w:rFonts w:ascii="Cambria Math" w:hAnsi="Cambria Math"/>
              </w:rPr>
              <m:t xml:space="preserve">2</m:t>
            </m:r>
          </m:den>
        </m:f>
      </m:oMath>
      <w:r>
        <w:rPr>
          <w:rFonts w:cs="CMR10" w:ascii="Arial Narrow" w:hAnsi="Arial Narrow"/>
          <w:sz w:val="24"/>
          <w:szCs w:val="24"/>
        </w:rPr>
        <w:t xml:space="preserve"> . H. C. is the Hermitian conjugation.</w:t>
      </w:r>
    </w:p>
    <w:p>
      <w:pPr>
        <w:pStyle w:val="Normal"/>
        <w:spacing w:lineRule="auto" w:line="240" w:before="0" w:after="0"/>
        <w:jc w:val="both"/>
        <w:rPr>
          <w:rFonts w:ascii="Arial Narrow" w:hAnsi="Arial Narrow" w:cs="CMR10"/>
          <w:sz w:val="24"/>
          <w:szCs w:val="24"/>
        </w:rPr>
      </w:pPr>
      <w:r>
        <w:rPr>
          <w:rFonts w:cs="CMR10" w:ascii="Arial Narrow" w:hAnsi="Arial Narrow"/>
          <w:sz w:val="24"/>
          <w:szCs w:val="24"/>
        </w:rPr>
        <w:tab/>
        <w:t>The region of relevance corresponds to transition from an antiferromagnetic phase to a ferromagnetic phase and the gap values, of the order of Kondo temperature. We consider only quarter fillings of the SIAM, and this corresponds to when the number of interacting electrons N</w:t>
      </w:r>
      <w:r>
        <w:rPr>
          <w:rFonts w:cs="CMR10" w:ascii="Arial Narrow" w:hAnsi="Arial Narrow"/>
          <w:sz w:val="24"/>
          <w:szCs w:val="24"/>
          <w:vertAlign w:val="subscript"/>
        </w:rPr>
        <w:t>e</w:t>
      </w:r>
      <w:r>
        <w:rPr>
          <w:rFonts w:cs="CMR10" w:ascii="Arial Narrow" w:hAnsi="Arial Narrow"/>
          <w:sz w:val="24"/>
          <w:szCs w:val="24"/>
        </w:rPr>
        <w:t xml:space="preserve"> are equal to the number of lattice sites N</w:t>
      </w:r>
      <w:r>
        <w:rPr>
          <w:rFonts w:cs="CMR10" w:ascii="Arial Narrow" w:hAnsi="Arial Narrow"/>
          <w:sz w:val="24"/>
          <w:szCs w:val="24"/>
          <w:vertAlign w:val="subscript"/>
        </w:rPr>
        <w:t>s</w:t>
      </w:r>
      <w:r>
        <w:rPr>
          <w:rFonts w:cs="CMR10" w:ascii="Arial Narrow" w:hAnsi="Arial Narrow"/>
          <w:sz w:val="24"/>
          <w:szCs w:val="24"/>
        </w:rPr>
        <w:t xml:space="preserve"> (N</w:t>
      </w:r>
      <w:r>
        <w:rPr>
          <w:rFonts w:cs="CMR10" w:ascii="Arial Narrow" w:hAnsi="Arial Narrow"/>
          <w:sz w:val="24"/>
          <w:szCs w:val="24"/>
          <w:vertAlign w:val="subscript"/>
        </w:rPr>
        <w:t>e</w:t>
      </w:r>
      <w:r>
        <w:rPr>
          <w:rFonts w:cs="CMR10" w:ascii="Arial Narrow" w:hAnsi="Arial Narrow"/>
          <w:sz w:val="24"/>
          <w:szCs w:val="24"/>
        </w:rPr>
        <w:t xml:space="preserve"> = N</w:t>
      </w:r>
      <w:r>
        <w:rPr>
          <w:rFonts w:cs="CMR10" w:ascii="Arial Narrow" w:hAnsi="Arial Narrow"/>
          <w:sz w:val="24"/>
          <w:szCs w:val="24"/>
          <w:vertAlign w:val="subscript"/>
        </w:rPr>
        <w:t>s</w:t>
      </w:r>
      <w:r>
        <w:rPr>
          <w:rFonts w:cs="CMR10" w:ascii="Arial Narrow" w:hAnsi="Arial Narrow"/>
          <w:sz w:val="24"/>
          <w:szCs w:val="24"/>
        </w:rPr>
        <w:t>) in one and two dimensions.</w:t>
      </w:r>
    </w:p>
    <w:p>
      <w:pPr>
        <w:pStyle w:val="Normal"/>
        <w:spacing w:lineRule="auto" w:line="240"/>
        <w:ind w:firstLine="720"/>
        <w:jc w:val="both"/>
        <w:rPr/>
      </w:pPr>
      <w:r>
        <w:rPr>
          <w:rFonts w:cs="CMR10" w:ascii="Arial Narrow" w:hAnsi="Arial Narrow"/>
          <w:sz w:val="24"/>
          <w:szCs w:val="24"/>
        </w:rPr>
        <w:t xml:space="preserve">A much more rigorous analysis of the problem is possible by using the ED technique </w:t>
      </w:r>
      <w:r>
        <w:rPr>
          <w:rFonts w:cs="CMR10" w:ascii="Arial Narrow" w:hAnsi="Arial Narrow"/>
          <w:sz w:val="24"/>
          <w:szCs w:val="24"/>
          <w:vertAlign w:val="superscript"/>
        </w:rPr>
        <w:t>[11,12,</w:t>
      </w:r>
      <w:r>
        <w:rPr>
          <w:rFonts w:cs="CMR10" w:ascii="Arial Narrow" w:hAnsi="Arial Narrow"/>
          <w:sz w:val="24"/>
          <w:szCs w:val="24"/>
          <w:vertAlign w:val="superscript"/>
        </w:rPr>
        <w:t>13,14</w:t>
      </w:r>
      <w:r>
        <w:rPr>
          <w:rFonts w:cs="CMR10" w:ascii="Arial Narrow" w:hAnsi="Arial Narrow"/>
          <w:sz w:val="24"/>
          <w:szCs w:val="24"/>
          <w:vertAlign w:val="superscript"/>
        </w:rPr>
        <w:t>]</w:t>
      </w:r>
      <w:r>
        <w:rPr>
          <w:rFonts w:cs="CMR10" w:ascii="Arial Narrow" w:hAnsi="Arial Narrow"/>
          <w:sz w:val="24"/>
          <w:szCs w:val="24"/>
        </w:rPr>
        <w:t xml:space="preserve"> which is a reliable approach to study a variety of quantum impurity models. </w:t>
      </w:r>
      <w:r>
        <w:rPr>
          <w:rFonts w:ascii="Arial Narrow" w:hAnsi="Arial Narrow"/>
          <w:sz w:val="24"/>
          <w:szCs w:val="24"/>
        </w:rPr>
        <w:t xml:space="preserve">The ED technique is based upon the representation of the effective action by an impurity model with a </w:t>
      </w:r>
      <w:r>
        <w:rPr>
          <w:rFonts w:ascii="Arial Narrow" w:hAnsi="Arial Narrow"/>
          <w:i/>
          <w:sz w:val="24"/>
          <w:szCs w:val="24"/>
        </w:rPr>
        <w:t>finite</w:t>
      </w:r>
      <w:r>
        <w:rPr>
          <w:rFonts w:ascii="Arial Narrow" w:hAnsi="Arial Narrow"/>
          <w:sz w:val="24"/>
          <w:szCs w:val="24"/>
        </w:rPr>
        <w:t xml:space="preserve"> number of sites. The approximate Hamiltonian can only produce limited forms of the Hamiltonian</w:t>
      </w:r>
      <w:r>
        <w:rPr>
          <w:rFonts w:ascii="Arial Narrow" w:hAnsi="Arial Narrow"/>
          <w:i/>
          <w:sz w:val="24"/>
          <w:szCs w:val="24"/>
        </w:rPr>
        <w:t xml:space="preserve"> H</w:t>
      </w:r>
      <w:r>
        <w:rPr>
          <w:rFonts w:ascii="Arial Narrow" w:hAnsi="Arial Narrow"/>
          <w:sz w:val="24"/>
          <w:szCs w:val="24"/>
        </w:rPr>
        <w:t>, but it can be diagonalized exactly if there are not too many sites: the Hamiltonian is rewritten as a matrix connecting different many particle states, and all the eigenvalues and eigenvectors found. To obtain the eigensystem, the matrix elements were evaluated with the help of an analytical diagonalization routine provided by Wolfram Mathematica software. Having obtained the results of the eigensystem, the lowest of the eigenvalues provides the ground-state energy of the system. This technique has proved to be surprisingly successful, and does not suffer from some of the problems of Quantum Monte Carlo: zero temperature is easy, and there is no problem with calculating densities of states and can be analytically continued.</w:t>
      </w:r>
    </w:p>
    <w:p>
      <w:pPr>
        <w:pStyle w:val="Normal"/>
        <w:spacing w:lineRule="auto" w:line="240"/>
        <w:jc w:val="both"/>
        <w:rPr>
          <w:rFonts w:ascii="Arial Narrow" w:hAnsi="Arial Narrow"/>
          <w:sz w:val="24"/>
          <w:szCs w:val="24"/>
        </w:rPr>
      </w:pPr>
      <w:r>
        <w:rPr>
          <w:rFonts w:ascii="Arial Narrow" w:hAnsi="Arial Narrow"/>
          <w:sz w:val="24"/>
          <w:szCs w:val="24"/>
        </w:rPr>
      </w:r>
    </w:p>
    <w:p>
      <w:pPr>
        <w:pStyle w:val="Normal"/>
        <w:spacing w:lineRule="auto" w:line="240"/>
        <w:jc w:val="both"/>
        <w:rPr>
          <w:rFonts w:ascii="Arial Narrow" w:hAnsi="Arial Narrow"/>
          <w:b/>
          <w:b/>
          <w:sz w:val="24"/>
          <w:szCs w:val="24"/>
        </w:rPr>
      </w:pPr>
      <w:r>
        <w:rPr>
          <w:rFonts w:ascii="Arial Narrow" w:hAnsi="Arial Narrow"/>
          <w:b/>
          <w:sz w:val="24"/>
          <w:szCs w:val="24"/>
        </w:rPr>
        <w:t xml:space="preserve">3.0 </w:t>
        <w:tab/>
        <w:t>RESULTS</w:t>
      </w:r>
    </w:p>
    <w:p>
      <w:pPr>
        <w:pStyle w:val="Normal"/>
        <w:spacing w:lineRule="auto" w:line="240"/>
        <w:jc w:val="both"/>
        <w:rPr>
          <w:rFonts w:ascii="Arial Narrow" w:hAnsi="Arial Narrow"/>
        </w:rPr>
      </w:pPr>
      <w:r>
        <w:rPr>
          <w:rFonts w:ascii="Arial Narrow" w:hAnsi="Arial Narrow"/>
          <w:sz w:val="24"/>
          <w:szCs w:val="24"/>
        </w:rPr>
        <w:tab/>
        <w:t xml:space="preserve">We consider a qualitative description of the ED flow diagrams of SIAM in the open boundary conditions, and use the symmetrical model where  </w:t>
      </w:r>
      <w:r>
        <w:rPr>
          <w:rFonts w:ascii="Arial Narrow" w:hAnsi="Arial Narrow"/>
          <w:sz w:val="24"/>
          <w:szCs w:val="24"/>
        </w:rPr>
        <w:t>Ef=u/2</w:t>
      </w:r>
      <w:r>
        <w:rPr>
          <w:rFonts w:ascii="Arial Narrow" w:hAnsi="Arial Narrow"/>
        </w:rPr>
        <w:t>,</w:t>
      </w:r>
      <w:r>
        <w:rPr/>
        <w:t xml:space="preserve">  </w:t>
      </w:r>
      <w:r>
        <w:rPr>
          <w:rFonts w:ascii="Arial Narrow" w:hAnsi="Arial Narrow"/>
          <w:i/>
        </w:rPr>
        <w:t>U</w:t>
      </w:r>
      <w:r>
        <w:rPr>
          <w:rFonts w:ascii="Arial Narrow" w:hAnsi="Arial Narrow"/>
        </w:rPr>
        <w:t xml:space="preserve"> = 2.00, </w:t>
      </w:r>
      <w:r>
        <w:rPr>
          <w:rFonts w:ascii="Arial Narrow" w:hAnsi="Arial Narrow"/>
          <w:i/>
        </w:rPr>
        <w:t>t</w:t>
      </w:r>
      <w:r>
        <w:rPr>
          <w:rFonts w:ascii="Arial Narrow" w:hAnsi="Arial Narrow"/>
        </w:rPr>
        <w:t xml:space="preserve"> = 0.50 and varies the value of </w:t>
      </w:r>
      <w:r>
        <w:rPr>
          <w:rFonts w:ascii="Arial Narrow" w:hAnsi="Arial Narrow"/>
          <w:i/>
        </w:rPr>
        <w:t>V</w:t>
      </w:r>
      <w:r>
        <w:rPr>
          <w:rFonts w:ascii="Arial Narrow" w:hAnsi="Arial Narrow"/>
        </w:rPr>
        <w:t xml:space="preserve"> from  -2.00 to +2.00. The flow diagrams below describe the behavior of the hybridization matrix element in the SIAM.  However, due to edge effects, the lattice sites at the edge of the open system will produce the same result. For example in the 2 electrons on 2 lattice sites, both site 1 and 2 will have the same results while in the case of 3 electrons on 3 lattice sites; site 1 and 3 will yield same result and 2 will produce a different result.</w:t>
      </w:r>
    </w:p>
    <w:p>
      <w:pPr>
        <w:pStyle w:val="Normal"/>
        <w:ind w:left="720" w:hanging="90"/>
        <w:jc w:val="both"/>
        <w:rPr>
          <w:b/>
          <w:b/>
          <w:sz w:val="28"/>
          <w:szCs w:val="28"/>
        </w:rPr>
      </w:pPr>
      <w:r>
        <w:rPr>
          <w:b/>
          <w:sz w:val="28"/>
          <w:szCs w:val="28"/>
        </w:rPr>
        <w:t xml:space="preserve">          </w:t>
      </w:r>
    </w:p>
    <w:p>
      <w:pPr>
        <w:pStyle w:val="Normal"/>
        <w:ind w:left="720" w:firstLine="720"/>
        <w:jc w:val="both"/>
        <w:rPr>
          <w:b/>
          <w:b/>
          <w:sz w:val="28"/>
          <w:szCs w:val="28"/>
        </w:rPr>
      </w:pPr>
      <w:r>
        <w:rPr>
          <w:b/>
          <w:sz w:val="28"/>
          <w:szCs w:val="28"/>
        </w:rPr>
        <w:t xml:space="preserve">  </w:t>
      </w:r>
      <w:r>
        <w:rPr/>
        <w:drawing>
          <wp:inline distT="0" distB="0" distL="0" distR="0">
            <wp:extent cx="4572000" cy="1905000"/>
            <wp:effectExtent l="0" t="0" r="0" b="0"/>
            <wp:docPr id="1" name="Object5"/>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p>
      <w:pPr>
        <w:pStyle w:val="Normal"/>
        <w:spacing w:lineRule="auto" w:line="240"/>
        <w:ind w:left="1440" w:hanging="1440"/>
        <w:jc w:val="both"/>
        <w:rPr>
          <w:rFonts w:ascii="Arial Narrow" w:hAnsi="Arial Narrow"/>
          <w:sz w:val="24"/>
          <w:szCs w:val="24"/>
        </w:rPr>
      </w:pPr>
      <w:r>
        <w:rPr>
          <w:rFonts w:ascii="Arial Narrow" w:hAnsi="Arial Narrow"/>
          <w:b/>
          <w:sz w:val="24"/>
          <w:szCs w:val="24"/>
        </w:rPr>
        <w:t>Fig 1:</w:t>
      </w:r>
      <w:r>
        <w:rPr>
          <w:rFonts w:ascii="Arial Narrow" w:hAnsi="Arial Narrow"/>
          <w:sz w:val="24"/>
          <w:szCs w:val="24"/>
        </w:rPr>
        <w:tab/>
        <w:t>Graph of Singlet (E</w:t>
      </w:r>
      <w:r>
        <w:rPr>
          <w:rFonts w:ascii="Arial Narrow" w:hAnsi="Arial Narrow"/>
          <w:sz w:val="24"/>
          <w:szCs w:val="24"/>
          <w:vertAlign w:val="subscript"/>
        </w:rPr>
        <w:t>s</w:t>
      </w:r>
      <w:r>
        <w:rPr>
          <w:rFonts w:ascii="Arial Narrow" w:hAnsi="Arial Narrow"/>
          <w:sz w:val="24"/>
          <w:szCs w:val="24"/>
        </w:rPr>
        <w:t>) and Triplet (E</w:t>
      </w:r>
      <w:r>
        <w:rPr>
          <w:rFonts w:ascii="Arial Narrow" w:hAnsi="Arial Narrow"/>
          <w:sz w:val="24"/>
          <w:szCs w:val="24"/>
          <w:vertAlign w:val="subscript"/>
        </w:rPr>
        <w:t>t</w:t>
      </w:r>
      <w:r>
        <w:rPr>
          <w:rFonts w:ascii="Arial Narrow" w:hAnsi="Arial Narrow"/>
          <w:sz w:val="24"/>
          <w:szCs w:val="24"/>
        </w:rPr>
        <w:t>) state energies plotted against V, showing the transition between E</w:t>
      </w:r>
      <w:r>
        <w:rPr>
          <w:rFonts w:ascii="Arial Narrow" w:hAnsi="Arial Narrow"/>
          <w:sz w:val="24"/>
          <w:szCs w:val="24"/>
          <w:vertAlign w:val="subscript"/>
        </w:rPr>
        <w:t xml:space="preserve">s </w:t>
      </w:r>
      <w:r>
        <w:rPr>
          <w:rFonts w:ascii="Arial Narrow" w:hAnsi="Arial Narrow"/>
          <w:sz w:val="24"/>
          <w:szCs w:val="24"/>
        </w:rPr>
        <w:t>and E</w:t>
      </w:r>
      <w:r>
        <w:rPr>
          <w:rFonts w:ascii="Arial Narrow" w:hAnsi="Arial Narrow"/>
          <w:sz w:val="24"/>
          <w:szCs w:val="24"/>
          <w:vertAlign w:val="subscript"/>
        </w:rPr>
        <w:t>t</w:t>
      </w:r>
      <w:r>
        <w:rPr>
          <w:rFonts w:ascii="Arial Narrow" w:hAnsi="Arial Narrow"/>
          <w:sz w:val="24"/>
          <w:szCs w:val="24"/>
        </w:rPr>
        <w:t xml:space="preserve"> in the 2 electrons on 2-sites system at site 1 and 2 (SIAM). Energy units are in eV.</w:t>
      </w:r>
    </w:p>
    <w:p>
      <w:pPr>
        <w:pStyle w:val="Normal"/>
        <w:spacing w:lineRule="auto" w:line="240"/>
        <w:jc w:val="both"/>
        <w:rPr>
          <w:sz w:val="28"/>
          <w:szCs w:val="28"/>
        </w:rPr>
      </w:pPr>
      <w:r>
        <w:rPr>
          <w:sz w:val="28"/>
          <w:szCs w:val="28"/>
        </w:rPr>
        <w:t xml:space="preserve">                      </w:t>
      </w:r>
      <w:r>
        <w:rPr/>
        <w:drawing>
          <wp:inline distT="0" distB="0" distL="0" distR="0">
            <wp:extent cx="4572000" cy="1619250"/>
            <wp:effectExtent l="0" t="0" r="0" b="0"/>
            <wp:docPr id="2" name="Object6"/>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Normal"/>
        <w:spacing w:lineRule="auto" w:line="240"/>
        <w:ind w:left="1440" w:hanging="1440"/>
        <w:jc w:val="both"/>
        <w:rPr>
          <w:rFonts w:ascii="Arial Narrow" w:hAnsi="Arial Narrow"/>
          <w:sz w:val="24"/>
          <w:szCs w:val="28"/>
        </w:rPr>
      </w:pPr>
      <w:r>
        <w:rPr>
          <w:rFonts w:ascii="Arial Narrow" w:hAnsi="Arial Narrow"/>
          <w:b/>
          <w:sz w:val="24"/>
          <w:szCs w:val="28"/>
        </w:rPr>
        <w:t>Fig 2:</w:t>
      </w:r>
      <w:r>
        <w:rPr>
          <w:rFonts w:ascii="Arial Narrow" w:hAnsi="Arial Narrow"/>
          <w:sz w:val="24"/>
          <w:szCs w:val="28"/>
        </w:rPr>
        <w:tab/>
        <w:t>Graph of Singlet (E</w:t>
      </w:r>
      <w:r>
        <w:rPr>
          <w:rFonts w:ascii="Arial Narrow" w:hAnsi="Arial Narrow"/>
          <w:sz w:val="24"/>
          <w:szCs w:val="28"/>
          <w:vertAlign w:val="subscript"/>
        </w:rPr>
        <w:t>s</w:t>
      </w:r>
      <w:r>
        <w:rPr>
          <w:rFonts w:ascii="Arial Narrow" w:hAnsi="Arial Narrow"/>
          <w:sz w:val="24"/>
          <w:szCs w:val="28"/>
        </w:rPr>
        <w:t>) and Triplet (E</w:t>
      </w:r>
      <w:r>
        <w:rPr>
          <w:rFonts w:ascii="Arial Narrow" w:hAnsi="Arial Narrow"/>
          <w:sz w:val="24"/>
          <w:szCs w:val="28"/>
          <w:vertAlign w:val="subscript"/>
        </w:rPr>
        <w:t>t</w:t>
      </w:r>
      <w:r>
        <w:rPr>
          <w:rFonts w:ascii="Arial Narrow" w:hAnsi="Arial Narrow"/>
          <w:sz w:val="24"/>
          <w:szCs w:val="28"/>
        </w:rPr>
        <w:t>) state energies plotted against V in the 3 electrons on 3-sites lattice system at sites 1 and 3, using the SIAM (1-D).</w:t>
      </w:r>
    </w:p>
    <w:p>
      <w:pPr>
        <w:pStyle w:val="Normal"/>
        <w:spacing w:lineRule="auto" w:line="240"/>
        <w:ind w:left="720" w:hanging="720"/>
        <w:jc w:val="both"/>
        <w:rPr>
          <w:sz w:val="28"/>
          <w:szCs w:val="28"/>
        </w:rPr>
      </w:pPr>
      <w:r>
        <w:rPr>
          <w:sz w:val="28"/>
          <w:szCs w:val="28"/>
        </w:rPr>
        <w:t xml:space="preserve">                      </w:t>
      </w:r>
      <w:r>
        <w:rPr/>
        <w:drawing>
          <wp:inline distT="0" distB="0" distL="0" distR="0">
            <wp:extent cx="4572000" cy="1771650"/>
            <wp:effectExtent l="0" t="0" r="0" b="0"/>
            <wp:docPr id="3" name="Object7"/>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Normal"/>
        <w:spacing w:lineRule="auto" w:line="240"/>
        <w:ind w:left="1440" w:hanging="1440"/>
        <w:jc w:val="both"/>
        <w:rPr>
          <w:rFonts w:ascii="Arial Narrow" w:hAnsi="Arial Narrow"/>
          <w:sz w:val="24"/>
          <w:szCs w:val="28"/>
        </w:rPr>
      </w:pPr>
      <w:r>
        <w:rPr>
          <w:rFonts w:ascii="Arial Narrow" w:hAnsi="Arial Narrow"/>
          <w:b/>
          <w:sz w:val="24"/>
          <w:szCs w:val="28"/>
        </w:rPr>
        <w:t>Fig  3:</w:t>
      </w:r>
      <w:r>
        <w:rPr>
          <w:rFonts w:ascii="Arial Narrow" w:hAnsi="Arial Narrow"/>
          <w:sz w:val="24"/>
          <w:szCs w:val="28"/>
        </w:rPr>
        <w:tab/>
        <w:t>Graph of lowest energies of the Singlet (E</w:t>
      </w:r>
      <w:r>
        <w:rPr>
          <w:rFonts w:ascii="Arial Narrow" w:hAnsi="Arial Narrow"/>
          <w:sz w:val="24"/>
          <w:szCs w:val="28"/>
          <w:vertAlign w:val="subscript"/>
        </w:rPr>
        <w:t>s</w:t>
      </w:r>
      <w:r>
        <w:rPr>
          <w:rFonts w:ascii="Arial Narrow" w:hAnsi="Arial Narrow"/>
          <w:sz w:val="24"/>
          <w:szCs w:val="28"/>
        </w:rPr>
        <w:t>) and Triplet (E</w:t>
      </w:r>
      <w:r>
        <w:rPr>
          <w:rFonts w:ascii="Arial Narrow" w:hAnsi="Arial Narrow"/>
          <w:sz w:val="24"/>
          <w:szCs w:val="28"/>
          <w:vertAlign w:val="subscript"/>
        </w:rPr>
        <w:t>t</w:t>
      </w:r>
      <w:r>
        <w:rPr>
          <w:rFonts w:ascii="Arial Narrow" w:hAnsi="Arial Narrow"/>
          <w:sz w:val="24"/>
          <w:szCs w:val="28"/>
        </w:rPr>
        <w:t>) states plotted against V, in the 3 electrons on 3-sites lattice system at site 2, using the SIAM (1-D).</w:t>
      </w:r>
    </w:p>
    <w:p>
      <w:pPr>
        <w:pStyle w:val="Normal"/>
        <w:spacing w:lineRule="auto" w:line="240"/>
        <w:jc w:val="both"/>
        <w:rPr>
          <w:sz w:val="28"/>
          <w:szCs w:val="28"/>
        </w:rPr>
      </w:pPr>
      <w:r>
        <w:rPr>
          <w:sz w:val="28"/>
          <w:szCs w:val="28"/>
        </w:rPr>
        <w:t xml:space="preserve">                         </w:t>
      </w:r>
    </w:p>
    <w:p>
      <w:pPr>
        <w:pStyle w:val="Normal"/>
        <w:spacing w:lineRule="auto" w:line="240"/>
        <w:ind w:left="720" w:firstLine="720"/>
        <w:jc w:val="both"/>
        <w:rPr>
          <w:sz w:val="28"/>
          <w:szCs w:val="28"/>
        </w:rPr>
      </w:pPr>
      <w:r>
        <w:rPr>
          <w:sz w:val="28"/>
          <w:szCs w:val="28"/>
        </w:rPr>
        <w:t xml:space="preserve"> </w:t>
      </w:r>
      <w:r>
        <w:rPr/>
        <w:drawing>
          <wp:inline distT="0" distB="0" distL="0" distR="0">
            <wp:extent cx="4572000" cy="1724025"/>
            <wp:effectExtent l="0" t="0" r="0" b="0"/>
            <wp:docPr id="4" name="Object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Normal"/>
        <w:spacing w:lineRule="auto" w:line="240"/>
        <w:ind w:left="1440" w:hanging="1440"/>
        <w:jc w:val="both"/>
        <w:rPr>
          <w:rFonts w:ascii="Arial Narrow" w:hAnsi="Arial Narrow"/>
          <w:sz w:val="24"/>
          <w:szCs w:val="28"/>
        </w:rPr>
      </w:pPr>
      <w:r>
        <w:rPr>
          <w:rFonts w:ascii="Arial Narrow" w:hAnsi="Arial Narrow"/>
          <w:b/>
          <w:sz w:val="24"/>
          <w:szCs w:val="28"/>
        </w:rPr>
        <w:t>Fig  4:</w:t>
      </w:r>
      <w:r>
        <w:rPr>
          <w:rFonts w:ascii="Arial Narrow" w:hAnsi="Arial Narrow"/>
          <w:sz w:val="24"/>
          <w:szCs w:val="28"/>
        </w:rPr>
        <w:tab/>
        <w:t>Graph of Singlet (E</w:t>
      </w:r>
      <w:r>
        <w:rPr>
          <w:rFonts w:ascii="Arial Narrow" w:hAnsi="Arial Narrow"/>
          <w:sz w:val="24"/>
          <w:szCs w:val="28"/>
          <w:vertAlign w:val="subscript"/>
        </w:rPr>
        <w:t>s</w:t>
      </w:r>
      <w:r>
        <w:rPr>
          <w:rFonts w:ascii="Arial Narrow" w:hAnsi="Arial Narrow"/>
          <w:sz w:val="24"/>
          <w:szCs w:val="28"/>
        </w:rPr>
        <w:t>) and Triplet (E</w:t>
      </w:r>
      <w:r>
        <w:rPr>
          <w:rFonts w:ascii="Arial Narrow" w:hAnsi="Arial Narrow"/>
          <w:sz w:val="24"/>
          <w:szCs w:val="28"/>
          <w:vertAlign w:val="subscript"/>
        </w:rPr>
        <w:t>t</w:t>
      </w:r>
      <w:r>
        <w:rPr>
          <w:rFonts w:ascii="Arial Narrow" w:hAnsi="Arial Narrow"/>
          <w:sz w:val="24"/>
          <w:szCs w:val="28"/>
        </w:rPr>
        <w:t>) state energies plotted against V, showing the ferromagnetic alignment caused by the hybridization gap between E</w:t>
      </w:r>
      <w:r>
        <w:rPr>
          <w:rFonts w:ascii="Arial Narrow" w:hAnsi="Arial Narrow"/>
          <w:sz w:val="24"/>
          <w:szCs w:val="28"/>
          <w:vertAlign w:val="subscript"/>
        </w:rPr>
        <w:t>s</w:t>
      </w:r>
      <w:r>
        <w:rPr>
          <w:rFonts w:ascii="Arial Narrow" w:hAnsi="Arial Narrow"/>
          <w:sz w:val="24"/>
          <w:szCs w:val="28"/>
        </w:rPr>
        <w:t xml:space="preserve"> and E</w:t>
      </w:r>
      <w:r>
        <w:rPr>
          <w:rFonts w:ascii="Arial Narrow" w:hAnsi="Arial Narrow"/>
          <w:sz w:val="24"/>
          <w:szCs w:val="28"/>
          <w:vertAlign w:val="subscript"/>
        </w:rPr>
        <w:t>t</w:t>
      </w:r>
      <w:r>
        <w:rPr>
          <w:rFonts w:ascii="Arial Narrow" w:hAnsi="Arial Narrow"/>
          <w:sz w:val="24"/>
          <w:szCs w:val="28"/>
        </w:rPr>
        <w:t xml:space="preserve"> in the 4 electrons on 4-sites at sites 1 and 4, using the SIAM (1-D).</w:t>
      </w:r>
    </w:p>
    <w:p>
      <w:pPr>
        <w:pStyle w:val="Normal"/>
        <w:spacing w:lineRule="auto" w:line="240"/>
        <w:jc w:val="both"/>
        <w:rPr>
          <w:sz w:val="28"/>
          <w:szCs w:val="28"/>
        </w:rPr>
      </w:pPr>
      <w:r>
        <w:rPr>
          <w:sz w:val="28"/>
          <w:szCs w:val="28"/>
        </w:rPr>
        <w:t xml:space="preserve">                         </w:t>
      </w:r>
    </w:p>
    <w:p>
      <w:pPr>
        <w:pStyle w:val="Normal"/>
        <w:spacing w:lineRule="auto" w:line="240"/>
        <w:ind w:left="720" w:firstLine="720"/>
        <w:jc w:val="both"/>
        <w:rPr>
          <w:sz w:val="28"/>
          <w:szCs w:val="28"/>
        </w:rPr>
      </w:pPr>
      <w:r>
        <w:rPr>
          <w:sz w:val="28"/>
          <w:szCs w:val="28"/>
        </w:rPr>
        <w:t xml:space="preserve"> </w:t>
      </w:r>
      <w:r>
        <w:rPr/>
        <w:drawing>
          <wp:inline distT="0" distB="0" distL="0" distR="0">
            <wp:extent cx="4572000" cy="1619250"/>
            <wp:effectExtent l="0" t="0" r="0" b="0"/>
            <wp:docPr id="5" name="Object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Normal"/>
        <w:spacing w:lineRule="auto" w:line="240"/>
        <w:ind w:left="1440" w:hanging="1440"/>
        <w:jc w:val="both"/>
        <w:rPr>
          <w:rFonts w:ascii="Arial Narrow" w:hAnsi="Arial Narrow"/>
          <w:sz w:val="24"/>
          <w:szCs w:val="28"/>
        </w:rPr>
      </w:pPr>
      <w:r>
        <w:rPr>
          <w:rFonts w:ascii="Arial Narrow" w:hAnsi="Arial Narrow"/>
          <w:b/>
          <w:sz w:val="24"/>
          <w:szCs w:val="28"/>
        </w:rPr>
        <w:t>Fig. 5:</w:t>
      </w:r>
      <w:r>
        <w:rPr>
          <w:rFonts w:ascii="Arial Narrow" w:hAnsi="Arial Narrow"/>
          <w:sz w:val="24"/>
          <w:szCs w:val="28"/>
        </w:rPr>
        <w:tab/>
        <w:t>Graph of Singlet (E</w:t>
      </w:r>
      <w:r>
        <w:rPr>
          <w:rFonts w:ascii="Arial Narrow" w:hAnsi="Arial Narrow"/>
          <w:sz w:val="24"/>
          <w:szCs w:val="28"/>
          <w:vertAlign w:val="subscript"/>
        </w:rPr>
        <w:t>s</w:t>
      </w:r>
      <w:r>
        <w:rPr>
          <w:rFonts w:ascii="Arial Narrow" w:hAnsi="Arial Narrow"/>
          <w:sz w:val="24"/>
          <w:szCs w:val="28"/>
        </w:rPr>
        <w:t>) and Triplet (c) state energies plotted against V varies in the 4 electrons on 4-sites lattice system at site 2 and 3, using the SIAM (1-D).</w:t>
      </w:r>
    </w:p>
    <w:p>
      <w:pPr>
        <w:pStyle w:val="Normal"/>
        <w:spacing w:lineRule="auto" w:line="240"/>
        <w:jc w:val="both"/>
        <w:rPr>
          <w:rFonts w:ascii="Arial Narrow" w:hAnsi="Arial Narrow"/>
          <w:sz w:val="28"/>
          <w:szCs w:val="28"/>
        </w:rPr>
      </w:pPr>
      <w:r>
        <w:rPr>
          <w:rFonts w:ascii="Arial Narrow" w:hAnsi="Arial Narrow"/>
          <w:sz w:val="28"/>
          <w:szCs w:val="28"/>
        </w:rPr>
        <w:t xml:space="preserve">                           </w:t>
      </w:r>
      <w:r>
        <w:rPr/>
        <w:drawing>
          <wp:inline distT="0" distB="0" distL="0" distR="0">
            <wp:extent cx="4572000" cy="1724025"/>
            <wp:effectExtent l="0" t="0" r="0" b="0"/>
            <wp:docPr id="6" name="Object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spacing w:lineRule="auto" w:line="240"/>
        <w:ind w:left="1440" w:hanging="1440"/>
        <w:jc w:val="both"/>
        <w:rPr>
          <w:rFonts w:ascii="Arial Narrow" w:hAnsi="Arial Narrow"/>
          <w:sz w:val="24"/>
          <w:szCs w:val="28"/>
        </w:rPr>
      </w:pPr>
      <w:r>
        <w:rPr>
          <w:rFonts w:ascii="Arial Narrow" w:hAnsi="Arial Narrow"/>
          <w:b/>
          <w:sz w:val="24"/>
          <w:szCs w:val="28"/>
        </w:rPr>
        <w:t>Fig. 6:</w:t>
      </w:r>
      <w:r>
        <w:rPr>
          <w:rFonts w:ascii="Arial Narrow" w:hAnsi="Arial Narrow"/>
          <w:sz w:val="24"/>
          <w:szCs w:val="28"/>
        </w:rPr>
        <w:tab/>
        <w:t>Graph of Singlet (E</w:t>
      </w:r>
      <w:r>
        <w:rPr>
          <w:rFonts w:ascii="Arial Narrow" w:hAnsi="Arial Narrow"/>
          <w:sz w:val="24"/>
          <w:szCs w:val="28"/>
          <w:vertAlign w:val="subscript"/>
        </w:rPr>
        <w:t>s</w:t>
      </w:r>
      <w:r>
        <w:rPr>
          <w:rFonts w:ascii="Arial Narrow" w:hAnsi="Arial Narrow"/>
          <w:sz w:val="24"/>
          <w:szCs w:val="28"/>
        </w:rPr>
        <w:t>) and Triplet (E</w:t>
      </w:r>
      <w:r>
        <w:rPr>
          <w:rFonts w:ascii="Arial Narrow" w:hAnsi="Arial Narrow"/>
          <w:sz w:val="24"/>
          <w:szCs w:val="28"/>
          <w:vertAlign w:val="subscript"/>
        </w:rPr>
        <w:t>t</w:t>
      </w:r>
      <w:r>
        <w:rPr>
          <w:rFonts w:ascii="Arial Narrow" w:hAnsi="Arial Narrow"/>
          <w:sz w:val="24"/>
          <w:szCs w:val="28"/>
        </w:rPr>
        <w:t>) state energies plotted against V in the 4 electrons on 2 x 2 square lattice sites system at sites 1 and 4, using the SIAM (2-D).</w:t>
      </w:r>
    </w:p>
    <w:p>
      <w:pPr>
        <w:pStyle w:val="Normal"/>
        <w:spacing w:lineRule="auto" w:line="240"/>
        <w:jc w:val="both"/>
        <w:rPr>
          <w:sz w:val="28"/>
          <w:szCs w:val="28"/>
        </w:rPr>
      </w:pPr>
      <w:r>
        <w:rPr>
          <w:sz w:val="28"/>
          <w:szCs w:val="28"/>
        </w:rPr>
        <w:t xml:space="preserve">                       </w:t>
      </w:r>
    </w:p>
    <w:p>
      <w:pPr>
        <w:pStyle w:val="Normal"/>
        <w:spacing w:lineRule="auto" w:line="240"/>
        <w:ind w:left="720" w:firstLine="720"/>
        <w:jc w:val="both"/>
        <w:rPr>
          <w:sz w:val="28"/>
          <w:szCs w:val="28"/>
        </w:rPr>
      </w:pPr>
      <w:r>
        <w:rPr>
          <w:sz w:val="28"/>
          <w:szCs w:val="28"/>
        </w:rPr>
        <w:t xml:space="preserve">     </w:t>
      </w:r>
      <w:r>
        <w:rPr/>
        <w:drawing>
          <wp:inline distT="0" distB="0" distL="0" distR="0">
            <wp:extent cx="4572000" cy="1695450"/>
            <wp:effectExtent l="0" t="0" r="0" b="0"/>
            <wp:docPr id="7" name="Object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Normal"/>
        <w:spacing w:lineRule="auto" w:line="240"/>
        <w:ind w:left="1440" w:hanging="1440"/>
        <w:jc w:val="both"/>
        <w:rPr>
          <w:rFonts w:ascii="Arial Narrow" w:hAnsi="Arial Narrow"/>
          <w:sz w:val="24"/>
          <w:szCs w:val="28"/>
        </w:rPr>
      </w:pPr>
      <w:r>
        <w:rPr>
          <w:rFonts w:ascii="Arial Narrow" w:hAnsi="Arial Narrow"/>
          <w:b/>
          <w:sz w:val="24"/>
          <w:szCs w:val="28"/>
        </w:rPr>
        <w:t>Fig. 7:</w:t>
      </w:r>
      <w:r>
        <w:rPr>
          <w:rFonts w:ascii="Arial Narrow" w:hAnsi="Arial Narrow"/>
          <w:sz w:val="24"/>
          <w:szCs w:val="28"/>
        </w:rPr>
        <w:tab/>
        <w:t>Graph of Singlet (E</w:t>
      </w:r>
      <w:r>
        <w:rPr>
          <w:rFonts w:ascii="Arial Narrow" w:hAnsi="Arial Narrow"/>
          <w:sz w:val="24"/>
          <w:szCs w:val="28"/>
          <w:vertAlign w:val="subscript"/>
        </w:rPr>
        <w:t>s</w:t>
      </w:r>
      <w:r>
        <w:rPr>
          <w:rFonts w:ascii="Arial Narrow" w:hAnsi="Arial Narrow"/>
          <w:sz w:val="24"/>
          <w:szCs w:val="28"/>
        </w:rPr>
        <w:t>) and Triplet (E</w:t>
      </w:r>
      <w:r>
        <w:rPr>
          <w:rFonts w:ascii="Arial Narrow" w:hAnsi="Arial Narrow"/>
          <w:sz w:val="24"/>
          <w:szCs w:val="28"/>
          <w:vertAlign w:val="subscript"/>
        </w:rPr>
        <w:t>t</w:t>
      </w:r>
      <w:r>
        <w:rPr>
          <w:rFonts w:ascii="Arial Narrow" w:hAnsi="Arial Narrow"/>
          <w:sz w:val="24"/>
          <w:szCs w:val="28"/>
        </w:rPr>
        <w:t>) state energies plotted against V in the 4 electrons on 2 x 2 square lattice sites system at sites 2 and 3, using the SIAM (2-D).</w:t>
      </w:r>
    </w:p>
    <w:p>
      <w:pPr>
        <w:pStyle w:val="Normal"/>
        <w:spacing w:lineRule="auto" w:line="240"/>
        <w:ind w:left="1440" w:hanging="1440"/>
        <w:jc w:val="both"/>
        <w:rPr>
          <w:rFonts w:ascii="Arial Narrow" w:hAnsi="Arial Narrow"/>
          <w:b/>
          <w:b/>
          <w:sz w:val="24"/>
          <w:szCs w:val="28"/>
        </w:rPr>
      </w:pPr>
      <w:r>
        <w:rPr>
          <w:rFonts w:ascii="Arial Narrow" w:hAnsi="Arial Narrow"/>
          <w:b/>
          <w:sz w:val="24"/>
          <w:szCs w:val="28"/>
        </w:rPr>
        <w:t>4.0</w:t>
        <w:tab/>
        <w:t>DISCUSSION OF RESULTS</w:t>
      </w:r>
    </w:p>
    <w:p>
      <w:pPr>
        <w:pStyle w:val="Normal"/>
        <w:spacing w:lineRule="auto" w:line="240"/>
        <w:jc w:val="both"/>
        <w:rPr>
          <w:rFonts w:ascii="Arial Narrow" w:hAnsi="Arial Narrow"/>
          <w:sz w:val="24"/>
          <w:szCs w:val="24"/>
        </w:rPr>
      </w:pPr>
      <w:r>
        <w:rPr>
          <w:rFonts w:ascii="Arial Narrow" w:hAnsi="Arial Narrow"/>
          <w:b/>
          <w:sz w:val="24"/>
          <w:szCs w:val="24"/>
        </w:rPr>
        <w:tab/>
      </w:r>
      <w:r>
        <w:rPr>
          <w:rFonts w:ascii="Arial Narrow" w:hAnsi="Arial Narrow"/>
          <w:sz w:val="24"/>
          <w:szCs w:val="24"/>
        </w:rPr>
        <w:t>Identifying the origin of itinerant ferromagnetism in metals and specifying simple models inhibiting it are two of the most intriguing and long-standing problems in theoretical Physics.</w:t>
      </w:r>
    </w:p>
    <w:p>
      <w:pPr>
        <w:pStyle w:val="Normal"/>
        <w:spacing w:lineRule="auto" w:line="240"/>
        <w:jc w:val="both"/>
        <w:rPr/>
      </w:pPr>
      <w:r>
        <w:rPr>
          <w:rFonts w:ascii="Arial Narrow" w:hAnsi="Arial Narrow"/>
          <w:sz w:val="24"/>
          <w:szCs w:val="24"/>
        </w:rPr>
        <w:tab/>
        <w:t>Using the eigenvalue solution of the matrix form of the Hamiltonian will yield the total energy which is the energy spectrum of that system and the lowest of them is the ground state energy of the system. This follows that the condition to produce a ferromagnetic phase is that the lowest state energy of the triplet state, E</w:t>
      </w:r>
      <w:r>
        <w:rPr>
          <w:rFonts w:ascii="Arial Narrow" w:hAnsi="Arial Narrow"/>
          <w:sz w:val="24"/>
          <w:szCs w:val="24"/>
          <w:vertAlign w:val="subscript"/>
        </w:rPr>
        <w:t>t</w:t>
      </w:r>
      <w:r>
        <w:rPr>
          <w:rFonts w:ascii="Arial Narrow" w:hAnsi="Arial Narrow"/>
          <w:sz w:val="24"/>
          <w:szCs w:val="24"/>
        </w:rPr>
        <w:t xml:space="preserve"> must be smaller than that of the singlet state, E</w:t>
      </w:r>
      <w:r>
        <w:rPr>
          <w:rFonts w:ascii="Arial Narrow" w:hAnsi="Arial Narrow"/>
          <w:sz w:val="24"/>
          <w:szCs w:val="24"/>
          <w:vertAlign w:val="subscript"/>
        </w:rPr>
        <w:t>s</w:t>
      </w:r>
      <w:r>
        <w:rPr>
          <w:rFonts w:ascii="Arial Narrow" w:hAnsi="Arial Narrow"/>
          <w:sz w:val="24"/>
          <w:szCs w:val="24"/>
        </w:rPr>
        <w:t>, i. e. E</w:t>
      </w:r>
      <w:r>
        <w:rPr>
          <w:rFonts w:ascii="Arial Narrow" w:hAnsi="Arial Narrow"/>
          <w:sz w:val="24"/>
          <w:szCs w:val="24"/>
          <w:vertAlign w:val="subscript"/>
        </w:rPr>
        <w:t>t</w:t>
      </w:r>
      <w:r>
        <w:rPr>
          <w:rFonts w:ascii="Arial Narrow" w:hAnsi="Arial Narrow"/>
          <w:sz w:val="24"/>
          <w:szCs w:val="24"/>
        </w:rPr>
        <w:t xml:space="preserve"> &lt; E</w:t>
      </w:r>
      <w:r>
        <w:rPr>
          <w:rFonts w:ascii="Arial Narrow" w:hAnsi="Arial Narrow"/>
          <w:sz w:val="24"/>
          <w:szCs w:val="24"/>
          <w:vertAlign w:val="subscript"/>
        </w:rPr>
        <w:t>s</w:t>
      </w:r>
      <w:r>
        <w:rPr>
          <w:rFonts w:ascii="Arial Narrow" w:hAnsi="Arial Narrow"/>
          <w:sz w:val="24"/>
          <w:szCs w:val="24"/>
        </w:rPr>
        <w:t xml:space="preserve"> </w:t>
      </w:r>
      <w:r>
        <w:rPr>
          <w:rFonts w:ascii="Arial Narrow" w:hAnsi="Arial Narrow"/>
          <w:sz w:val="24"/>
          <w:szCs w:val="24"/>
          <w:vertAlign w:val="superscript"/>
        </w:rPr>
        <w:t>[1</w:t>
      </w:r>
      <w:r>
        <w:rPr>
          <w:rFonts w:ascii="Arial Narrow" w:hAnsi="Arial Narrow"/>
          <w:sz w:val="24"/>
          <w:szCs w:val="24"/>
          <w:vertAlign w:val="superscript"/>
        </w:rPr>
        <w:t>5]</w:t>
      </w:r>
      <w:r>
        <w:rPr>
          <w:rFonts w:ascii="Arial Narrow" w:hAnsi="Arial Narrow"/>
          <w:sz w:val="24"/>
          <w:szCs w:val="24"/>
        </w:rPr>
        <w:t>. If the singlet state provides the lowest energy, then the system will be antiferromagnetic (i.e. zero spin polarization), while it will be ferromagnetic (i.e. full polarization) if the triplet states provides the ground state energy.The value at which E</w:t>
      </w:r>
      <w:r>
        <w:rPr>
          <w:rFonts w:ascii="Arial Narrow" w:hAnsi="Arial Narrow"/>
          <w:sz w:val="24"/>
          <w:szCs w:val="24"/>
          <w:vertAlign w:val="subscript"/>
        </w:rPr>
        <w:t>t</w:t>
      </w:r>
      <w:r>
        <w:rPr>
          <w:rFonts w:ascii="Arial Narrow" w:hAnsi="Arial Narrow"/>
          <w:sz w:val="24"/>
          <w:szCs w:val="24"/>
        </w:rPr>
        <w:t xml:space="preserve"> = E</w:t>
      </w:r>
      <w:r>
        <w:rPr>
          <w:rFonts w:ascii="Arial Narrow" w:hAnsi="Arial Narrow"/>
          <w:sz w:val="24"/>
          <w:szCs w:val="24"/>
          <w:vertAlign w:val="subscript"/>
        </w:rPr>
        <w:t>s</w:t>
      </w:r>
      <w:r>
        <w:rPr>
          <w:rFonts w:ascii="Arial Narrow" w:hAnsi="Arial Narrow"/>
          <w:sz w:val="24"/>
          <w:szCs w:val="24"/>
        </w:rPr>
        <w:t xml:space="preserve"> give rise to a transition from antiferromagnetic phase to a ferromagnetic phase or vice- versa. This point is called the transition point, T</w:t>
      </w:r>
      <w:r>
        <w:rPr>
          <w:rFonts w:ascii="Arial Narrow" w:hAnsi="Arial Narrow"/>
          <w:sz w:val="24"/>
          <w:szCs w:val="24"/>
          <w:vertAlign w:val="subscript"/>
        </w:rPr>
        <w:t>p</w:t>
      </w:r>
      <w:r>
        <w:rPr>
          <w:rFonts w:ascii="Arial Narrow" w:hAnsi="Arial Narrow"/>
          <w:sz w:val="24"/>
          <w:szCs w:val="24"/>
          <w:vertAlign w:val="superscript"/>
        </w:rPr>
        <w:t>[1</w:t>
      </w:r>
      <w:r>
        <w:rPr>
          <w:rFonts w:ascii="Arial Narrow" w:hAnsi="Arial Narrow"/>
          <w:sz w:val="24"/>
          <w:szCs w:val="24"/>
          <w:vertAlign w:val="superscript"/>
        </w:rPr>
        <w:t>6</w:t>
      </w:r>
      <w:r>
        <w:rPr>
          <w:rFonts w:ascii="Arial Narrow" w:hAnsi="Arial Narrow"/>
          <w:sz w:val="24"/>
          <w:szCs w:val="24"/>
          <w:vertAlign w:val="superscript"/>
        </w:rPr>
        <w:t>]</w:t>
      </w:r>
      <w:r>
        <w:rPr>
          <w:rFonts w:ascii="Arial Narrow" w:hAnsi="Arial Narrow"/>
          <w:sz w:val="24"/>
          <w:szCs w:val="24"/>
        </w:rPr>
        <w:t>.</w:t>
      </w:r>
    </w:p>
    <w:p>
      <w:pPr>
        <w:pStyle w:val="Normal"/>
        <w:spacing w:lineRule="auto" w:line="240"/>
        <w:ind w:firstLine="720"/>
        <w:jc w:val="both"/>
        <w:rPr/>
      </w:pPr>
      <w:r>
        <w:rPr>
          <w:rFonts w:ascii="Arial Narrow" w:hAnsi="Arial Narrow"/>
          <w:sz w:val="24"/>
          <w:szCs w:val="24"/>
        </w:rPr>
        <w:t xml:space="preserve">Observation from Fig. 1 shows that, as the value of the on-site hybridization element between the </w:t>
      </w:r>
      <w:r>
        <w:rPr>
          <w:rFonts w:ascii="Arial Narrow" w:hAnsi="Arial Narrow"/>
          <w:i/>
          <w:sz w:val="24"/>
          <w:szCs w:val="24"/>
        </w:rPr>
        <w:t>f</w:t>
      </w:r>
      <w:r>
        <w:rPr>
          <w:rFonts w:ascii="Arial Narrow" w:hAnsi="Arial Narrow"/>
          <w:sz w:val="24"/>
          <w:szCs w:val="24"/>
        </w:rPr>
        <w:t xml:space="preserve"> orbital and the conduction electron, </w:t>
      </w:r>
      <w:r>
        <w:rPr>
          <w:rFonts w:ascii="Arial Narrow" w:hAnsi="Arial Narrow"/>
          <w:i/>
          <w:sz w:val="24"/>
          <w:szCs w:val="24"/>
        </w:rPr>
        <w:t>V</w:t>
      </w:r>
      <w:r>
        <w:rPr>
          <w:rFonts w:ascii="Arial Narrow" w:hAnsi="Arial Narrow"/>
          <w:sz w:val="24"/>
          <w:szCs w:val="24"/>
        </w:rPr>
        <w:t xml:space="preserve"> are increased, the ground-state continue to increase to transition point </w:t>
      </w:r>
      <w:r>
        <w:rPr>
          <w:rFonts w:ascii="Arial Narrow" w:hAnsi="Arial Narrow"/>
          <w:i/>
          <w:sz w:val="24"/>
          <w:szCs w:val="24"/>
        </w:rPr>
        <w:t>T</w:t>
      </w:r>
      <w:r>
        <w:rPr>
          <w:rFonts w:ascii="Arial Narrow" w:hAnsi="Arial Narrow"/>
          <w:i/>
          <w:sz w:val="24"/>
          <w:szCs w:val="24"/>
          <w:vertAlign w:val="subscript"/>
        </w:rPr>
        <w:t>p</w:t>
      </w:r>
      <w:r>
        <w:rPr>
          <w:rFonts w:ascii="Arial Narrow" w:hAnsi="Arial Narrow"/>
          <w:sz w:val="24"/>
          <w:szCs w:val="24"/>
        </w:rPr>
        <w:t xml:space="preserve">, where </w:t>
      </w:r>
      <w:r>
        <w:rPr>
          <w:rFonts w:ascii="Arial Narrow" w:hAnsi="Arial Narrow"/>
          <w:i/>
          <w:sz w:val="24"/>
          <w:szCs w:val="24"/>
        </w:rPr>
        <w:t>E</w:t>
      </w:r>
      <w:r>
        <w:rPr>
          <w:rFonts w:ascii="Arial Narrow" w:hAnsi="Arial Narrow"/>
          <w:i/>
          <w:sz w:val="24"/>
          <w:szCs w:val="24"/>
          <w:vertAlign w:val="subscript"/>
        </w:rPr>
        <w:t>s</w:t>
      </w:r>
      <w:r>
        <w:rPr>
          <w:rFonts w:ascii="Arial Narrow" w:hAnsi="Arial Narrow"/>
          <w:i/>
          <w:sz w:val="24"/>
          <w:szCs w:val="24"/>
        </w:rPr>
        <w:t>=E</w:t>
      </w:r>
      <w:r>
        <w:rPr>
          <w:rFonts w:ascii="Arial Narrow" w:hAnsi="Arial Narrow"/>
          <w:i/>
          <w:sz w:val="24"/>
          <w:szCs w:val="24"/>
          <w:vertAlign w:val="subscript"/>
        </w:rPr>
        <w:t>t</w:t>
      </w:r>
      <w:r>
        <w:rPr>
          <w:rFonts w:ascii="Arial Narrow" w:hAnsi="Arial Narrow"/>
          <w:sz w:val="24"/>
          <w:szCs w:val="24"/>
        </w:rPr>
        <w:t xml:space="preserve"> and as the values are further increased beyond </w:t>
      </w:r>
      <w:r>
        <w:rPr>
          <w:rFonts w:ascii="Arial Narrow" w:hAnsi="Arial Narrow"/>
          <w:i/>
          <w:sz w:val="24"/>
          <w:szCs w:val="24"/>
        </w:rPr>
        <w:t>T</w:t>
      </w:r>
      <w:r>
        <w:rPr>
          <w:rFonts w:ascii="Arial Narrow" w:hAnsi="Arial Narrow"/>
          <w:i/>
          <w:sz w:val="24"/>
          <w:szCs w:val="24"/>
          <w:vertAlign w:val="subscript"/>
        </w:rPr>
        <w:t>p</w:t>
      </w:r>
      <w:r>
        <w:rPr>
          <w:rFonts w:ascii="Arial Narrow" w:hAnsi="Arial Narrow"/>
          <w:sz w:val="24"/>
          <w:szCs w:val="24"/>
        </w:rPr>
        <w:t xml:space="preserve">, where </w:t>
      </w:r>
      <w:r>
        <w:rPr>
          <w:rFonts w:ascii="Arial Narrow" w:hAnsi="Arial Narrow"/>
          <w:i/>
          <w:sz w:val="24"/>
          <w:szCs w:val="24"/>
        </w:rPr>
        <w:t>E</w:t>
      </w:r>
      <w:r>
        <w:rPr>
          <w:rFonts w:ascii="Arial Narrow" w:hAnsi="Arial Narrow"/>
          <w:i/>
          <w:sz w:val="24"/>
          <w:szCs w:val="24"/>
          <w:vertAlign w:val="subscript"/>
        </w:rPr>
        <w:t>s</w:t>
      </w:r>
      <w:r>
        <w:rPr>
          <w:rFonts w:ascii="Arial Narrow" w:hAnsi="Arial Narrow"/>
          <w:sz w:val="24"/>
          <w:szCs w:val="24"/>
        </w:rPr>
        <w:t xml:space="preserve"> &gt;</w:t>
      </w:r>
      <w:r>
        <w:rPr>
          <w:rFonts w:ascii="Arial Narrow" w:hAnsi="Arial Narrow"/>
          <w:i/>
          <w:sz w:val="24"/>
          <w:szCs w:val="24"/>
        </w:rPr>
        <w:t>E</w:t>
      </w:r>
      <w:r>
        <w:rPr>
          <w:rFonts w:ascii="Arial Narrow" w:hAnsi="Arial Narrow"/>
          <w:i/>
          <w:sz w:val="24"/>
          <w:szCs w:val="24"/>
          <w:vertAlign w:val="subscript"/>
        </w:rPr>
        <w:t xml:space="preserve">t </w:t>
      </w:r>
      <w:r>
        <w:rPr>
          <w:rFonts w:ascii="Arial Narrow" w:hAnsi="Arial Narrow"/>
          <w:sz w:val="24"/>
          <w:szCs w:val="24"/>
        </w:rPr>
        <w:t xml:space="preserve">the system becomes ferromagnetic. The physical implication is that the electronic correlations favouring antiferromagnetism gets weaker while that of ferromagnetism gets stronger as the values of the on-site hybridization element, </w:t>
      </w:r>
      <w:r>
        <w:rPr>
          <w:rFonts w:ascii="Arial Narrow" w:hAnsi="Arial Narrow"/>
          <w:i/>
          <w:sz w:val="24"/>
          <w:szCs w:val="24"/>
        </w:rPr>
        <w:t>V</w:t>
      </w:r>
      <w:r>
        <w:rPr>
          <w:rFonts w:ascii="Arial Narrow" w:hAnsi="Arial Narrow"/>
          <w:sz w:val="24"/>
          <w:szCs w:val="24"/>
        </w:rPr>
        <w:t xml:space="preserve"> are increased. This continue on till the electronic correlation favouring ferromagnetism begins to dominate (i.e. there is cross-over to ferromagnetism) and this domination is enhanced as the values of </w:t>
      </w:r>
      <w:r>
        <w:rPr>
          <w:rFonts w:ascii="Arial Narrow" w:hAnsi="Arial Narrow"/>
          <w:i/>
          <w:sz w:val="24"/>
          <w:szCs w:val="24"/>
        </w:rPr>
        <w:t>V</w:t>
      </w:r>
      <w:r>
        <w:rPr>
          <w:rFonts w:ascii="Arial Narrow" w:hAnsi="Arial Narrow"/>
          <w:sz w:val="24"/>
          <w:szCs w:val="24"/>
        </w:rPr>
        <w:t xml:space="preserve">  increases. Hence, this direct exchange interaction provides a natural way for stabilizing ferromagnetic states,</w:t>
      </w:r>
      <w:r>
        <w:rPr>
          <w:rFonts w:ascii="Arial Narrow" w:hAnsi="Arial Narrow"/>
          <w:sz w:val="24"/>
          <w:szCs w:val="24"/>
          <w:vertAlign w:val="superscript"/>
        </w:rPr>
        <w:t>[1</w:t>
      </w:r>
      <w:r>
        <w:rPr>
          <w:rFonts w:ascii="Arial Narrow" w:hAnsi="Arial Narrow"/>
          <w:sz w:val="24"/>
          <w:szCs w:val="24"/>
          <w:vertAlign w:val="superscript"/>
        </w:rPr>
        <w:t>7</w:t>
      </w:r>
      <w:r>
        <w:rPr>
          <w:rFonts w:ascii="Arial Narrow" w:hAnsi="Arial Narrow"/>
          <w:sz w:val="24"/>
          <w:szCs w:val="24"/>
          <w:vertAlign w:val="superscript"/>
        </w:rPr>
        <w:t>]</w:t>
      </w:r>
      <w:r>
        <w:rPr>
          <w:rFonts w:ascii="Arial Narrow" w:hAnsi="Arial Narrow"/>
          <w:sz w:val="24"/>
          <w:szCs w:val="24"/>
        </w:rPr>
        <w:t xml:space="preserve"> .</w:t>
      </w:r>
    </w:p>
    <w:p>
      <w:pPr>
        <w:pStyle w:val="Normal"/>
        <w:spacing w:lineRule="auto" w:line="240"/>
        <w:ind w:firstLine="720"/>
        <w:jc w:val="both"/>
        <w:rPr>
          <w:rFonts w:ascii="Arial Narrow" w:hAnsi="Arial Narrow"/>
          <w:sz w:val="24"/>
          <w:szCs w:val="24"/>
        </w:rPr>
      </w:pPr>
      <w:r>
        <w:rPr>
          <w:rFonts w:ascii="Arial Narrow" w:hAnsi="Arial Narrow"/>
          <w:sz w:val="24"/>
          <w:szCs w:val="24"/>
        </w:rPr>
        <w:t xml:space="preserve">Observations from Fig 2 and 3 shows that, as the values of the on-site hybridization element between the </w:t>
      </w:r>
      <w:r>
        <w:rPr>
          <w:rFonts w:ascii="Arial Narrow" w:hAnsi="Arial Narrow"/>
          <w:i/>
          <w:sz w:val="24"/>
          <w:szCs w:val="24"/>
        </w:rPr>
        <w:t>f</w:t>
      </w:r>
      <w:r>
        <w:rPr>
          <w:rFonts w:ascii="Arial Narrow" w:hAnsi="Arial Narrow"/>
          <w:sz w:val="24"/>
          <w:szCs w:val="24"/>
        </w:rPr>
        <w:t xml:space="preserve"> orbital and the </w:t>
      </w:r>
      <w:r>
        <w:rPr>
          <w:rFonts w:ascii="Arial Narrow" w:hAnsi="Arial Narrow"/>
          <w:i/>
          <w:sz w:val="24"/>
          <w:szCs w:val="24"/>
        </w:rPr>
        <w:t>C</w:t>
      </w:r>
      <w:r>
        <w:rPr>
          <w:rFonts w:ascii="Arial Narrow" w:hAnsi="Arial Narrow"/>
          <w:sz w:val="24"/>
          <w:szCs w:val="24"/>
        </w:rPr>
        <w:t xml:space="preserve"> band, </w:t>
      </w:r>
      <w:r>
        <w:rPr>
          <w:rFonts w:ascii="Arial Narrow" w:hAnsi="Arial Narrow"/>
          <w:i/>
          <w:sz w:val="24"/>
          <w:szCs w:val="24"/>
        </w:rPr>
        <w:t>V</w:t>
      </w:r>
      <w:r>
        <w:rPr>
          <w:rFonts w:ascii="Arial Narrow" w:hAnsi="Arial Narrow"/>
          <w:sz w:val="24"/>
          <w:szCs w:val="24"/>
        </w:rPr>
        <w:t xml:space="preserve"> are increased, there was transition from an antiferromagnetic phase to a ferromagnetic phase.</w:t>
      </w:r>
    </w:p>
    <w:p>
      <w:pPr>
        <w:pStyle w:val="Normal"/>
        <w:spacing w:lineRule="auto" w:line="240"/>
        <w:ind w:firstLine="720"/>
        <w:jc w:val="both"/>
        <w:rPr>
          <w:rFonts w:ascii="Arial Narrow" w:hAnsi="Arial Narrow"/>
          <w:sz w:val="24"/>
          <w:szCs w:val="24"/>
        </w:rPr>
      </w:pPr>
      <w:r>
        <w:rPr>
          <w:rFonts w:ascii="Arial Narrow" w:hAnsi="Arial Narrow"/>
          <w:sz w:val="24"/>
          <w:szCs w:val="24"/>
        </w:rPr>
        <w:t xml:space="preserve">Results from Fig. 4 and 5 shows that, as the values of the on-site hybridization element between the </w:t>
      </w:r>
      <w:r>
        <w:rPr>
          <w:rFonts w:ascii="Arial Narrow" w:hAnsi="Arial Narrow"/>
          <w:i/>
          <w:sz w:val="24"/>
          <w:szCs w:val="24"/>
        </w:rPr>
        <w:t>f</w:t>
      </w:r>
      <w:r>
        <w:rPr>
          <w:rFonts w:ascii="Arial Narrow" w:hAnsi="Arial Narrow"/>
          <w:sz w:val="24"/>
          <w:szCs w:val="24"/>
        </w:rPr>
        <w:t xml:space="preserve"> orbital and the conduction band, </w:t>
      </w:r>
      <w:r>
        <w:rPr>
          <w:rFonts w:ascii="Arial Narrow" w:hAnsi="Arial Narrow"/>
          <w:i/>
          <w:sz w:val="24"/>
          <w:szCs w:val="24"/>
        </w:rPr>
        <w:t>V</w:t>
      </w:r>
      <w:r>
        <w:rPr>
          <w:rFonts w:ascii="Arial Narrow" w:hAnsi="Arial Narrow"/>
          <w:sz w:val="24"/>
          <w:szCs w:val="24"/>
        </w:rPr>
        <w:t xml:space="preserve"> is increased there is a ferromagnetic alignment between the singlet and triplet state energies giving a hybridization gap or semiconducting gap ∆ in the lattice system. At site 1 and 1 and 4, in Fig 4, the semiconducting gap ∆ is uniform and does not increase or decrease irregularly, hence the gap is about 0.7; but at site 2 and 3, in Fig. 5, the gap increases as the values of </w:t>
      </w:r>
      <w:r>
        <w:rPr>
          <w:rFonts w:ascii="Arial Narrow" w:hAnsi="Arial Narrow"/>
          <w:i/>
          <w:sz w:val="24"/>
          <w:szCs w:val="24"/>
        </w:rPr>
        <w:t>V</w:t>
      </w:r>
      <w:r>
        <w:rPr>
          <w:rFonts w:ascii="Arial Narrow" w:hAnsi="Arial Narrow"/>
          <w:sz w:val="24"/>
          <w:szCs w:val="24"/>
        </w:rPr>
        <w:t xml:space="preserve"> continue to increase. </w:t>
      </w:r>
    </w:p>
    <w:p>
      <w:pPr>
        <w:pStyle w:val="Normal"/>
        <w:spacing w:lineRule="auto" w:line="240"/>
        <w:ind w:firstLine="720"/>
        <w:jc w:val="both"/>
        <w:rPr>
          <w:rFonts w:ascii="Arial Narrow" w:hAnsi="Arial Narrow"/>
          <w:sz w:val="24"/>
          <w:szCs w:val="24"/>
        </w:rPr>
      </w:pPr>
      <w:r>
        <w:rPr>
          <w:rFonts w:ascii="Arial Narrow" w:hAnsi="Arial Narrow"/>
          <w:sz w:val="24"/>
          <w:szCs w:val="24"/>
        </w:rPr>
        <w:t xml:space="preserve">Computation from Fig. 6 and 7 shows that, as the </w:t>
      </w:r>
      <w:r>
        <w:rPr>
          <w:rFonts w:ascii="Arial Narrow" w:hAnsi="Arial Narrow"/>
          <w:i/>
          <w:sz w:val="24"/>
          <w:szCs w:val="24"/>
        </w:rPr>
        <w:t>V</w:t>
      </w:r>
      <w:r>
        <w:rPr>
          <w:rFonts w:ascii="Arial Narrow" w:hAnsi="Arial Narrow"/>
          <w:sz w:val="24"/>
          <w:szCs w:val="24"/>
        </w:rPr>
        <w:t xml:space="preserve"> term is increased, the hybridization gap continue to increase at site 1 and 4 and decreases at site 2 and 3. This is as a result of edge and finte size effects.</w:t>
      </w:r>
    </w:p>
    <w:p>
      <w:pPr>
        <w:pStyle w:val="Normal"/>
        <w:spacing w:lineRule="auto" w:line="240"/>
        <w:ind w:firstLine="720"/>
        <w:jc w:val="both"/>
        <w:rPr>
          <w:rFonts w:ascii="Arial Narrow" w:hAnsi="Arial Narrow"/>
          <w:sz w:val="24"/>
          <w:szCs w:val="24"/>
        </w:rPr>
      </w:pPr>
      <w:r>
        <w:rPr>
          <w:rFonts w:ascii="Arial Narrow" w:hAnsi="Arial Narrow"/>
          <w:sz w:val="24"/>
          <w:szCs w:val="24"/>
        </w:rPr>
        <w:t>The lattice sizes considered in this paper are two to four and keeping up to seventy basis electronic states. In 1-D, the lattice systems considered are 2 electrons on 2 sites, 3 electrons on 3 sites, and 4 electrons on 4 sites. In 2-D, the system studied is 4 electrons on a 2 X 2 square lattice sites. Finite sized lattices with open boundary condition are specifically considered, and the dynamics of the interacting electrons was described by the Hamiltonians used.</w:t>
      </w:r>
    </w:p>
    <w:p>
      <w:pPr>
        <w:pStyle w:val="Normal"/>
        <w:spacing w:lineRule="auto" w:line="240"/>
        <w:ind w:firstLine="720"/>
        <w:jc w:val="both"/>
        <w:rPr>
          <w:rFonts w:ascii="Arial Narrow" w:hAnsi="Arial Narrow"/>
          <w:sz w:val="24"/>
          <w:szCs w:val="24"/>
        </w:rPr>
      </w:pPr>
      <w:r>
        <w:rPr>
          <w:rFonts w:ascii="Arial Narrow" w:hAnsi="Arial Narrow"/>
          <w:sz w:val="24"/>
          <w:szCs w:val="24"/>
        </w:rPr>
        <w:t>In conclusion, evaluations are performed with approximate scheme that become exact in high dimensions. Comparison with results in the literature for 1-D, shows that the results are remarkably accurate for all the values of the coupling. Hence the results for D = 2, can be expected to be even more accurate and may serve as a benchmark for future numerical work for D›1.</w:t>
      </w:r>
    </w:p>
    <w:p>
      <w:pPr>
        <w:pStyle w:val="Normal"/>
        <w:spacing w:lineRule="auto" w:line="240"/>
        <w:jc w:val="both"/>
        <w:rPr>
          <w:rFonts w:ascii="Arial Narrow" w:hAnsi="Arial Narrow"/>
          <w:b/>
          <w:b/>
          <w:sz w:val="24"/>
          <w:szCs w:val="24"/>
        </w:rPr>
      </w:pPr>
      <w:r>
        <w:rPr>
          <w:rFonts w:ascii="Arial Narrow" w:hAnsi="Arial Narrow"/>
          <w:b/>
          <w:sz w:val="24"/>
          <w:szCs w:val="24"/>
        </w:rPr>
        <w:t>Acknowledgement:</w:t>
        <w:tab/>
      </w:r>
      <w:r>
        <w:rPr>
          <w:rFonts w:ascii="Arial Narrow" w:hAnsi="Arial Narrow"/>
          <w:sz w:val="24"/>
          <w:szCs w:val="24"/>
        </w:rPr>
        <w:t>O. O. E. acknowledged that part of this work was carried out on his PhD programme at the University of Benin, Nigeria.</w:t>
      </w:r>
      <w:r>
        <w:rPr>
          <w:rFonts w:ascii="Arial Narrow" w:hAnsi="Arial Narrow"/>
        </w:rPr>
        <w:t xml:space="preserve"> We thank Prof. J. O. A. Idiodi for stimulating discussions. O. O. E. further acknowledges support from Prince E. Eribo (J.P) and Mrs. Ichehono Eribo.</w:t>
      </w:r>
    </w:p>
    <w:p>
      <w:pPr>
        <w:pStyle w:val="Normal"/>
        <w:spacing w:lineRule="auto" w:line="360"/>
        <w:ind w:firstLine="720"/>
        <w:jc w:val="center"/>
        <w:rPr>
          <w:rFonts w:ascii="Arial Narrow" w:hAnsi="Arial Narrow"/>
          <w:b/>
          <w:b/>
          <w:sz w:val="24"/>
          <w:szCs w:val="24"/>
        </w:rPr>
      </w:pPr>
      <w:r>
        <w:rPr>
          <w:rFonts w:ascii="Arial Narrow" w:hAnsi="Arial Narrow"/>
          <w:b/>
          <w:sz w:val="24"/>
          <w:szCs w:val="24"/>
        </w:rPr>
        <w:t>REFERENCES</w:t>
      </w:r>
    </w:p>
    <w:p>
      <w:pPr>
        <w:pStyle w:val="Normal"/>
        <w:spacing w:lineRule="auto" w:line="240"/>
        <w:jc w:val="both"/>
        <w:rPr>
          <w:rFonts w:ascii="Arial Narrow" w:hAnsi="Arial Narrow"/>
          <w:sz w:val="24"/>
          <w:szCs w:val="24"/>
        </w:rPr>
      </w:pPr>
      <w:r>
        <w:rPr>
          <w:rFonts w:ascii="Arial Narrow" w:hAnsi="Arial Narrow"/>
          <w:sz w:val="24"/>
          <w:szCs w:val="24"/>
        </w:rPr>
        <w:t>[1]</w:t>
        <w:tab/>
        <w:t xml:space="preserve">Bouzerar G., and T. P. Pareek, 2002. Carrier-induced Ferromagnetsm in Diluted Magnetic Semiconductors. Phys. Rev. B. </w:t>
      </w:r>
      <w:r>
        <w:rPr>
          <w:rFonts w:ascii="Arial Narrow" w:hAnsi="Arial Narrow"/>
          <w:b/>
          <w:sz w:val="24"/>
          <w:szCs w:val="24"/>
        </w:rPr>
        <w:t>65</w:t>
      </w:r>
      <w:r>
        <w:rPr>
          <w:rFonts w:ascii="Arial Narrow" w:hAnsi="Arial Narrow"/>
          <w:sz w:val="24"/>
          <w:szCs w:val="24"/>
        </w:rPr>
        <w:t>: 153203 – 153206.</w:t>
      </w:r>
    </w:p>
    <w:p>
      <w:pPr>
        <w:pStyle w:val="Normal"/>
        <w:spacing w:lineRule="auto" w:line="240"/>
        <w:jc w:val="both"/>
        <w:rPr>
          <w:rFonts w:ascii="Arial Narrow" w:hAnsi="Arial Narrow"/>
          <w:sz w:val="24"/>
          <w:szCs w:val="24"/>
        </w:rPr>
      </w:pPr>
      <w:r>
        <w:rPr>
          <w:rFonts w:ascii="Arial Narrow" w:hAnsi="Arial Narrow"/>
          <w:sz w:val="24"/>
          <w:szCs w:val="24"/>
        </w:rPr>
        <w:t>[2]</w:t>
        <w:tab/>
        <w:t xml:space="preserve">Galpin R. and E. David, 2008. Anderson Impurity Model in a Semiconductor. Phys. Rev. B </w:t>
      </w:r>
      <w:r>
        <w:rPr>
          <w:rFonts w:ascii="Arial Narrow" w:hAnsi="Arial Narrow"/>
          <w:b/>
          <w:sz w:val="24"/>
          <w:szCs w:val="24"/>
        </w:rPr>
        <w:t xml:space="preserve"> 77</w:t>
      </w:r>
      <w:r>
        <w:rPr>
          <w:rFonts w:ascii="Arial Narrow" w:hAnsi="Arial Narrow"/>
          <w:sz w:val="24"/>
          <w:szCs w:val="24"/>
        </w:rPr>
        <w:t>: 195108 – 195114.</w:t>
      </w:r>
    </w:p>
    <w:p>
      <w:pPr>
        <w:pStyle w:val="Normal"/>
        <w:spacing w:lineRule="auto" w:line="240"/>
        <w:jc w:val="both"/>
        <w:rPr>
          <w:rFonts w:ascii="Arial Narrow" w:hAnsi="Arial Narrow"/>
          <w:sz w:val="24"/>
          <w:szCs w:val="24"/>
        </w:rPr>
      </w:pPr>
      <w:r>
        <w:rPr>
          <w:rFonts w:ascii="Arial Narrow" w:hAnsi="Arial Narrow"/>
          <w:sz w:val="24"/>
          <w:szCs w:val="24"/>
        </w:rPr>
        <w:t>[3]</w:t>
        <w:tab/>
        <w:t xml:space="preserve">Anderson P. W., 1961. Localized Magnetic States in a Metal. Phys. Rev. </w:t>
      </w:r>
      <w:r>
        <w:rPr>
          <w:rFonts w:ascii="Arial Narrow" w:hAnsi="Arial Narrow"/>
          <w:b/>
          <w:sz w:val="24"/>
          <w:szCs w:val="24"/>
        </w:rPr>
        <w:t>124</w:t>
      </w:r>
      <w:r>
        <w:rPr>
          <w:rFonts w:ascii="Arial Narrow" w:hAnsi="Arial Narrow"/>
          <w:sz w:val="24"/>
          <w:szCs w:val="24"/>
        </w:rPr>
        <w:t xml:space="preserve"> (1): 41</w:t>
      </w:r>
    </w:p>
    <w:p>
      <w:pPr>
        <w:pStyle w:val="Normal"/>
        <w:spacing w:lineRule="auto" w:line="240"/>
        <w:jc w:val="both"/>
        <w:rPr>
          <w:rFonts w:ascii="Arial Narrow" w:hAnsi="Arial Narrow"/>
          <w:sz w:val="24"/>
          <w:szCs w:val="24"/>
        </w:rPr>
      </w:pPr>
      <w:r>
        <w:rPr>
          <w:rFonts w:ascii="Arial Narrow" w:hAnsi="Arial Narrow"/>
          <w:sz w:val="24"/>
          <w:szCs w:val="24"/>
        </w:rPr>
        <w:t>[4]</w:t>
        <w:tab/>
        <w:t>Hewson A. W., 1993. The Kondo Problem to Heavy Fermion. Cambridge University Press, Cambridge.</w:t>
      </w:r>
    </w:p>
    <w:p>
      <w:pPr>
        <w:pStyle w:val="Normal"/>
        <w:spacing w:lineRule="auto" w:line="240"/>
        <w:jc w:val="both"/>
        <w:rPr>
          <w:rFonts w:ascii="Arial Narrow" w:hAnsi="Arial Narrow"/>
          <w:sz w:val="24"/>
          <w:szCs w:val="24"/>
        </w:rPr>
      </w:pPr>
      <w:r>
        <w:rPr>
          <w:rFonts w:ascii="Arial Narrow" w:hAnsi="Arial Narrow"/>
          <w:sz w:val="24"/>
          <w:szCs w:val="24"/>
        </w:rPr>
        <w:t>[5]</w:t>
        <w:tab/>
        <w:t>Kouwenhoven L.P., 1997. In: Mesoscopic Electron Transport (ed Sohn L. L.) Kluwer Press, Dordrecht.</w:t>
      </w:r>
    </w:p>
    <w:p>
      <w:pPr>
        <w:pStyle w:val="Normal"/>
        <w:spacing w:lineRule="auto" w:line="240"/>
        <w:jc w:val="both"/>
        <w:rPr>
          <w:rFonts w:ascii="Arial Narrow" w:hAnsi="Arial Narrow"/>
          <w:sz w:val="24"/>
          <w:szCs w:val="24"/>
        </w:rPr>
      </w:pPr>
      <w:r>
        <w:rPr>
          <w:rFonts w:ascii="Arial Narrow" w:hAnsi="Arial Narrow"/>
          <w:sz w:val="24"/>
          <w:szCs w:val="24"/>
        </w:rPr>
        <w:t>[6]</w:t>
        <w:tab/>
        <w:t xml:space="preserve">Moca C. P. and Roman A., 2010. Quantum Phase Transition in the Gapped Anderson Model: NRG Study. Phys. Rev. B </w:t>
      </w:r>
      <w:r>
        <w:rPr>
          <w:rFonts w:ascii="Arial Narrow" w:hAnsi="Arial Narrow"/>
          <w:b/>
          <w:sz w:val="24"/>
          <w:szCs w:val="24"/>
        </w:rPr>
        <w:t xml:space="preserve"> 81</w:t>
      </w:r>
      <w:r>
        <w:rPr>
          <w:rFonts w:ascii="Arial Narrow" w:hAnsi="Arial Narrow"/>
          <w:sz w:val="24"/>
          <w:szCs w:val="24"/>
        </w:rPr>
        <w:t>: 235106 – 235111.</w:t>
      </w:r>
    </w:p>
    <w:p>
      <w:pPr>
        <w:pStyle w:val="Normal"/>
        <w:spacing w:lineRule="auto" w:line="240"/>
        <w:jc w:val="both"/>
        <w:rPr>
          <w:rFonts w:ascii="Arial Narrow" w:hAnsi="Arial Narrow"/>
          <w:sz w:val="24"/>
          <w:szCs w:val="24"/>
        </w:rPr>
      </w:pPr>
      <w:r>
        <w:rPr>
          <w:rFonts w:ascii="Arial Narrow" w:hAnsi="Arial Narrow"/>
          <w:sz w:val="24"/>
          <w:szCs w:val="24"/>
        </w:rPr>
        <w:t>[7]</w:t>
        <w:tab/>
        <w:t>Hu L., Fang F., Sun J., and T. Lin, 1995. Heavy Fermion Semiconductor Behaviour of the SU(N</w:t>
      </w:r>
      <w:r>
        <w:rPr>
          <w:rFonts w:ascii="Arial Narrow" w:hAnsi="Arial Narrow"/>
          <w:sz w:val="24"/>
          <w:szCs w:val="24"/>
          <w:vertAlign w:val="subscript"/>
        </w:rPr>
        <w:t>d</w:t>
      </w:r>
      <w:r>
        <w:rPr>
          <w:rFonts w:ascii="Arial Narrow" w:hAnsi="Arial Narrow"/>
          <w:sz w:val="24"/>
          <w:szCs w:val="24"/>
        </w:rPr>
        <w:t xml:space="preserve">) Anderson Lattice Model. Phys. Rev. B </w:t>
      </w:r>
      <w:r>
        <w:rPr>
          <w:rFonts w:ascii="Arial Narrow" w:hAnsi="Arial Narrow"/>
          <w:b/>
          <w:sz w:val="24"/>
          <w:szCs w:val="24"/>
        </w:rPr>
        <w:t xml:space="preserve"> 52</w:t>
      </w:r>
      <w:r>
        <w:rPr>
          <w:rFonts w:ascii="Arial Narrow" w:hAnsi="Arial Narrow"/>
          <w:sz w:val="24"/>
          <w:szCs w:val="24"/>
        </w:rPr>
        <w:t>: 5611 – 5615</w:t>
      </w:r>
    </w:p>
    <w:p>
      <w:pPr>
        <w:pStyle w:val="Normal"/>
        <w:spacing w:lineRule="auto" w:line="240"/>
        <w:jc w:val="both"/>
        <w:rPr>
          <w:rFonts w:ascii="Arial Narrow" w:hAnsi="Arial Narrow"/>
          <w:sz w:val="24"/>
          <w:szCs w:val="24"/>
        </w:rPr>
      </w:pPr>
      <w:r>
        <w:rPr>
          <w:rFonts w:ascii="Arial Narrow" w:hAnsi="Arial Narrow"/>
          <w:sz w:val="24"/>
          <w:szCs w:val="24"/>
        </w:rPr>
        <w:t>[8]</w:t>
        <w:tab/>
        <w:t>Kang J. S., Allen J. W. Gunnarsson O., Christensen N. E., Andersen O. K., Lasailly Y., Maple M. B., and Torikachvilli M. S., 1990. Origin of Heavy Fermion Behaviour in CeCu</w:t>
      </w:r>
      <w:r>
        <w:rPr>
          <w:rFonts w:ascii="Arial Narrow" w:hAnsi="Arial Narrow"/>
          <w:sz w:val="24"/>
          <w:szCs w:val="24"/>
          <w:vertAlign w:val="subscript"/>
        </w:rPr>
        <w:t>2</w:t>
      </w:r>
      <w:r>
        <w:rPr>
          <w:rFonts w:ascii="Arial Narrow" w:hAnsi="Arial Narrow"/>
          <w:sz w:val="24"/>
          <w:szCs w:val="24"/>
        </w:rPr>
        <w:t>Si</w:t>
      </w:r>
      <w:r>
        <w:rPr>
          <w:rFonts w:ascii="Arial Narrow" w:hAnsi="Arial Narrow"/>
          <w:sz w:val="24"/>
          <w:szCs w:val="24"/>
          <w:vertAlign w:val="subscript"/>
        </w:rPr>
        <w:t>2</w:t>
      </w:r>
      <w:r>
        <w:rPr>
          <w:rFonts w:ascii="Arial Narrow" w:hAnsi="Arial Narrow"/>
          <w:sz w:val="24"/>
          <w:szCs w:val="24"/>
        </w:rPr>
        <w:t xml:space="preserve">. Phys. Rev. B </w:t>
      </w:r>
      <w:r>
        <w:rPr>
          <w:rFonts w:ascii="Arial Narrow" w:hAnsi="Arial Narrow"/>
          <w:b/>
          <w:sz w:val="24"/>
          <w:szCs w:val="24"/>
        </w:rPr>
        <w:t>41</w:t>
      </w:r>
      <w:r>
        <w:rPr>
          <w:rFonts w:ascii="Arial Narrow" w:hAnsi="Arial Narrow"/>
          <w:sz w:val="24"/>
          <w:szCs w:val="24"/>
        </w:rPr>
        <w:t>: 6610 – 6615.</w:t>
      </w:r>
    </w:p>
    <w:p>
      <w:pPr>
        <w:pStyle w:val="Normal"/>
        <w:spacing w:lineRule="auto" w:line="240"/>
        <w:jc w:val="both"/>
        <w:rPr>
          <w:rFonts w:ascii="Arial Narrow" w:hAnsi="Arial Narrow"/>
          <w:sz w:val="24"/>
          <w:szCs w:val="24"/>
        </w:rPr>
      </w:pPr>
      <w:r>
        <w:rPr>
          <w:rFonts w:ascii="Arial Narrow" w:hAnsi="Arial Narrow"/>
          <w:sz w:val="24"/>
          <w:szCs w:val="24"/>
        </w:rPr>
        <w:t>[9]</w:t>
        <w:tab/>
        <w:t>Lohneysen H. V. and P. Wolfle, 2008. Quantum Phase Transitions. In: Lectures on the Physics of Strongly Correlated Systems XII (eds A. Avella and F. Mancini) pp. 107 -198. AIP Conf. Proc. Vol. 1014</w:t>
      </w:r>
    </w:p>
    <w:p>
      <w:pPr>
        <w:pStyle w:val="Normal"/>
        <w:spacing w:lineRule="auto" w:line="240"/>
        <w:jc w:val="both"/>
        <w:rPr>
          <w:rFonts w:ascii="Arial Narrow" w:hAnsi="Arial Narrow"/>
          <w:sz w:val="24"/>
          <w:szCs w:val="24"/>
        </w:rPr>
      </w:pPr>
      <w:r>
        <w:rPr>
          <w:rFonts w:ascii="Arial Narrow" w:hAnsi="Arial Narrow"/>
          <w:sz w:val="24"/>
          <w:szCs w:val="24"/>
        </w:rPr>
        <w:t>[10]</w:t>
        <w:tab/>
        <w:t xml:space="preserve">Bardeen J., Cooper I. N., and Schrieffer J. R., 1957. Theory of Superconductivity. Phys. Rev. </w:t>
      </w:r>
      <w:r>
        <w:rPr>
          <w:rFonts w:ascii="Arial Narrow" w:hAnsi="Arial Narrow"/>
          <w:b/>
          <w:sz w:val="24"/>
          <w:szCs w:val="24"/>
        </w:rPr>
        <w:t>105</w:t>
      </w:r>
      <w:r>
        <w:rPr>
          <w:rFonts w:ascii="Arial Narrow" w:hAnsi="Arial Narrow"/>
          <w:sz w:val="24"/>
          <w:szCs w:val="24"/>
        </w:rPr>
        <w:t>: 1175 – 1204</w:t>
      </w:r>
    </w:p>
    <w:p>
      <w:pPr>
        <w:pStyle w:val="Normal"/>
        <w:spacing w:lineRule="auto" w:line="240"/>
        <w:jc w:val="both"/>
        <w:rPr>
          <w:sz w:val="24"/>
          <w:szCs w:val="24"/>
        </w:rPr>
      </w:pPr>
      <w:r>
        <w:rPr>
          <w:rFonts w:ascii="Arial Narrow" w:hAnsi="Arial Narrow"/>
          <w:sz w:val="24"/>
          <w:szCs w:val="24"/>
        </w:rPr>
        <w:t>[11]</w:t>
        <w:tab/>
      </w:r>
      <w:r>
        <w:rPr>
          <w:rFonts w:ascii="Arial Narrow" w:hAnsi="Arial Narrow"/>
          <w:bCs/>
          <w:sz w:val="24"/>
          <w:szCs w:val="24"/>
        </w:rPr>
        <w:t>Enaroseha, O. E Omamoke</w:t>
      </w:r>
      <w:r>
        <w:rPr>
          <w:rFonts w:ascii="Arial Narrow" w:hAnsi="Arial Narrow"/>
          <w:sz w:val="24"/>
          <w:szCs w:val="24"/>
        </w:rPr>
        <w:t xml:space="preserve">, Obed Oyibo, and N. Okpara. (2021). Analysis of Ground State </w:t>
        <w:tab/>
        <w:t xml:space="preserve">Properties of Interacting Electrons in the Anderson Model. </w:t>
      </w:r>
      <w:r>
        <w:rPr>
          <w:rFonts w:ascii="Arial Narrow" w:hAnsi="Arial Narrow"/>
          <w:i/>
          <w:iCs/>
          <w:sz w:val="24"/>
          <w:szCs w:val="24"/>
        </w:rPr>
        <w:t xml:space="preserve">The Journal of Applied Sciences </w:t>
        <w:tab/>
        <w:t xml:space="preserve">Research, </w:t>
      </w:r>
      <w:r>
        <w:rPr>
          <w:rFonts w:ascii="Arial Narrow" w:hAnsi="Arial Narrow"/>
          <w:sz w:val="24"/>
          <w:szCs w:val="24"/>
        </w:rPr>
        <w:t>8(1), 15-27.</w:t>
      </w:r>
    </w:p>
    <w:p>
      <w:pPr>
        <w:pStyle w:val="Normal"/>
        <w:spacing w:lineRule="auto" w:line="240"/>
        <w:jc w:val="both"/>
        <w:rPr>
          <w:sz w:val="24"/>
          <w:szCs w:val="24"/>
        </w:rPr>
      </w:pPr>
      <w:r>
        <w:rPr>
          <w:rFonts w:ascii="Arial Narrow" w:hAnsi="Arial Narrow"/>
          <w:sz w:val="24"/>
          <w:szCs w:val="24"/>
        </w:rPr>
        <w:t>[12]</w:t>
        <w:tab/>
      </w:r>
      <w:r>
        <w:rPr>
          <w:rFonts w:ascii="Arial Narrow" w:hAnsi="Arial Narrow"/>
          <w:bCs/>
          <w:sz w:val="24"/>
          <w:szCs w:val="24"/>
        </w:rPr>
        <w:t>Enaroseha, O. E Omamoke</w:t>
      </w:r>
      <w:r>
        <w:rPr>
          <w:rFonts w:ascii="Arial Narrow" w:hAnsi="Arial Narrow"/>
          <w:sz w:val="24"/>
          <w:szCs w:val="24"/>
        </w:rPr>
        <w:t xml:space="preserve">, Priscilla O. Osuhor, Obed Oyibo And Ernest O. Ojegu (2021).  </w:t>
        <w:tab/>
        <w:t xml:space="preserve">Theoretical Study of Phonon Spectra in Aluminium (Al) and Copper (Cu): Application of Density </w:t>
        <w:tab/>
        <w:t>Functional Theory and Inter – Atomic Force Constant.</w:t>
      </w:r>
      <w:r>
        <w:rPr>
          <w:rFonts w:ascii="Arial Narrow" w:hAnsi="Arial Narrow"/>
          <w:b/>
          <w:bCs/>
          <w:sz w:val="24"/>
          <w:szCs w:val="24"/>
        </w:rPr>
        <w:t xml:space="preserve"> </w:t>
      </w:r>
      <w:r>
        <w:rPr>
          <w:rFonts w:ascii="Arial Narrow" w:hAnsi="Arial Narrow"/>
          <w:bCs/>
          <w:sz w:val="24"/>
          <w:szCs w:val="24"/>
        </w:rPr>
        <w:t xml:space="preserve">Solid State Technology Volume: 64 (2), </w:t>
        <w:tab/>
        <w:t>1984 - 1999</w:t>
      </w:r>
    </w:p>
    <w:p>
      <w:pPr>
        <w:pStyle w:val="Normal"/>
        <w:spacing w:lineRule="auto" w:line="240"/>
        <w:jc w:val="both"/>
        <w:rPr>
          <w:sz w:val="24"/>
          <w:szCs w:val="24"/>
        </w:rPr>
      </w:pPr>
      <w:r>
        <w:rPr>
          <w:rFonts w:ascii="Arial Narrow" w:hAnsi="Arial Narrow"/>
          <w:sz w:val="24"/>
          <w:szCs w:val="24"/>
        </w:rPr>
        <w:t>[1</w:t>
      </w:r>
      <w:r>
        <w:rPr>
          <w:rFonts w:ascii="Arial Narrow" w:hAnsi="Arial Narrow"/>
          <w:sz w:val="24"/>
          <w:szCs w:val="24"/>
        </w:rPr>
        <w:t>3</w:t>
      </w:r>
      <w:r>
        <w:rPr>
          <w:rFonts w:ascii="Arial Narrow" w:hAnsi="Arial Narrow"/>
          <w:sz w:val="24"/>
          <w:szCs w:val="24"/>
        </w:rPr>
        <w:t>]</w:t>
        <w:tab/>
      </w:r>
      <w:r>
        <w:rPr>
          <w:rFonts w:ascii="Arial Narrow" w:hAnsi="Arial Narrow"/>
          <w:bCs/>
          <w:sz w:val="24"/>
          <w:szCs w:val="24"/>
        </w:rPr>
        <w:t>Enaroseha, O. E Omamoke</w:t>
      </w:r>
      <w:r>
        <w:rPr>
          <w:rFonts w:ascii="Arial Narrow" w:hAnsi="Arial Narrow"/>
          <w:sz w:val="24"/>
          <w:szCs w:val="24"/>
        </w:rPr>
        <w:t xml:space="preserve">, </w:t>
      </w:r>
      <w:r>
        <w:rPr>
          <w:rFonts w:ascii="Arial Narrow" w:hAnsi="Arial Narrow"/>
          <w:iCs/>
          <w:sz w:val="24"/>
          <w:szCs w:val="24"/>
        </w:rPr>
        <w:t xml:space="preserve">Obed Oyibo,  Priscilla O. Osuhor,  Ovie Oghenerhoro </w:t>
      </w:r>
      <w:r>
        <w:rPr>
          <w:rFonts w:ascii="Arial Narrow" w:hAnsi="Arial Narrow"/>
          <w:sz w:val="24"/>
          <w:szCs w:val="24"/>
        </w:rPr>
        <w:t xml:space="preserve">(2021). Lattice </w:t>
        <w:tab/>
        <w:t xml:space="preserve">Dynamics in Some FCC Metals: Application of Phonon Dispersions in Nickel (Ni) and Platinium </w:t>
        <w:tab/>
        <w:t xml:space="preserve">(Pt). </w:t>
      </w:r>
      <w:r>
        <w:rPr>
          <w:rFonts w:ascii="Arial Narrow" w:hAnsi="Arial Narrow"/>
          <w:bCs/>
          <w:sz w:val="24"/>
          <w:szCs w:val="24"/>
        </w:rPr>
        <w:t>Solid State Technology Volume: 64 (2), 4640 - 4655</w:t>
      </w:r>
    </w:p>
    <w:p>
      <w:pPr>
        <w:pStyle w:val="Normal"/>
        <w:spacing w:lineRule="auto" w:line="240"/>
        <w:jc w:val="both"/>
        <w:rPr>
          <w:sz w:val="24"/>
          <w:szCs w:val="24"/>
        </w:rPr>
      </w:pPr>
      <w:r>
        <w:rPr>
          <w:rFonts w:ascii="Arial Narrow" w:hAnsi="Arial Narrow"/>
          <w:sz w:val="24"/>
          <w:szCs w:val="24"/>
        </w:rPr>
        <w:t>[14]</w:t>
        <w:tab/>
      </w:r>
      <w:r>
        <w:rPr>
          <w:sz w:val="24"/>
          <w:szCs w:val="24"/>
        </w:rPr>
        <w:t xml:space="preserve">Omehe </w:t>
      </w:r>
      <w:r>
        <w:rPr>
          <w:sz w:val="24"/>
          <w:szCs w:val="24"/>
        </w:rPr>
        <w:t>N. N.</w:t>
      </w:r>
      <w:r>
        <w:rPr>
          <w:sz w:val="24"/>
          <w:szCs w:val="24"/>
        </w:rPr>
        <w:t xml:space="preserve">  </w:t>
      </w:r>
      <w:r>
        <w:rPr>
          <w:sz w:val="24"/>
          <w:szCs w:val="24"/>
        </w:rPr>
        <w:t xml:space="preserve">and </w:t>
      </w:r>
      <w:r>
        <w:rPr>
          <w:sz w:val="24"/>
          <w:szCs w:val="24"/>
        </w:rPr>
        <w:t xml:space="preserve"> </w:t>
      </w:r>
      <w:r>
        <w:rPr>
          <w:rFonts w:ascii="Arial Narrow" w:hAnsi="Arial Narrow"/>
          <w:bCs/>
          <w:sz w:val="24"/>
          <w:szCs w:val="24"/>
        </w:rPr>
        <w:t xml:space="preserve">Enaroseha, O. E Omamoke </w:t>
      </w:r>
      <w:r>
        <w:rPr>
          <w:rFonts w:ascii="Arial Narrow" w:hAnsi="Arial Narrow"/>
          <w:bCs/>
          <w:sz w:val="24"/>
          <w:szCs w:val="24"/>
        </w:rPr>
        <w:t xml:space="preserve">(2019). Ab Initio Investigation of AgGa2 and </w:t>
        <w:tab/>
        <w:t xml:space="preserve">AgGaSe2. </w:t>
      </w:r>
      <w:r>
        <w:rPr>
          <w:sz w:val="24"/>
          <w:szCs w:val="24"/>
        </w:rPr>
        <w:t xml:space="preserve">International Journal of Engineering Applied Sciences and </w:t>
        <w:tab/>
        <w:t>Technology, 4 (5</w:t>
      </w:r>
      <w:r>
        <w:rPr>
          <w:sz w:val="24"/>
          <w:szCs w:val="24"/>
        </w:rPr>
        <w:t xml:space="preserve">), </w:t>
      </w:r>
      <w:r>
        <w:rPr>
          <w:sz w:val="24"/>
          <w:szCs w:val="24"/>
        </w:rPr>
        <w:t>354 - 360</w:t>
      </w:r>
    </w:p>
    <w:p>
      <w:pPr>
        <w:pStyle w:val="Normal"/>
        <w:spacing w:lineRule="auto" w:line="240"/>
        <w:jc w:val="both"/>
        <w:rPr>
          <w:rFonts w:ascii="Arial Narrow" w:hAnsi="Arial Narrow"/>
        </w:rPr>
      </w:pPr>
      <w:r>
        <w:rPr>
          <w:sz w:val="24"/>
          <w:szCs w:val="24"/>
        </w:rPr>
      </w:r>
    </w:p>
    <w:p>
      <w:pPr>
        <w:pStyle w:val="Normal"/>
        <w:tabs>
          <w:tab w:val="left" w:pos="9180" w:leader="none"/>
        </w:tabs>
        <w:spacing w:lineRule="auto" w:line="240"/>
        <w:ind w:left="720" w:hanging="720"/>
        <w:jc w:val="both"/>
        <w:rPr>
          <w:sz w:val="24"/>
          <w:szCs w:val="24"/>
        </w:rPr>
      </w:pPr>
      <w:r>
        <w:rPr>
          <w:rFonts w:ascii="Arial Narrow" w:hAnsi="Arial Narrow"/>
          <w:sz w:val="24"/>
          <w:szCs w:val="24"/>
        </w:rPr>
        <w:t>[1</w:t>
      </w:r>
      <w:r>
        <w:rPr>
          <w:rFonts w:ascii="Arial Narrow" w:hAnsi="Arial Narrow"/>
          <w:sz w:val="24"/>
          <w:szCs w:val="24"/>
        </w:rPr>
        <w:t>5</w:t>
      </w:r>
      <w:r>
        <w:rPr>
          <w:rFonts w:ascii="Arial Narrow" w:hAnsi="Arial Narrow"/>
          <w:sz w:val="24"/>
          <w:szCs w:val="24"/>
        </w:rPr>
        <w:t>]</w:t>
        <w:tab/>
        <w:t>Carter Edwin Christopher (2004). Anisotropic Phenomena in Strongly Correlated Electron System. PhD thesis submitted to the School of Physics and Astronomy, University of Birmingham, U. K.</w:t>
      </w:r>
    </w:p>
    <w:p>
      <w:pPr>
        <w:pStyle w:val="Normal"/>
        <w:tabs>
          <w:tab w:val="left" w:pos="9180" w:leader="none"/>
        </w:tabs>
        <w:spacing w:lineRule="auto" w:line="240"/>
        <w:ind w:left="720" w:hanging="720"/>
        <w:jc w:val="both"/>
        <w:rPr>
          <w:sz w:val="24"/>
          <w:szCs w:val="24"/>
        </w:rPr>
      </w:pPr>
      <w:r>
        <w:rPr>
          <w:rFonts w:ascii="Arial Narrow" w:hAnsi="Arial Narrow"/>
          <w:sz w:val="24"/>
          <w:szCs w:val="24"/>
        </w:rPr>
        <w:t>[1</w:t>
      </w:r>
      <w:r>
        <w:rPr>
          <w:rFonts w:ascii="Arial Narrow" w:hAnsi="Arial Narrow"/>
          <w:sz w:val="24"/>
          <w:szCs w:val="24"/>
        </w:rPr>
        <w:t>6</w:t>
      </w:r>
      <w:r>
        <w:rPr>
          <w:rFonts w:ascii="Arial Narrow" w:hAnsi="Arial Narrow"/>
          <w:sz w:val="24"/>
          <w:szCs w:val="24"/>
        </w:rPr>
        <w:t>]</w:t>
        <w:tab/>
        <w:t xml:space="preserve">Amadon J. C., and Hirsch J. E. C., 1996. Metellic Ferromagnetism in the Single Band Model: Effect of the Band Filling and Coulomb Interactions. Phys. Rev. B </w:t>
      </w:r>
      <w:r>
        <w:rPr>
          <w:rFonts w:ascii="Arial Narrow" w:hAnsi="Arial Narrow"/>
          <w:b/>
          <w:sz w:val="24"/>
          <w:szCs w:val="24"/>
        </w:rPr>
        <w:t xml:space="preserve"> 54</w:t>
      </w:r>
      <w:r>
        <w:rPr>
          <w:rFonts w:ascii="Arial Narrow" w:hAnsi="Arial Narrow"/>
          <w:sz w:val="24"/>
          <w:szCs w:val="24"/>
        </w:rPr>
        <w:t>: 6364 – 6375.</w:t>
      </w:r>
    </w:p>
    <w:p>
      <w:pPr>
        <w:pStyle w:val="Normal"/>
        <w:tabs>
          <w:tab w:val="left" w:pos="9180" w:leader="none"/>
        </w:tabs>
        <w:spacing w:lineRule="auto" w:line="240"/>
        <w:ind w:left="720" w:hanging="720"/>
        <w:jc w:val="both"/>
        <w:rPr>
          <w:sz w:val="24"/>
          <w:szCs w:val="24"/>
        </w:rPr>
      </w:pPr>
      <w:r>
        <w:rPr>
          <w:rFonts w:ascii="Arial Narrow" w:hAnsi="Arial Narrow"/>
          <w:sz w:val="24"/>
          <w:szCs w:val="24"/>
        </w:rPr>
        <w:t>[14]</w:t>
        <w:tab/>
      </w:r>
      <w:r>
        <w:rPr>
          <w:sz w:val="24"/>
          <w:szCs w:val="24"/>
        </w:rPr>
        <w:t xml:space="preserve">Enaroseha </w:t>
      </w:r>
      <w:r>
        <w:rPr>
          <w:rFonts w:ascii="Arial Narrow" w:hAnsi="Arial Narrow"/>
          <w:sz w:val="24"/>
          <w:szCs w:val="24"/>
        </w:rPr>
        <w:t>O. Omamoke</w:t>
      </w:r>
      <w:r>
        <w:rPr>
          <w:sz w:val="24"/>
          <w:szCs w:val="24"/>
        </w:rPr>
        <w:t xml:space="preserve">, O Oyibo, D Osiga–Aibangbee, EM Odia </w:t>
      </w:r>
      <w:r>
        <w:rPr>
          <w:sz w:val="24"/>
          <w:szCs w:val="24"/>
        </w:rPr>
        <w:t xml:space="preserve">(2021) </w:t>
      </w:r>
      <w:r>
        <w:rPr>
          <w:rFonts w:ascii="Arial Narrow" w:hAnsi="Arial Narrow"/>
          <w:sz w:val="24"/>
          <w:szCs w:val="24"/>
        </w:rPr>
        <w:t xml:space="preserve">Magnetic Phase Transition in the Periodic Anderson Model (PAM): An Exact – Diagonalization Approach. </w:t>
      </w:r>
      <w:r>
        <w:rPr>
          <w:sz w:val="24"/>
          <w:szCs w:val="24"/>
        </w:rPr>
        <w:t>International Research Journal of Pure and Applied Physics 8 (1), 14-21</w:t>
      </w:r>
    </w:p>
    <w:p>
      <w:pPr>
        <w:pStyle w:val="Normal"/>
        <w:tabs>
          <w:tab w:val="left" w:pos="9180" w:leader="none"/>
        </w:tabs>
        <w:spacing w:lineRule="auto" w:line="240"/>
        <w:ind w:left="720" w:hanging="720"/>
        <w:jc w:val="both"/>
        <w:rPr>
          <w:rFonts w:ascii="Arial Narrow" w:hAnsi="Arial Narrow"/>
        </w:rPr>
      </w:pPr>
      <w:r>
        <w:rPr>
          <w:sz w:val="24"/>
          <w:szCs w:val="24"/>
        </w:rPr>
      </w:r>
    </w:p>
    <w:p>
      <w:pPr>
        <w:pStyle w:val="Normal"/>
        <w:tabs>
          <w:tab w:val="left" w:pos="9180" w:leader="none"/>
        </w:tabs>
        <w:spacing w:lineRule="auto" w:line="240"/>
        <w:ind w:left="720" w:hanging="720"/>
        <w:jc w:val="both"/>
        <w:rPr>
          <w:sz w:val="24"/>
          <w:szCs w:val="24"/>
        </w:rPr>
      </w:pPr>
      <w:r>
        <w:rPr>
          <w:rFonts w:ascii="Arial Narrow" w:hAnsi="Arial Narrow"/>
          <w:sz w:val="24"/>
          <w:szCs w:val="24"/>
        </w:rPr>
        <w:t>[1</w:t>
      </w:r>
      <w:r>
        <w:rPr>
          <w:rFonts w:ascii="Arial Narrow" w:hAnsi="Arial Narrow"/>
          <w:sz w:val="24"/>
          <w:szCs w:val="24"/>
        </w:rPr>
        <w:t>7</w:t>
      </w:r>
      <w:r>
        <w:rPr>
          <w:rFonts w:ascii="Arial Narrow" w:hAnsi="Arial Narrow"/>
          <w:sz w:val="24"/>
          <w:szCs w:val="24"/>
        </w:rPr>
        <w:t>]</w:t>
        <w:tab/>
        <w:t xml:space="preserve">Kollar M., Strack R., and Vollhardt D, 1995. Ferromagnetism in Correlated Electron System: Generalization of Nagaoka’s Theorem. Phys. Rev. B </w:t>
      </w:r>
      <w:r>
        <w:rPr>
          <w:rFonts w:ascii="Arial Narrow" w:hAnsi="Arial Narrow"/>
          <w:b/>
          <w:sz w:val="24"/>
          <w:szCs w:val="24"/>
        </w:rPr>
        <w:t>53</w:t>
      </w:r>
      <w:r>
        <w:rPr>
          <w:rFonts w:ascii="Arial Narrow" w:hAnsi="Arial Narrow"/>
          <w:sz w:val="24"/>
          <w:szCs w:val="24"/>
        </w:rPr>
        <w:t>: 9225 – 9231</w:t>
      </w:r>
    </w:p>
    <w:p>
      <w:pPr>
        <w:pStyle w:val="Normal"/>
        <w:spacing w:lineRule="auto" w:line="240" w:before="0" w:after="200"/>
        <w:jc w:val="both"/>
        <w:rPr/>
      </w:pPr>
      <w:r>
        <w:rPr/>
      </w:r>
    </w:p>
    <w:sectPr>
      <w:footerReference w:type="default" r:id="rId9"/>
      <w:type w:val="nextPage"/>
      <w:pgSz w:w="12240" w:h="15840"/>
      <w:pgMar w:left="1440" w:right="1440" w:header="0" w:top="1440" w:footer="72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Narro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19961916"/>
    </w:sdtPr>
    <w:sdtContent>
      <w:p>
        <w:pPr>
          <w:pStyle w:val="Footer"/>
          <w:jc w:val="center"/>
          <w:rPr/>
        </w:pPr>
        <w:r>
          <w:rPr/>
          <w:fldChar w:fldCharType="begin"/>
        </w:r>
        <w:r>
          <w:rPr/>
          <w:instrText> PAGE </w:instrText>
        </w:r>
        <w:r>
          <w:rPr/>
          <w:fldChar w:fldCharType="separate"/>
        </w:r>
        <w:r>
          <w:rPr/>
          <w:t>9</w:t>
        </w:r>
        <w:r>
          <w:rPr/>
          <w:fldChar w:fldCharType="end"/>
        </w:r>
      </w:p>
    </w:sdtContent>
  </w:sdt>
  <w:p>
    <w:pPr>
      <w:pStyle w:val="Footer"/>
      <w:rPr/>
    </w:pPr>
    <w:r>
      <w:rPr/>
    </w:r>
  </w:p>
</w:ftr>
</file>

<file path=word/settings.xml><?xml version="1.0" encoding="utf-8"?>
<w:settings xmlns:w="http://schemas.openxmlformats.org/wordprocessingml/2006/main">
  <w:zoom w:percent="162"/>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e4175"/>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ff4f52"/>
    <w:rPr>
      <w:color w:val="0000FF" w:themeColor="hyperlink"/>
      <w:u w:val="single"/>
    </w:rPr>
  </w:style>
  <w:style w:type="character" w:styleId="BalloonTextChar" w:customStyle="1">
    <w:name w:val="Balloon Text Char"/>
    <w:basedOn w:val="DefaultParagraphFont"/>
    <w:link w:val="BalloonText"/>
    <w:uiPriority w:val="99"/>
    <w:semiHidden/>
    <w:qFormat/>
    <w:rsid w:val="000f5f0f"/>
    <w:rPr>
      <w:rFonts w:ascii="Tahoma" w:hAnsi="Tahoma" w:cs="Tahoma"/>
      <w:sz w:val="16"/>
      <w:szCs w:val="16"/>
    </w:rPr>
  </w:style>
  <w:style w:type="character" w:styleId="HeaderChar" w:customStyle="1">
    <w:name w:val="Header Char"/>
    <w:basedOn w:val="DefaultParagraphFont"/>
    <w:link w:val="Header"/>
    <w:uiPriority w:val="99"/>
    <w:semiHidden/>
    <w:qFormat/>
    <w:rsid w:val="00bc7545"/>
    <w:rPr/>
  </w:style>
  <w:style w:type="character" w:styleId="FooterChar" w:customStyle="1">
    <w:name w:val="Footer Char"/>
    <w:basedOn w:val="DefaultParagraphFont"/>
    <w:link w:val="Footer"/>
    <w:uiPriority w:val="99"/>
    <w:qFormat/>
    <w:rsid w:val="00bc7545"/>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link w:val="BalloonTextChar"/>
    <w:uiPriority w:val="99"/>
    <w:semiHidden/>
    <w:unhideWhenUsed/>
    <w:qFormat/>
    <w:rsid w:val="000f5f0f"/>
    <w:pPr>
      <w:spacing w:lineRule="auto" w:line="240" w:before="0" w:after="0"/>
    </w:pPr>
    <w:rPr>
      <w:rFonts w:ascii="Tahoma" w:hAnsi="Tahoma" w:cs="Tahoma"/>
      <w:sz w:val="16"/>
      <w:szCs w:val="16"/>
    </w:rPr>
  </w:style>
  <w:style w:type="paragraph" w:styleId="ListParagraph">
    <w:name w:val="List Paragraph"/>
    <w:basedOn w:val="Normal"/>
    <w:uiPriority w:val="34"/>
    <w:qFormat/>
    <w:rsid w:val="000f5f0f"/>
    <w:pPr>
      <w:spacing w:before="0" w:after="200"/>
      <w:ind w:left="720" w:hanging="0"/>
      <w:contextualSpacing/>
    </w:pPr>
    <w:rPr/>
  </w:style>
  <w:style w:type="paragraph" w:styleId="Header">
    <w:name w:val="Header"/>
    <w:basedOn w:val="Normal"/>
    <w:link w:val="HeaderChar"/>
    <w:uiPriority w:val="99"/>
    <w:semiHidden/>
    <w:unhideWhenUsed/>
    <w:rsid w:val="00bc7545"/>
    <w:pPr>
      <w:tabs>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bc7545"/>
    <w:pPr>
      <w:tabs>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chart" Target="charts/chart4.xml"/><Relationship Id="rId6" Type="http://schemas.openxmlformats.org/officeDocument/2006/relationships/chart" Target="charts/chart5.xml"/><Relationship Id="rId7" Type="http://schemas.openxmlformats.org/officeDocument/2006/relationships/chart" Target="charts/chart6.xml"/><Relationship Id="rId8" Type="http://schemas.openxmlformats.org/officeDocument/2006/relationships/chart" Target="charts/chart7.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plotArea>
      <c:scatterChart>
        <c:scatterStyle val="line"/>
        <c:varyColors val="0"/>
        <c:ser>
          <c:idx val="0"/>
          <c:order val="0"/>
          <c:tx>
            <c:strRef>
              <c:f>label 0</c:f>
              <c:strCache>
                <c:ptCount val="1"/>
                <c:pt idx="0">
                  <c:v>Es</c:v>
                </c:pt>
              </c:strCache>
            </c:strRef>
          </c:tx>
          <c:spPr>
            <a:solidFill>
              <a:srgbClr val="4a7ebb"/>
            </a:solidFill>
            <a:ln w="28440">
              <a:solidFill>
                <a:srgbClr val="4a7ebb"/>
              </a:solidFill>
              <a:round/>
            </a:ln>
          </c:spPr>
          <c:marker>
            <c:symbol val="none"/>
          </c:marker>
          <c:dLbls>
            <c:numFmt formatCode="General" sourceLinked="1"/>
            <c:showLegendKey val="0"/>
            <c:showVal val="0"/>
            <c:showCatName val="0"/>
            <c:showSerName val="0"/>
            <c:showPercent val="0"/>
            <c:showLeaderLines val="0"/>
          </c:dLbls>
          <c:xVal>
            <c:numRef>
              <c:f>1</c:f>
              <c:numCache>
                <c:formatCode>General</c:formatCode>
                <c:ptCount val="9"/>
                <c:pt idx="0">
                  <c:v>-2</c:v>
                </c:pt>
                <c:pt idx="1">
                  <c:v>-1.5</c:v>
                </c:pt>
                <c:pt idx="2">
                  <c:v>-1</c:v>
                </c:pt>
                <c:pt idx="3">
                  <c:v>-0.5</c:v>
                </c:pt>
                <c:pt idx="4">
                  <c:v>0</c:v>
                </c:pt>
                <c:pt idx="5">
                  <c:v>0.5</c:v>
                </c:pt>
                <c:pt idx="6">
                  <c:v>1</c:v>
                </c:pt>
                <c:pt idx="7">
                  <c:v>1.5</c:v>
                </c:pt>
                <c:pt idx="8">
                  <c:v>2</c:v>
                </c:pt>
              </c:numCache>
            </c:numRef>
          </c:xVal>
          <c:yVal>
            <c:numRef>
              <c:f>0</c:f>
              <c:numCache>
                <c:formatCode>General</c:formatCode>
                <c:ptCount val="9"/>
                <c:pt idx="0">
                  <c:v>-8.16</c:v>
                </c:pt>
                <c:pt idx="1">
                  <c:v>-6.23</c:v>
                </c:pt>
                <c:pt idx="2">
                  <c:v>-4.3</c:v>
                </c:pt>
                <c:pt idx="3">
                  <c:v>-2.37</c:v>
                </c:pt>
                <c:pt idx="4">
                  <c:v>-0.44</c:v>
                </c:pt>
                <c:pt idx="5">
                  <c:v>1.49</c:v>
                </c:pt>
                <c:pt idx="6">
                  <c:v>3.42</c:v>
                </c:pt>
                <c:pt idx="7">
                  <c:v>5.35</c:v>
                </c:pt>
                <c:pt idx="8">
                  <c:v>7.28</c:v>
                </c:pt>
              </c:numCache>
            </c:numRef>
          </c:yVal>
          <c:smooth val="1"/>
        </c:ser>
        <c:ser>
          <c:idx val="1"/>
          <c:order val="1"/>
          <c:tx>
            <c:strRef>
              <c:f>label 2</c:f>
              <c:strCache>
                <c:ptCount val="1"/>
                <c:pt idx="0">
                  <c:v>Et</c:v>
                </c:pt>
              </c:strCache>
            </c:strRef>
          </c:tx>
          <c:spPr>
            <a:solidFill>
              <a:srgbClr val="be4b48"/>
            </a:solidFill>
            <a:ln w="28440">
              <a:solidFill>
                <a:srgbClr val="be4b48"/>
              </a:solidFill>
              <a:round/>
            </a:ln>
          </c:spPr>
          <c:marker>
            <c:symbol val="none"/>
          </c:marker>
          <c:dLbls>
            <c:numFmt formatCode="General" sourceLinked="1"/>
            <c:showLegendKey val="0"/>
            <c:showVal val="0"/>
            <c:showCatName val="0"/>
            <c:showSerName val="0"/>
            <c:showPercent val="0"/>
            <c:showLeaderLines val="0"/>
          </c:dLbls>
          <c:xVal>
            <c:numRef>
              <c:f>3</c:f>
              <c:numCache>
                <c:formatCode>General</c:formatCode>
                <c:ptCount val="9"/>
                <c:pt idx="0">
                  <c:v>-2</c:v>
                </c:pt>
                <c:pt idx="1">
                  <c:v>-1.5</c:v>
                </c:pt>
                <c:pt idx="2">
                  <c:v>-1</c:v>
                </c:pt>
                <c:pt idx="3">
                  <c:v>-0.5</c:v>
                </c:pt>
                <c:pt idx="4">
                  <c:v>0</c:v>
                </c:pt>
                <c:pt idx="5">
                  <c:v>0.5</c:v>
                </c:pt>
                <c:pt idx="6">
                  <c:v>1</c:v>
                </c:pt>
                <c:pt idx="7">
                  <c:v>1.5</c:v>
                </c:pt>
                <c:pt idx="8">
                  <c:v>2</c:v>
                </c:pt>
              </c:numCache>
            </c:numRef>
          </c:xVal>
          <c:yVal>
            <c:numRef>
              <c:f>2</c:f>
              <c:numCache>
                <c:formatCode>General</c:formatCode>
                <c:ptCount val="9"/>
                <c:pt idx="0">
                  <c:v>-5</c:v>
                </c:pt>
                <c:pt idx="1">
                  <c:v>-4</c:v>
                </c:pt>
                <c:pt idx="2">
                  <c:v>-3</c:v>
                </c:pt>
                <c:pt idx="3">
                  <c:v>-2</c:v>
                </c:pt>
                <c:pt idx="4">
                  <c:v>-1</c:v>
                </c:pt>
                <c:pt idx="5">
                  <c:v>0</c:v>
                </c:pt>
                <c:pt idx="6">
                  <c:v>1</c:v>
                </c:pt>
                <c:pt idx="7">
                  <c:v>2</c:v>
                </c:pt>
                <c:pt idx="8">
                  <c:v>3</c:v>
                </c:pt>
              </c:numCache>
            </c:numRef>
          </c:yVal>
          <c:smooth val="1"/>
        </c:ser>
        <c:axId val="62721824"/>
        <c:axId val="27751910"/>
      </c:scatterChart>
      <c:valAx>
        <c:axId val="62721824"/>
        <c:scaling>
          <c:orientation val="minMax"/>
        </c:scaling>
        <c:delete val="0"/>
        <c:axPos val="b"/>
        <c:title>
          <c:tx>
            <c:rich>
              <a:bodyPr rot="0"/>
              <a:lstStyle/>
              <a:p>
                <a:pPr>
                  <a:defRPr b="1" sz="1000" spc="-1" strike="noStrike">
                    <a:solidFill>
                      <a:srgbClr val="000000"/>
                    </a:solidFill>
                    <a:latin typeface="Calibri"/>
                  </a:defRPr>
                </a:pPr>
                <a:r>
                  <a:rPr b="1" sz="1000" spc="-1" strike="noStrike">
                    <a:solidFill>
                      <a:srgbClr val="000000"/>
                    </a:solidFill>
                    <a:latin typeface="Calibri"/>
                  </a:rPr>
                  <a:t>V</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27751910"/>
        <c:crosses val="autoZero"/>
        <c:crossBetween val="midCat"/>
      </c:valAx>
      <c:valAx>
        <c:axId val="27751910"/>
        <c:scaling>
          <c:orientation val="minMax"/>
        </c:scaling>
        <c:delete val="0"/>
        <c:axPos val="l"/>
        <c:title>
          <c:tx>
            <c:rich>
              <a:bodyPr rot="0"/>
              <a:lstStyle/>
              <a:p>
                <a:pPr>
                  <a:defRPr b="1" sz="1000" spc="-1" strike="noStrike">
                    <a:solidFill>
                      <a:srgbClr val="000000"/>
                    </a:solidFill>
                    <a:latin typeface="Calibri"/>
                  </a:defRPr>
                </a:pPr>
                <a:r>
                  <a:rPr b="1" sz="1000" spc="-1" strike="noStrike">
                    <a:solidFill>
                      <a:srgbClr val="000000"/>
                    </a:solidFill>
                    <a:latin typeface="Calibri"/>
                  </a:rPr>
                  <a:t>Es, Et</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62721824"/>
        <c:crosses val="autoZero"/>
        <c:crossBetween val="midCat"/>
      </c:valAx>
      <c:spPr>
        <a:solidFill>
          <a:srgbClr val="ffffff"/>
        </a:solidFill>
        <a:ln>
          <a:noFill/>
        </a:ln>
      </c:spPr>
    </c:plotArea>
    <c:legend>
      <c:layout>
        <c:manualLayout>
          <c:xMode val="edge"/>
          <c:yMode val="edge"/>
          <c:x val="0.8505625"/>
          <c:y val="0.0736666666666667"/>
          <c:w val="0.107756734795925"/>
          <c:h val="0.167351927991999"/>
        </c:manualLayout>
      </c:layout>
      <c:spPr>
        <a:noFill/>
        <a:ln>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a:noFill/>
    </a:ln>
  </c:spPr>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plotArea>
      <c:scatterChart>
        <c:scatterStyle val="line"/>
        <c:varyColors val="0"/>
        <c:ser>
          <c:idx val="0"/>
          <c:order val="0"/>
          <c:tx>
            <c:strRef>
              <c:f>label 0</c:f>
              <c:strCache>
                <c:ptCount val="1"/>
                <c:pt idx="0">
                  <c:v>Es</c:v>
                </c:pt>
              </c:strCache>
            </c:strRef>
          </c:tx>
          <c:spPr>
            <a:solidFill>
              <a:srgbClr val="4a7ebb"/>
            </a:solidFill>
            <a:ln w="28440">
              <a:solidFill>
                <a:srgbClr val="4a7ebb"/>
              </a:solidFill>
              <a:round/>
            </a:ln>
          </c:spPr>
          <c:marker>
            <c:symbol val="none"/>
          </c:marker>
          <c:dLbls>
            <c:numFmt formatCode="General" sourceLinked="1"/>
            <c:showLegendKey val="0"/>
            <c:showVal val="0"/>
            <c:showCatName val="0"/>
            <c:showSerName val="0"/>
            <c:showPercent val="0"/>
            <c:showLeaderLines val="0"/>
          </c:dLbls>
          <c:xVal>
            <c:numRef>
              <c:f>1</c:f>
              <c:numCache>
                <c:formatCode>General</c:formatCode>
                <c:ptCount val="9"/>
                <c:pt idx="0">
                  <c:v>-2</c:v>
                </c:pt>
                <c:pt idx="1">
                  <c:v>-1.5</c:v>
                </c:pt>
                <c:pt idx="2">
                  <c:v>-1</c:v>
                </c:pt>
                <c:pt idx="3">
                  <c:v>-0.5</c:v>
                </c:pt>
                <c:pt idx="4">
                  <c:v>0</c:v>
                </c:pt>
                <c:pt idx="5">
                  <c:v>0.5</c:v>
                </c:pt>
                <c:pt idx="6">
                  <c:v>1</c:v>
                </c:pt>
                <c:pt idx="7">
                  <c:v>1.5</c:v>
                </c:pt>
                <c:pt idx="8">
                  <c:v>2</c:v>
                </c:pt>
              </c:numCache>
            </c:numRef>
          </c:xVal>
          <c:yVal>
            <c:numRef>
              <c:f>0</c:f>
              <c:numCache>
                <c:formatCode>General</c:formatCode>
                <c:ptCount val="9"/>
                <c:pt idx="0">
                  <c:v>-8.77</c:v>
                </c:pt>
                <c:pt idx="1">
                  <c:v>-6.87</c:v>
                </c:pt>
                <c:pt idx="2">
                  <c:v>-4.97</c:v>
                </c:pt>
                <c:pt idx="3">
                  <c:v>-3.07</c:v>
                </c:pt>
                <c:pt idx="4">
                  <c:v>-1.17</c:v>
                </c:pt>
                <c:pt idx="5">
                  <c:v>0.730000000000001</c:v>
                </c:pt>
                <c:pt idx="6">
                  <c:v>2.63</c:v>
                </c:pt>
                <c:pt idx="7">
                  <c:v>4.53</c:v>
                </c:pt>
                <c:pt idx="8">
                  <c:v>6.43</c:v>
                </c:pt>
              </c:numCache>
            </c:numRef>
          </c:yVal>
          <c:smooth val="1"/>
        </c:ser>
        <c:ser>
          <c:idx val="1"/>
          <c:order val="1"/>
          <c:tx>
            <c:strRef>
              <c:f>label 2</c:f>
              <c:strCache>
                <c:ptCount val="1"/>
                <c:pt idx="0">
                  <c:v>Et</c:v>
                </c:pt>
              </c:strCache>
            </c:strRef>
          </c:tx>
          <c:spPr>
            <a:solidFill>
              <a:srgbClr val="be4b48"/>
            </a:solidFill>
            <a:ln w="28440">
              <a:solidFill>
                <a:srgbClr val="be4b48"/>
              </a:solidFill>
              <a:round/>
            </a:ln>
          </c:spPr>
          <c:marker>
            <c:symbol val="none"/>
          </c:marker>
          <c:dLbls>
            <c:numFmt formatCode="General" sourceLinked="1"/>
            <c:showLegendKey val="0"/>
            <c:showVal val="0"/>
            <c:showCatName val="0"/>
            <c:showSerName val="0"/>
            <c:showPercent val="0"/>
            <c:showLeaderLines val="0"/>
          </c:dLbls>
          <c:xVal>
            <c:numRef>
              <c:f>3</c:f>
              <c:numCache>
                <c:formatCode>General</c:formatCode>
                <c:ptCount val="9"/>
                <c:pt idx="0">
                  <c:v>-2</c:v>
                </c:pt>
                <c:pt idx="1">
                  <c:v>-1.5</c:v>
                </c:pt>
                <c:pt idx="2">
                  <c:v>-1</c:v>
                </c:pt>
                <c:pt idx="3">
                  <c:v>-0.5</c:v>
                </c:pt>
                <c:pt idx="4">
                  <c:v>0</c:v>
                </c:pt>
                <c:pt idx="5">
                  <c:v>0.5</c:v>
                </c:pt>
                <c:pt idx="6">
                  <c:v>1</c:v>
                </c:pt>
                <c:pt idx="7">
                  <c:v>1.5</c:v>
                </c:pt>
                <c:pt idx="8">
                  <c:v>2</c:v>
                </c:pt>
              </c:numCache>
            </c:numRef>
          </c:xVal>
          <c:yVal>
            <c:numRef>
              <c:f>2</c:f>
              <c:numCache>
                <c:formatCode>General</c:formatCode>
                <c:ptCount val="9"/>
                <c:pt idx="0">
                  <c:v>-5</c:v>
                </c:pt>
                <c:pt idx="1">
                  <c:v>-4</c:v>
                </c:pt>
                <c:pt idx="2">
                  <c:v>-3</c:v>
                </c:pt>
                <c:pt idx="3">
                  <c:v>-2</c:v>
                </c:pt>
                <c:pt idx="4">
                  <c:v>-1</c:v>
                </c:pt>
                <c:pt idx="5">
                  <c:v>0</c:v>
                </c:pt>
                <c:pt idx="6">
                  <c:v>1</c:v>
                </c:pt>
                <c:pt idx="7">
                  <c:v>2</c:v>
                </c:pt>
                <c:pt idx="8">
                  <c:v>3</c:v>
                </c:pt>
              </c:numCache>
            </c:numRef>
          </c:yVal>
          <c:smooth val="1"/>
        </c:ser>
        <c:axId val="25245654"/>
        <c:axId val="21239648"/>
      </c:scatterChart>
      <c:valAx>
        <c:axId val="25245654"/>
        <c:scaling>
          <c:orientation val="minMax"/>
        </c:scaling>
        <c:delete val="0"/>
        <c:axPos val="b"/>
        <c:title>
          <c:tx>
            <c:rich>
              <a:bodyPr rot="0"/>
              <a:lstStyle/>
              <a:p>
                <a:pPr>
                  <a:defRPr b="1" sz="1000" spc="-1" strike="noStrike">
                    <a:solidFill>
                      <a:srgbClr val="000000"/>
                    </a:solidFill>
                    <a:latin typeface="Calibri"/>
                  </a:defRPr>
                </a:pPr>
                <a:r>
                  <a:rPr b="1" sz="1000" spc="-1" strike="noStrike">
                    <a:solidFill>
                      <a:srgbClr val="000000"/>
                    </a:solidFill>
                    <a:latin typeface="Calibri"/>
                  </a:rPr>
                  <a:t>V</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21239648"/>
        <c:crosses val="autoZero"/>
        <c:crossBetween val="midCat"/>
      </c:valAx>
      <c:valAx>
        <c:axId val="21239648"/>
        <c:scaling>
          <c:orientation val="minMax"/>
        </c:scaling>
        <c:delete val="0"/>
        <c:axPos val="l"/>
        <c:title>
          <c:tx>
            <c:rich>
              <a:bodyPr rot="0"/>
              <a:lstStyle/>
              <a:p>
                <a:pPr>
                  <a:defRPr b="1" sz="1000" spc="-1" strike="noStrike">
                    <a:solidFill>
                      <a:srgbClr val="000000"/>
                    </a:solidFill>
                    <a:latin typeface="Calibri"/>
                  </a:defRPr>
                </a:pPr>
                <a:r>
                  <a:rPr b="1" sz="1000" spc="-1" strike="noStrike">
                    <a:solidFill>
                      <a:srgbClr val="000000"/>
                    </a:solidFill>
                    <a:latin typeface="Calibri"/>
                  </a:rPr>
                  <a:t>Es, Et</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25245654"/>
        <c:crosses val="autoZero"/>
        <c:crossBetween val="midCat"/>
      </c:valAx>
      <c:spPr>
        <a:solidFill>
          <a:srgbClr val="ffffff"/>
        </a:solidFill>
        <a:ln>
          <a:noFill/>
        </a:ln>
      </c:spPr>
    </c:plotArea>
    <c:legend>
      <c:layout>
        <c:manualLayout>
          <c:xMode val="edge"/>
          <c:yMode val="edge"/>
          <c:x val="0.8644375"/>
          <c:y val="0.138444444444444"/>
          <c:w val="0.107756734795925"/>
          <c:h val="0.167351927991999"/>
        </c:manualLayout>
      </c:layout>
      <c:spPr>
        <a:noFill/>
        <a:ln>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a:noFill/>
    </a:ln>
  </c:spPr>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plotArea>
      <c:scatterChart>
        <c:scatterStyle val="line"/>
        <c:varyColors val="0"/>
        <c:ser>
          <c:idx val="0"/>
          <c:order val="0"/>
          <c:tx>
            <c:strRef>
              <c:f>label 0</c:f>
              <c:strCache>
                <c:ptCount val="1"/>
                <c:pt idx="0">
                  <c:v>Es</c:v>
                </c:pt>
              </c:strCache>
            </c:strRef>
          </c:tx>
          <c:spPr>
            <a:solidFill>
              <a:srgbClr val="4a7ebb"/>
            </a:solidFill>
            <a:ln w="28440">
              <a:solidFill>
                <a:srgbClr val="4a7ebb"/>
              </a:solidFill>
              <a:round/>
            </a:ln>
          </c:spPr>
          <c:marker>
            <c:symbol val="none"/>
          </c:marker>
          <c:dLbls>
            <c:numFmt formatCode="General" sourceLinked="1"/>
            <c:showLegendKey val="0"/>
            <c:showVal val="0"/>
            <c:showCatName val="0"/>
            <c:showSerName val="0"/>
            <c:showPercent val="0"/>
            <c:showLeaderLines val="0"/>
          </c:dLbls>
          <c:xVal>
            <c:numRef>
              <c:f>1</c:f>
              <c:numCache>
                <c:formatCode>General</c:formatCode>
                <c:ptCount val="9"/>
                <c:pt idx="0">
                  <c:v>-20</c:v>
                </c:pt>
                <c:pt idx="1">
                  <c:v>-15</c:v>
                </c:pt>
                <c:pt idx="2">
                  <c:v>-10</c:v>
                </c:pt>
                <c:pt idx="3">
                  <c:v>-5</c:v>
                </c:pt>
                <c:pt idx="4">
                  <c:v>0</c:v>
                </c:pt>
                <c:pt idx="5">
                  <c:v>5</c:v>
                </c:pt>
                <c:pt idx="6">
                  <c:v>10</c:v>
                </c:pt>
                <c:pt idx="7">
                  <c:v>15</c:v>
                </c:pt>
                <c:pt idx="8">
                  <c:v>20</c:v>
                </c:pt>
              </c:numCache>
            </c:numRef>
          </c:xVal>
          <c:yVal>
            <c:numRef>
              <c:f>0</c:f>
              <c:numCache>
                <c:formatCode>General</c:formatCode>
                <c:ptCount val="9"/>
                <c:pt idx="0">
                  <c:v>-80.51</c:v>
                </c:pt>
                <c:pt idx="1">
                  <c:v>-60.51</c:v>
                </c:pt>
                <c:pt idx="2">
                  <c:v>-40.51</c:v>
                </c:pt>
                <c:pt idx="3">
                  <c:v>-20.51</c:v>
                </c:pt>
                <c:pt idx="4">
                  <c:v>-0.510000000000005</c:v>
                </c:pt>
                <c:pt idx="5">
                  <c:v>19.4899999999999</c:v>
                </c:pt>
                <c:pt idx="6">
                  <c:v>39.49</c:v>
                </c:pt>
                <c:pt idx="7">
                  <c:v>59.49</c:v>
                </c:pt>
                <c:pt idx="8">
                  <c:v>79.49</c:v>
                </c:pt>
              </c:numCache>
            </c:numRef>
          </c:yVal>
          <c:smooth val="1"/>
        </c:ser>
        <c:ser>
          <c:idx val="1"/>
          <c:order val="1"/>
          <c:tx>
            <c:strRef>
              <c:f>label 2</c:f>
              <c:strCache>
                <c:ptCount val="1"/>
                <c:pt idx="0">
                  <c:v>Et</c:v>
                </c:pt>
              </c:strCache>
            </c:strRef>
          </c:tx>
          <c:spPr>
            <a:solidFill>
              <a:srgbClr val="be4b48"/>
            </a:solidFill>
            <a:ln w="28440">
              <a:solidFill>
                <a:srgbClr val="be4b48"/>
              </a:solidFill>
              <a:round/>
            </a:ln>
          </c:spPr>
          <c:marker>
            <c:symbol val="none"/>
          </c:marker>
          <c:dLbls>
            <c:numFmt formatCode="General" sourceLinked="1"/>
            <c:showLegendKey val="0"/>
            <c:showVal val="0"/>
            <c:showCatName val="0"/>
            <c:showSerName val="0"/>
            <c:showPercent val="0"/>
            <c:showLeaderLines val="0"/>
          </c:dLbls>
          <c:xVal>
            <c:numRef>
              <c:f>3</c:f>
              <c:numCache>
                <c:formatCode>General</c:formatCode>
                <c:ptCount val="9"/>
                <c:pt idx="0">
                  <c:v>-20</c:v>
                </c:pt>
                <c:pt idx="1">
                  <c:v>-15</c:v>
                </c:pt>
                <c:pt idx="2">
                  <c:v>-10</c:v>
                </c:pt>
                <c:pt idx="3">
                  <c:v>-5</c:v>
                </c:pt>
                <c:pt idx="4">
                  <c:v>0</c:v>
                </c:pt>
                <c:pt idx="5">
                  <c:v>5</c:v>
                </c:pt>
                <c:pt idx="6">
                  <c:v>10</c:v>
                </c:pt>
                <c:pt idx="7">
                  <c:v>15</c:v>
                </c:pt>
                <c:pt idx="8">
                  <c:v>20</c:v>
                </c:pt>
              </c:numCache>
            </c:numRef>
          </c:xVal>
          <c:yVal>
            <c:numRef>
              <c:f>2</c:f>
              <c:numCache>
                <c:formatCode>General</c:formatCode>
                <c:ptCount val="9"/>
                <c:pt idx="0">
                  <c:v>-41</c:v>
                </c:pt>
                <c:pt idx="1">
                  <c:v>-31</c:v>
                </c:pt>
                <c:pt idx="2">
                  <c:v>-21</c:v>
                </c:pt>
                <c:pt idx="3">
                  <c:v>-11</c:v>
                </c:pt>
                <c:pt idx="4">
                  <c:v>-1</c:v>
                </c:pt>
                <c:pt idx="5">
                  <c:v>9</c:v>
                </c:pt>
                <c:pt idx="6">
                  <c:v>19</c:v>
                </c:pt>
                <c:pt idx="7">
                  <c:v>29</c:v>
                </c:pt>
                <c:pt idx="8">
                  <c:v>39</c:v>
                </c:pt>
              </c:numCache>
            </c:numRef>
          </c:yVal>
          <c:smooth val="1"/>
        </c:ser>
        <c:axId val="35344882"/>
        <c:axId val="25162557"/>
      </c:scatterChart>
      <c:valAx>
        <c:axId val="35344882"/>
        <c:scaling>
          <c:orientation val="minMax"/>
        </c:scaling>
        <c:delete val="0"/>
        <c:axPos val="b"/>
        <c:title>
          <c:tx>
            <c:rich>
              <a:bodyPr rot="0"/>
              <a:lstStyle/>
              <a:p>
                <a:pPr>
                  <a:defRPr b="1" sz="1000" spc="-1" strike="noStrike">
                    <a:solidFill>
                      <a:srgbClr val="000000"/>
                    </a:solidFill>
                    <a:latin typeface="Calibri"/>
                  </a:defRPr>
                </a:pPr>
                <a:r>
                  <a:rPr b="1" sz="1000" spc="-1" strike="noStrike">
                    <a:solidFill>
                      <a:srgbClr val="000000"/>
                    </a:solidFill>
                    <a:latin typeface="Calibri"/>
                  </a:rPr>
                  <a:t>V</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25162557"/>
        <c:crosses val="autoZero"/>
        <c:crossBetween val="midCat"/>
      </c:valAx>
      <c:valAx>
        <c:axId val="25162557"/>
        <c:scaling>
          <c:orientation val="minMax"/>
        </c:scaling>
        <c:delete val="0"/>
        <c:axPos val="l"/>
        <c:title>
          <c:tx>
            <c:rich>
              <a:bodyPr rot="0"/>
              <a:lstStyle/>
              <a:p>
                <a:pPr>
                  <a:defRPr b="1" sz="1000" spc="-1" strike="noStrike">
                    <a:solidFill>
                      <a:srgbClr val="000000"/>
                    </a:solidFill>
                    <a:latin typeface="Calibri"/>
                  </a:defRPr>
                </a:pPr>
                <a:r>
                  <a:rPr b="1" sz="1000" spc="-1" strike="noStrike">
                    <a:solidFill>
                      <a:srgbClr val="000000"/>
                    </a:solidFill>
                    <a:latin typeface="Calibri"/>
                  </a:rPr>
                  <a:t>Es, Et</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35344882"/>
        <c:crosses val="autoZero"/>
        <c:crossBetween val="midCat"/>
      </c:valAx>
      <c:spPr>
        <a:solidFill>
          <a:srgbClr val="ffffff"/>
        </a:solidFill>
        <a:ln>
          <a:noFill/>
        </a:ln>
      </c:spPr>
    </c:plotArea>
    <c:legend>
      <c:layout>
        <c:manualLayout>
          <c:xMode val="edge"/>
          <c:yMode val="edge"/>
          <c:x val="0.8644375"/>
          <c:y val="0.069"/>
          <c:w val="0.107756734795925"/>
          <c:h val="0.167351927991999"/>
        </c:manualLayout>
      </c:layout>
      <c:spPr>
        <a:noFill/>
        <a:ln>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a:noFill/>
    </a:ln>
  </c:spPr>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plotArea>
      <c:scatterChart>
        <c:scatterStyle val="line"/>
        <c:varyColors val="0"/>
        <c:ser>
          <c:idx val="0"/>
          <c:order val="0"/>
          <c:tx>
            <c:strRef>
              <c:f>label 0</c:f>
              <c:strCache>
                <c:ptCount val="1"/>
                <c:pt idx="0">
                  <c:v>Es</c:v>
                </c:pt>
              </c:strCache>
            </c:strRef>
          </c:tx>
          <c:spPr>
            <a:solidFill>
              <a:srgbClr val="4a7ebb"/>
            </a:solidFill>
            <a:ln w="28440">
              <a:solidFill>
                <a:srgbClr val="4a7ebb"/>
              </a:solidFill>
              <a:round/>
            </a:ln>
          </c:spPr>
          <c:marker>
            <c:symbol val="none"/>
          </c:marker>
          <c:dLbls>
            <c:numFmt formatCode="General" sourceLinked="1"/>
            <c:showLegendKey val="0"/>
            <c:showVal val="0"/>
            <c:showCatName val="0"/>
            <c:showSerName val="0"/>
            <c:showPercent val="0"/>
            <c:showLeaderLines val="0"/>
          </c:dLbls>
          <c:xVal>
            <c:numRef>
              <c:f>1</c:f>
              <c:numCache>
                <c:formatCode>General</c:formatCode>
                <c:ptCount val="9"/>
                <c:pt idx="0">
                  <c:v>-20</c:v>
                </c:pt>
                <c:pt idx="1">
                  <c:v>-15</c:v>
                </c:pt>
                <c:pt idx="2">
                  <c:v>-10</c:v>
                </c:pt>
                <c:pt idx="3">
                  <c:v>-5</c:v>
                </c:pt>
                <c:pt idx="4">
                  <c:v>0</c:v>
                </c:pt>
                <c:pt idx="5">
                  <c:v>5</c:v>
                </c:pt>
                <c:pt idx="6">
                  <c:v>10</c:v>
                </c:pt>
                <c:pt idx="7">
                  <c:v>15</c:v>
                </c:pt>
                <c:pt idx="8">
                  <c:v>20</c:v>
                </c:pt>
              </c:numCache>
            </c:numRef>
          </c:xVal>
          <c:yVal>
            <c:numRef>
              <c:f>0</c:f>
              <c:numCache>
                <c:formatCode>General</c:formatCode>
                <c:ptCount val="9"/>
                <c:pt idx="0">
                  <c:v>-81.43</c:v>
                </c:pt>
                <c:pt idx="1">
                  <c:v>-61.44</c:v>
                </c:pt>
                <c:pt idx="2">
                  <c:v>-41.46</c:v>
                </c:pt>
                <c:pt idx="3">
                  <c:v>-21.5</c:v>
                </c:pt>
                <c:pt idx="4">
                  <c:v>-3.09</c:v>
                </c:pt>
                <c:pt idx="5">
                  <c:v>-1.48</c:v>
                </c:pt>
                <c:pt idx="6">
                  <c:v>-1.45</c:v>
                </c:pt>
                <c:pt idx="7">
                  <c:v>-1.44</c:v>
                </c:pt>
                <c:pt idx="8">
                  <c:v>-1.43</c:v>
                </c:pt>
              </c:numCache>
            </c:numRef>
          </c:yVal>
          <c:smooth val="1"/>
        </c:ser>
        <c:ser>
          <c:idx val="1"/>
          <c:order val="1"/>
          <c:tx>
            <c:strRef>
              <c:f>label 2</c:f>
              <c:strCache>
                <c:ptCount val="1"/>
                <c:pt idx="0">
                  <c:v>Et</c:v>
                </c:pt>
              </c:strCache>
            </c:strRef>
          </c:tx>
          <c:spPr>
            <a:solidFill>
              <a:srgbClr val="be4b48"/>
            </a:solidFill>
            <a:ln w="28440">
              <a:solidFill>
                <a:srgbClr val="be4b48"/>
              </a:solidFill>
              <a:round/>
            </a:ln>
          </c:spPr>
          <c:marker>
            <c:symbol val="none"/>
          </c:marker>
          <c:dLbls>
            <c:numFmt formatCode="General" sourceLinked="1"/>
            <c:showLegendKey val="0"/>
            <c:showVal val="0"/>
            <c:showCatName val="0"/>
            <c:showSerName val="0"/>
            <c:showPercent val="0"/>
            <c:showLeaderLines val="0"/>
          </c:dLbls>
          <c:xVal>
            <c:numRef>
              <c:f>3</c:f>
              <c:numCache>
                <c:formatCode>General</c:formatCode>
                <c:ptCount val="9"/>
                <c:pt idx="0">
                  <c:v>-20</c:v>
                </c:pt>
                <c:pt idx="1">
                  <c:v>-15</c:v>
                </c:pt>
                <c:pt idx="2">
                  <c:v>-10</c:v>
                </c:pt>
                <c:pt idx="3">
                  <c:v>-5</c:v>
                </c:pt>
                <c:pt idx="4">
                  <c:v>0</c:v>
                </c:pt>
                <c:pt idx="5">
                  <c:v>5</c:v>
                </c:pt>
                <c:pt idx="6">
                  <c:v>10</c:v>
                </c:pt>
                <c:pt idx="7">
                  <c:v>15</c:v>
                </c:pt>
                <c:pt idx="8">
                  <c:v>20</c:v>
                </c:pt>
              </c:numCache>
            </c:numRef>
          </c:xVal>
          <c:yVal>
            <c:numRef>
              <c:f>2</c:f>
              <c:numCache>
                <c:formatCode>General</c:formatCode>
                <c:ptCount val="9"/>
                <c:pt idx="0">
                  <c:v>-80.73</c:v>
                </c:pt>
                <c:pt idx="1">
                  <c:v>-60.73</c:v>
                </c:pt>
                <c:pt idx="2">
                  <c:v>-40.73</c:v>
                </c:pt>
                <c:pt idx="3">
                  <c:v>-20.79</c:v>
                </c:pt>
                <c:pt idx="4">
                  <c:v>-2.6</c:v>
                </c:pt>
                <c:pt idx="5">
                  <c:v>-0.79</c:v>
                </c:pt>
                <c:pt idx="6">
                  <c:v>-0.750000000000004</c:v>
                </c:pt>
                <c:pt idx="7">
                  <c:v>-0.730000000000001</c:v>
                </c:pt>
                <c:pt idx="8">
                  <c:v>-0.730000000000001</c:v>
                </c:pt>
              </c:numCache>
            </c:numRef>
          </c:yVal>
          <c:smooth val="1"/>
        </c:ser>
        <c:axId val="82545489"/>
        <c:axId val="89889011"/>
      </c:scatterChart>
      <c:valAx>
        <c:axId val="82545489"/>
        <c:scaling>
          <c:orientation val="minMax"/>
        </c:scaling>
        <c:delete val="0"/>
        <c:axPos val="b"/>
        <c:title>
          <c:tx>
            <c:rich>
              <a:bodyPr rot="0"/>
              <a:lstStyle/>
              <a:p>
                <a:pPr>
                  <a:defRPr b="1" sz="1000" spc="-1" strike="noStrike">
                    <a:solidFill>
                      <a:srgbClr val="000000"/>
                    </a:solidFill>
                    <a:latin typeface="Calibri"/>
                  </a:defRPr>
                </a:pPr>
                <a:r>
                  <a:rPr b="1" sz="1000" spc="-1" strike="noStrike">
                    <a:solidFill>
                      <a:srgbClr val="000000"/>
                    </a:solidFill>
                    <a:latin typeface="Calibri"/>
                  </a:rPr>
                  <a:t>Es, Et</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89889011"/>
        <c:crosses val="autoZero"/>
        <c:crossBetween val="midCat"/>
      </c:valAx>
      <c:valAx>
        <c:axId val="89889011"/>
        <c:scaling>
          <c:orientation val="minMax"/>
        </c:scaling>
        <c:delete val="0"/>
        <c:axPos val="l"/>
        <c:title>
          <c:tx>
            <c:rich>
              <a:bodyPr rot="0"/>
              <a:lstStyle/>
              <a:p>
                <a:pPr>
                  <a:defRPr b="1" sz="1000" spc="-1" strike="noStrike">
                    <a:solidFill>
                      <a:srgbClr val="000000"/>
                    </a:solidFill>
                    <a:latin typeface="Calibri"/>
                  </a:defRPr>
                </a:pPr>
                <a:r>
                  <a:rPr b="1" sz="1000" spc="-1" strike="noStrike">
                    <a:solidFill>
                      <a:srgbClr val="000000"/>
                    </a:solidFill>
                    <a:latin typeface="Calibri"/>
                  </a:rPr>
                  <a:t>V</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82545489"/>
        <c:crosses val="autoZero"/>
        <c:crossBetween val="midCat"/>
      </c:valAx>
      <c:spPr>
        <a:solidFill>
          <a:srgbClr val="ffffff"/>
        </a:solidFill>
        <a:ln>
          <a:noFill/>
        </a:ln>
      </c:spPr>
    </c:plotArea>
    <c:legend>
      <c:legendPos val="r"/>
      <c:overlay val="0"/>
      <c:spPr>
        <a:noFill/>
        <a:ln>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a:noFill/>
    </a:ln>
  </c:spPr>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plotArea>
      <c:scatterChart>
        <c:scatterStyle val="line"/>
        <c:varyColors val="0"/>
        <c:ser>
          <c:idx val="0"/>
          <c:order val="0"/>
          <c:tx>
            <c:strRef>
              <c:f>label 0</c:f>
              <c:strCache>
                <c:ptCount val="1"/>
                <c:pt idx="0">
                  <c:v>Es</c:v>
                </c:pt>
              </c:strCache>
            </c:strRef>
          </c:tx>
          <c:spPr>
            <a:solidFill>
              <a:srgbClr val="4a7ebb"/>
            </a:solidFill>
            <a:ln w="28440">
              <a:solidFill>
                <a:srgbClr val="4a7ebb"/>
              </a:solidFill>
              <a:round/>
            </a:ln>
          </c:spPr>
          <c:marker>
            <c:symbol val="none"/>
          </c:marker>
          <c:dLbls>
            <c:numFmt formatCode="General" sourceLinked="1"/>
            <c:showLegendKey val="0"/>
            <c:showVal val="0"/>
            <c:showCatName val="0"/>
            <c:showSerName val="0"/>
            <c:showPercent val="0"/>
            <c:showLeaderLines val="0"/>
          </c:dLbls>
          <c:xVal>
            <c:numRef>
              <c:f>1</c:f>
              <c:numCache>
                <c:formatCode>General</c:formatCode>
                <c:ptCount val="9"/>
                <c:pt idx="0">
                  <c:v>-20</c:v>
                </c:pt>
                <c:pt idx="1">
                  <c:v>-15</c:v>
                </c:pt>
                <c:pt idx="2">
                  <c:v>-10</c:v>
                </c:pt>
                <c:pt idx="3">
                  <c:v>-5</c:v>
                </c:pt>
                <c:pt idx="4">
                  <c:v>0</c:v>
                </c:pt>
                <c:pt idx="5">
                  <c:v>5</c:v>
                </c:pt>
                <c:pt idx="6">
                  <c:v>10</c:v>
                </c:pt>
                <c:pt idx="7">
                  <c:v>15</c:v>
                </c:pt>
                <c:pt idx="8">
                  <c:v>20</c:v>
                </c:pt>
              </c:numCache>
            </c:numRef>
          </c:xVal>
          <c:yVal>
            <c:numRef>
              <c:f>0</c:f>
              <c:numCache>
                <c:formatCode>General</c:formatCode>
                <c:ptCount val="9"/>
                <c:pt idx="0">
                  <c:v>-81.24</c:v>
                </c:pt>
                <c:pt idx="1">
                  <c:v>-61.25</c:v>
                </c:pt>
                <c:pt idx="2">
                  <c:v>-41.26</c:v>
                </c:pt>
                <c:pt idx="3">
                  <c:v>-21.3</c:v>
                </c:pt>
                <c:pt idx="4">
                  <c:v>-3.08</c:v>
                </c:pt>
                <c:pt idx="5">
                  <c:v>-1.43</c:v>
                </c:pt>
                <c:pt idx="6">
                  <c:v>-1.38</c:v>
                </c:pt>
                <c:pt idx="7">
                  <c:v>-1.38</c:v>
                </c:pt>
                <c:pt idx="8">
                  <c:v>-1.36</c:v>
                </c:pt>
              </c:numCache>
            </c:numRef>
          </c:yVal>
          <c:smooth val="1"/>
        </c:ser>
        <c:ser>
          <c:idx val="1"/>
          <c:order val="1"/>
          <c:tx>
            <c:strRef>
              <c:f>label 2</c:f>
              <c:strCache>
                <c:ptCount val="1"/>
                <c:pt idx="0">
                  <c:v>Et</c:v>
                </c:pt>
              </c:strCache>
            </c:strRef>
          </c:tx>
          <c:spPr>
            <a:solidFill>
              <a:srgbClr val="be4b48"/>
            </a:solidFill>
            <a:ln w="28440">
              <a:solidFill>
                <a:srgbClr val="be4b48"/>
              </a:solidFill>
              <a:round/>
            </a:ln>
          </c:spPr>
          <c:marker>
            <c:symbol val="none"/>
          </c:marker>
          <c:dLbls>
            <c:numFmt formatCode="General" sourceLinked="1"/>
            <c:showLegendKey val="0"/>
            <c:showVal val="0"/>
            <c:showCatName val="0"/>
            <c:showSerName val="0"/>
            <c:showPercent val="0"/>
            <c:showLeaderLines val="0"/>
          </c:dLbls>
          <c:xVal>
            <c:numRef>
              <c:f>3</c:f>
              <c:numCache>
                <c:formatCode>General</c:formatCode>
                <c:ptCount val="9"/>
                <c:pt idx="0">
                  <c:v>-20</c:v>
                </c:pt>
                <c:pt idx="1">
                  <c:v>-15</c:v>
                </c:pt>
                <c:pt idx="2">
                  <c:v>-10</c:v>
                </c:pt>
                <c:pt idx="3">
                  <c:v>-5</c:v>
                </c:pt>
                <c:pt idx="4">
                  <c:v>0</c:v>
                </c:pt>
                <c:pt idx="5">
                  <c:v>5</c:v>
                </c:pt>
                <c:pt idx="6">
                  <c:v>10</c:v>
                </c:pt>
                <c:pt idx="7">
                  <c:v>15</c:v>
                </c:pt>
                <c:pt idx="8">
                  <c:v>20</c:v>
                </c:pt>
              </c:numCache>
            </c:numRef>
          </c:xVal>
          <c:yVal>
            <c:numRef>
              <c:f>2</c:f>
              <c:numCache>
                <c:formatCode>General</c:formatCode>
                <c:ptCount val="9"/>
                <c:pt idx="0">
                  <c:v>-80.73</c:v>
                </c:pt>
                <c:pt idx="1">
                  <c:v>-60.73</c:v>
                </c:pt>
                <c:pt idx="2">
                  <c:v>-40.75</c:v>
                </c:pt>
                <c:pt idx="3">
                  <c:v>-20.79</c:v>
                </c:pt>
                <c:pt idx="4">
                  <c:v>-2.56</c:v>
                </c:pt>
                <c:pt idx="5">
                  <c:v>-0.760000000000004</c:v>
                </c:pt>
                <c:pt idx="6">
                  <c:v>-0.730000000000001</c:v>
                </c:pt>
                <c:pt idx="7">
                  <c:v>-0.720000000000001</c:v>
                </c:pt>
                <c:pt idx="8">
                  <c:v>-0.720000000000001</c:v>
                </c:pt>
              </c:numCache>
            </c:numRef>
          </c:yVal>
          <c:smooth val="1"/>
        </c:ser>
        <c:axId val="71761491"/>
        <c:axId val="93226426"/>
      </c:scatterChart>
      <c:valAx>
        <c:axId val="71761491"/>
        <c:scaling>
          <c:orientation val="minMax"/>
        </c:scaling>
        <c:delete val="0"/>
        <c:axPos val="b"/>
        <c:title>
          <c:tx>
            <c:rich>
              <a:bodyPr rot="0"/>
              <a:lstStyle/>
              <a:p>
                <a:pPr>
                  <a:defRPr b="1" sz="1000" spc="-1" strike="noStrike">
                    <a:solidFill>
                      <a:srgbClr val="000000"/>
                    </a:solidFill>
                    <a:latin typeface="Calibri"/>
                  </a:defRPr>
                </a:pPr>
                <a:r>
                  <a:rPr b="1" sz="1000" spc="-1" strike="noStrike">
                    <a:solidFill>
                      <a:srgbClr val="000000"/>
                    </a:solidFill>
                    <a:latin typeface="Calibri"/>
                  </a:rPr>
                  <a:t>V</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93226426"/>
        <c:crosses val="autoZero"/>
        <c:crossBetween val="midCat"/>
      </c:valAx>
      <c:valAx>
        <c:axId val="93226426"/>
        <c:scaling>
          <c:orientation val="minMax"/>
        </c:scaling>
        <c:delete val="0"/>
        <c:axPos val="l"/>
        <c:title>
          <c:tx>
            <c:rich>
              <a:bodyPr rot="0"/>
              <a:lstStyle/>
              <a:p>
                <a:pPr>
                  <a:defRPr b="1" sz="1000" spc="-1" strike="noStrike">
                    <a:solidFill>
                      <a:srgbClr val="000000"/>
                    </a:solidFill>
                    <a:latin typeface="Calibri"/>
                  </a:defRPr>
                </a:pPr>
                <a:r>
                  <a:rPr b="1" sz="1000" spc="-1" strike="noStrike">
                    <a:solidFill>
                      <a:srgbClr val="000000"/>
                    </a:solidFill>
                    <a:latin typeface="Calibri"/>
                  </a:rPr>
                  <a:t>Es, Es</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71761491"/>
        <c:crosses val="autoZero"/>
        <c:crossBetween val="midCat"/>
      </c:valAx>
      <c:spPr>
        <a:solidFill>
          <a:srgbClr val="ffffff"/>
        </a:solidFill>
        <a:ln>
          <a:noFill/>
        </a:ln>
      </c:spPr>
    </c:plotArea>
    <c:legend>
      <c:legendPos val="r"/>
      <c:overlay val="0"/>
      <c:spPr>
        <a:noFill/>
        <a:ln>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a:noFill/>
    </a:ln>
  </c:spPr>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plotArea>
      <c:scatterChart>
        <c:scatterStyle val="line"/>
        <c:varyColors val="0"/>
        <c:ser>
          <c:idx val="0"/>
          <c:order val="0"/>
          <c:tx>
            <c:strRef>
              <c:f>label 0</c:f>
              <c:strCache>
                <c:ptCount val="1"/>
                <c:pt idx="0">
                  <c:v>Es</c:v>
                </c:pt>
              </c:strCache>
            </c:strRef>
          </c:tx>
          <c:spPr>
            <a:solidFill>
              <a:srgbClr val="4a7ebb"/>
            </a:solidFill>
            <a:ln w="28440">
              <a:solidFill>
                <a:srgbClr val="4a7ebb"/>
              </a:solidFill>
              <a:round/>
            </a:ln>
          </c:spPr>
          <c:marker>
            <c:symbol val="none"/>
          </c:marker>
          <c:dLbls>
            <c:numFmt formatCode="General" sourceLinked="1"/>
            <c:showLegendKey val="0"/>
            <c:showVal val="0"/>
            <c:showCatName val="0"/>
            <c:showSerName val="0"/>
            <c:showPercent val="0"/>
            <c:showLeaderLines val="0"/>
          </c:dLbls>
          <c:xVal>
            <c:numRef>
              <c:f>1</c:f>
              <c:numCache>
                <c:formatCode>General</c:formatCode>
                <c:ptCount val="9"/>
                <c:pt idx="0">
                  <c:v>-2</c:v>
                </c:pt>
                <c:pt idx="1">
                  <c:v>-1.5</c:v>
                </c:pt>
                <c:pt idx="2">
                  <c:v>-1</c:v>
                </c:pt>
                <c:pt idx="3">
                  <c:v>-0.5</c:v>
                </c:pt>
                <c:pt idx="4">
                  <c:v>0</c:v>
                </c:pt>
                <c:pt idx="5">
                  <c:v>0.5</c:v>
                </c:pt>
                <c:pt idx="6">
                  <c:v>1</c:v>
                </c:pt>
                <c:pt idx="7">
                  <c:v>1.5</c:v>
                </c:pt>
                <c:pt idx="8">
                  <c:v>2</c:v>
                </c:pt>
              </c:numCache>
            </c:numRef>
          </c:xVal>
          <c:yVal>
            <c:numRef>
              <c:f>0</c:f>
              <c:numCache>
                <c:formatCode>General</c:formatCode>
                <c:ptCount val="9"/>
                <c:pt idx="0">
                  <c:v>-9.32</c:v>
                </c:pt>
                <c:pt idx="1">
                  <c:v>-7.43</c:v>
                </c:pt>
                <c:pt idx="2">
                  <c:v>-5.54</c:v>
                </c:pt>
                <c:pt idx="3">
                  <c:v>-3.65</c:v>
                </c:pt>
                <c:pt idx="4">
                  <c:v>-1.76</c:v>
                </c:pt>
                <c:pt idx="5">
                  <c:v>0.13</c:v>
                </c:pt>
                <c:pt idx="6">
                  <c:v>2.02</c:v>
                </c:pt>
                <c:pt idx="7">
                  <c:v>3.91</c:v>
                </c:pt>
                <c:pt idx="8">
                  <c:v>5.8</c:v>
                </c:pt>
              </c:numCache>
            </c:numRef>
          </c:yVal>
          <c:smooth val="1"/>
        </c:ser>
        <c:ser>
          <c:idx val="1"/>
          <c:order val="1"/>
          <c:tx>
            <c:strRef>
              <c:f>label 2</c:f>
              <c:strCache>
                <c:ptCount val="1"/>
                <c:pt idx="0">
                  <c:v>Et</c:v>
                </c:pt>
              </c:strCache>
            </c:strRef>
          </c:tx>
          <c:spPr>
            <a:solidFill>
              <a:srgbClr val="be4b48"/>
            </a:solidFill>
            <a:ln w="28440">
              <a:solidFill>
                <a:srgbClr val="be4b48"/>
              </a:solidFill>
              <a:round/>
            </a:ln>
          </c:spPr>
          <c:marker>
            <c:symbol val="none"/>
          </c:marker>
          <c:dLbls>
            <c:numFmt formatCode="General" sourceLinked="1"/>
            <c:showLegendKey val="0"/>
            <c:showVal val="0"/>
            <c:showCatName val="0"/>
            <c:showSerName val="0"/>
            <c:showPercent val="0"/>
            <c:showLeaderLines val="0"/>
          </c:dLbls>
          <c:xVal>
            <c:numRef>
              <c:f>3</c:f>
              <c:numCache>
                <c:formatCode>General</c:formatCode>
                <c:ptCount val="9"/>
                <c:pt idx="0">
                  <c:v>-2</c:v>
                </c:pt>
                <c:pt idx="1">
                  <c:v>-1.5</c:v>
                </c:pt>
                <c:pt idx="2">
                  <c:v>-1</c:v>
                </c:pt>
                <c:pt idx="3">
                  <c:v>-0.5</c:v>
                </c:pt>
                <c:pt idx="4">
                  <c:v>0</c:v>
                </c:pt>
                <c:pt idx="5">
                  <c:v>0.5</c:v>
                </c:pt>
                <c:pt idx="6">
                  <c:v>1</c:v>
                </c:pt>
                <c:pt idx="7">
                  <c:v>1.5</c:v>
                </c:pt>
                <c:pt idx="8">
                  <c:v>2</c:v>
                </c:pt>
              </c:numCache>
            </c:numRef>
          </c:xVal>
          <c:yVal>
            <c:numRef>
              <c:f>2</c:f>
              <c:numCache>
                <c:formatCode>General</c:formatCode>
                <c:ptCount val="9"/>
                <c:pt idx="0">
                  <c:v>-9.17</c:v>
                </c:pt>
                <c:pt idx="1">
                  <c:v>-7.21</c:v>
                </c:pt>
                <c:pt idx="2">
                  <c:v>-5.25</c:v>
                </c:pt>
                <c:pt idx="3">
                  <c:v>-3.29</c:v>
                </c:pt>
                <c:pt idx="4">
                  <c:v>-1.33</c:v>
                </c:pt>
                <c:pt idx="5">
                  <c:v>0.630000000000004</c:v>
                </c:pt>
                <c:pt idx="6">
                  <c:v>2.59</c:v>
                </c:pt>
                <c:pt idx="7">
                  <c:v>4.55</c:v>
                </c:pt>
                <c:pt idx="8">
                  <c:v>6.51</c:v>
                </c:pt>
              </c:numCache>
            </c:numRef>
          </c:yVal>
          <c:smooth val="1"/>
        </c:ser>
        <c:axId val="18526937"/>
        <c:axId val="78561758"/>
      </c:scatterChart>
      <c:valAx>
        <c:axId val="18526937"/>
        <c:scaling>
          <c:orientation val="minMax"/>
        </c:scaling>
        <c:delete val="0"/>
        <c:axPos val="b"/>
        <c:title>
          <c:tx>
            <c:rich>
              <a:bodyPr rot="0"/>
              <a:lstStyle/>
              <a:p>
                <a:pPr>
                  <a:defRPr b="1" sz="1000" spc="-1" strike="noStrike">
                    <a:solidFill>
                      <a:srgbClr val="000000"/>
                    </a:solidFill>
                    <a:latin typeface="Calibri"/>
                  </a:defRPr>
                </a:pPr>
                <a:r>
                  <a:rPr b="1" sz="1000" spc="-1" strike="noStrike">
                    <a:solidFill>
                      <a:srgbClr val="000000"/>
                    </a:solidFill>
                    <a:latin typeface="Calibri"/>
                  </a:rPr>
                  <a:t>V</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78561758"/>
        <c:crosses val="autoZero"/>
        <c:crossBetween val="midCat"/>
      </c:valAx>
      <c:valAx>
        <c:axId val="78561758"/>
        <c:scaling>
          <c:orientation val="minMax"/>
        </c:scaling>
        <c:delete val="0"/>
        <c:axPos val="l"/>
        <c:title>
          <c:tx>
            <c:rich>
              <a:bodyPr rot="0"/>
              <a:lstStyle/>
              <a:p>
                <a:pPr>
                  <a:defRPr b="1" sz="1000" spc="-1" strike="noStrike">
                    <a:solidFill>
                      <a:srgbClr val="000000"/>
                    </a:solidFill>
                    <a:latin typeface="Calibri"/>
                  </a:defRPr>
                </a:pPr>
                <a:r>
                  <a:rPr b="1" sz="1000" spc="-1" strike="noStrike">
                    <a:solidFill>
                      <a:srgbClr val="000000"/>
                    </a:solidFill>
                    <a:latin typeface="Calibri"/>
                  </a:rPr>
                  <a:t>Es, Et</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18526937"/>
        <c:crosses val="autoZero"/>
        <c:crossBetween val="midCat"/>
      </c:valAx>
      <c:spPr>
        <a:solidFill>
          <a:srgbClr val="ffffff"/>
        </a:solidFill>
        <a:ln>
          <a:noFill/>
        </a:ln>
      </c:spPr>
    </c:plotArea>
    <c:legend>
      <c:layout>
        <c:manualLayout>
          <c:xMode val="edge"/>
          <c:yMode val="edge"/>
          <c:x val="0.8644375"/>
          <c:y val="0.0551111111111111"/>
          <c:w val="0.107756734795925"/>
          <c:h val="0.167351927991999"/>
        </c:manualLayout>
      </c:layout>
      <c:spPr>
        <a:noFill/>
        <a:ln>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a:noFill/>
    </a:ln>
  </c:spPr>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plotArea>
      <c:scatterChart>
        <c:scatterStyle val="line"/>
        <c:varyColors val="0"/>
        <c:ser>
          <c:idx val="0"/>
          <c:order val="0"/>
          <c:tx>
            <c:strRef>
              <c:f>label 0</c:f>
              <c:strCache>
                <c:ptCount val="1"/>
                <c:pt idx="0">
                  <c:v>Es</c:v>
                </c:pt>
              </c:strCache>
            </c:strRef>
          </c:tx>
          <c:spPr>
            <a:solidFill>
              <a:srgbClr val="4a7ebb"/>
            </a:solidFill>
            <a:ln w="28440">
              <a:solidFill>
                <a:srgbClr val="4a7ebb"/>
              </a:solidFill>
              <a:round/>
            </a:ln>
          </c:spPr>
          <c:marker>
            <c:symbol val="none"/>
          </c:marker>
          <c:dLbls>
            <c:numFmt formatCode="General" sourceLinked="1"/>
            <c:showLegendKey val="0"/>
            <c:showVal val="0"/>
            <c:showCatName val="0"/>
            <c:showSerName val="0"/>
            <c:showPercent val="0"/>
            <c:showLeaderLines val="0"/>
          </c:dLbls>
          <c:xVal>
            <c:numRef>
              <c:f>1</c:f>
              <c:numCache>
                <c:formatCode>General</c:formatCode>
                <c:ptCount val="9"/>
                <c:pt idx="0">
                  <c:v>-2</c:v>
                </c:pt>
                <c:pt idx="1">
                  <c:v>-1.5</c:v>
                </c:pt>
                <c:pt idx="2">
                  <c:v>-1</c:v>
                </c:pt>
                <c:pt idx="3">
                  <c:v>-0.5</c:v>
                </c:pt>
                <c:pt idx="4">
                  <c:v>0</c:v>
                </c:pt>
                <c:pt idx="5">
                  <c:v>0.5</c:v>
                </c:pt>
                <c:pt idx="6">
                  <c:v>1</c:v>
                </c:pt>
                <c:pt idx="7">
                  <c:v>1.5</c:v>
                </c:pt>
                <c:pt idx="8">
                  <c:v>2</c:v>
                </c:pt>
              </c:numCache>
            </c:numRef>
          </c:xVal>
          <c:yVal>
            <c:numRef>
              <c:f>0</c:f>
              <c:numCache>
                <c:formatCode>General</c:formatCode>
                <c:ptCount val="9"/>
                <c:pt idx="0">
                  <c:v>-9.69</c:v>
                </c:pt>
                <c:pt idx="1">
                  <c:v>-7.76</c:v>
                </c:pt>
                <c:pt idx="2">
                  <c:v>-5.83</c:v>
                </c:pt>
                <c:pt idx="3">
                  <c:v>-3.9</c:v>
                </c:pt>
                <c:pt idx="4">
                  <c:v>-1.97000000000001</c:v>
                </c:pt>
                <c:pt idx="5">
                  <c:v>-0.0399999999999991</c:v>
                </c:pt>
                <c:pt idx="6">
                  <c:v>1.89</c:v>
                </c:pt>
                <c:pt idx="7">
                  <c:v>3.82</c:v>
                </c:pt>
                <c:pt idx="8">
                  <c:v>5.75</c:v>
                </c:pt>
              </c:numCache>
            </c:numRef>
          </c:yVal>
          <c:smooth val="1"/>
        </c:ser>
        <c:ser>
          <c:idx val="1"/>
          <c:order val="1"/>
          <c:tx>
            <c:strRef>
              <c:f>label 2</c:f>
              <c:strCache>
                <c:ptCount val="1"/>
                <c:pt idx="0">
                  <c:v>Et</c:v>
                </c:pt>
              </c:strCache>
            </c:strRef>
          </c:tx>
          <c:spPr>
            <a:solidFill>
              <a:srgbClr val="be4b48"/>
            </a:solidFill>
            <a:ln w="28440">
              <a:solidFill>
                <a:srgbClr val="be4b48"/>
              </a:solidFill>
              <a:round/>
            </a:ln>
          </c:spPr>
          <c:marker>
            <c:symbol val="none"/>
          </c:marker>
          <c:dLbls>
            <c:numFmt formatCode="General" sourceLinked="1"/>
            <c:showLegendKey val="0"/>
            <c:showVal val="0"/>
            <c:showCatName val="0"/>
            <c:showSerName val="0"/>
            <c:showPercent val="0"/>
            <c:showLeaderLines val="0"/>
          </c:dLbls>
          <c:xVal>
            <c:numRef>
              <c:f>3</c:f>
              <c:numCache>
                <c:formatCode>General</c:formatCode>
                <c:ptCount val="9"/>
                <c:pt idx="0">
                  <c:v>-2</c:v>
                </c:pt>
                <c:pt idx="1">
                  <c:v>-1.5</c:v>
                </c:pt>
                <c:pt idx="2">
                  <c:v>-1</c:v>
                </c:pt>
                <c:pt idx="3">
                  <c:v>-0.5</c:v>
                </c:pt>
                <c:pt idx="4">
                  <c:v>0</c:v>
                </c:pt>
                <c:pt idx="5">
                  <c:v>0.5</c:v>
                </c:pt>
                <c:pt idx="6">
                  <c:v>1</c:v>
                </c:pt>
                <c:pt idx="7">
                  <c:v>1.5</c:v>
                </c:pt>
                <c:pt idx="8">
                  <c:v>2</c:v>
                </c:pt>
              </c:numCache>
            </c:numRef>
          </c:xVal>
          <c:yVal>
            <c:numRef>
              <c:f>2</c:f>
              <c:numCache>
                <c:formatCode>General</c:formatCode>
                <c:ptCount val="9"/>
                <c:pt idx="0">
                  <c:v>-8.9</c:v>
                </c:pt>
                <c:pt idx="1">
                  <c:v>-7.07</c:v>
                </c:pt>
                <c:pt idx="2">
                  <c:v>-5.24</c:v>
                </c:pt>
                <c:pt idx="3">
                  <c:v>-3.41</c:v>
                </c:pt>
                <c:pt idx="4">
                  <c:v>-1.58</c:v>
                </c:pt>
                <c:pt idx="5">
                  <c:v>0.25</c:v>
                </c:pt>
                <c:pt idx="6">
                  <c:v>2.08</c:v>
                </c:pt>
                <c:pt idx="7">
                  <c:v>3.91</c:v>
                </c:pt>
                <c:pt idx="8">
                  <c:v>5.74</c:v>
                </c:pt>
              </c:numCache>
            </c:numRef>
          </c:yVal>
          <c:smooth val="1"/>
        </c:ser>
        <c:axId val="65273165"/>
        <c:axId val="28907174"/>
      </c:scatterChart>
      <c:valAx>
        <c:axId val="65273165"/>
        <c:scaling>
          <c:orientation val="minMax"/>
        </c:scaling>
        <c:delete val="0"/>
        <c:axPos val="b"/>
        <c:title>
          <c:tx>
            <c:rich>
              <a:bodyPr rot="0"/>
              <a:lstStyle/>
              <a:p>
                <a:pPr>
                  <a:defRPr b="1" sz="1000" spc="-1" strike="noStrike">
                    <a:solidFill>
                      <a:srgbClr val="000000"/>
                    </a:solidFill>
                    <a:latin typeface="Calibri"/>
                  </a:defRPr>
                </a:pPr>
                <a:r>
                  <a:rPr b="1" sz="1000" spc="-1" strike="noStrike">
                    <a:solidFill>
                      <a:srgbClr val="000000"/>
                    </a:solidFill>
                    <a:latin typeface="Calibri"/>
                  </a:rPr>
                  <a:t>V</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28907174"/>
        <c:crosses val="autoZero"/>
        <c:crossBetween val="midCat"/>
      </c:valAx>
      <c:valAx>
        <c:axId val="28907174"/>
        <c:scaling>
          <c:orientation val="minMax"/>
        </c:scaling>
        <c:delete val="0"/>
        <c:axPos val="l"/>
        <c:title>
          <c:tx>
            <c:rich>
              <a:bodyPr rot="0"/>
              <a:lstStyle/>
              <a:p>
                <a:pPr>
                  <a:defRPr b="1" sz="1000" spc="-1" strike="noStrike">
                    <a:solidFill>
                      <a:srgbClr val="000000"/>
                    </a:solidFill>
                    <a:latin typeface="Calibri"/>
                  </a:defRPr>
                </a:pPr>
                <a:r>
                  <a:rPr b="1" sz="1000" spc="-1" strike="noStrike">
                    <a:solidFill>
                      <a:srgbClr val="000000"/>
                    </a:solidFill>
                    <a:latin typeface="Calibri"/>
                  </a:rPr>
                  <a:t>Es, Et</a:t>
                </a:r>
              </a:p>
            </c:rich>
          </c:tx>
          <c:overlay val="0"/>
          <c:spPr>
            <a:noFill/>
            <a:ln>
              <a:noFill/>
            </a:ln>
          </c:spPr>
        </c:title>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65273165"/>
        <c:crosses val="autoZero"/>
        <c:crossBetween val="midCat"/>
      </c:valAx>
      <c:spPr>
        <a:solidFill>
          <a:srgbClr val="ffffff"/>
        </a:solidFill>
        <a:ln>
          <a:noFill/>
        </a:ln>
      </c:spPr>
    </c:plotArea>
    <c:legend>
      <c:layout>
        <c:manualLayout>
          <c:xMode val="edge"/>
          <c:yMode val="edge"/>
          <c:x val="0.8671875"/>
          <c:y val="0.069"/>
          <c:w val="0.107756734795925"/>
          <c:h val="0.167351927991999"/>
        </c:manualLayout>
      </c:layout>
      <c:spPr>
        <a:noFill/>
        <a:ln>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a:noFill/>
    </a:ln>
  </c:sp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Application>LibreOffice/6.0.7.3$Linux_X86_64 LibreOffice_project/00m0$Build-3</Application>
  <Pages>9</Pages>
  <Words>2821</Words>
  <Characters>14672</Characters>
  <CharactersWithSpaces>17655</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2010-09-02T09:59:00Z</dcterms:created>
  <dc:creator>Dr Omamoke</dc:creator>
  <dc:description/>
  <dc:language>en-US</dc:language>
  <cp:lastModifiedBy/>
  <dcterms:modified xsi:type="dcterms:W3CDTF">2023-07-01T18:30:21Z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