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9D669" w14:textId="77777777" w:rsidR="00B31F36" w:rsidRDefault="00B31F36" w:rsidP="00B31F36">
      <w:pPr>
        <w:spacing w:after="0" w:line="240" w:lineRule="auto"/>
        <w:jc w:val="center"/>
        <w:rPr>
          <w:rFonts w:asciiTheme="majorHAnsi" w:hAnsiTheme="majorHAnsi"/>
          <w:b/>
          <w:bCs/>
          <w:sz w:val="28"/>
          <w:szCs w:val="28"/>
        </w:rPr>
      </w:pPr>
      <w:r>
        <w:rPr>
          <w:rFonts w:asciiTheme="majorHAnsi" w:hAnsiTheme="majorHAnsi"/>
          <w:b/>
          <w:bCs/>
          <w:sz w:val="28"/>
          <w:szCs w:val="28"/>
        </w:rPr>
        <w:t>Industrial Performance Optimization Using Artificial Neural Networks And Analytical Hierarchy Process</w:t>
      </w:r>
    </w:p>
    <w:p w14:paraId="5763443F" w14:textId="77777777" w:rsidR="00B31F36" w:rsidRDefault="00B31F36" w:rsidP="00B31F36">
      <w:pPr>
        <w:spacing w:after="0" w:line="240" w:lineRule="auto"/>
        <w:jc w:val="center"/>
        <w:rPr>
          <w:rFonts w:asciiTheme="majorHAnsi" w:hAnsiTheme="majorHAnsi"/>
          <w:b/>
          <w:bCs/>
          <w:sz w:val="20"/>
          <w:szCs w:val="20"/>
        </w:rPr>
      </w:pPr>
    </w:p>
    <w:p w14:paraId="08CC2E27" w14:textId="02A1A9C2" w:rsidR="00B31F36" w:rsidRPr="00B31F36" w:rsidRDefault="00B31F36" w:rsidP="00B31F36">
      <w:pPr>
        <w:spacing w:after="0" w:line="240" w:lineRule="auto"/>
        <w:jc w:val="center"/>
        <w:rPr>
          <w:rFonts w:asciiTheme="majorHAnsi" w:hAnsiTheme="majorHAnsi" w:cstheme="majorBidi"/>
          <w:b/>
          <w:bCs/>
          <w:iCs/>
          <w:sz w:val="20"/>
          <w:szCs w:val="20"/>
        </w:rPr>
      </w:pPr>
      <w:r w:rsidRPr="00B31F36">
        <w:rPr>
          <w:rFonts w:asciiTheme="majorHAnsi" w:hAnsiTheme="majorHAnsi" w:cstheme="majorBidi"/>
          <w:b/>
          <w:bCs/>
          <w:sz w:val="20"/>
          <w:szCs w:val="20"/>
          <w:lang w:val="fr-FR"/>
        </w:rPr>
        <w:t>Hala Mellouli</w:t>
      </w:r>
      <w:r w:rsidRPr="00B31F36">
        <w:rPr>
          <w:rFonts w:asciiTheme="majorHAnsi" w:hAnsiTheme="majorHAnsi" w:cstheme="majorBidi"/>
          <w:b/>
          <w:bCs/>
          <w:sz w:val="20"/>
          <w:szCs w:val="20"/>
          <w:vertAlign w:val="superscript"/>
          <w:lang w:val="fr-FR"/>
        </w:rPr>
        <w:t xml:space="preserve"> 1</w:t>
      </w:r>
      <w:r w:rsidRPr="00B31F36">
        <w:rPr>
          <w:rFonts w:asciiTheme="majorHAnsi" w:hAnsiTheme="majorHAnsi" w:cstheme="majorBidi"/>
          <w:b/>
          <w:bCs/>
          <w:sz w:val="20"/>
          <w:szCs w:val="20"/>
          <w:lang w:val="fr-FR"/>
        </w:rPr>
        <w:t xml:space="preserve">, Pr. </w:t>
      </w:r>
      <w:r w:rsidRPr="00B31F36">
        <w:rPr>
          <w:rFonts w:asciiTheme="majorHAnsi" w:hAnsiTheme="majorHAnsi" w:cstheme="majorBidi"/>
          <w:b/>
          <w:bCs/>
          <w:iCs/>
          <w:sz w:val="20"/>
          <w:szCs w:val="20"/>
        </w:rPr>
        <w:t xml:space="preserve">Anwar Meddaoui </w:t>
      </w:r>
      <w:r w:rsidRPr="00B31F36">
        <w:rPr>
          <w:rFonts w:asciiTheme="majorHAnsi" w:hAnsiTheme="majorHAnsi" w:cstheme="majorBidi"/>
          <w:b/>
          <w:bCs/>
          <w:iCs/>
          <w:sz w:val="20"/>
          <w:szCs w:val="20"/>
          <w:vertAlign w:val="superscript"/>
        </w:rPr>
        <w:t>1</w:t>
      </w:r>
      <w:r w:rsidRPr="00B31F36">
        <w:rPr>
          <w:rFonts w:asciiTheme="majorHAnsi" w:hAnsiTheme="majorHAnsi" w:cstheme="majorBidi"/>
          <w:b/>
          <w:bCs/>
          <w:iCs/>
          <w:sz w:val="20"/>
          <w:szCs w:val="20"/>
        </w:rPr>
        <w:t xml:space="preserve">, Pr. Abdelhamid Zaki </w:t>
      </w:r>
      <w:r w:rsidRPr="00B31F36">
        <w:rPr>
          <w:rFonts w:asciiTheme="majorHAnsi" w:hAnsiTheme="majorHAnsi" w:cstheme="majorBidi"/>
          <w:b/>
          <w:bCs/>
          <w:iCs/>
          <w:sz w:val="20"/>
          <w:szCs w:val="20"/>
          <w:vertAlign w:val="superscript"/>
        </w:rPr>
        <w:t>1</w:t>
      </w:r>
    </w:p>
    <w:p w14:paraId="0DCC2183" w14:textId="1C133CDA" w:rsidR="00B31F36" w:rsidRPr="00B31F36" w:rsidRDefault="00B31F36" w:rsidP="00B31F36">
      <w:pPr>
        <w:spacing w:after="0" w:line="240" w:lineRule="auto"/>
        <w:jc w:val="center"/>
        <w:rPr>
          <w:rFonts w:asciiTheme="majorHAnsi" w:hAnsiTheme="majorHAnsi" w:cstheme="majorBidi"/>
          <w:b/>
          <w:bCs/>
          <w:iCs/>
          <w:sz w:val="20"/>
          <w:szCs w:val="20"/>
        </w:rPr>
      </w:pPr>
    </w:p>
    <w:p w14:paraId="163E1761" w14:textId="6B2E64CC" w:rsidR="00B31F36" w:rsidRPr="00B31F36" w:rsidRDefault="00B31F36" w:rsidP="00B31F36">
      <w:pPr>
        <w:spacing w:after="0" w:line="240" w:lineRule="auto"/>
        <w:jc w:val="center"/>
        <w:rPr>
          <w:rFonts w:asciiTheme="majorHAnsi" w:hAnsiTheme="majorHAnsi" w:cstheme="majorBidi"/>
          <w:b/>
          <w:bCs/>
          <w:sz w:val="20"/>
          <w:szCs w:val="20"/>
        </w:rPr>
      </w:pPr>
    </w:p>
    <w:p w14:paraId="39ED535E" w14:textId="2D041330" w:rsidR="00B31F36" w:rsidRDefault="00B31F36" w:rsidP="00B31F36">
      <w:pPr>
        <w:spacing w:after="0" w:line="240" w:lineRule="auto"/>
        <w:jc w:val="center"/>
        <w:rPr>
          <w:rFonts w:asciiTheme="majorHAnsi" w:hAnsiTheme="majorHAnsi" w:cstheme="majorBidi"/>
          <w:iCs/>
          <w:sz w:val="20"/>
          <w:szCs w:val="20"/>
        </w:rPr>
      </w:pPr>
      <w:r>
        <w:rPr>
          <w:rFonts w:asciiTheme="majorHAnsi" w:hAnsiTheme="majorHAnsi" w:cstheme="majorBidi"/>
          <w:sz w:val="20"/>
          <w:szCs w:val="20"/>
        </w:rPr>
        <w:t xml:space="preserve">1 University Hassan II, </w:t>
      </w:r>
      <w:r>
        <w:rPr>
          <w:rFonts w:asciiTheme="majorHAnsi" w:hAnsiTheme="majorHAnsi" w:cstheme="majorBidi"/>
          <w:iCs/>
          <w:sz w:val="20"/>
          <w:szCs w:val="20"/>
        </w:rPr>
        <w:t xml:space="preserve">Artificial Intelligence &amp; Complex Systems Engineering and Optimization. </w:t>
      </w:r>
    </w:p>
    <w:p w14:paraId="6713ACB1" w14:textId="5C335FC1" w:rsidR="00B31F36" w:rsidRDefault="00B31F36" w:rsidP="00B31F36">
      <w:pPr>
        <w:spacing w:after="0" w:line="240" w:lineRule="auto"/>
        <w:jc w:val="center"/>
        <w:rPr>
          <w:rFonts w:asciiTheme="majorHAnsi" w:hAnsiTheme="majorHAnsi" w:cstheme="majorBidi"/>
          <w:iCs/>
          <w:sz w:val="20"/>
          <w:szCs w:val="20"/>
        </w:rPr>
      </w:pPr>
      <w:r>
        <w:rPr>
          <w:rFonts w:asciiTheme="majorHAnsi" w:hAnsiTheme="majorHAnsi" w:cstheme="majorBidi"/>
          <w:iCs/>
          <w:sz w:val="20"/>
          <w:szCs w:val="20"/>
        </w:rPr>
        <w:t xml:space="preserve">Email : </w:t>
      </w:r>
      <w:hyperlink r:id="rId5" w:history="1">
        <w:r>
          <w:rPr>
            <w:rStyle w:val="Lienhypertexte"/>
            <w:iCs/>
            <w:sz w:val="20"/>
            <w:szCs w:val="20"/>
          </w:rPr>
          <w:t>hala.mellouli-etu@etu.univh2c.ma</w:t>
        </w:r>
      </w:hyperlink>
      <w:r>
        <w:rPr>
          <w:rFonts w:asciiTheme="majorHAnsi" w:hAnsiTheme="majorHAnsi" w:cstheme="majorBidi"/>
          <w:iCs/>
          <w:sz w:val="20"/>
          <w:szCs w:val="20"/>
        </w:rPr>
        <w:t>;</w:t>
      </w:r>
    </w:p>
    <w:p w14:paraId="616B651D" w14:textId="77777777" w:rsidR="00B31F36" w:rsidRDefault="00B31F36" w:rsidP="00B31F36">
      <w:pPr>
        <w:spacing w:after="0" w:line="240" w:lineRule="auto"/>
        <w:jc w:val="both"/>
        <w:rPr>
          <w:rFonts w:asciiTheme="majorHAnsi" w:hAnsiTheme="majorHAnsi" w:cstheme="majorBidi"/>
          <w:iCs/>
          <w:sz w:val="20"/>
          <w:szCs w:val="20"/>
        </w:rPr>
      </w:pPr>
    </w:p>
    <w:p w14:paraId="70130491" w14:textId="77777777" w:rsidR="00B31F36" w:rsidRDefault="00B31F36" w:rsidP="00B31F36">
      <w:pPr>
        <w:pStyle w:val="Titre1"/>
        <w:numPr>
          <w:ilvl w:val="0"/>
          <w:numId w:val="0"/>
        </w:numPr>
        <w:spacing w:before="0" w:line="240" w:lineRule="auto"/>
        <w:jc w:val="both"/>
        <w:rPr>
          <w:b/>
          <w:bCs/>
          <w:sz w:val="20"/>
          <w:szCs w:val="20"/>
        </w:rPr>
      </w:pPr>
      <w:r>
        <w:rPr>
          <w:b/>
          <w:bCs/>
          <w:sz w:val="20"/>
          <w:szCs w:val="20"/>
        </w:rPr>
        <w:t>Abstract</w:t>
      </w:r>
    </w:p>
    <w:p w14:paraId="24A31242" w14:textId="77777777" w:rsidR="00B31F36" w:rsidRDefault="00B31F36" w:rsidP="00B31F36">
      <w:pPr>
        <w:spacing w:after="0" w:line="240" w:lineRule="auto"/>
        <w:jc w:val="both"/>
        <w:rPr>
          <w:rFonts w:asciiTheme="majorHAnsi" w:hAnsiTheme="majorHAnsi"/>
          <w:i/>
          <w:iCs/>
          <w:sz w:val="20"/>
          <w:szCs w:val="20"/>
        </w:rPr>
      </w:pPr>
    </w:p>
    <w:p w14:paraId="1F0030E4" w14:textId="77777777" w:rsidR="00B31F36" w:rsidRDefault="00B31F36" w:rsidP="00B31F36">
      <w:pPr>
        <w:spacing w:after="0" w:line="240" w:lineRule="auto"/>
        <w:jc w:val="both"/>
        <w:rPr>
          <w:rFonts w:asciiTheme="majorHAnsi" w:hAnsiTheme="majorHAnsi"/>
          <w:i/>
          <w:iCs/>
          <w:sz w:val="20"/>
          <w:szCs w:val="20"/>
        </w:rPr>
      </w:pPr>
      <w:r>
        <w:rPr>
          <w:rFonts w:asciiTheme="majorHAnsi" w:hAnsiTheme="majorHAnsi"/>
          <w:i/>
          <w:iCs/>
          <w:sz w:val="20"/>
          <w:szCs w:val="20"/>
        </w:rPr>
        <w:t xml:space="preserve">Performance optimization of an industrial system is constrained by several factors as efficient decision-making actions. Decision-makers are continuously facing complex problems challenging their multi-objective optimization capabilities while satisfying customer preferences. However, A first literature review showed that the majority of models established in this field are based on multicriteria analysis which is less suitable for the complex industrial context. This paper proposes a new model for decision-making to enhance industrial systems performance based on Artificial Neural Networks, Analytic Hierarchy Process and balanced scorecard approach, to identify the best decision from a set of available options using real-time performance data. Accuracy of the proposed model is validated through an empirical case study </w:t>
      </w:r>
      <w:r w:rsidRPr="00B31F36">
        <w:rPr>
          <w:rFonts w:asciiTheme="majorHAnsi" w:hAnsiTheme="majorHAnsi"/>
          <w:i/>
          <w:iCs/>
          <w:sz w:val="20"/>
          <w:szCs w:val="20"/>
        </w:rPr>
        <w:t>and a survey conducted among several different industries. Current research proposes a decision-making tool to assist decision in performance based on a set of independent variables, future research may use other artificial intelligence tools to enhance this approach.</w:t>
      </w:r>
    </w:p>
    <w:p w14:paraId="6560562B" w14:textId="77777777" w:rsidR="00B31F36" w:rsidRDefault="00B31F36" w:rsidP="00B31F36">
      <w:pPr>
        <w:pStyle w:val="Titre1"/>
        <w:numPr>
          <w:ilvl w:val="0"/>
          <w:numId w:val="0"/>
        </w:numPr>
        <w:spacing w:before="0" w:line="240" w:lineRule="auto"/>
        <w:jc w:val="both"/>
        <w:rPr>
          <w:sz w:val="20"/>
          <w:szCs w:val="20"/>
        </w:rPr>
      </w:pPr>
    </w:p>
    <w:p w14:paraId="3BD6AA6E" w14:textId="77777777" w:rsidR="00B31F36" w:rsidRDefault="00B31F36" w:rsidP="00B31F36">
      <w:pPr>
        <w:pStyle w:val="Titre1"/>
        <w:numPr>
          <w:ilvl w:val="0"/>
          <w:numId w:val="0"/>
        </w:numPr>
        <w:spacing w:before="0" w:line="240" w:lineRule="auto"/>
        <w:jc w:val="both"/>
        <w:rPr>
          <w:b/>
          <w:bCs/>
          <w:sz w:val="20"/>
          <w:szCs w:val="20"/>
        </w:rPr>
      </w:pPr>
      <w:r>
        <w:rPr>
          <w:b/>
          <w:bCs/>
          <w:sz w:val="20"/>
          <w:szCs w:val="20"/>
        </w:rPr>
        <w:t xml:space="preserve">Key words: </w:t>
      </w:r>
      <w:r>
        <w:rPr>
          <w:sz w:val="20"/>
          <w:szCs w:val="20"/>
        </w:rPr>
        <w:t>Optimization; performance; Artificial Neural Network; Analytical Hierarchy Process; machine learning; multicriteria decision-making.</w:t>
      </w:r>
    </w:p>
    <w:p w14:paraId="35550CA3" w14:textId="77777777" w:rsidR="00B31F36" w:rsidRDefault="00B31F36" w:rsidP="00B31F36">
      <w:pPr>
        <w:spacing w:after="0" w:line="240" w:lineRule="auto"/>
      </w:pPr>
    </w:p>
    <w:p w14:paraId="1AD2986B" w14:textId="77777777" w:rsidR="00B31F36" w:rsidRDefault="00B31F36" w:rsidP="00B31F36">
      <w:pPr>
        <w:spacing w:after="0" w:line="240" w:lineRule="auto"/>
        <w:rPr>
          <w:rFonts w:asciiTheme="majorHAnsi" w:eastAsiaTheme="majorEastAsia" w:hAnsiTheme="majorHAnsi" w:cstheme="majorBidi"/>
          <w:b/>
          <w:bCs/>
          <w:color w:val="000000" w:themeColor="text1"/>
          <w:sz w:val="20"/>
          <w:szCs w:val="20"/>
        </w:rPr>
        <w:sectPr w:rsidR="00B31F36">
          <w:pgSz w:w="11906" w:h="16838"/>
          <w:pgMar w:top="1008" w:right="1066" w:bottom="950" w:left="1166" w:header="850" w:footer="763" w:gutter="0"/>
          <w:cols w:space="720"/>
        </w:sectPr>
      </w:pPr>
    </w:p>
    <w:p w14:paraId="1C2DF420" w14:textId="77777777" w:rsidR="00B31F36" w:rsidRDefault="00B31F36" w:rsidP="00B31F36">
      <w:pPr>
        <w:pStyle w:val="Titre1"/>
        <w:numPr>
          <w:ilvl w:val="0"/>
          <w:numId w:val="2"/>
        </w:numPr>
        <w:spacing w:before="0" w:line="240" w:lineRule="auto"/>
        <w:ind w:left="180" w:hanging="180"/>
        <w:jc w:val="both"/>
        <w:rPr>
          <w:b/>
          <w:bCs/>
          <w:sz w:val="20"/>
          <w:szCs w:val="20"/>
        </w:rPr>
      </w:pPr>
      <w:r>
        <w:rPr>
          <w:b/>
          <w:bCs/>
          <w:sz w:val="20"/>
          <w:szCs w:val="20"/>
        </w:rPr>
        <w:t>Introduction</w:t>
      </w:r>
    </w:p>
    <w:p w14:paraId="29FB2C65" w14:textId="77777777" w:rsidR="00B31F36" w:rsidRDefault="00B31F36" w:rsidP="00B31F36">
      <w:pPr>
        <w:spacing w:after="0" w:line="240" w:lineRule="auto"/>
        <w:jc w:val="both"/>
        <w:rPr>
          <w:rFonts w:asciiTheme="majorHAnsi" w:hAnsiTheme="majorHAnsi"/>
          <w:sz w:val="20"/>
          <w:szCs w:val="20"/>
        </w:rPr>
      </w:pPr>
    </w:p>
    <w:p w14:paraId="23E2DE15"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As the industry transitions towards an intelligent mode, changes in conventional operations have made company management more sophisticated and demanding in terms of effort and time as operational-level decision making is challenged more than before since to ensure boarder coverage of increasingly expanding strategic objectives. Decision-makers, on the other hand, are given the opportunity to monitor and collect real-time operational performance data, which, when used appropriately, leads to more consistent and credible decisions</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{"citationID":"bhe64JWK","properties":{"formattedCitation":"(Duman et al., 2020)","plainCitation":"(Duman et al., 2020)","noteIndex":0},"citationItems":[{"id":5475,"uris":["http://zotero.org/users/local/J2gD9SYp/items/93CF3WNM"],"itemData":{"id":5475,"type":"article-journal","abstract":"The concept of efﬁciency has always been and will continue to be important for competitive business environments where limited resources exist. Owing to the growing complexity of organizations and economy in general, this trend is expected to continue to remain a high priority for organizations. Continuous performance evaluations that utilize both qualitative and quantitative information play a signiﬁcant role in sustaining efﬁcient and effective business processes. Therefore, the literature offers a wide range of performance evaluation methodologies to assess the operational efﬁciency in various industries. Majority of these models, however, focus solely on quantitative criteria, avoiding the interrelations and dependencies between qualitative and quantitative measurements. Furthermore, these methodologies tend to utilize discrete and contemporary information eliminating historical performance data. With these motivations, this paper proposes an integrated approach combining fuzzy decision-making trial and evaluation laboratory (DEMATEL), analytic network process (ANP), and artiﬁcial neural network (ANN) methodologies for performance evaluation. In the proposed model, DEMATEL and ANP methodologies are utilized in a group decision-making concept to obtain priorities of the evaluation criteria. Following this, an ANN model is designed and trained with historical performance data collected from the organization and the results of the fuzzy DEMATEL-ANP model. The outcomes include the relational data among the criteria and alternatives used in the model in addition to their relative rankings. A food industry case study is presented to demonstrate the steps of the proposed model.","container-title":"IEEE Transactions on Engineering Management","DOI":"10.1109/TEM.2019.2900936","ISSN":"0018-9391, 1558-0040","issue":"3","journalAbbreviation":"IEEE Trans. Eng. Manage.","language":"en","page":"885-901","source":"DOI.org (Crossref)","title":"An Intelligent Multiattribute Group Decision-Making Approach With Preference Elicitation for Performance Evaluation","volume":"67","author":[{"family":"Duman","given":"Gazi Murat"},{"family":"El-Sayed","given":"Ahmed"},{"family":"Kongar","given":"Elif"},{"family":"Gupta","given":"Surendra M."}],"issued":{"date-parts":[["2020",8]]}}}],"schema":"https://github.com/citation-style-language/schema/raw/master/csl-citation.json"}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(Duman et al., 2020)</w:t>
      </w:r>
      <w:r>
        <w:rPr>
          <w:rFonts w:asciiTheme="majorHAnsi" w:hAnsiTheme="majorHAnsi"/>
          <w:sz w:val="20"/>
          <w:szCs w:val="20"/>
        </w:rPr>
        <w:fldChar w:fldCharType="end"/>
      </w:r>
      <w:r>
        <w:rPr>
          <w:rFonts w:asciiTheme="majorHAnsi" w:hAnsiTheme="majorHAnsi"/>
          <w:sz w:val="20"/>
          <w:szCs w:val="20"/>
        </w:rPr>
        <w:t>.</w:t>
      </w:r>
    </w:p>
    <w:p w14:paraId="516E98BB" w14:textId="77777777" w:rsidR="00B31F36" w:rsidRDefault="00B31F36" w:rsidP="00B31F36">
      <w:pPr>
        <w:spacing w:after="0" w:line="240" w:lineRule="auto"/>
        <w:jc w:val="both"/>
        <w:rPr>
          <w:rFonts w:asciiTheme="majorHAnsi" w:hAnsiTheme="majorHAnsi"/>
          <w:sz w:val="20"/>
          <w:szCs w:val="20"/>
        </w:rPr>
      </w:pPr>
    </w:p>
    <w:p w14:paraId="1AE61441"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 xml:space="preserve">In fact, only companies that successfully incorporate available data into their processes to become case-oriented and rule-based, making them more adaptable to a rapidly changing business environment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{"citationID":"LtdCRy90","properties":{"formattedCitation":"(Banja, 2020)","plainCitation":"(Banja, 2020)","noteIndex":0},"citationItems":[{"id":5426,"uris":["http://zotero.org/users/local/J2gD9SYp/items/EQLHN9IX"],"itemData":{"id":5426,"type":"article-journal","abstract":"In the modern conditions of business, it becomes more relevant to use the artificial intelligence methods or technologies for decision making. Case-oriented and rule-base oriented modern business processes use sophisticated intelligent reasoning techniques to solve complex problems in a flexible and dynamic business environment. Big data analyses, information processing and knowledge induction are provided using different families of artificial neural networks and fuzzy logic. Evolutionary and meta-heuristic algorithms are used for solving multi-objective and parameter-optimization problems. Use of artificial intelligence gives new possibilities and opportunities for improving decision making and leads to a new wave of innovation.","language":"en","source":"Zotero","title":"Artificial Intelligence Techniques in Business Decision Making","author":[{"family":"Banja","given":"Vrnjačka"}],"issued":{"date-parts":[["2020",9]]}}}],"schema":"https://github.com/citation-style-language/schema/raw/master/csl-citation.json"}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(Banja, 2020)</w:t>
      </w:r>
      <w:r>
        <w:rPr>
          <w:rFonts w:asciiTheme="majorHAnsi" w:hAnsiTheme="majorHAnsi"/>
          <w:sz w:val="20"/>
          <w:szCs w:val="20"/>
        </w:rPr>
        <w:fldChar w:fldCharType="end"/>
      </w:r>
      <w:r>
        <w:rPr>
          <w:rFonts w:asciiTheme="majorHAnsi" w:hAnsiTheme="majorHAnsi"/>
          <w:sz w:val="20"/>
          <w:szCs w:val="20"/>
        </w:rPr>
        <w:t>, and that adopt measurement and management systems based on their own objectives and potentials will be able to grow, thrive, and stay afloat in the digital age</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{"citationID":"p43rFeZX","properties":{"formattedCitation":"(Kaplan and Norton, 1996)","plainCitation":"(Kaplan and Norton, 1996)","noteIndex":0},"citationItems":[{"id":5503,"uris":["http://zotero.org/users/local/J2gD9SYp/items/J3HRF92R"],"itemData":{"id":5503,"type":"book","ISBN":"0-87584-651-3","publisher":"Harvard business press","title":"The balanced scorecard: translating strategy into action","author":[{"family":"Kaplan","given":"Robert S."},{"family":"Norton","given":"David P."}],"issued":{"date-parts":[["1996"]]}}}],"schema":"https://github.com/citation-style-language/schema/raw/master/csl-citation.json"}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(Kaplan and Norton, 1996)</w:t>
      </w:r>
      <w:r>
        <w:rPr>
          <w:rFonts w:asciiTheme="majorHAnsi" w:hAnsiTheme="majorHAnsi"/>
          <w:sz w:val="20"/>
          <w:szCs w:val="20"/>
        </w:rPr>
        <w:fldChar w:fldCharType="end"/>
      </w:r>
      <w:r>
        <w:rPr>
          <w:rFonts w:asciiTheme="majorHAnsi" w:hAnsiTheme="majorHAnsi"/>
          <w:sz w:val="20"/>
          <w:szCs w:val="20"/>
        </w:rPr>
        <w:t>.</w:t>
      </w:r>
    </w:p>
    <w:p w14:paraId="07A3BEAF"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A global survey carried out by Capgemini Research Institute to evaluate the use of data-driven decision-making, revealed that in 2018 no more than 38% of interviewed organizations were actively promoting data-driven decision-making. Two years afterward, the data-powered enterprises survey of the same institute informed that half of respondent organizations managed to shift their decision-making models to be completely data-driven by 2020.</w:t>
      </w:r>
    </w:p>
    <w:p w14:paraId="2FD6F47A" w14:textId="3AC91F13" w:rsidR="00B31F36" w:rsidRDefault="00B31F36" w:rsidP="00B31F36">
      <w:pPr>
        <w:spacing w:after="0" w:line="240" w:lineRule="auto"/>
        <w:jc w:val="both"/>
        <w:rPr>
          <w:rFonts w:asciiTheme="majorHAnsi" w:hAnsiTheme="majorHAnsi"/>
          <w:sz w:val="20"/>
          <w:szCs w:val="20"/>
        </w:rPr>
      </w:pPr>
      <w:r>
        <w:rPr>
          <w:noProof/>
        </w:rPr>
        <w:drawing>
          <wp:inline distT="0" distB="0" distL="0" distR="0" wp14:anchorId="51702980" wp14:editId="5792EE34">
            <wp:extent cx="2844800" cy="1708150"/>
            <wp:effectExtent l="0" t="0" r="0" b="6350"/>
            <wp:docPr id="1949760933" name="Graphique 1949760933">
              <a:extLst xmlns:a="http://schemas.openxmlformats.org/drawingml/2006/main">
                <a:ext uri="{FF2B5EF4-FFF2-40B4-BE49-F238E27FC236}">
                  <a16:creationId xmlns:a16="http://schemas.microsoft.com/office/drawing/2014/main" id="{9AA6E10F-4FA0-D568-A72E-8A0F1B807A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46DA8EF" w14:textId="77777777" w:rsidR="00B31F36" w:rsidRDefault="00B31F36" w:rsidP="00B31F36">
      <w:pPr>
        <w:pStyle w:val="Lgende"/>
        <w:spacing w:after="0"/>
        <w:jc w:val="both"/>
        <w:rPr>
          <w:rFonts w:asciiTheme="majorHAnsi" w:hAnsiTheme="majorHAnsi"/>
          <w:sz w:val="20"/>
          <w:szCs w:val="20"/>
        </w:rPr>
      </w:pPr>
      <w:r>
        <w:rPr>
          <w:rFonts w:asciiTheme="majorHAnsi" w:hAnsiTheme="majorHAnsi"/>
          <w:sz w:val="20"/>
          <w:szCs w:val="20"/>
        </w:rPr>
        <w:t xml:space="preserve">Figure </w:t>
      </w:r>
      <w:r>
        <w:rPr>
          <w:rFonts w:asciiTheme="majorHAnsi" w:hAnsiTheme="majorHAnsi"/>
          <w:sz w:val="20"/>
          <w:szCs w:val="20"/>
        </w:rPr>
        <w:fldChar w:fldCharType="begin"/>
      </w:r>
      <w:r>
        <w:rPr>
          <w:rFonts w:asciiTheme="majorHAnsi" w:hAnsiTheme="majorHAnsi"/>
          <w:sz w:val="20"/>
          <w:szCs w:val="20"/>
        </w:rPr>
        <w:instrText xml:space="preserve"> SEQ Figure \* ARABIC </w:instrText>
      </w:r>
      <w:r>
        <w:rPr>
          <w:rFonts w:asciiTheme="majorHAnsi" w:hAnsiTheme="majorHAnsi"/>
          <w:sz w:val="20"/>
          <w:szCs w:val="20"/>
        </w:rPr>
        <w:fldChar w:fldCharType="separate"/>
      </w:r>
      <w:r>
        <w:rPr>
          <w:rFonts w:asciiTheme="majorHAnsi" w:hAnsiTheme="majorHAnsi"/>
          <w:noProof/>
          <w:sz w:val="20"/>
          <w:szCs w:val="20"/>
        </w:rPr>
        <w:t>1</w:t>
      </w:r>
      <w:r>
        <w:rPr>
          <w:rFonts w:asciiTheme="majorHAnsi" w:hAnsiTheme="majorHAnsi"/>
          <w:noProof/>
          <w:sz w:val="20"/>
          <w:szCs w:val="20"/>
        </w:rPr>
        <w:fldChar w:fldCharType="end"/>
      </w:r>
      <w:r>
        <w:rPr>
          <w:rFonts w:asciiTheme="majorHAnsi" w:hAnsiTheme="majorHAnsi"/>
          <w:sz w:val="20"/>
          <w:szCs w:val="20"/>
        </w:rPr>
        <w:t xml:space="preserve">: </w:t>
      </w:r>
      <w:r>
        <w:rPr>
          <w:rFonts w:asciiTheme="majorHAnsi" w:hAnsiTheme="majorHAnsi"/>
          <w:b w:val="0"/>
          <w:bCs w:val="0"/>
          <w:sz w:val="20"/>
          <w:szCs w:val="20"/>
        </w:rPr>
        <w:t>Data-driven decision-making in organizations worldwide in 2018 and 2020.</w:t>
      </w:r>
    </w:p>
    <w:p w14:paraId="5DF6D701" w14:textId="77777777" w:rsidR="00B31F36" w:rsidRDefault="00B31F36" w:rsidP="00B31F36">
      <w:pPr>
        <w:pStyle w:val="Lgende"/>
        <w:spacing w:after="0"/>
        <w:jc w:val="both"/>
        <w:rPr>
          <w:rFonts w:asciiTheme="majorHAnsi" w:hAnsiTheme="majorHAnsi"/>
          <w:b w:val="0"/>
          <w:bCs w:val="0"/>
          <w:sz w:val="20"/>
          <w:szCs w:val="20"/>
        </w:rPr>
      </w:pPr>
      <w:r>
        <w:rPr>
          <w:rFonts w:asciiTheme="majorHAnsi" w:hAnsiTheme="majorHAnsi"/>
          <w:sz w:val="20"/>
          <w:szCs w:val="20"/>
        </w:rPr>
        <w:t>Source:</w:t>
      </w:r>
      <w:r>
        <w:rPr>
          <w:rFonts w:asciiTheme="majorHAnsi" w:hAnsiTheme="majorHAnsi"/>
          <w:b w:val="0"/>
          <w:bCs w:val="0"/>
          <w:sz w:val="20"/>
          <w:szCs w:val="20"/>
        </w:rPr>
        <w:t xml:space="preserve"> Capgemini Research Institute, Digital Mastery Survey; April–May 2018, N=1,338 respondents, 757 organizations.</w:t>
      </w:r>
    </w:p>
    <w:p w14:paraId="61A316B4" w14:textId="77777777" w:rsidR="00B31F36" w:rsidRDefault="00B31F36" w:rsidP="00B31F36">
      <w:pPr>
        <w:spacing w:after="0" w:line="240" w:lineRule="auto"/>
        <w:jc w:val="both"/>
        <w:rPr>
          <w:rFonts w:asciiTheme="majorHAnsi" w:hAnsiTheme="majorHAnsi"/>
          <w:sz w:val="20"/>
          <w:szCs w:val="20"/>
        </w:rPr>
      </w:pPr>
    </w:p>
    <w:p w14:paraId="48AAF352"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 xml:space="preserve">Consequently, MCDM techniques have captured the interest of both researchers and industrials in recent years, while machine learning (ML) has made remarkable progress over almost the same time span, infiltrating many industrial processes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{"citationID":"CPUdkhsa","properties":{"formattedCitation":"(Li et al., 2022)","plainCitation":"(Li et al., 2022)","noteIndex":0},"citationItems":[{"id":512,"uris":["http://zotero.org/users/local/J2gD9SYp/items/7PTE6M8D"],"itemData":{"id":512,"type":"article-journal","abstract":"Under the trend of economic globalization, intelligent manufacturing has attracted a lot of attention from academic and industry. Related enabling technologies make manufacturing industry more intelligent. As one of the key technologies in artificial intelligence, big data driven analysis improves the market competitiveness of manufacturing industry by mining the hidden knowledge value and potential ability of industrial big data, and helps enterprise leaders make wise decisions in various complex manufacturing environments. This paper provides a theoretical analysis basis for big data-driven technology to guide decision-making in intelligent manufacturing, fully demonstrating the practicability of big data-driven technology in the intelligent manufacturing industry, including key advantages and internal motivation. A conceptual framework of intelligent decision-making based on industrial big data-driven technology is proposed in this study, which provides valuable insights and thoughts for the severe challenges and future research directions in this field. © 2021 Karabuk University","archive":"Scopus","container-title":"Engineering Science and Technology, an International Journal","DOI":"10.1016/j.jestch.2021.06.001","language":"English","title":"A review of industrial big data for decision making in intelligent manufacturing","URL":"https://www.scopus.com/inward/record.uri?eid=2-s2.0-85108848158&amp;doi=10.1016%2fj.jestch.2021.06.001&amp;partnerID=40&amp;md5=2d266c1c6e502e742083256949c93231","volume":"29","author":[{"family":"Li","given":"C."},{"family":"Chen","given":"Y."},{"family":"Shang","given":"Y."}],"issued":{"date-parts":[["2022"]]}}}],"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(Li et al., 2022)</w:t>
      </w:r>
      <w:r>
        <w:rPr>
          <w:rFonts w:asciiTheme="majorHAnsi" w:hAnsiTheme="majorHAnsi"/>
          <w:sz w:val="20"/>
          <w:szCs w:val="20"/>
        </w:rPr>
        <w:fldChar w:fldCharType="end"/>
      </w:r>
      <w:r>
        <w:rPr>
          <w:rFonts w:asciiTheme="majorHAnsi" w:hAnsiTheme="majorHAnsi"/>
          <w:sz w:val="20"/>
          <w:szCs w:val="20"/>
        </w:rPr>
        <w:t xml:space="preserve">. Particularly in decision-making, artificial intelligence (AI) solutions are increasingly being used to reduce complexity and overcome cognitive burden, resulting in an intelligent decision support system capable of tackling intricate, imprecise, and poorly structured problems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{"citationID":"wY42cfnw","properties":{"formattedCitation":"(Banja, 2020)","plainCitation":"(Banja, 2020)","noteIndex":0},"citationItems":[{"id":5426,"uris":["http://zotero.org/users/local/J2gD9SYp/items/EQLHN9IX"],"itemData":{"id":5426,"type":"article-journal","abstract":"In the modern conditions of business, it becomes more relevant to use the artificial intelligence methods or technologies for decision making. Case-oriented and rule-base oriented modern business processes use sophisticated intelligent reasoning techniques to solve complex problems in a flexible and dynamic business environment. Big data analyses, information processing and knowledge induction are provided using different families of artificial neural networks and fuzzy logic. Evolutionary and meta-heuristic algorithms are used for solving multi-objective and parameter-optimization problems. Use of artificial intelligence gives new possibilities and opportunities for improving decision making and leads to a new wave of innovation.","language":"en","source":"Zotero","title":"Artificial Intelligence Techniques in Business Decision Making","author":[{"family":"Banja","given":"Vrnjačka"}],"issued":{"date-parts":[["2020",9]]}}}],"schema":"https://github.com/citation-style-language/schema/raw/master/csl-citation.json"}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(Banja, 2020)</w:t>
      </w:r>
      <w:r>
        <w:rPr>
          <w:rFonts w:asciiTheme="majorHAnsi" w:hAnsiTheme="majorHAnsi"/>
          <w:sz w:val="20"/>
          <w:szCs w:val="20"/>
        </w:rPr>
        <w:fldChar w:fldCharType="end"/>
      </w:r>
      <w:r>
        <w:rPr>
          <w:rFonts w:asciiTheme="majorHAnsi" w:hAnsiTheme="majorHAnsi"/>
          <w:sz w:val="20"/>
          <w:szCs w:val="20"/>
        </w:rPr>
        <w:t>.</w:t>
      </w:r>
    </w:p>
    <w:p w14:paraId="61457B43"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Although many studies suggest methods to support decision-making, the relevance of their outputs remains questionable since they tend to propose a general strategy that does not take into account the company's particular capabilities and goals. Having identified this gap and realizing the high demand for autonomous and automated decisional intelligence that includes more efficient multi-criteria decision-making approaches and soft computing, we developed a dynamic technique to help in this regard.</w:t>
      </w:r>
    </w:p>
    <w:p w14:paraId="41969773" w14:textId="77777777" w:rsidR="00B31F36" w:rsidRDefault="00B31F36" w:rsidP="00B31F36">
      <w:pPr>
        <w:spacing w:after="0" w:line="240" w:lineRule="auto"/>
        <w:jc w:val="both"/>
        <w:rPr>
          <w:rFonts w:asciiTheme="majorHAnsi" w:hAnsiTheme="majorHAnsi"/>
          <w:sz w:val="20"/>
          <w:szCs w:val="20"/>
        </w:rPr>
      </w:pPr>
    </w:p>
    <w:p w14:paraId="493CF603"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The suggested solution, consist of an intelligent decision support model that includes determining criteria, defining the problem to be solved, and searching for alternative solutions compared and contrasted with the invocation of relevant criteria while considering real-time performance data in order to choose the best action to be implemented.</w:t>
      </w:r>
    </w:p>
    <w:p w14:paraId="42B6A5C2" w14:textId="77777777" w:rsidR="00B31F36" w:rsidRDefault="00B31F36" w:rsidP="00B31F36">
      <w:pPr>
        <w:spacing w:after="0" w:line="240" w:lineRule="auto"/>
        <w:jc w:val="both"/>
        <w:rPr>
          <w:rFonts w:asciiTheme="majorHAnsi" w:hAnsiTheme="majorHAnsi"/>
          <w:sz w:val="20"/>
          <w:szCs w:val="20"/>
        </w:rPr>
      </w:pPr>
    </w:p>
    <w:p w14:paraId="7401E70E"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The presentation of work carried out is organized around the following strategy: Firstly, related work focusing on performance measurement and MCDM applications are introduced in section II while emphasizing the paper's contribution and novelty. Section III provides details of the building blocks of the methodology. Then, section IV presents the results of the proposed methodology. Finally, the findings are summarized, and suggestions for future are outlined Section V.</w:t>
      </w:r>
    </w:p>
    <w:p w14:paraId="0809ED4A" w14:textId="77777777" w:rsidR="00B31F36" w:rsidRDefault="00B31F36" w:rsidP="00B31F36">
      <w:pPr>
        <w:spacing w:after="0" w:line="240" w:lineRule="auto"/>
        <w:jc w:val="both"/>
        <w:rPr>
          <w:rFonts w:asciiTheme="majorHAnsi" w:hAnsiTheme="majorHAnsi"/>
          <w:sz w:val="20"/>
          <w:szCs w:val="20"/>
        </w:rPr>
      </w:pPr>
    </w:p>
    <w:p w14:paraId="7FE0E441" w14:textId="77777777" w:rsidR="00B31F36" w:rsidRDefault="00B31F36" w:rsidP="00B31F36">
      <w:pPr>
        <w:pStyle w:val="Titre1"/>
        <w:spacing w:before="0" w:line="240" w:lineRule="auto"/>
        <w:ind w:left="270" w:hanging="270"/>
        <w:jc w:val="both"/>
        <w:rPr>
          <w:b/>
          <w:bCs/>
          <w:sz w:val="20"/>
          <w:szCs w:val="20"/>
        </w:rPr>
      </w:pPr>
      <w:r>
        <w:rPr>
          <w:b/>
          <w:bCs/>
          <w:sz w:val="20"/>
          <w:szCs w:val="20"/>
        </w:rPr>
        <w:t>Literature review</w:t>
      </w:r>
    </w:p>
    <w:p w14:paraId="71A1908A" w14:textId="77777777" w:rsidR="00B31F36" w:rsidRDefault="00B31F36" w:rsidP="00B31F36">
      <w:pPr>
        <w:spacing w:after="0" w:line="240" w:lineRule="auto"/>
        <w:jc w:val="both"/>
        <w:rPr>
          <w:rFonts w:asciiTheme="majorHAnsi" w:hAnsiTheme="majorHAnsi"/>
          <w:sz w:val="20"/>
          <w:szCs w:val="20"/>
        </w:rPr>
      </w:pPr>
    </w:p>
    <w:p w14:paraId="5E32F2F2"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While seeking continuous performance improve- ment in today ’s increasingly competitive market, industrials are constantly faced with complex situation involving substantial amount of data, various factors and multiple objectives to be optimized simultaneously.</w:t>
      </w:r>
      <w:r>
        <w:rPr>
          <w:rFonts w:asciiTheme="majorHAnsi" w:hAnsiTheme="majorHAnsi"/>
          <w:strike/>
          <w:color w:val="FFFFFF" w:themeColor="background1"/>
          <w:sz w:val="20"/>
          <w:szCs w:val="20"/>
        </w:rPr>
        <w:t xml:space="preserve"> </w:t>
      </w:r>
    </w:p>
    <w:p w14:paraId="639F0EA5"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 xml:space="preserve">In the literature, operational decision-making is associated with Multiple-criteria decision-making (MCDM), with research exposing a wide range of MCDM methodologies' applications to solve variety of decision-making problems within the industrial framework. The Analytic Hierarchy Process (AHP), in particular, is being widely adopted to address a variety of decisional problems such as supplier selection considering criteria drawn from the literature namely: price, quality, delivery and service divided into sub-criterions and weighted based on experts’ opinions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{"citationID":"2PaalCqD","properties":{"formattedCitation":"(Dweiri et al., 2016)","plainCitation":"(Dweiri et al., 2016)","noteIndex":0},"citationItems":[{"id":4209,"uris":["http://zotero.org/users/local/J2gD9SYp/items/YJ42PESK"],"itemData":{"id":4209,"type":"article-journal","abstract":"Purpose The purpose of this paper is to propose a decision support model for supplier selection based on analytic hierarchy process (AHP) using a case of automotive industry in a developing country of Pakistan and further performs sensitivity analysis to check the robustness of the supplier selection decision. Methodology The model starts by identifying the main criteria (price, quality, delivery and service) using literature review and ranking the main criteria based on experts’ opinions using AHP. The second stage in the adopted methodology is the identification of sub criteria and ranking them on the basis of main criteria. Lastly perform sensitivity analysis to check the robustness of the decision using Expert Choice</w:instrText>
      </w:r>
      <w:r>
        <w:rPr>
          <w:rFonts w:ascii="Times New Roman" w:hAnsi="Times New Roman" w:cs="Times New Roman"/>
          <w:sz w:val="20"/>
          <w:szCs w:val="20"/>
        </w:rPr>
        <w:instrText>ۛ</w:instrText>
      </w:r>
      <w:r>
        <w:rPr>
          <w:rFonts w:asciiTheme="majorHAnsi" w:hAnsiTheme="majorHAnsi"/>
          <w:sz w:val="20"/>
          <w:szCs w:val="20"/>
        </w:rPr>
        <w:instrText xml:space="preserve"> software. Findings The suppliers are selected and ranked based on sub criteria. Sensitivity analysis suggests the effects of changes in the main criteria on the suppliers ranking. The use of AHP in the supplier selection gives the decision maker the confidence of the consistency and the robustness throughout the process. Practical implications The AHP methodology adopted in this study provides managers in automotive industry in Pakistan with the insights of the various factors that need to be considered while selecting suppliers for their organizations. The selected approach also aids them in prioritizing the criterion. Managers can utilize the hierarchical structure of adopted supplier selection methodology suggested in this study to rank the suppliers on the basis of various factors/criteria. Originality/value This study makes three novel contributions in supplier selection area. First, AHP is applied to automotive industry and use of AHP in the supplier selection gives decision maker the confidence of the consistency. Second, sensitivity analysis enables in understanding the effects of changes in the main criteria on the suppliers ranking and help decision maker to check the robustness throughout the process. Last, we find it important to come with a simple methodology for managers of automotive industry so that they can select the best suppliers. Moreover, this approach will also help managers in dividing the complex decision making problem into simpler hierarchy. © 2016 Elsevier Ltd","archive":"Scopus","container-title":"Expert Systems with Applications","DOI":"10.1016/j.eswa.2016.06.030","language":"English","page":"273-283","title":"Designing an integrated AHP based decision support system for supplier selection in automotive industry","volume":"62","author":[{"family":"Dweiri","given":"F."},{"family":"Kumar","given":"S."},{"family":"Khan","given":"S.A."},{"family":"Jain","given":"V."}],"issued":{"date-parts":[["2016"]]}}}],"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(Dweiri et al., 2016)</w:t>
      </w:r>
      <w:r>
        <w:rPr>
          <w:rFonts w:asciiTheme="majorHAnsi" w:hAnsiTheme="majorHAnsi"/>
          <w:sz w:val="20"/>
          <w:szCs w:val="20"/>
        </w:rPr>
        <w:fldChar w:fldCharType="end"/>
      </w:r>
      <w:r>
        <w:rPr>
          <w:rFonts w:asciiTheme="majorHAnsi" w:hAnsiTheme="majorHAnsi"/>
          <w:sz w:val="20"/>
          <w:szCs w:val="20"/>
        </w:rPr>
        <w:t xml:space="preserve">. Another example is IoT process selection that was similarly approached using the outputs of a biometric literature review that revealed the following decision criteria: reliability, security, business, mobility, and heterogeneity as well as their respective weights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{"citationID":"NmvfQoQ1","properties":{"formattedCitation":"(Dur\\uc0\\u227{}o et al., 2018)","plainCitation":"(Durão et al., 2018)","noteIndex":0},"citationItems":[{"id":5400,"uris":["http://zotero.org/users/local/J2gD9SYp/items/77Y5JZAW"],"itemData":{"id":5400,"type":"article-journal","abstract":"The Internet of Things (IoT) has become an important agenda in the advanced manufacturing environment. In order to encourage IoT application and assure an appropriate selection of processes to be improved by IoT technology, a group of analysis criteria must be highlighted to give the companies a tool to perform the correct selection. This study aims to propose a model for selecting IoT technology. The research design combines a systematic literature review, applying bibliometrics and content analysis, with case application and refinement. An application was carried out in an IoT hardware company, incorporating it at a solvent recycling machine. A second application was performed in a seedling selection machine producer. As a result, a model for selecting IoT technology is presented, which consists of four phases—process modeling, grading, weighting, and final selection. The model applies an analytic hierarchy process (AHP) based on the following criteria: reliability, security, business, mobility, and heterogeneity. The results also suggest IoT selection is related to the ability of combining different criteria related to the system and technology selection to install IoT solutions. Finally, issues related to the system characteristics other than technology are becoming more cited in the literature in the last 5 years concluding that selecting IoT technology is a complex activity that needs to be improved, especially in the years to come.","container-title":"The International Journal of Advanced Manufacturing Technology","DOI":"10.1007/s00170-018-2617-2","ISSN":"0268-3768, 1433-3015","issue":"9-12","journalAbbreviation":"Int J Adv Manuf Technol","language":"en","page":"2623-2634","source":"DOI.org (Crossref)","title":"Internet of Things process selection: AHP selection method","title-short":"Internet of Things process selection","volume":"99","author":[{"family":"Durão","given":"Luiz Fernando C. S."},{"family":"Carvalho","given":"Marly M."},{"family":"Takey","given":"Silvia"},{"family":"Cauchick-Miguel","given":"Paulo A."},{"family":"Zancul","given":"Eduardo"}],"issued":{"date-parts":[["2018",12]]}}}],"schema":"https://github.com/citation-style-language/schema/raw/master/csl-citation.json"}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(Durão et al., 2018)</w:t>
      </w:r>
      <w:r>
        <w:rPr>
          <w:rFonts w:asciiTheme="majorHAnsi" w:hAnsiTheme="majorHAnsi"/>
          <w:sz w:val="20"/>
          <w:szCs w:val="20"/>
        </w:rPr>
        <w:fldChar w:fldCharType="end"/>
      </w:r>
      <w:r>
        <w:rPr>
          <w:rFonts w:asciiTheme="majorHAnsi" w:hAnsiTheme="majorHAnsi"/>
          <w:sz w:val="20"/>
          <w:szCs w:val="20"/>
        </w:rPr>
        <w:t xml:space="preserve">; AHP is also used to address maintenance strategy related problems, such as determining which equipment shall be properly maintained first based on collected sensor data and weights computed using Bayesian Networks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{"citationID":"nyNDSEXr","properties":{"formattedCitation":"(Lima et al., 2019)","plainCitation":"(Lima et al., 2019)","noteIndex":0},"citationItems":[{"id":5410,"uris":["http://zotero.org/users/local/J2gD9SYp/items/NC8FBAEY"],"itemData":{"id":5410,"type":"article-journal","container-title":"IFAC-PapersOnLine","DOI":"10.1016/j.ifacol.2019.11.524","ISSN":"24058963","issue":"13","journalAbbreviation":"IFAC-PapersOnLine","language":"en","page":"2152-2157","source":"DOI.org (Crossref)","title":"Applying machine learning to AHP multicriteria decision making method to assets prioritization in the context of industrial maintenance 4.0","volume":"52","author":[{"family":"Lima","given":"Erick"},{"family":"Gorski","given":"Ewerton"},{"family":"Loures","given":"Eduardo F.R."},{"family":"Santos","given":"Eduardo A. Portela"},{"family":"Deschamps","given":"Fernando"}],"issued":{"date-parts":[["2019"]]}}}],"schema":"https://github.com/citation-style-language/schema/raw/master/csl-citation.json"}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(Lima et al., 2019)</w:t>
      </w:r>
      <w:r>
        <w:rPr>
          <w:rFonts w:asciiTheme="majorHAnsi" w:hAnsiTheme="majorHAnsi"/>
          <w:sz w:val="20"/>
          <w:szCs w:val="20"/>
        </w:rPr>
        <w:fldChar w:fldCharType="end"/>
      </w:r>
      <w:r>
        <w:rPr>
          <w:rFonts w:asciiTheme="majorHAnsi" w:hAnsiTheme="majorHAnsi"/>
          <w:sz w:val="20"/>
          <w:szCs w:val="20"/>
        </w:rPr>
        <w:t>. The widespread use of AHP is primarily because it is one of the outperforming and easiest methods under MCDM that detects and minimizes inconsistencies in opinion</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{"citationID":"hkk32B1a","properties":{"formattedCitation":"(Aziz et al., 2016; Wu and Tiao, 2018)","plainCitation":"(Aziz et al., 2016; Wu and Tiao, 2018)","noteIndex":0},"citationItems":[{"id":5420,"uris":["http://zotero.org/users/local/J2gD9SYp/items/V6T82Z23"],"itemData":{"id":5420,"type":"article-journal","abstract":"Analytic Hierarchy Process (AHP) is among the most popular methods of decision-makings. This article contains the tutorial document composed of a short discussion on AHP presented at the International conference on “Proceedings of Engineering Technology International Conference”. The conference would be held at Bali, Indonesia during August 10-11, 2015. The paper starts with the short review of Multi-criteria Decision Making and AHP. Then it discusses about the techniques and formulae that are used in the AHP decision-making method. Lastly, this paper recommends AHP to future researchers and professionals with highlights of the reasons to use the methodology process when engaged in complex decision-making problems.","issue":"11","language":"en","source":"Zotero","title":"MCDM-AHP METHOD IN DECISION MAKINGS","volume":"11","author":[{"family":"Aziz","given":"Nor Filianie"},{"family":"Sorooshian","given":"Shahryar"},{"family":"Mahmud","given":"Fatimah"}],"issued":{"date-parts":[["2016"]]}}},{"id":5377,"uris":["http://zotero.org/users/local/J2gD9SYp/items/TXC8VYMW"],"itemData":{"id":5377,"type":"article-journal","abstract":"Multiple criteria decision-making (MCDM) methods have various practical applications. Decision-makers face MCDM problems with conflicting criteria daily. Hence, MCDM methods have been developed to enable decision-makers to enhance decision quality. MCDM methods use various calculation approaches to evaluate the rank of alternatives. However, little evidence supports the consistency between the alternative chosen by the MCDM method and the decision-maker’s intuitive ideal alternative. Therefore, the objective of this study is to develop an operational validation scheme to examine and compare the effectiveness of MCDM methods. In the validation scheme, control variables include the number of alternatives, number of criteria, data set distributions, and nondominated data set options (Pareto efficient frontier or complete data set). We also add three weight distributions, namely uniform weights, rank order centroid weights, and rank sum weights, to determine the effect of weights on the MCDM methods. We test linear, quadratic, Chebycheff, and prospect utility functions. In addition to the compensatory, noncompensatory, and partially compensatory utility functions, we use the prospect theory utility function. Mean absolute rank deviation and Kendall’s statistical rank test, are applied to examine the effectiveness of the methods. To show the viability, this study illustrates the proposed scheme by an evaluation process of numerical comparisons among common MCDM methods including technique for order preference by similarity to ideal solution (TOPSIS), VlseKriterijumska Optimizacija I Kompromisno Resenje (VIKOR), elimination et choix traduisant la realité (ELECTRE), the piecewise linear prospect (PLP) theory method, and Analytic Hierarchy Process (AHP). Moreover, method-oriented parameter settings such as normalization methods, distance functions, VIKOR’s v, and ELECTRE’s thresholds are examined. Through the aforementioned settings, we compare the MCDM methods’ ranks with the decision-maker’s ranks by using assumed preference utility functions. The results reveal that interactive MCDM methods such as PLP and AHP outperform the others in terms of rank consistency. However, the performance of the MCDM methods is affected by the percentage of existing efficient solutions. More investigations into the applicability of the utility functions in various situations are suggested.","container-title":"Applied Soft Computing","DOI":"10.1016/j.asoc.2017.04.054","ISSN":"15684946","journalAbbreviation":"Applied Soft Computing","language":"en","page":"866-872","source":"DOI.org (Crossref)","title":"A validation scheme for intelligent and effective multiple criteria decision-making","volume":"68","author":[{"family":"Wu","given":"Jei-Zheng"},{"family":"Tiao","given":"Pei-Jen"}],"issued":{"date-parts":[["2018",7]]}}}],"schema":"https://github.com/citation-style-language/schema/raw/master/csl-citation.json"}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(Aziz et al., 2016; Wu and Tiao, 2018)</w:t>
      </w:r>
      <w:r>
        <w:rPr>
          <w:rFonts w:asciiTheme="majorHAnsi" w:hAnsiTheme="majorHAnsi"/>
          <w:sz w:val="20"/>
          <w:szCs w:val="20"/>
        </w:rPr>
        <w:fldChar w:fldCharType="end"/>
      </w:r>
      <w:r>
        <w:rPr>
          <w:rFonts w:asciiTheme="majorHAnsi" w:hAnsiTheme="majorHAnsi"/>
          <w:sz w:val="20"/>
          <w:szCs w:val="20"/>
        </w:rPr>
        <w:t>.</w:t>
      </w:r>
    </w:p>
    <w:p w14:paraId="6801BCE3" w14:textId="77777777" w:rsidR="00B31F36" w:rsidRDefault="00B31F36" w:rsidP="00B31F36">
      <w:pPr>
        <w:spacing w:after="0" w:line="240" w:lineRule="auto"/>
        <w:jc w:val="both"/>
        <w:rPr>
          <w:rFonts w:asciiTheme="majorHAnsi" w:hAnsiTheme="majorHAnsi"/>
          <w:sz w:val="20"/>
          <w:szCs w:val="20"/>
        </w:rPr>
      </w:pPr>
    </w:p>
    <w:p w14:paraId="25B82E5A"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 xml:space="preserve">Another important aspect of industrial performance related decision-making is key performance Indicators (KPIs) selection, since they are used as a management tool to analyze an organization's current performance and design improvements strategies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{"citationID":"AkV03poO","properties":{"formattedCitation":"(Graham et al., 2015)","plainCitation":"(Graham et al., 2015)","noteIndex":0},"citationItems":[{"id":5376,"uris":["http://zotero.org/users/local/J2gD9SYp/items/F6TETPUP"],"itemData":{"id":5376,"type":"article-journal","abstract":"The paper provides a brief background to remanufacturing and the general use of Performance Measurement and Key Performance Indicators (KPIs) before introducing selected and newly formulated KPIs designed specifically for remanufacturing. Their relationships with the remanufacturing challenges faced by two contrasting remanufacturing businesses and the wider reman industry are described in detail. Subsets of KPIs forming a ‘Balanced Scorecard’ for each of the two remanufacturing cases conclude the paper. They arise through close working with Centro Ricerche FIAT (CRF) and SKF, and are triangulated by literature review and wider expert interviews. The two businesses represent contrasting remanufacturing scenarios: well-established high-volume low-margin automotive engine remanufacturing by the OEM ( &gt;1000 units per year, &lt; €10 k per unit) verses low-volume high-value wind turbine gearbox reman by an independent start-up ( &lt; 100 units per year, &gt; €100 k per unit). The 10 general production engineering KPIs selected for the reman KPI toolbox are as follows: Work In Progress (WIP), Overall Equipment Effectiveness (OEE), Lead Time (LT), Cycle Time (CT), Hours Per Unit (HPU), Product Margin (PM), Quotation Accuracy (QA), Number of Concessions (NC), Number of managed mBOMs (BOM), and Personnel Saturation (PS). The Eco KPIs selected are: Material Used (MU), Recycled Material Used (RMU), Direct Energy Consumption (ECD), Indirect Energy Consumption (ECI), Water Withdrawal (WW), Green House Gas emissions (GHG), Total Waste (TW) by weight. The 8 Remanufacturing KPIs compiled and formulated as part of this research are: Core / Product Ratio (CPR), Core / Product Value Ratio (CPV), New Component Costs (NCC), Component Salvage Rate (SRC), Product Salvage Rate (SRP), Core Disposal Rate (CDR), Core Class Accuracy (CCA), and Core Class Distribution (CCD).","container-title":"Journal of Remanufacturing","DOI":"10.1186/s13243-015-0019-2","ISSN":"2210-4690","issue":"1","journalAbbreviation":"Jnl Remanufactur","language":"en","page":"10","source":"DOI.org (Crossref)","title":"Performance measurement and KPIs for remanufacturing","volume":"5","author":[{"family":"Graham","given":"Ian"},{"family":"Goodall","given":"Paul"},{"family":"Peng","given":"Yi"},{"family":"Palmer","given":"Claire"},{"family":"West","given":"Andrew"},{"family":"Conway","given":"Paul"},{"family":"Mascolo","given":"Julien Etienne"},{"family":"Dettmer","given":"Fritz Ulrich"}],"issued":{"date-parts":[["2015",12]]}}}],"schema":"https://github.com/citation-style-language/schema/raw/master/csl-citation.json"}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(Graham et al., 2015)</w:t>
      </w:r>
      <w:r>
        <w:rPr>
          <w:rFonts w:asciiTheme="majorHAnsi" w:hAnsiTheme="majorHAnsi"/>
          <w:sz w:val="20"/>
          <w:szCs w:val="20"/>
        </w:rPr>
        <w:fldChar w:fldCharType="end"/>
      </w:r>
      <w:r>
        <w:rPr>
          <w:rFonts w:asciiTheme="majorHAnsi" w:hAnsiTheme="majorHAnsi"/>
          <w:sz w:val="20"/>
          <w:szCs w:val="20"/>
        </w:rPr>
        <w:t>.</w:t>
      </w:r>
    </w:p>
    <w:p w14:paraId="25D6FD07"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fldChar w:fldCharType="begin"/>
      </w:r>
      <w:r>
        <w:rPr>
          <w:rFonts w:asciiTheme="majorHAnsi" w:hAnsiTheme="majorHAnsi"/>
          <w:sz w:val="20"/>
          <w:szCs w:val="20"/>
        </w:rPr>
        <w:instrText xml:space="preserve"> ADDIN ZOTERO_ITEM CSL_CITATION {"citationID":"WcMG1XPj","properties":{"formattedCitation":"(Cagno et al., 2019)","plainCitation":"(Cagno et al., 2019)","noteIndex":0},"citationItems":[{"id":5433,"uris":["http://zotero.org/users/local/J2gD9SYp/items/D2US85UY"],"itemData":{"id":5433,"type":"article-journal","abstract":"Improved sustainability of industrial activities and measurement of its performance are becoming prime topics of discussion among policy-makers and industrial decision-makers. The current literature proposes a number of performance measurement systems and related indicators, but mainly lacks a real capability to address all sustainability pillars and their intersections, as well as scalability to ﬁrms of different sizes, availability of internal resources, and maturity over sustainability issues, suggesting that further research is needed in this area. Building on the literature, our work develops a new framework for the evaluation of industrial sustainability performance, proposing three different Industrial Sustainability Performance Measurement Systems (ISPMSs), with a decreasing number of indicators suitable in different contexts of application. In the framework, selection mechanisms have been conceived and used to reduce the number of indicators considered, while still guaranteeing complete and adequate coverage of all sustainability pillars, as well as their intersections. The framework has been tested through semistructured case studies in heterogeneous Northern Italian manufacturing ﬁrms. The preliminary results are sound as the different ISPMSs proved to be complete, useful, and easy to use. The proposed ISPMSs provide industrial decision-makers with a scalable framework applicable in different contexts, allowing benchmarking and development of speciﬁc implementation strategies for increased sustainability, and provide policy-makers with a framework to develop a more effective regulatory policy, better understanding how sustainability performance can be addressed in an integrated manner across industrial ﬁrms.","container-title":"Journal of Cleaner Production","DOI":"10.1016/j.jclepro.2019.05.021","ISSN":"09596526","journalAbbreviation":"Journal of Cleaner Production","language":"en","page":"1354-1375","source":"DOI.org (Crossref)","title":"Industrial sustainability performance measurement systems: A novel framework","title-short":"Industrial sustainability performance measurement systems","volume":"230","author":[{"family":"Cagno","given":"Enrico"},{"family":"Neri","given":"Alessandra"},{"family":"Howard","given":"Mickey"},{"family":"Brenna","given":"Gianluca"},{"family":"Trianni","given":"Andrea"}],"issued":{"date-parts":[["2019",9]]}}}],"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(Cagno et al., 2019)</w:t>
      </w:r>
      <w:r>
        <w:rPr>
          <w:rFonts w:asciiTheme="majorHAnsi" w:hAnsiTheme="majorHAnsi"/>
          <w:sz w:val="20"/>
          <w:szCs w:val="20"/>
        </w:rPr>
        <w:fldChar w:fldCharType="end"/>
      </w:r>
      <w:r>
        <w:rPr>
          <w:rFonts w:asciiTheme="majorHAnsi" w:hAnsiTheme="majorHAnsi"/>
          <w:sz w:val="20"/>
          <w:szCs w:val="20"/>
        </w:rPr>
        <w:t xml:space="preserve"> Propose an Industrial Sustainability Performance Measurement System with 104 indicators clustered into three performance areas: economic, social, and environmental. The model's refinement yielded an intermediate variant containing 76 essential indicators and a core variant with no more than 44 basic indicators more accessible considering company's level of maturity and available resources. However, the model incorporates fewer operational performance indicators as it was designed to be generic and generalizable which makes it more suited for gaining an understanding of the company's overall performance rather than operational decision-making.</w:t>
      </w:r>
    </w:p>
    <w:p w14:paraId="43B5B036" w14:textId="77777777" w:rsidR="00B31F36" w:rsidRDefault="00B31F36" w:rsidP="00B31F36">
      <w:pPr>
        <w:spacing w:after="0" w:line="240" w:lineRule="auto"/>
        <w:jc w:val="both"/>
        <w:rPr>
          <w:rFonts w:asciiTheme="majorHAnsi" w:hAnsiTheme="majorHAnsi"/>
          <w:sz w:val="20"/>
          <w:szCs w:val="20"/>
          <w:lang w:val="fr-FR"/>
        </w:rPr>
      </w:pPr>
      <w:r>
        <w:rPr>
          <w:rFonts w:asciiTheme="majorHAnsi" w:hAnsiTheme="majorHAnsi"/>
          <w:sz w:val="20"/>
          <w:szCs w:val="20"/>
        </w:rPr>
        <w:t xml:space="preserve">In another study </w:t>
      </w:r>
      <w:r>
        <w:rPr>
          <w:rFonts w:asciiTheme="majorHAnsi" w:hAnsiTheme="majorHAnsi"/>
          <w:b/>
          <w:bCs/>
          <w:sz w:val="20"/>
          <w:szCs w:val="20"/>
        </w:rPr>
        <w:fldChar w:fldCharType="begin"/>
      </w:r>
      <w:r>
        <w:rPr>
          <w:rFonts w:asciiTheme="majorHAnsi" w:hAnsiTheme="majorHAnsi"/>
          <w:b/>
          <w:bCs/>
          <w:sz w:val="20"/>
          <w:szCs w:val="20"/>
        </w:rPr>
        <w:instrText xml:space="preserve"> ADDIN ZOTERO_ITEM CSL_CITATION {"citationID":"VdW18n7s","properties":{"formattedCitation":"(Mourtzis et al., 2018)","plainCitation":"(Mourtzis et al., 2018)","noteIndex":0},"citationItems":[{"id":46,"uris":["http://zotero.org/users/local/J2gD9SYp/items/D3XPXTBE"],"itemData":{"id":46,"type":"article-journal","abstract":"During the last decade, as a result of their constant urge to retain sustainability, companies have shifted to the product-service system (PSS) business model, in an effort to gain competitive advantages. PSS providers have realized the importance of offering highly perceived solutions; thus, the necessity of monitoring the performance of PSSs and evaluating them has intensified. However, not much work has been conducted toward that direction, especially focusing on its practical application. In the current work, a holistic approach for PSS evaluation using key performance indicators (KPIs) is proposed, extending to all its lifecycle phases and covering aspects from both provider's and customer's perspectives. A software tool was developed to assist the decision maker in the selection of appropriate KPIs to monitor for PSS evaluation and additionally, to offer KPIs data collection, storage, processing, and visualization capabilities. The proposed methodology was applied in a real industrial case of the mold making area to validate its results.","container-title":"Journal of Computing and Information Science in Engineering","DOI":"10.1115/1.4040340","ISSN":"1530-9827, 1944-7078","issue":"4","language":"en","page":"041005","source":"DOI.org (Crossref)","title":"Development of a Key Performance Indicator Assessment Methodology and Software Tool for Product-Service System Evaluation and Decision-Making Support","volume":"18","author":[{"family":"Mourtzis","given":"Dimitris"},{"family":"Papatheodorou","given":"Anna-Maria"},{"family":"Fotia","given":"Sophia"}],"issued":{"date-parts":[["2018",12,1]]}}}],"schema":"https://github.com/citation-style-language/schema/raw/master/csl-citation.json"} </w:instrText>
      </w:r>
      <w:r>
        <w:rPr>
          <w:rFonts w:asciiTheme="majorHAnsi" w:hAnsiTheme="majorHAnsi"/>
          <w:b/>
          <w:bCs/>
          <w:sz w:val="20"/>
          <w:szCs w:val="20"/>
        </w:rPr>
        <w:fldChar w:fldCharType="separate"/>
      </w:r>
      <w:r>
        <w:rPr>
          <w:rFonts w:asciiTheme="majorHAnsi" w:hAnsiTheme="majorHAnsi" w:cs="Calibri"/>
          <w:sz w:val="20"/>
          <w:szCs w:val="20"/>
        </w:rPr>
        <w:t>(Mourtzis et al., 2018)</w:t>
      </w:r>
      <w:r>
        <w:rPr>
          <w:rFonts w:asciiTheme="majorHAnsi" w:hAnsiTheme="majorHAnsi"/>
          <w:b/>
          <w:bCs/>
          <w:sz w:val="20"/>
          <w:szCs w:val="20"/>
        </w:rPr>
        <w:fldChar w:fldCharType="end"/>
      </w:r>
      <w:r>
        <w:rPr>
          <w:rFonts w:asciiTheme="majorHAnsi" w:hAnsiTheme="majorHAnsi"/>
          <w:b/>
          <w:bCs/>
          <w:sz w:val="20"/>
          <w:szCs w:val="20"/>
        </w:rPr>
        <w:t xml:space="preserve"> </w:t>
      </w:r>
      <w:r>
        <w:rPr>
          <w:rFonts w:asciiTheme="majorHAnsi" w:hAnsiTheme="majorHAnsi"/>
          <w:sz w:val="20"/>
          <w:szCs w:val="20"/>
        </w:rPr>
        <w:t xml:space="preserve">introduce a semi-objectively selected set of KPIs for decision-making within the framework of a product-service system, aided by an automated algorithm that uses the utility function to suggest appropriate KPIs from a pool of independent indicators drawn from the literature and classified into four categories: Manufacturing, Design, Environment, and Customer. The main weakness of the study is the lack of a constraint on the number of KPIs, while the optimum number of KPIs has been unanimously stated in the literature as less than 10-20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{"citationID":"wyxKnWej","properties":{"formattedCitation":"(Graham et al., 2015)","plainCitation":"(Graham et al., 2015)","noteIndex":0},"citationItems":[{"id":5376,"uris":["http://zotero.org/users/local/J2gD9SYp/items/F6TETPUP"],"itemData":{"id":5376,"type":"article-journal","abstract":"The paper provides a brief background to remanufacturing and the general use of Performance Measurement and Key Performance Indicators (KPIs) before introducing selected and newly formulated KPIs designed specifically for remanufacturing. Their relationships with the remanufacturing challenges faced by two contrasting remanufacturing businesses and the wider reman industry are described in detail. Subsets of KPIs forming a ‘Balanced Scorecard’ for each of the two remanufacturing cases conclude the paper. They arise through close working with Centro Ricerche FIAT (CRF) and SKF, and are triangulated by literature review and wider expert interviews. The two businesses represent contrasting remanufacturing scenarios: well-established high-volume low-margin automotive engine remanufacturing by the OEM ( &gt;1000 units per year, &lt; €10 k per unit) verses low-volume high-value wind turbine gearbox reman by an independent start-up ( &lt; 100 units per year, &gt; €100 k per unit). The 10 general production engineering KPIs selected for the reman KPI toolbox are as follows: Work In Progress (WIP), Overall Equipment Effectiveness (OEE), Lead Time (LT), Cycle Time (CT), Hours Per Unit (HPU), Product Margin (PM), Quotation Accuracy (QA), Number of Concessions (NC), Number of managed mBOMs (BOM), and Personnel Saturation (PS). The Eco KPIs selected are: Material Used (MU), Recycled Material Used (RMU), Direct Energy Consumption (ECD), Indirect Energy Consumption (ECI), Water Withdrawal (WW), Green House Gas emissions (GHG), Total Waste (TW) by weight. The 8 Remanufacturing KPIs compiled and formulated as part of this research are: Core / Product Ratio (CPR), Core / Product Value Ratio (CPV), New Component Costs (NCC), Component Salvage Rate (SRC), Product Salvage Rate (SRP), Core Disposal Rate (CDR), Core Class Accuracy (CCA), and Core Class Distribution (CCD).","container-title":"Journal of Remanufacturing","DOI":"10.1186/s13243-015-0019-2","ISSN":"2210-4690","issue":"1","journalAbbreviation":"Jnl Remanufactur","language":"en","page":"10","source":"DOI.org (Crossref)","title":"Performance measurement and KPIs for remanufacturing","volume":"5","author":[{"family":"Graham","given":"Ian"},{"family":"Goodall","given":"Paul"},{"family":"Peng","given":"Yi"},{"family":"Palmer","given":"Claire"},{"family":"West","given":"Andrew"},{"family":"Conway","given":"Paul"},{"family":"Mascolo","given":"Julien Etienne"},{"family":"Dettmer","given":"Fritz Ulrich"}],"issued":{"date-parts":[["2015",12]]}}}],"schema":"https://github.com/citation-style-language/schema/raw/master/csl-citation.json"}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(Graham et al., 2015)</w:t>
      </w:r>
      <w:r>
        <w:rPr>
          <w:rFonts w:asciiTheme="majorHAnsi" w:hAnsiTheme="majorHAnsi"/>
          <w:sz w:val="20"/>
          <w:szCs w:val="20"/>
        </w:rPr>
        <w:fldChar w:fldCharType="end"/>
      </w:r>
      <w:r>
        <w:rPr>
          <w:rFonts w:asciiTheme="majorHAnsi" w:hAnsiTheme="majorHAnsi"/>
          <w:sz w:val="20"/>
          <w:szCs w:val="20"/>
        </w:rPr>
        <w:t>. Otherwise, data from monitoring too many KPIs might be overwhelming for decision makers rather than helpful, not to mention time and resource wasting</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{"citationID":"qnHyxZqJ","properties":{"formattedCitation":"(Mourtzis et al., 2018)","plainCitation":"(Mourtzis et al., 2018)","noteIndex":0},"citationItems":[{"id":46,"uris":["http://zotero.org/users/local/J2gD9SYp/items/D3XPXTBE"],"itemData":{"id":46,"type":"article-journal","abstract":"During the last decade, as a result of their constant urge to retain sustainability, companies have shifted to the product-service system (PSS) business model, in an effort to gain competitive advantages. PSS provide</w:instrText>
      </w:r>
      <w:r w:rsidRPr="00B31F36">
        <w:rPr>
          <w:rFonts w:asciiTheme="majorHAnsi" w:hAnsiTheme="majorHAnsi"/>
          <w:sz w:val="20"/>
          <w:szCs w:val="20"/>
          <w:lang w:val="fr-FR"/>
        </w:rPr>
        <w:instrText>rs have realized the importance of offering highly perceived solutions; thus, the necessity of monitoring the performance of PSSs and evaluating them has intensified. However, not much work has been conducted toward that direction, especially focusing on its practical application. In the current work, a holistic approach for PSS evaluation using key performance indicators (KPIs) is proposed, extending to all its lifecycle phases and covering aspects from both provider's and customer's perspectives. A software tool was developed to assist the decision maker in the selection of appropriate KPIs to monitor for PSS evaluation and additionally, to offer KPIs data collection, storage, processing, and visualization capabilities. The proposed methodology was applied in a real industrial case of the mold makin</w:instrText>
      </w:r>
      <w:r>
        <w:rPr>
          <w:rFonts w:asciiTheme="majorHAnsi" w:hAnsiTheme="majorHAnsi"/>
          <w:sz w:val="20"/>
          <w:szCs w:val="20"/>
          <w:lang w:val="fr-FR"/>
        </w:rPr>
        <w:instrText xml:space="preserve">g area to validate its results.","container-title":"Journal of Computing and Information Science in Engineering","DOI":"10.1115/1.4040340","ISSN":"1530-9827, 1944-7078","issue":"4","language":"en","page":"041005","source":"DOI.org (Crossref)","title":"Development of a Key Performance Indicator Assessment Methodology and Software Tool for Product-Service System Evaluation and Decision-Making Support","volume":"18","author":[{"family":"Mourtzis","given":"Dimitris"},{"family":"Papatheodorou","given":"Anna-Maria"},{"family":"Fotia","given":"Sophia"}],"issued":{"date-parts":[["2018",12,1]]}}}],"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lang w:val="fr-FR"/>
        </w:rPr>
        <w:t>(Mourtzis et al., 2018)</w:t>
      </w:r>
      <w:r>
        <w:rPr>
          <w:rFonts w:asciiTheme="majorHAnsi" w:hAnsiTheme="majorHAnsi"/>
          <w:sz w:val="20"/>
          <w:szCs w:val="20"/>
        </w:rPr>
        <w:fldChar w:fldCharType="end"/>
      </w:r>
      <w:r>
        <w:rPr>
          <w:rFonts w:asciiTheme="majorHAnsi" w:hAnsiTheme="majorHAnsi"/>
          <w:sz w:val="20"/>
          <w:szCs w:val="20"/>
          <w:lang w:val="fr-FR"/>
        </w:rPr>
        <w:t>.</w:t>
      </w:r>
    </w:p>
    <w:p w14:paraId="2C35EA13"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fldChar w:fldCharType="begin"/>
      </w:r>
      <w:r w:rsidRPr="00B31F36">
        <w:rPr>
          <w:rFonts w:asciiTheme="majorHAnsi" w:hAnsiTheme="majorHAnsi"/>
          <w:sz w:val="20"/>
          <w:szCs w:val="20"/>
          <w:lang w:val="fr-FR"/>
        </w:rPr>
        <w:instrText xml:space="preserve"> ADDIN ZOTERO_ITEM CSL_CITATION {"citationID":"Y18apEbS","properties":{"formattedCitation":"(Tufegd\\uc0\\u382{}i\\uc0\\u263{} et al., 2020)","plainCitation":"(Tufegdžić et al., 2020)","noteIndex":0},"citationItems":[{"id":43,"uris":["http://zotero.org/users/local/J2gD9SYp/items/X7AG5JR8"],"itemData":{"id":43,"type":"article-journal","abstract":"Different sets of quantitative and qualitative Key performance indicators (KPIs), tailored to company's business strategies, require different metrics. The management of the company is very often facing difficulties in the processes of tracking, following and monitoring multiple financial and non-financial indicators, arranged in 4 different perspectives, as a base for accurate prediction of overall performance values using Balanced Scorecard (BSC) software. Combining the capability of the BSC and artificial intelligence it is possible to predict overall performance based on the values of learning and growth, internal processes and customer perspective. The study was conducted on sample of 53 different companies. Appropriate data sets were collected from different sources and converted in a manner which enables processing and calculating the values for financial, customer, internal processes and learning and growth perspectives in BSC software. Overall performance values are also obtained. These values are further used as input data, processed with tools of artificial neural networks in order to generate predictive model for overall performance. The results of our study are presented in the form of tables and graphs. Presented approach is useful for forecasting business performance, time-efficient and applicable to any company, regardless of its size or number of employees.","language":"en","page":"6","source":"Zotero","title":"Company’s performance prediction using Balanced Scorecard software and neural networks as a tool for strategic management","author":[{"family":"Tufegdžić","given":"M"},{"family":"Jovičić","given":"G"},{"family":"Trajanović","given":"M"},{"family":"Pravdić","given":"P"}],"issued":{"date-parts":[["2020"]]}}}],"schema":"https://github.com/citation-style-language/schema/raw/master/csl-citation.json"} </w:instrText>
      </w:r>
      <w:r>
        <w:rPr>
          <w:rFonts w:asciiTheme="majorHAnsi" w:hAnsiTheme="majorHAnsi"/>
          <w:sz w:val="20"/>
          <w:szCs w:val="20"/>
        </w:rPr>
        <w:fldChar w:fldCharType="separate"/>
      </w:r>
      <w:r w:rsidRPr="00B31F36">
        <w:rPr>
          <w:rFonts w:asciiTheme="majorHAnsi" w:hAnsiTheme="majorHAnsi" w:cs="Calibri"/>
          <w:sz w:val="20"/>
          <w:szCs w:val="20"/>
          <w:lang w:val="fr-FR"/>
        </w:rPr>
        <w:t>(Tufegdžić et al., 2020)</w:t>
      </w:r>
      <w:r>
        <w:rPr>
          <w:rFonts w:asciiTheme="majorHAnsi" w:hAnsiTheme="majorHAnsi"/>
          <w:sz w:val="20"/>
          <w:szCs w:val="20"/>
        </w:rPr>
        <w:fldChar w:fldCharType="end"/>
      </w:r>
      <w:r w:rsidRPr="00B31F36">
        <w:rPr>
          <w:rFonts w:asciiTheme="majorHAnsi" w:hAnsiTheme="majorHAnsi"/>
          <w:sz w:val="20"/>
          <w:szCs w:val="20"/>
          <w:lang w:val="fr-FR"/>
        </w:rPr>
        <w:t xml:space="preserve"> </w:t>
      </w:r>
      <w:proofErr w:type="spellStart"/>
      <w:r w:rsidRPr="00B31F36">
        <w:rPr>
          <w:rFonts w:asciiTheme="majorHAnsi" w:hAnsiTheme="majorHAnsi"/>
          <w:sz w:val="20"/>
          <w:szCs w:val="20"/>
          <w:lang w:val="fr-FR"/>
        </w:rPr>
        <w:t>suggest</w:t>
      </w:r>
      <w:proofErr w:type="spellEnd"/>
      <w:r w:rsidRPr="00B31F36">
        <w:rPr>
          <w:rFonts w:asciiTheme="majorHAnsi" w:hAnsiTheme="majorHAnsi"/>
          <w:sz w:val="20"/>
          <w:szCs w:val="20"/>
          <w:lang w:val="fr-FR"/>
        </w:rPr>
        <w:t xml:space="preserve"> a system of 46 </w:t>
      </w:r>
      <w:proofErr w:type="spellStart"/>
      <w:r w:rsidRPr="00B31F36">
        <w:rPr>
          <w:rFonts w:asciiTheme="majorHAnsi" w:hAnsiTheme="majorHAnsi"/>
          <w:sz w:val="20"/>
          <w:szCs w:val="20"/>
          <w:lang w:val="fr-FR"/>
        </w:rPr>
        <w:t>KPIs</w:t>
      </w:r>
      <w:proofErr w:type="spellEnd"/>
      <w:r w:rsidRPr="00B31F36">
        <w:rPr>
          <w:rFonts w:asciiTheme="majorHAnsi" w:hAnsiTheme="majorHAnsi"/>
          <w:sz w:val="20"/>
          <w:szCs w:val="20"/>
          <w:lang w:val="fr-FR"/>
        </w:rPr>
        <w:t xml:space="preserve"> </w:t>
      </w:r>
      <w:proofErr w:type="spellStart"/>
      <w:r w:rsidRPr="00B31F36">
        <w:rPr>
          <w:rFonts w:asciiTheme="majorHAnsi" w:hAnsiTheme="majorHAnsi"/>
          <w:sz w:val="20"/>
          <w:szCs w:val="20"/>
          <w:lang w:val="fr-FR"/>
        </w:rPr>
        <w:t>determined</w:t>
      </w:r>
      <w:proofErr w:type="spellEnd"/>
      <w:r w:rsidRPr="00B31F36">
        <w:rPr>
          <w:rFonts w:asciiTheme="majorHAnsi" w:hAnsiTheme="majorHAnsi"/>
          <w:sz w:val="20"/>
          <w:szCs w:val="20"/>
          <w:lang w:val="fr-FR"/>
        </w:rPr>
        <w:t xml:space="preserve"> by expert opinion </w:t>
      </w:r>
      <w:proofErr w:type="spellStart"/>
      <w:r w:rsidRPr="00B31F36">
        <w:rPr>
          <w:rFonts w:asciiTheme="majorHAnsi" w:hAnsiTheme="majorHAnsi"/>
          <w:sz w:val="20"/>
          <w:szCs w:val="20"/>
          <w:lang w:val="fr-FR"/>
        </w:rPr>
        <w:t>with</w:t>
      </w:r>
      <w:proofErr w:type="spellEnd"/>
      <w:r w:rsidRPr="00B31F36">
        <w:rPr>
          <w:rFonts w:asciiTheme="majorHAnsi" w:hAnsiTheme="majorHAnsi"/>
          <w:sz w:val="20"/>
          <w:szCs w:val="20"/>
          <w:lang w:val="fr-FR"/>
        </w:rPr>
        <w:t xml:space="preserve"> respect to the </w:t>
      </w:r>
      <w:proofErr w:type="spellStart"/>
      <w:r w:rsidRPr="00B31F36">
        <w:rPr>
          <w:rFonts w:asciiTheme="majorHAnsi" w:hAnsiTheme="majorHAnsi"/>
          <w:sz w:val="20"/>
          <w:szCs w:val="20"/>
          <w:lang w:val="fr-FR"/>
        </w:rPr>
        <w:t>balanced</w:t>
      </w:r>
      <w:proofErr w:type="spellEnd"/>
      <w:r w:rsidRPr="00B31F36">
        <w:rPr>
          <w:rFonts w:asciiTheme="majorHAnsi" w:hAnsiTheme="majorHAnsi"/>
          <w:sz w:val="20"/>
          <w:szCs w:val="20"/>
          <w:lang w:val="fr-FR"/>
        </w:rPr>
        <w:t xml:space="preserve"> </w:t>
      </w:r>
      <w:proofErr w:type="spellStart"/>
      <w:r w:rsidRPr="00B31F36">
        <w:rPr>
          <w:rFonts w:asciiTheme="majorHAnsi" w:hAnsiTheme="majorHAnsi"/>
          <w:sz w:val="20"/>
          <w:szCs w:val="20"/>
          <w:lang w:val="fr-FR"/>
        </w:rPr>
        <w:t>scorecard</w:t>
      </w:r>
      <w:proofErr w:type="spellEnd"/>
      <w:r w:rsidRPr="00B31F36">
        <w:rPr>
          <w:rFonts w:asciiTheme="majorHAnsi" w:hAnsiTheme="majorHAnsi"/>
          <w:sz w:val="20"/>
          <w:szCs w:val="20"/>
          <w:lang w:val="fr-FR"/>
        </w:rPr>
        <w:t xml:space="preserve"> (BSC) </w:t>
      </w:r>
      <w:proofErr w:type="spellStart"/>
      <w:r w:rsidRPr="00B31F36">
        <w:rPr>
          <w:rFonts w:asciiTheme="majorHAnsi" w:hAnsiTheme="majorHAnsi"/>
          <w:sz w:val="20"/>
          <w:szCs w:val="20"/>
          <w:lang w:val="fr-FR"/>
        </w:rPr>
        <w:t>approach</w:t>
      </w:r>
      <w:proofErr w:type="spellEnd"/>
      <w:r w:rsidRPr="00B31F36">
        <w:rPr>
          <w:rFonts w:asciiTheme="majorHAnsi" w:hAnsiTheme="majorHAnsi"/>
          <w:sz w:val="20"/>
          <w:szCs w:val="20"/>
          <w:lang w:val="fr-FR"/>
        </w:rPr>
        <w:t xml:space="preserve"> for </w:t>
      </w:r>
      <w:proofErr w:type="spellStart"/>
      <w:r w:rsidRPr="00B31F36">
        <w:rPr>
          <w:rFonts w:asciiTheme="majorHAnsi" w:hAnsiTheme="majorHAnsi"/>
          <w:sz w:val="20"/>
          <w:szCs w:val="20"/>
          <w:lang w:val="fr-FR"/>
        </w:rPr>
        <w:t>measuring</w:t>
      </w:r>
      <w:proofErr w:type="spellEnd"/>
      <w:r w:rsidRPr="00B31F36">
        <w:rPr>
          <w:rFonts w:asciiTheme="majorHAnsi" w:hAnsiTheme="majorHAnsi"/>
          <w:sz w:val="20"/>
          <w:szCs w:val="20"/>
          <w:lang w:val="fr-FR"/>
        </w:rPr>
        <w:t xml:space="preserve"> and </w:t>
      </w:r>
      <w:proofErr w:type="spellStart"/>
      <w:r w:rsidRPr="00B31F36">
        <w:rPr>
          <w:rFonts w:asciiTheme="majorHAnsi" w:hAnsiTheme="majorHAnsi"/>
          <w:sz w:val="20"/>
          <w:szCs w:val="20"/>
          <w:lang w:val="fr-FR"/>
        </w:rPr>
        <w:t>predicting</w:t>
      </w:r>
      <w:proofErr w:type="spellEnd"/>
      <w:r w:rsidRPr="00B31F36">
        <w:rPr>
          <w:rFonts w:asciiTheme="majorHAnsi" w:hAnsiTheme="majorHAnsi"/>
          <w:sz w:val="20"/>
          <w:szCs w:val="20"/>
          <w:lang w:val="fr-FR"/>
        </w:rPr>
        <w:t xml:space="preserve"> performance </w:t>
      </w:r>
      <w:proofErr w:type="spellStart"/>
      <w:r w:rsidRPr="00B31F36">
        <w:rPr>
          <w:rFonts w:asciiTheme="majorHAnsi" w:hAnsiTheme="majorHAnsi"/>
          <w:sz w:val="20"/>
          <w:szCs w:val="20"/>
          <w:lang w:val="fr-FR"/>
        </w:rPr>
        <w:t>using</w:t>
      </w:r>
      <w:proofErr w:type="spellEnd"/>
      <w:r w:rsidRPr="00B31F36">
        <w:rPr>
          <w:rFonts w:asciiTheme="majorHAnsi" w:hAnsiTheme="majorHAnsi"/>
          <w:sz w:val="20"/>
          <w:szCs w:val="20"/>
          <w:lang w:val="fr-FR"/>
        </w:rPr>
        <w:t xml:space="preserve"> a </w:t>
      </w:r>
      <w:proofErr w:type="spellStart"/>
      <w:r w:rsidRPr="00B31F36">
        <w:rPr>
          <w:rFonts w:asciiTheme="majorHAnsi" w:hAnsiTheme="majorHAnsi"/>
          <w:sz w:val="20"/>
          <w:szCs w:val="20"/>
          <w:lang w:val="fr-FR"/>
        </w:rPr>
        <w:t>feed-forward</w:t>
      </w:r>
      <w:proofErr w:type="spellEnd"/>
      <w:r w:rsidRPr="00B31F36">
        <w:rPr>
          <w:rFonts w:asciiTheme="majorHAnsi" w:hAnsiTheme="majorHAnsi"/>
          <w:sz w:val="20"/>
          <w:szCs w:val="20"/>
          <w:lang w:val="fr-FR"/>
        </w:rPr>
        <w:t xml:space="preserve"> </w:t>
      </w:r>
      <w:proofErr w:type="spellStart"/>
      <w:r w:rsidRPr="00B31F36">
        <w:rPr>
          <w:rFonts w:asciiTheme="majorHAnsi" w:hAnsiTheme="majorHAnsi"/>
          <w:sz w:val="20"/>
          <w:szCs w:val="20"/>
          <w:lang w:val="fr-FR"/>
        </w:rPr>
        <w:t>artificial</w:t>
      </w:r>
      <w:proofErr w:type="spellEnd"/>
      <w:r w:rsidRPr="00B31F36">
        <w:rPr>
          <w:rFonts w:asciiTheme="majorHAnsi" w:hAnsiTheme="majorHAnsi"/>
          <w:sz w:val="20"/>
          <w:szCs w:val="20"/>
          <w:lang w:val="fr-FR"/>
        </w:rPr>
        <w:t xml:space="preserve"> neural network </w:t>
      </w:r>
      <w:proofErr w:type="spellStart"/>
      <w:r w:rsidRPr="00B31F36">
        <w:rPr>
          <w:rFonts w:asciiTheme="majorHAnsi" w:hAnsiTheme="majorHAnsi"/>
          <w:sz w:val="20"/>
          <w:szCs w:val="20"/>
          <w:lang w:val="fr-FR"/>
        </w:rPr>
        <w:t>with</w:t>
      </w:r>
      <w:proofErr w:type="spellEnd"/>
      <w:r w:rsidRPr="00B31F36">
        <w:rPr>
          <w:rFonts w:asciiTheme="majorHAnsi" w:hAnsiTheme="majorHAnsi"/>
          <w:sz w:val="20"/>
          <w:szCs w:val="20"/>
          <w:lang w:val="fr-FR"/>
        </w:rPr>
        <w:t xml:space="preserve"> 10 </w:t>
      </w:r>
      <w:proofErr w:type="spellStart"/>
      <w:r w:rsidRPr="00B31F36">
        <w:rPr>
          <w:rFonts w:asciiTheme="majorHAnsi" w:hAnsiTheme="majorHAnsi"/>
          <w:sz w:val="20"/>
          <w:szCs w:val="20"/>
          <w:lang w:val="fr-FR"/>
        </w:rPr>
        <w:t>hidden</w:t>
      </w:r>
      <w:proofErr w:type="spellEnd"/>
      <w:r w:rsidRPr="00B31F36">
        <w:rPr>
          <w:rFonts w:asciiTheme="majorHAnsi" w:hAnsiTheme="majorHAnsi"/>
          <w:sz w:val="20"/>
          <w:szCs w:val="20"/>
          <w:lang w:val="fr-FR"/>
        </w:rPr>
        <w:t xml:space="preserve"> </w:t>
      </w:r>
      <w:proofErr w:type="spellStart"/>
      <w:r w:rsidRPr="00B31F36">
        <w:rPr>
          <w:rFonts w:asciiTheme="majorHAnsi" w:hAnsiTheme="majorHAnsi"/>
          <w:sz w:val="20"/>
          <w:szCs w:val="20"/>
          <w:lang w:val="fr-FR"/>
        </w:rPr>
        <w:t>neurons</w:t>
      </w:r>
      <w:proofErr w:type="spellEnd"/>
      <w:r w:rsidRPr="00B31F36">
        <w:rPr>
          <w:rFonts w:asciiTheme="majorHAnsi" w:hAnsiTheme="majorHAnsi"/>
          <w:sz w:val="20"/>
          <w:szCs w:val="20"/>
          <w:lang w:val="fr-FR"/>
        </w:rPr>
        <w:t xml:space="preserve"> </w:t>
      </w:r>
      <w:proofErr w:type="spellStart"/>
      <w:r w:rsidRPr="00B31F36">
        <w:rPr>
          <w:rFonts w:asciiTheme="majorHAnsi" w:hAnsiTheme="majorHAnsi"/>
          <w:sz w:val="20"/>
          <w:szCs w:val="20"/>
          <w:lang w:val="fr-FR"/>
        </w:rPr>
        <w:t>trained</w:t>
      </w:r>
      <w:proofErr w:type="spellEnd"/>
      <w:r w:rsidRPr="00B31F36">
        <w:rPr>
          <w:rFonts w:asciiTheme="majorHAnsi" w:hAnsiTheme="majorHAnsi"/>
          <w:sz w:val="20"/>
          <w:szCs w:val="20"/>
          <w:lang w:val="fr-FR"/>
        </w:rPr>
        <w:t xml:space="preserve"> to </w:t>
      </w:r>
      <w:proofErr w:type="spellStart"/>
      <w:r w:rsidRPr="00B31F36">
        <w:rPr>
          <w:rFonts w:asciiTheme="majorHAnsi" w:hAnsiTheme="majorHAnsi"/>
          <w:sz w:val="20"/>
          <w:szCs w:val="20"/>
          <w:lang w:val="fr-FR"/>
        </w:rPr>
        <w:t>predict</w:t>
      </w:r>
      <w:proofErr w:type="spellEnd"/>
      <w:r w:rsidRPr="00B31F36">
        <w:rPr>
          <w:rFonts w:asciiTheme="majorHAnsi" w:hAnsiTheme="majorHAnsi"/>
          <w:sz w:val="20"/>
          <w:szCs w:val="20"/>
          <w:lang w:val="fr-FR"/>
        </w:rPr>
        <w:t xml:space="preserve"> </w:t>
      </w:r>
      <w:proofErr w:type="spellStart"/>
      <w:r w:rsidRPr="00B31F36">
        <w:rPr>
          <w:rFonts w:asciiTheme="majorHAnsi" w:hAnsiTheme="majorHAnsi"/>
          <w:sz w:val="20"/>
          <w:szCs w:val="20"/>
          <w:lang w:val="fr-FR"/>
        </w:rPr>
        <w:t>overperformance</w:t>
      </w:r>
      <w:proofErr w:type="spellEnd"/>
      <w:r w:rsidRPr="00B31F36">
        <w:rPr>
          <w:rFonts w:asciiTheme="majorHAnsi" w:hAnsiTheme="majorHAnsi"/>
          <w:sz w:val="20"/>
          <w:szCs w:val="20"/>
          <w:lang w:val="fr-FR"/>
        </w:rPr>
        <w:t xml:space="preserve"> </w:t>
      </w:r>
      <w:proofErr w:type="spellStart"/>
      <w:r w:rsidRPr="00B31F36">
        <w:rPr>
          <w:rFonts w:asciiTheme="majorHAnsi" w:hAnsiTheme="majorHAnsi"/>
          <w:sz w:val="20"/>
          <w:szCs w:val="20"/>
          <w:lang w:val="fr-FR"/>
        </w:rPr>
        <w:t>based</w:t>
      </w:r>
      <w:proofErr w:type="spellEnd"/>
      <w:r w:rsidRPr="00B31F36">
        <w:rPr>
          <w:rFonts w:asciiTheme="majorHAnsi" w:hAnsiTheme="majorHAnsi"/>
          <w:sz w:val="20"/>
          <w:szCs w:val="20"/>
          <w:lang w:val="fr-FR"/>
        </w:rPr>
        <w:t xml:space="preserve"> on values for </w:t>
      </w:r>
      <w:proofErr w:type="spellStart"/>
      <w:r w:rsidRPr="00B31F36">
        <w:rPr>
          <w:rFonts w:asciiTheme="majorHAnsi" w:hAnsiTheme="majorHAnsi"/>
          <w:sz w:val="20"/>
          <w:szCs w:val="20"/>
          <w:lang w:val="fr-FR"/>
        </w:rPr>
        <w:t>financial</w:t>
      </w:r>
      <w:proofErr w:type="spellEnd"/>
      <w:r w:rsidRPr="00B31F36">
        <w:rPr>
          <w:rFonts w:asciiTheme="majorHAnsi" w:hAnsiTheme="majorHAnsi"/>
          <w:sz w:val="20"/>
          <w:szCs w:val="20"/>
          <w:lang w:val="fr-FR"/>
        </w:rPr>
        <w:t xml:space="preserve">, </w:t>
      </w:r>
      <w:proofErr w:type="spellStart"/>
      <w:r w:rsidRPr="00B31F36">
        <w:rPr>
          <w:rFonts w:asciiTheme="majorHAnsi" w:hAnsiTheme="majorHAnsi"/>
          <w:sz w:val="20"/>
          <w:szCs w:val="20"/>
          <w:lang w:val="fr-FR"/>
        </w:rPr>
        <w:t>customer</w:t>
      </w:r>
      <w:proofErr w:type="spellEnd"/>
      <w:r w:rsidRPr="00B31F36">
        <w:rPr>
          <w:rFonts w:asciiTheme="majorHAnsi" w:hAnsiTheme="majorHAnsi"/>
          <w:sz w:val="20"/>
          <w:szCs w:val="20"/>
          <w:lang w:val="fr-FR"/>
        </w:rPr>
        <w:t xml:space="preserve">, </w:t>
      </w:r>
      <w:proofErr w:type="spellStart"/>
      <w:r w:rsidRPr="00B31F36">
        <w:rPr>
          <w:rFonts w:asciiTheme="majorHAnsi" w:hAnsiTheme="majorHAnsi"/>
          <w:sz w:val="20"/>
          <w:szCs w:val="20"/>
          <w:lang w:val="fr-FR"/>
        </w:rPr>
        <w:t>internal</w:t>
      </w:r>
      <w:proofErr w:type="spellEnd"/>
      <w:r w:rsidRPr="00B31F36">
        <w:rPr>
          <w:rFonts w:asciiTheme="majorHAnsi" w:hAnsiTheme="majorHAnsi"/>
          <w:sz w:val="20"/>
          <w:szCs w:val="20"/>
          <w:lang w:val="fr-FR"/>
        </w:rPr>
        <w:t xml:space="preserve"> </w:t>
      </w:r>
      <w:proofErr w:type="spellStart"/>
      <w:r w:rsidRPr="00B31F36">
        <w:rPr>
          <w:rFonts w:asciiTheme="majorHAnsi" w:hAnsiTheme="majorHAnsi"/>
          <w:sz w:val="20"/>
          <w:szCs w:val="20"/>
          <w:lang w:val="fr-FR"/>
        </w:rPr>
        <w:t>processes</w:t>
      </w:r>
      <w:proofErr w:type="spellEnd"/>
      <w:r w:rsidRPr="00B31F36">
        <w:rPr>
          <w:rFonts w:asciiTheme="majorHAnsi" w:hAnsiTheme="majorHAnsi"/>
          <w:sz w:val="20"/>
          <w:szCs w:val="20"/>
          <w:lang w:val="fr-FR"/>
        </w:rPr>
        <w:t xml:space="preserve">, and </w:t>
      </w:r>
      <w:proofErr w:type="spellStart"/>
      <w:r w:rsidRPr="00B31F36">
        <w:rPr>
          <w:rFonts w:asciiTheme="majorHAnsi" w:hAnsiTheme="majorHAnsi"/>
          <w:sz w:val="20"/>
          <w:szCs w:val="20"/>
          <w:lang w:val="fr-FR"/>
        </w:rPr>
        <w:t>learning</w:t>
      </w:r>
      <w:proofErr w:type="spellEnd"/>
      <w:r w:rsidRPr="00B31F36">
        <w:rPr>
          <w:rFonts w:asciiTheme="majorHAnsi" w:hAnsiTheme="majorHAnsi"/>
          <w:sz w:val="20"/>
          <w:szCs w:val="20"/>
          <w:lang w:val="fr-FR"/>
        </w:rPr>
        <w:t xml:space="preserve"> and </w:t>
      </w:r>
      <w:proofErr w:type="spellStart"/>
      <w:r w:rsidRPr="00B31F36">
        <w:rPr>
          <w:rFonts w:asciiTheme="majorHAnsi" w:hAnsiTheme="majorHAnsi"/>
          <w:sz w:val="20"/>
          <w:szCs w:val="20"/>
          <w:lang w:val="fr-FR"/>
        </w:rPr>
        <w:t>growth</w:t>
      </w:r>
      <w:proofErr w:type="spellEnd"/>
      <w:r w:rsidRPr="00B31F36">
        <w:rPr>
          <w:rFonts w:asciiTheme="majorHAnsi" w:hAnsiTheme="majorHAnsi"/>
          <w:sz w:val="20"/>
          <w:szCs w:val="20"/>
          <w:lang w:val="fr-FR"/>
        </w:rPr>
        <w:t xml:space="preserve"> perspectives. </w:t>
      </w:r>
      <w:r>
        <w:rPr>
          <w:rFonts w:asciiTheme="majorHAnsi" w:hAnsiTheme="majorHAnsi"/>
          <w:sz w:val="20"/>
          <w:szCs w:val="20"/>
        </w:rPr>
        <w:t>Although the approach gives an extremely accurate prediction, it is difficult to rely on it for decision making since overall performance doesn't quite offer decision makers much information about which specific aspect is dragging down performance and ought to be prioritized.</w:t>
      </w:r>
    </w:p>
    <w:p w14:paraId="2B61A84E"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From the aforementioned, no previous study has offered a comprehensive technique integrating ANN with AHP and balanced scorecard in the context of industrial decision making, from this vantage point, our suggested approach adds to the related literature by developing an intelligent system for best alternative prediction that employs BSC to establish evaluation criteria, AHP to compute their respective weights and ANN to overcome the complexity and cognitive burden of decision-making process. The intelligent assisted decision-making is dynamic thanks to ANN's ability to uncover features relevant to the influence of current performance on decision making and utilize prior data to increase accuracy.</w:t>
      </w:r>
    </w:p>
    <w:p w14:paraId="5C828429" w14:textId="77777777" w:rsidR="00B31F36" w:rsidRDefault="00B31F36" w:rsidP="00B31F36">
      <w:pPr>
        <w:spacing w:after="0" w:line="240" w:lineRule="auto"/>
        <w:jc w:val="both"/>
        <w:rPr>
          <w:rFonts w:asciiTheme="majorHAnsi" w:hAnsiTheme="majorHAnsi"/>
          <w:sz w:val="20"/>
          <w:szCs w:val="20"/>
        </w:rPr>
      </w:pPr>
    </w:p>
    <w:p w14:paraId="16151235" w14:textId="77777777" w:rsidR="00B31F36" w:rsidRDefault="00B31F36" w:rsidP="00B31F36">
      <w:pPr>
        <w:pStyle w:val="Titre1"/>
        <w:spacing w:before="0" w:line="240" w:lineRule="auto"/>
        <w:ind w:left="180" w:hanging="180"/>
        <w:jc w:val="both"/>
        <w:rPr>
          <w:b/>
          <w:bCs/>
          <w:sz w:val="20"/>
          <w:szCs w:val="20"/>
        </w:rPr>
      </w:pPr>
      <w:r>
        <w:rPr>
          <w:b/>
          <w:bCs/>
          <w:sz w:val="20"/>
          <w:szCs w:val="20"/>
        </w:rPr>
        <w:t>Methodology and proposed model</w:t>
      </w:r>
    </w:p>
    <w:p w14:paraId="416831A7" w14:textId="77777777" w:rsidR="00B31F36" w:rsidRDefault="00B31F36" w:rsidP="00B31F36">
      <w:pPr>
        <w:spacing w:after="0" w:line="240" w:lineRule="auto"/>
        <w:jc w:val="both"/>
        <w:rPr>
          <w:rFonts w:asciiTheme="majorHAnsi" w:hAnsiTheme="majorHAnsi"/>
          <w:sz w:val="20"/>
          <w:szCs w:val="20"/>
        </w:rPr>
      </w:pPr>
    </w:p>
    <w:p w14:paraId="5545A890"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 xml:space="preserve">Addressing these issues, this paper presents a holistic decision-making approach that efficiently combines BSC framework for converting corporate strategy into performance indicators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{"citationID":"Wtr5eSzf","properties":{"formattedCitation":"(Graham et al., 2015)","plainCitation":"(Graham et al., 2015)","noteIndex":0},"citationItems":[{"id":5376,"uris":["http://zotero.org/users/local/J2gD9SYp/items/F6TETPUP"],"itemData":{"id":5376,"type":"article-journal","abstract":"The paper provides a brief background to remanufacturing and the general use of Performance Measurement and Key Performance Indicators (KPIs) before introducing selected and newly formulated KPIs designed specifically for remanufacturing. Their relationships with the remanufacturing challenges faced by two contrasting remanufacturing businesses and the wider reman industry are described in detail. Subsets of KPIs forming a ‘Balanced Scorecard’ for each of the two remanufacturing cases conclude the paper. They arise through close working with Centro Ricerche FIAT (CRF) and SKF, and are triangulated by literature review and wider expert interviews. The two businesses represent contrasting remanufacturing scenarios: well-established high-volume low-margin automotive engine remanufacturing by the OEM ( &gt;1000 units per year, &lt; €10 k per unit) verses low-volume high-value wind turbine gearbox reman by an independent start-up ( &lt; 100 units per year, &gt; €100 k per unit). The 10 general production engineering KPIs selected for the reman KPI toolbox are as follows: Work In Progress (WIP), Overall Equipment Effectiveness (OEE), Lead Time (LT), Cycle Time (CT), Hours Per Unit (HPU), Product Margin (PM), Quotation Accuracy (QA), Number of Concessions (NC), Number of managed mBOMs (BOM), and Personnel Saturation (PS). The Eco KPIs selected are: Material Used (MU), Recycled Material Used (RMU), Direct Energy Consumption (ECD), Indirect Energy Consumption (ECI), Water Withdrawal (WW), Green House Gas emissions (GHG), Total Waste (TW) by weight. The 8 Remanufacturing KPIs compiled and formulated as part of this research are: Core / Product Ratio (CPR), Core / Product Value Ratio (CPV), New Component Costs (NCC), Component Salvage Rate (SRC), Product Salvage Rate (SRP), Core Disposal Rate (CDR), Core Class Accuracy (CCA), and Core Class Distribution (CCD).","container-title":"Journal of Remanufacturing","DOI":"10.1186/s13243-015-0019-2","ISSN":"2210-4690","issue":"1","journalAbbreviation":"Jnl Remanufactur","language":"en","page":"10","source":"DOI.org (Crossref)","title":"Performance measurement and KPIs for remanufacturing","volume":"5","author":[{"family":"Graham","given":"Ian"},{"family":"Goodall","given":"Paul"},{"family":"Peng","given":"Yi"},{"family":"Palmer","given":"Claire"},{"family":"West","given":"Andrew"},{"family":"Conway","given":"Paul"},{"family":"Mascolo","given":"Julien Etienne"},{"family":"Dettmer","given":"Fritz Ulrich"}],"issued":{"date-parts":[["2015",12]]}}}],"schema":"https://github.com/citation-style-language/schema/raw/master/csl-citation.json"}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(Graham et al., 2015)</w:t>
      </w:r>
      <w:r>
        <w:rPr>
          <w:rFonts w:asciiTheme="majorHAnsi" w:hAnsiTheme="majorHAnsi"/>
          <w:sz w:val="20"/>
          <w:szCs w:val="20"/>
        </w:rPr>
        <w:fldChar w:fldCharType="end"/>
      </w:r>
      <w:r>
        <w:rPr>
          <w:rFonts w:asciiTheme="majorHAnsi" w:hAnsiTheme="majorHAnsi"/>
          <w:sz w:val="20"/>
          <w:szCs w:val="20"/>
        </w:rPr>
        <w:t xml:space="preserve"> with the attributes of the AHP method to transcript the decider's priorities and neural network feature of non-linear mapping capability. This allows coherent and consistent decisions to take place following the right course to achieve the overall aim of optimal performance.</w:t>
      </w:r>
    </w:p>
    <w:p w14:paraId="6C606E6E"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As a result, the model is divided into three stages including the modeling of the decisional framework, followed by the definition and hierarchization of relevant factors in order to construct the objective function and, finally, the implementation of a neural network capable of determining the most optimal solution:</w:t>
      </w:r>
    </w:p>
    <w:p w14:paraId="4A797529" w14:textId="77777777" w:rsidR="00B31F36" w:rsidRDefault="00B31F36" w:rsidP="00B31F36">
      <w:pPr>
        <w:pStyle w:val="Paragraphedeliste"/>
        <w:numPr>
          <w:ilvl w:val="0"/>
          <w:numId w:val="3"/>
        </w:numPr>
        <w:spacing w:after="0" w:line="240" w:lineRule="auto"/>
        <w:ind w:left="180" w:hanging="180"/>
        <w:jc w:val="both"/>
        <w:rPr>
          <w:rFonts w:asciiTheme="majorHAnsi" w:hAnsiTheme="majorHAnsi"/>
          <w:sz w:val="20"/>
          <w:szCs w:val="20"/>
        </w:rPr>
      </w:pPr>
      <w:r>
        <w:rPr>
          <w:rFonts w:asciiTheme="majorHAnsi" w:hAnsiTheme="majorHAnsi"/>
          <w:sz w:val="20"/>
          <w:szCs w:val="20"/>
        </w:rPr>
        <w:t>Problem modeling: this is where the difficult real-world performance optimization problem is clearly defined using a balanced scorecard, which supports the decision maker in defining following elements:</w:t>
      </w:r>
    </w:p>
    <w:p w14:paraId="309081D5" w14:textId="77777777" w:rsidR="00B31F36" w:rsidRDefault="00B31F36" w:rsidP="00B31F36">
      <w:pPr>
        <w:pStyle w:val="Paragraphedeliste"/>
        <w:numPr>
          <w:ilvl w:val="0"/>
          <w:numId w:val="4"/>
        </w:numPr>
        <w:spacing w:after="0" w:line="240" w:lineRule="auto"/>
        <w:jc w:val="both"/>
        <w:rPr>
          <w:rFonts w:asciiTheme="majorHAnsi" w:hAnsiTheme="majorHAnsi"/>
          <w:sz w:val="20"/>
          <w:szCs w:val="20"/>
        </w:rPr>
      </w:pPr>
      <w:r>
        <w:rPr>
          <w:rFonts w:asciiTheme="majorHAnsi" w:hAnsiTheme="majorHAnsi"/>
          <w:sz w:val="20"/>
          <w:szCs w:val="20"/>
        </w:rPr>
        <w:t>Problem statement: Describe the vision and strategy of the firm.</w:t>
      </w:r>
    </w:p>
    <w:p w14:paraId="32D19D59" w14:textId="77777777" w:rsidR="00B31F36" w:rsidRDefault="00B31F36" w:rsidP="00B31F36">
      <w:pPr>
        <w:pStyle w:val="Paragraphedeliste"/>
        <w:numPr>
          <w:ilvl w:val="0"/>
          <w:numId w:val="4"/>
        </w:numPr>
        <w:spacing w:after="0" w:line="240" w:lineRule="auto"/>
        <w:jc w:val="both"/>
        <w:rPr>
          <w:rFonts w:asciiTheme="majorHAnsi" w:hAnsiTheme="majorHAnsi"/>
          <w:sz w:val="20"/>
          <w:szCs w:val="20"/>
        </w:rPr>
      </w:pPr>
      <w:r>
        <w:rPr>
          <w:rFonts w:asciiTheme="majorHAnsi" w:hAnsiTheme="majorHAnsi"/>
          <w:sz w:val="20"/>
          <w:szCs w:val="20"/>
        </w:rPr>
        <w:t>Relevant variables: establish quantifiable goals, each with its own KPI and target.</w:t>
      </w:r>
    </w:p>
    <w:p w14:paraId="2E8E386C" w14:textId="77777777" w:rsidR="00B31F36" w:rsidRDefault="00B31F36" w:rsidP="00B31F36">
      <w:pPr>
        <w:pStyle w:val="Paragraphedeliste"/>
        <w:numPr>
          <w:ilvl w:val="0"/>
          <w:numId w:val="4"/>
        </w:numPr>
        <w:spacing w:after="0" w:line="240" w:lineRule="auto"/>
        <w:jc w:val="both"/>
        <w:rPr>
          <w:rFonts w:asciiTheme="majorHAnsi" w:hAnsiTheme="majorHAnsi"/>
          <w:sz w:val="20"/>
          <w:szCs w:val="20"/>
        </w:rPr>
      </w:pPr>
      <w:r>
        <w:rPr>
          <w:rFonts w:asciiTheme="majorHAnsi" w:hAnsiTheme="majorHAnsi"/>
          <w:sz w:val="20"/>
          <w:szCs w:val="20"/>
        </w:rPr>
        <w:t>Deviations assessment: evaluate actual performance and quantify deviations from the target</w:t>
      </w:r>
    </w:p>
    <w:p w14:paraId="21175FF4" w14:textId="77777777" w:rsidR="00B31F36" w:rsidRDefault="00B31F36" w:rsidP="00B31F36">
      <w:pPr>
        <w:pStyle w:val="Paragraphedeliste"/>
        <w:numPr>
          <w:ilvl w:val="0"/>
          <w:numId w:val="3"/>
        </w:numPr>
        <w:spacing w:after="0" w:line="240" w:lineRule="auto"/>
        <w:ind w:left="180" w:hanging="180"/>
        <w:jc w:val="both"/>
        <w:rPr>
          <w:rFonts w:asciiTheme="majorHAnsi" w:hAnsiTheme="majorHAnsi"/>
          <w:sz w:val="20"/>
          <w:szCs w:val="20"/>
        </w:rPr>
      </w:pPr>
      <w:r>
        <w:rPr>
          <w:rFonts w:asciiTheme="majorHAnsi" w:hAnsiTheme="majorHAnsi"/>
          <w:sz w:val="20"/>
          <w:szCs w:val="20"/>
        </w:rPr>
        <w:t>Objective function: referring to the performance function whose parameters are the KPIs and coefficients are the AHP analysis weights.</w:t>
      </w:r>
    </w:p>
    <w:p w14:paraId="18C8C984" w14:textId="77777777" w:rsidR="00B31F36" w:rsidRDefault="00B31F36" w:rsidP="00B31F36">
      <w:pPr>
        <w:pStyle w:val="Paragraphedeliste"/>
        <w:numPr>
          <w:ilvl w:val="0"/>
          <w:numId w:val="3"/>
        </w:numPr>
        <w:spacing w:after="0" w:line="240" w:lineRule="auto"/>
        <w:ind w:left="180" w:hanging="180"/>
        <w:jc w:val="both"/>
        <w:rPr>
          <w:rFonts w:asciiTheme="majorHAnsi" w:hAnsiTheme="majorHAnsi"/>
          <w:sz w:val="20"/>
          <w:szCs w:val="20"/>
        </w:rPr>
      </w:pPr>
      <w:r>
        <w:rPr>
          <w:rFonts w:asciiTheme="majorHAnsi" w:hAnsiTheme="majorHAnsi"/>
          <w:sz w:val="20"/>
          <w:szCs w:val="20"/>
        </w:rPr>
        <w:t>Optimization algorithm preparation and validation: which involves creating, training and testing the optimum neural network using the outputs from stages a and b</w:t>
      </w:r>
    </w:p>
    <w:p w14:paraId="69E7976E"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num="2" w:space="720"/>
        </w:sectPr>
      </w:pPr>
    </w:p>
    <w:p w14:paraId="74A945ED" w14:textId="77777777" w:rsidR="00B31F36" w:rsidRDefault="00B31F36" w:rsidP="00B31F36">
      <w:pPr>
        <w:pStyle w:val="Paragraphedeliste"/>
        <w:spacing w:after="0" w:line="240" w:lineRule="auto"/>
        <w:ind w:left="180"/>
        <w:jc w:val="center"/>
        <w:rPr>
          <w:rFonts w:asciiTheme="majorHAnsi" w:hAnsiTheme="majorHAnsi"/>
          <w:sz w:val="20"/>
          <w:szCs w:val="20"/>
        </w:rPr>
      </w:pPr>
    </w:p>
    <w:p w14:paraId="1CEC95AD" w14:textId="40F26BBA" w:rsidR="00B31F36" w:rsidRDefault="00B31F36" w:rsidP="00B31F36">
      <w:pPr>
        <w:keepNext/>
        <w:spacing w:after="0" w:line="240" w:lineRule="auto"/>
        <w:jc w:val="center"/>
        <w:rPr>
          <w:rFonts w:asciiTheme="majorHAnsi" w:hAnsiTheme="majorHAnsi"/>
          <w:sz w:val="20"/>
          <w:szCs w:val="20"/>
        </w:rPr>
      </w:pPr>
      <w:r>
        <w:rPr>
          <w:rFonts w:asciiTheme="majorHAnsi" w:hAnsiTheme="majorHAnsi"/>
          <w:noProof/>
          <w:sz w:val="20"/>
          <w:szCs w:val="20"/>
        </w:rPr>
        <w:drawing>
          <wp:inline distT="0" distB="0" distL="0" distR="0" wp14:anchorId="56F4E65F" wp14:editId="19ADF08F">
            <wp:extent cx="4203700" cy="3727450"/>
            <wp:effectExtent l="0" t="0" r="6350" b="6350"/>
            <wp:docPr id="4" name="Image 4" descr="Une image contenant texte, diagramm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diagramme, capture d’écran, Police&#10;&#10;Description générée automatiqu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03700" cy="3727450"/>
                    </a:xfrm>
                    <a:prstGeom prst="rect">
                      <a:avLst/>
                    </a:prstGeom>
                    <a:noFill/>
                    <a:ln>
                      <a:noFill/>
                    </a:ln>
                  </pic:spPr>
                </pic:pic>
              </a:graphicData>
            </a:graphic>
          </wp:inline>
        </w:drawing>
      </w:r>
    </w:p>
    <w:p w14:paraId="3B36DC00" w14:textId="77777777" w:rsidR="00B31F36" w:rsidRDefault="00B31F36" w:rsidP="00B31F36">
      <w:pPr>
        <w:pStyle w:val="Lgende"/>
        <w:spacing w:after="0"/>
        <w:rPr>
          <w:rFonts w:asciiTheme="majorHAnsi" w:hAnsiTheme="majorHAnsi"/>
          <w:sz w:val="20"/>
          <w:szCs w:val="20"/>
        </w:rPr>
      </w:pPr>
      <w:r>
        <w:rPr>
          <w:rFonts w:asciiTheme="majorHAnsi" w:hAnsiTheme="majorHAnsi"/>
          <w:sz w:val="20"/>
          <w:szCs w:val="20"/>
        </w:rPr>
        <w:t xml:space="preserve">Figure </w:t>
      </w:r>
      <w:r>
        <w:rPr>
          <w:rFonts w:asciiTheme="majorHAnsi" w:hAnsiTheme="majorHAnsi"/>
          <w:sz w:val="20"/>
          <w:szCs w:val="20"/>
        </w:rPr>
        <w:fldChar w:fldCharType="begin"/>
      </w:r>
      <w:r>
        <w:rPr>
          <w:rFonts w:asciiTheme="majorHAnsi" w:hAnsiTheme="majorHAnsi"/>
          <w:sz w:val="20"/>
          <w:szCs w:val="20"/>
        </w:rPr>
        <w:instrText xml:space="preserve"> SEQ Figure \* ARABIC </w:instrText>
      </w:r>
      <w:r>
        <w:rPr>
          <w:rFonts w:asciiTheme="majorHAnsi" w:hAnsiTheme="majorHAnsi"/>
          <w:sz w:val="20"/>
          <w:szCs w:val="20"/>
        </w:rPr>
        <w:fldChar w:fldCharType="separate"/>
      </w:r>
      <w:r>
        <w:rPr>
          <w:rFonts w:asciiTheme="majorHAnsi" w:hAnsiTheme="majorHAnsi"/>
          <w:noProof/>
          <w:sz w:val="20"/>
          <w:szCs w:val="20"/>
        </w:rPr>
        <w:t>2</w:t>
      </w:r>
      <w:r>
        <w:rPr>
          <w:rFonts w:asciiTheme="majorHAnsi" w:hAnsiTheme="majorHAnsi"/>
          <w:noProof/>
          <w:sz w:val="20"/>
          <w:szCs w:val="20"/>
        </w:rPr>
        <w:fldChar w:fldCharType="end"/>
      </w:r>
      <w:r>
        <w:rPr>
          <w:rFonts w:asciiTheme="majorHAnsi" w:hAnsiTheme="majorHAnsi"/>
          <w:sz w:val="20"/>
          <w:szCs w:val="20"/>
        </w:rPr>
        <w:t xml:space="preserve">: </w:t>
      </w:r>
      <w:r>
        <w:rPr>
          <w:rFonts w:asciiTheme="majorHAnsi" w:hAnsiTheme="majorHAnsi"/>
          <w:b w:val="0"/>
          <w:bCs w:val="0"/>
          <w:sz w:val="20"/>
          <w:szCs w:val="20"/>
        </w:rPr>
        <w:t>Flow chart of application progress for the suggested model implementation.</w:t>
      </w:r>
    </w:p>
    <w:p w14:paraId="42A2B0C9" w14:textId="77777777" w:rsidR="00B31F36" w:rsidRDefault="00B31F36" w:rsidP="00B31F36">
      <w:pPr>
        <w:pStyle w:val="Lgende"/>
        <w:spacing w:after="0"/>
        <w:rPr>
          <w:rFonts w:asciiTheme="majorHAnsi" w:hAnsiTheme="majorHAnsi"/>
          <w:b w:val="0"/>
          <w:bCs w:val="0"/>
          <w:sz w:val="20"/>
          <w:szCs w:val="20"/>
        </w:rPr>
      </w:pPr>
      <w:r>
        <w:rPr>
          <w:rFonts w:asciiTheme="majorHAnsi" w:hAnsiTheme="majorHAnsi"/>
          <w:sz w:val="20"/>
          <w:szCs w:val="20"/>
        </w:rPr>
        <w:t>Source:</w:t>
      </w:r>
      <w:r>
        <w:rPr>
          <w:rFonts w:asciiTheme="majorHAnsi" w:hAnsiTheme="majorHAnsi"/>
          <w:b w:val="0"/>
          <w:bCs w:val="0"/>
          <w:sz w:val="20"/>
          <w:szCs w:val="20"/>
        </w:rPr>
        <w:t xml:space="preserve"> Authors own work.</w:t>
      </w:r>
    </w:p>
    <w:p w14:paraId="7664DF1D" w14:textId="77777777" w:rsidR="00B31F36" w:rsidRDefault="00B31F36" w:rsidP="00B31F36">
      <w:pPr>
        <w:spacing w:after="0" w:line="240" w:lineRule="auto"/>
        <w:rPr>
          <w:rFonts w:asciiTheme="majorHAnsi" w:eastAsiaTheme="majorEastAsia" w:hAnsiTheme="majorHAnsi" w:cstheme="majorBidi"/>
          <w:b/>
          <w:bCs/>
          <w:color w:val="000000" w:themeColor="text1"/>
          <w:sz w:val="20"/>
          <w:szCs w:val="20"/>
        </w:rPr>
        <w:sectPr w:rsidR="00B31F36">
          <w:type w:val="continuous"/>
          <w:pgSz w:w="11906" w:h="16838"/>
          <w:pgMar w:top="1008" w:right="1066" w:bottom="950" w:left="1166" w:header="850" w:footer="763" w:gutter="0"/>
          <w:cols w:space="720"/>
        </w:sectPr>
      </w:pPr>
    </w:p>
    <w:p w14:paraId="16D06269" w14:textId="77777777" w:rsidR="00B31F36" w:rsidRDefault="00B31F36" w:rsidP="00B31F36">
      <w:pPr>
        <w:rPr>
          <w:rFonts w:asciiTheme="majorHAnsi" w:eastAsiaTheme="majorEastAsia" w:hAnsiTheme="majorHAnsi" w:cstheme="majorBidi"/>
          <w:b/>
          <w:bCs/>
          <w:color w:val="000000" w:themeColor="text1"/>
          <w:sz w:val="20"/>
          <w:szCs w:val="20"/>
        </w:rPr>
      </w:pPr>
      <w:r>
        <w:rPr>
          <w:sz w:val="20"/>
          <w:szCs w:val="20"/>
        </w:rPr>
        <w:br w:type="page"/>
      </w:r>
    </w:p>
    <w:p w14:paraId="535C07D2" w14:textId="77777777" w:rsidR="00B31F36" w:rsidRDefault="00B31F36" w:rsidP="00B31F36">
      <w:pPr>
        <w:pStyle w:val="Titre2"/>
        <w:spacing w:before="0" w:line="240" w:lineRule="auto"/>
        <w:ind w:left="360" w:hanging="360"/>
        <w:rPr>
          <w:b/>
          <w:bCs/>
          <w:sz w:val="20"/>
          <w:szCs w:val="20"/>
        </w:rPr>
      </w:pPr>
      <w:r>
        <w:rPr>
          <w:b/>
          <w:bCs/>
          <w:sz w:val="20"/>
          <w:szCs w:val="20"/>
        </w:rPr>
        <w:t>Problem modeling</w:t>
      </w:r>
    </w:p>
    <w:p w14:paraId="0CA4ED8A" w14:textId="77777777" w:rsidR="00B31F36" w:rsidRDefault="00B31F36" w:rsidP="00B31F36">
      <w:pPr>
        <w:spacing w:after="0" w:line="240" w:lineRule="auto"/>
        <w:jc w:val="both"/>
        <w:rPr>
          <w:rFonts w:asciiTheme="majorHAnsi" w:hAnsiTheme="majorHAnsi"/>
          <w:sz w:val="20"/>
          <w:szCs w:val="20"/>
        </w:rPr>
      </w:pPr>
    </w:p>
    <w:p w14:paraId="2E399057"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In this initial step, the decision-making framework is represented in a formalized way based on the Robert Kaplan and David Norton ‘s tried-and-tested balanced scorecard approach providing decision-makers with a quick yet comprehensive overview of the company. The decision-maker is required to clearly define the company's vision and strategy before breaking it down to less than 20 measurable objectives clustered into four performance perspectives namely:</w:t>
      </w:r>
    </w:p>
    <w:p w14:paraId="71631ED6" w14:textId="77777777" w:rsidR="00B31F36" w:rsidRDefault="00B31F36" w:rsidP="00B31F36">
      <w:pPr>
        <w:pStyle w:val="Paragraphedeliste"/>
        <w:numPr>
          <w:ilvl w:val="0"/>
          <w:numId w:val="5"/>
        </w:numPr>
        <w:spacing w:after="0" w:line="240" w:lineRule="auto"/>
        <w:ind w:left="180" w:hanging="180"/>
        <w:jc w:val="both"/>
        <w:rPr>
          <w:rFonts w:asciiTheme="majorHAnsi" w:hAnsiTheme="majorHAnsi"/>
          <w:sz w:val="20"/>
          <w:szCs w:val="20"/>
        </w:rPr>
      </w:pPr>
      <w:r>
        <w:rPr>
          <w:rFonts w:asciiTheme="majorHAnsi" w:hAnsiTheme="majorHAnsi"/>
          <w:sz w:val="20"/>
          <w:szCs w:val="20"/>
        </w:rPr>
        <w:t>Financial perspective, ensuring the efficient use of financial resources;</w:t>
      </w:r>
    </w:p>
    <w:p w14:paraId="02A2F1A8" w14:textId="77777777" w:rsidR="00B31F36" w:rsidRDefault="00B31F36" w:rsidP="00B31F36">
      <w:pPr>
        <w:pStyle w:val="Paragraphedeliste"/>
        <w:numPr>
          <w:ilvl w:val="0"/>
          <w:numId w:val="5"/>
        </w:numPr>
        <w:spacing w:after="0" w:line="240" w:lineRule="auto"/>
        <w:ind w:left="180" w:hanging="180"/>
        <w:jc w:val="both"/>
        <w:rPr>
          <w:rFonts w:asciiTheme="majorHAnsi" w:hAnsiTheme="majorHAnsi"/>
          <w:sz w:val="20"/>
          <w:szCs w:val="20"/>
        </w:rPr>
      </w:pPr>
      <w:r>
        <w:rPr>
          <w:rFonts w:asciiTheme="majorHAnsi" w:hAnsiTheme="majorHAnsi"/>
          <w:sz w:val="20"/>
          <w:szCs w:val="20"/>
        </w:rPr>
        <w:t>Customer perspective for consideration of customer satisfaction and needs;</w:t>
      </w:r>
    </w:p>
    <w:p w14:paraId="401D5B86" w14:textId="77777777" w:rsidR="00B31F36" w:rsidRDefault="00B31F36" w:rsidP="00B31F36">
      <w:pPr>
        <w:pStyle w:val="Paragraphedeliste"/>
        <w:numPr>
          <w:ilvl w:val="0"/>
          <w:numId w:val="5"/>
        </w:numPr>
        <w:spacing w:after="0" w:line="240" w:lineRule="auto"/>
        <w:ind w:left="180" w:hanging="180"/>
        <w:jc w:val="both"/>
        <w:rPr>
          <w:rFonts w:asciiTheme="majorHAnsi" w:hAnsiTheme="majorHAnsi"/>
          <w:sz w:val="20"/>
          <w:szCs w:val="20"/>
        </w:rPr>
      </w:pPr>
      <w:r>
        <w:rPr>
          <w:rFonts w:asciiTheme="majorHAnsi" w:hAnsiTheme="majorHAnsi"/>
          <w:sz w:val="20"/>
          <w:szCs w:val="20"/>
        </w:rPr>
        <w:t>Internal business perspective in search of efficiency being the source of competitive advantages;</w:t>
      </w:r>
    </w:p>
    <w:p w14:paraId="414D04F0" w14:textId="77777777" w:rsidR="00B31F36" w:rsidRDefault="00B31F36" w:rsidP="00B31F36">
      <w:pPr>
        <w:pStyle w:val="Paragraphedeliste"/>
        <w:numPr>
          <w:ilvl w:val="0"/>
          <w:numId w:val="5"/>
        </w:numPr>
        <w:spacing w:after="0" w:line="240" w:lineRule="auto"/>
        <w:ind w:left="180" w:hanging="180"/>
        <w:jc w:val="both"/>
        <w:rPr>
          <w:rFonts w:asciiTheme="majorHAnsi" w:hAnsiTheme="majorHAnsi"/>
          <w:sz w:val="20"/>
          <w:szCs w:val="20"/>
        </w:rPr>
      </w:pPr>
      <w:r>
        <w:rPr>
          <w:rFonts w:asciiTheme="majorHAnsi" w:hAnsiTheme="majorHAnsi"/>
          <w:sz w:val="20"/>
          <w:szCs w:val="20"/>
        </w:rPr>
        <w:t>Innovation and learning perspective, performance seen from the angle of human capital, information system and company’s culture.</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{"citationID":"2Wwcwkli","properties":{"formattedCitation":"(Kaplan and Norton, 2005, 1996)","plainCitation":"(Kaplan and Norton, 2005, 1996)","noteIndex":0},"citationItems":[{"id":5501,"uris":["http://zotero.org/users/local/J2gD9SYp/items/AZSY4MXK"],"itemData":{"id":5501,"type":"book","publisher":"Harvard business review US","title":"The balanced scorecard: measures that drive performance","volume":"70","author":[{"family":"Kaplan","given":"Robert S."},{"family":"Norton","given":"David P."}],"issued":{"date-parts":[["2005"]]}}},{"id":5503,"uris":["http://zotero.org/users/local/J2gD9SYp/items/J3HRF92R"],"itemData":{"id":5503,"type":"book","ISBN":"0-87584-651-3","publisher":"Harvard business press","title":"The balanced scorecard: translating strategy into action","author":[{"family":"Kaplan","given":"Robert S."},{"family":"Norton","given":"David P."}],"issued":{"date-parts":[["1996"]]}}}],"schema":"https://github.com/citation-style-language/schema/raw/master/csl-citation.json"}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(Kaplan and Norton, 2005, 1996)</w:t>
      </w:r>
      <w:r>
        <w:rPr>
          <w:rFonts w:asciiTheme="majorHAnsi" w:hAnsiTheme="majorHAnsi"/>
          <w:sz w:val="20"/>
          <w:szCs w:val="20"/>
        </w:rPr>
        <w:fldChar w:fldCharType="end"/>
      </w:r>
    </w:p>
    <w:p w14:paraId="42C35330" w14:textId="77777777" w:rsidR="00B31F36" w:rsidRDefault="00B31F36" w:rsidP="00B31F36">
      <w:pPr>
        <w:spacing w:after="0" w:line="240" w:lineRule="auto"/>
        <w:jc w:val="both"/>
        <w:rPr>
          <w:rFonts w:asciiTheme="majorHAnsi" w:hAnsiTheme="majorHAnsi"/>
          <w:sz w:val="20"/>
          <w:szCs w:val="20"/>
        </w:rPr>
      </w:pPr>
    </w:p>
    <w:p w14:paraId="5A5B36C5"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The charter is supplemented by the current KPIs values and targets to be achieved, the gap is automatically computed and afterwards utilized to train the ANN model.</w:t>
      </w:r>
    </w:p>
    <w:p w14:paraId="785117B4"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This first step, leads decision-makers to assess all essential operational KPIs together and spot whether an improvement in one area comes at the expense of another, preventing them from slipping into the trap of sub-optimization, which might be detrimental to the overall performance</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{"citationID":"mmmxJHIo","properties":{"formattedCitation":"(Kaplan and Norton, 2005)","plainCitation":"(Kaplan and Norton, 2005)","noteIndex":0},"citationItems":[{"id":5501,"uris":["http://zotero.org/users/local/J2gD9SYp/items/AZSY4MXK"],"itemData":{"id":5501,"type":"book","publisher":"Harvard business review US","title":"The balanced scorecard: measures that drive performance","volume":"70","author":[{"family":"Kaplan","given":"Robert S."},{"family":"Norton","given":"David P."}],"issued":{"date-parts":[["2005"]]}}}],"schema":"https://github.com/citation-style-language/schema/raw/master/csl-citation.json"}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(Kaplan and Norton, 2005)</w:t>
      </w:r>
      <w:r>
        <w:rPr>
          <w:rFonts w:asciiTheme="majorHAnsi" w:hAnsiTheme="majorHAnsi"/>
          <w:sz w:val="20"/>
          <w:szCs w:val="20"/>
        </w:rPr>
        <w:fldChar w:fldCharType="end"/>
      </w:r>
      <w:r>
        <w:rPr>
          <w:rFonts w:asciiTheme="majorHAnsi" w:hAnsiTheme="majorHAnsi"/>
          <w:sz w:val="20"/>
          <w:szCs w:val="20"/>
        </w:rPr>
        <w:t>.</w:t>
      </w:r>
    </w:p>
    <w:p w14:paraId="5A07430F" w14:textId="77777777" w:rsidR="00B31F36" w:rsidRDefault="00B31F36" w:rsidP="00B31F36">
      <w:pPr>
        <w:spacing w:after="0" w:line="240" w:lineRule="auto"/>
        <w:jc w:val="both"/>
        <w:rPr>
          <w:rFonts w:asciiTheme="majorHAnsi" w:hAnsiTheme="majorHAnsi"/>
          <w:sz w:val="20"/>
          <w:szCs w:val="20"/>
        </w:rPr>
      </w:pPr>
    </w:p>
    <w:p w14:paraId="63A47B3A" w14:textId="77777777" w:rsidR="00B31F36" w:rsidRDefault="00B31F36" w:rsidP="00B31F36">
      <w:pPr>
        <w:pStyle w:val="Titre2"/>
        <w:spacing w:before="0" w:line="240" w:lineRule="auto"/>
        <w:ind w:left="360" w:hanging="360"/>
        <w:rPr>
          <w:b/>
          <w:bCs/>
          <w:sz w:val="20"/>
          <w:szCs w:val="20"/>
        </w:rPr>
      </w:pPr>
      <w:r>
        <w:rPr>
          <w:b/>
          <w:bCs/>
          <w:sz w:val="20"/>
          <w:szCs w:val="20"/>
        </w:rPr>
        <w:t>Objectif function</w:t>
      </w:r>
    </w:p>
    <w:p w14:paraId="381845AD" w14:textId="77777777" w:rsidR="00B31F36" w:rsidRDefault="00B31F36" w:rsidP="00B31F36">
      <w:pPr>
        <w:spacing w:after="0" w:line="240" w:lineRule="auto"/>
        <w:jc w:val="both"/>
        <w:rPr>
          <w:rFonts w:asciiTheme="majorHAnsi" w:hAnsiTheme="majorHAnsi"/>
          <w:sz w:val="20"/>
          <w:szCs w:val="20"/>
        </w:rPr>
      </w:pPr>
    </w:p>
    <w:p w14:paraId="1635BD04"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This second stage of the model aims to formulate the objective function which requires coefficients of the previously determined KPIs derived by Analytic Hierarchy Process in order to better adapt the model to specific decision-making contexts.</w:t>
      </w:r>
    </w:p>
    <w:p w14:paraId="26A0FAA7"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 xml:space="preserve">Analytic Hierarchy Process is a multi-criteria decision-making technique developed in 1970s by Prof. Thomas Saaty to assist decision-making through pairwise comparisons of pre-defined criteria considered by decision-makers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{"citationID":"QIBnIxZm","properties":{"formattedCitation":"(Saaty, 2008)","plainCitation":"(Saaty, 2008)","noteIndex":0},"citationItems":[{"id":5504,"uris":["http://zotero.org/users/local/J2gD9SYp/items/F7DPATF5"],"itemData":{"id":5504,"type":"article-journal","container-title":"International journal of services sciences","issue":"1","note":"ISBN: 1753-1446\npublisher: Inderscience Publishers","page":"83-98","title":"Decision making with the analytic hierarchy process","volume":"1","author":[{"family":"Saaty","given":"Thomas L."}],"issued":{"date-parts":[["2008"]]}}}],"schema":"https://github.com/citation-style-language/schema/raw/master/csl-citation.json"}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(Saaty, 2008)</w:t>
      </w:r>
      <w:r>
        <w:rPr>
          <w:rFonts w:asciiTheme="majorHAnsi" w:hAnsiTheme="majorHAnsi"/>
          <w:sz w:val="20"/>
          <w:szCs w:val="20"/>
        </w:rPr>
        <w:fldChar w:fldCharType="end"/>
      </w:r>
      <w:r>
        <w:rPr>
          <w:rFonts w:asciiTheme="majorHAnsi" w:hAnsiTheme="majorHAnsi"/>
          <w:sz w:val="20"/>
          <w:szCs w:val="20"/>
        </w:rPr>
        <w:t xml:space="preserve">.  Statistics based on data gathered over decades reveal that AHP is the most commonly adopted approach worldwide mainly due to the simplicity of the algorithm and ability to reflect users’ perceptions while solving complex problems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{"citationID":"q3LGkq7d","properties":{"formattedCitation":"(Munier and Hontoria, 2021)","plainCitation":"(Munier and Hontoria, 2021)","noteIndex":0},"citationItems":[{"id":5411,"uris":["http://zotero.org/users/local/J2gD9SYp/items/LZQEWJDM"],"itemData":{"id":5411,"type":"book","collection-title":"Management for Professionals","event-place":"Cham","ISBN":"978-3-030-60391-5","language":"en","note":"DOI: 10.1007/978-3-030-60392-2","publisher":"Springer International Publishing","publisher-place":"Cham","source":"DOI.org (Crossref)","title":"Uses and Limitations of the AHP Method: A Non-Mathematical and Rational Analysis","title-short":"Uses and Limitations of the AHP Method","URL":"http://link.springer.com/10.1007/978-3-030-60392-2","author":[{"family":"Munier","given":"Nolberto"},{"family":"Hontoria","given":"Eloy"}],"accessed":{"date-parts":[["2023",2,25]]},"issued":{"date-parts":[["2021"]]}}}],"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(Munier and Hontoria, 2021)</w:t>
      </w:r>
      <w:r>
        <w:rPr>
          <w:rFonts w:asciiTheme="majorHAnsi" w:hAnsiTheme="majorHAnsi"/>
          <w:sz w:val="20"/>
          <w:szCs w:val="20"/>
        </w:rPr>
        <w:fldChar w:fldCharType="end"/>
      </w:r>
      <w:r>
        <w:rPr>
          <w:rFonts w:asciiTheme="majorHAnsi" w:hAnsiTheme="majorHAnsi"/>
          <w:sz w:val="20"/>
          <w:szCs w:val="20"/>
        </w:rPr>
        <w:t>.</w:t>
      </w:r>
    </w:p>
    <w:p w14:paraId="08BC94FD"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 xml:space="preserve">The AHP algorithm rely on numerical scale to systematize and structure decision-making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{"citationID":"VAsCqYJS","properties":{"formattedCitation":"(Dos Santos et al., 2019)","plainCitation":"(Dos Santos et al., 2019)","noteIndex":0},"citationItems":[{"id":5398,"uris":["http://zotero.org/users/local/J2gD9SYp/items/VSDCBZJ7"],"itemData":{"id":5398,"type":"article-journal","abstract":"The three-pillar concept of environmental, economic, and social sustainability is widely known in academia. Research on sustainable development has noted its complex nature, also reﬂected in the decision-making process, which requires structuration and systematization. To support decision making for sustainable development, many multi-criteria techniques, both isolated or integrated, have been used. Among them, the analytic hierarchy process stands out as the most often used. This study conducts a systematic literature review on the analytic hierarchy process's support for decision making for sustainable development, making it possible to identify gaps and future research pathways. To do so, it gathers, maps, analyzes, and summarizes the academic literature by reviewing 173 manuscripts published between 2014 and 2018, which are indexed by the Web of Science, Scopus, and Science Direct databases. The results, analysis, and discussion of the screened manuscripts are comprised of (a) a descriptive analysis, (b) mental mapping, (c) bibliometric data, (d) an in-depth analysis of the most cited literature, (e) an in-depth analysis of the most recently cited literature, and (f) the clustering of research evolution. The ﬁndings substantially elucidate the advancements in the state-of-the-art of the analytic hierarchy process for sustainable development. Implications for research and practice, as well as promising challenges for further research, are presented.","container-title":"Journal of Cleaner Production","DOI":"10.1016/j.jclepro.2018.11.270","ISSN":"09596526","journalAbbreviation":"Journal of Cleaner Production","language":"en","page":"119-138","source":"DOI.org (Crossref)","title":"The analytic hierarchy process supporting decision making for sustainable development: An overview of applications","title-short":"The analytic hierarchy process supporting decision making for sustainable development","volume":"212","author":[{"family":"Dos Santos","given":"Paulo Henrique"},{"family":"Neves","given":"Sandra Miranda"},{"family":"Sant’Anna","given":"Daniele Ornaghi"},{"family":"Oliveira","given":"Carlos Henrique","dropping-particle":"de"},{"family":"Carvalho","given":"Henrique Duarte"}],"issued":{"date-parts":[["2019",3]]}}}],"schema":"https://github.com/citation-style-language/schema/raw/master/csl-citation.json"}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(Dos Santos et al., 2019)</w:t>
      </w:r>
      <w:r>
        <w:rPr>
          <w:rFonts w:asciiTheme="majorHAnsi" w:hAnsiTheme="majorHAnsi"/>
          <w:sz w:val="20"/>
          <w:szCs w:val="20"/>
        </w:rPr>
        <w:fldChar w:fldCharType="end"/>
      </w:r>
      <w:r>
        <w:rPr>
          <w:rFonts w:asciiTheme="majorHAnsi" w:hAnsiTheme="majorHAnsi"/>
          <w:sz w:val="20"/>
          <w:szCs w:val="20"/>
        </w:rPr>
        <w:t xml:space="preserve"> according to the following steps:</w:t>
      </w:r>
    </w:p>
    <w:p w14:paraId="45AC69DA" w14:textId="77777777" w:rsidR="00B31F36" w:rsidRDefault="00B31F36" w:rsidP="00B31F36">
      <w:pPr>
        <w:spacing w:after="0" w:line="240" w:lineRule="auto"/>
        <w:jc w:val="both"/>
        <w:rPr>
          <w:rFonts w:asciiTheme="majorHAnsi" w:hAnsiTheme="majorHAnsi"/>
          <w:sz w:val="20"/>
          <w:szCs w:val="20"/>
        </w:rPr>
      </w:pPr>
    </w:p>
    <w:p w14:paraId="0265B607" w14:textId="77777777" w:rsidR="00B31F36" w:rsidRDefault="00B31F36" w:rsidP="00B31F36">
      <w:pPr>
        <w:pStyle w:val="Paragraphedeliste"/>
        <w:numPr>
          <w:ilvl w:val="0"/>
          <w:numId w:val="5"/>
        </w:numPr>
        <w:spacing w:after="0" w:line="240" w:lineRule="auto"/>
        <w:ind w:left="180" w:hanging="180"/>
        <w:jc w:val="both"/>
        <w:rPr>
          <w:rFonts w:asciiTheme="majorHAnsi" w:hAnsiTheme="majorHAnsi"/>
          <w:sz w:val="20"/>
          <w:szCs w:val="20"/>
        </w:rPr>
      </w:pPr>
      <w:r>
        <w:rPr>
          <w:rFonts w:asciiTheme="majorHAnsi" w:hAnsiTheme="majorHAnsi"/>
          <w:sz w:val="20"/>
          <w:szCs w:val="20"/>
        </w:rPr>
        <w:t>Step1: develop a hierarchical structure with the performance goal at the top level and objectives/ criteria at the second level and the alternatives at the third level.</w:t>
      </w:r>
    </w:p>
    <w:p w14:paraId="1304D841" w14:textId="77777777" w:rsidR="00B31F36" w:rsidRDefault="00B31F36" w:rsidP="00B31F36">
      <w:pPr>
        <w:pStyle w:val="Paragraphedeliste"/>
        <w:spacing w:after="0" w:line="240" w:lineRule="auto"/>
        <w:ind w:left="180"/>
        <w:jc w:val="both"/>
        <w:rPr>
          <w:rFonts w:asciiTheme="majorHAnsi" w:hAnsiTheme="majorHAnsi"/>
          <w:sz w:val="20"/>
          <w:szCs w:val="20"/>
        </w:rPr>
      </w:pPr>
    </w:p>
    <w:p w14:paraId="3BE8E173" w14:textId="77777777" w:rsidR="00B31F36" w:rsidRDefault="00B31F36" w:rsidP="00B31F36">
      <w:pPr>
        <w:pStyle w:val="Paragraphedeliste"/>
        <w:numPr>
          <w:ilvl w:val="0"/>
          <w:numId w:val="5"/>
        </w:numPr>
        <w:spacing w:after="0" w:line="240" w:lineRule="auto"/>
        <w:ind w:left="180" w:hanging="180"/>
        <w:jc w:val="both"/>
        <w:rPr>
          <w:rFonts w:asciiTheme="majorHAnsi" w:hAnsiTheme="majorHAnsi"/>
          <w:sz w:val="20"/>
          <w:szCs w:val="20"/>
        </w:rPr>
      </w:pPr>
      <w:r>
        <w:rPr>
          <w:rFonts w:asciiTheme="majorHAnsi" w:hAnsiTheme="majorHAnsi"/>
          <w:sz w:val="20"/>
          <w:szCs w:val="20"/>
        </w:rPr>
        <w:t>Step2: determine the relative importance of different criteria with respect to the goal.</w:t>
      </w:r>
    </w:p>
    <w:p w14:paraId="701DCD38"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A pair-wise comparison matrix is created with the help of Saaty’s scale of relative importance</w:t>
      </w:r>
    </w:p>
    <w:p w14:paraId="4256D262" w14:textId="77777777" w:rsidR="00B31F36" w:rsidRDefault="00B31F36" w:rsidP="00B31F36">
      <w:pPr>
        <w:spacing w:after="0" w:line="240" w:lineRule="auto"/>
        <w:jc w:val="both"/>
        <w:rPr>
          <w:rFonts w:asciiTheme="majorHAnsi" w:hAnsiTheme="majorHAnsi"/>
          <w:sz w:val="20"/>
          <w:szCs w:val="20"/>
        </w:rPr>
      </w:pPr>
    </w:p>
    <w:tbl>
      <w:tblPr>
        <w:tblStyle w:val="Grilledutableau"/>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288"/>
      </w:tblGrid>
      <w:tr w:rsidR="00B31F36" w14:paraId="6616F9D4" w14:textId="77777777" w:rsidTr="00B31F36">
        <w:trPr>
          <w:jc w:val="center"/>
        </w:trPr>
        <w:tc>
          <w:tcPr>
            <w:tcW w:w="4410" w:type="dxa"/>
            <w:gridSpan w:val="2"/>
            <w:tcBorders>
              <w:top w:val="nil"/>
              <w:left w:val="nil"/>
              <w:bottom w:val="single" w:sz="4" w:space="0" w:color="auto"/>
              <w:right w:val="nil"/>
            </w:tcBorders>
            <w:hideMark/>
          </w:tcPr>
          <w:p w14:paraId="17D1C8F4" w14:textId="77777777" w:rsidR="00B31F36" w:rsidRDefault="00B31F36">
            <w:pPr>
              <w:spacing w:after="0" w:line="240" w:lineRule="auto"/>
              <w:jc w:val="center"/>
              <w:rPr>
                <w:rFonts w:asciiTheme="majorHAnsi" w:hAnsiTheme="majorHAnsi"/>
                <w:b/>
                <w:bCs/>
                <w:sz w:val="18"/>
                <w:szCs w:val="18"/>
              </w:rPr>
            </w:pPr>
            <w:r>
              <w:rPr>
                <w:rFonts w:asciiTheme="majorHAnsi" w:hAnsiTheme="majorHAnsi"/>
                <w:b/>
                <w:bCs/>
                <w:sz w:val="18"/>
                <w:szCs w:val="18"/>
              </w:rPr>
              <w:t>Table 1: Saaty’s scale of relative importance</w:t>
            </w:r>
          </w:p>
        </w:tc>
      </w:tr>
      <w:tr w:rsidR="00B31F36" w14:paraId="1D5E9D4B" w14:textId="77777777" w:rsidTr="00B31F36">
        <w:trPr>
          <w:jc w:val="center"/>
        </w:trPr>
        <w:tc>
          <w:tcPr>
            <w:tcW w:w="2122" w:type="dxa"/>
            <w:tcBorders>
              <w:top w:val="single" w:sz="4" w:space="0" w:color="auto"/>
              <w:left w:val="nil"/>
              <w:bottom w:val="single" w:sz="4" w:space="0" w:color="auto"/>
              <w:right w:val="nil"/>
            </w:tcBorders>
            <w:hideMark/>
          </w:tcPr>
          <w:p w14:paraId="1A7B14E8"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Importance value</w:t>
            </w:r>
          </w:p>
        </w:tc>
        <w:tc>
          <w:tcPr>
            <w:tcW w:w="2288" w:type="dxa"/>
            <w:tcBorders>
              <w:top w:val="single" w:sz="4" w:space="0" w:color="auto"/>
              <w:left w:val="nil"/>
              <w:bottom w:val="single" w:sz="4" w:space="0" w:color="auto"/>
              <w:right w:val="nil"/>
            </w:tcBorders>
            <w:hideMark/>
          </w:tcPr>
          <w:p w14:paraId="7EDDC86B"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Interpretation</w:t>
            </w:r>
          </w:p>
        </w:tc>
      </w:tr>
      <w:tr w:rsidR="00B31F36" w14:paraId="419A3D55" w14:textId="77777777" w:rsidTr="00B31F36">
        <w:trPr>
          <w:jc w:val="center"/>
        </w:trPr>
        <w:tc>
          <w:tcPr>
            <w:tcW w:w="2122" w:type="dxa"/>
            <w:tcBorders>
              <w:top w:val="single" w:sz="4" w:space="0" w:color="auto"/>
              <w:left w:val="nil"/>
              <w:bottom w:val="nil"/>
              <w:right w:val="nil"/>
            </w:tcBorders>
            <w:hideMark/>
          </w:tcPr>
          <w:p w14:paraId="51C519CA"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1</w:t>
            </w:r>
          </w:p>
        </w:tc>
        <w:tc>
          <w:tcPr>
            <w:tcW w:w="2288" w:type="dxa"/>
            <w:tcBorders>
              <w:top w:val="single" w:sz="4" w:space="0" w:color="auto"/>
              <w:left w:val="nil"/>
              <w:bottom w:val="nil"/>
              <w:right w:val="nil"/>
            </w:tcBorders>
            <w:hideMark/>
          </w:tcPr>
          <w:p w14:paraId="117B4888"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Equal importance</w:t>
            </w:r>
          </w:p>
        </w:tc>
      </w:tr>
      <w:tr w:rsidR="00B31F36" w14:paraId="77D0DD3A" w14:textId="77777777" w:rsidTr="00B31F36">
        <w:trPr>
          <w:jc w:val="center"/>
        </w:trPr>
        <w:tc>
          <w:tcPr>
            <w:tcW w:w="2122" w:type="dxa"/>
            <w:hideMark/>
          </w:tcPr>
          <w:p w14:paraId="552FBAFF"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3</w:t>
            </w:r>
          </w:p>
        </w:tc>
        <w:tc>
          <w:tcPr>
            <w:tcW w:w="2288" w:type="dxa"/>
            <w:hideMark/>
          </w:tcPr>
          <w:p w14:paraId="2325AFAA"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Moderate importance</w:t>
            </w:r>
          </w:p>
        </w:tc>
      </w:tr>
      <w:tr w:rsidR="00B31F36" w14:paraId="0143FB1E" w14:textId="77777777" w:rsidTr="00B31F36">
        <w:trPr>
          <w:jc w:val="center"/>
        </w:trPr>
        <w:tc>
          <w:tcPr>
            <w:tcW w:w="2122" w:type="dxa"/>
            <w:hideMark/>
          </w:tcPr>
          <w:p w14:paraId="22C3FD6C"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5</w:t>
            </w:r>
          </w:p>
        </w:tc>
        <w:tc>
          <w:tcPr>
            <w:tcW w:w="2288" w:type="dxa"/>
            <w:hideMark/>
          </w:tcPr>
          <w:p w14:paraId="53DDDBBE"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Strong importance</w:t>
            </w:r>
          </w:p>
        </w:tc>
      </w:tr>
      <w:tr w:rsidR="00B31F36" w14:paraId="4191ECC0" w14:textId="77777777" w:rsidTr="00B31F36">
        <w:trPr>
          <w:jc w:val="center"/>
        </w:trPr>
        <w:tc>
          <w:tcPr>
            <w:tcW w:w="2122" w:type="dxa"/>
            <w:hideMark/>
          </w:tcPr>
          <w:p w14:paraId="28056160"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7</w:t>
            </w:r>
          </w:p>
        </w:tc>
        <w:tc>
          <w:tcPr>
            <w:tcW w:w="2288" w:type="dxa"/>
            <w:hideMark/>
          </w:tcPr>
          <w:p w14:paraId="7175718C"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Very strong importance</w:t>
            </w:r>
          </w:p>
        </w:tc>
      </w:tr>
      <w:tr w:rsidR="00B31F36" w14:paraId="4CC550D7" w14:textId="77777777" w:rsidTr="00B31F36">
        <w:trPr>
          <w:jc w:val="center"/>
        </w:trPr>
        <w:tc>
          <w:tcPr>
            <w:tcW w:w="2122" w:type="dxa"/>
            <w:hideMark/>
          </w:tcPr>
          <w:p w14:paraId="16345EBD"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9</w:t>
            </w:r>
          </w:p>
        </w:tc>
        <w:tc>
          <w:tcPr>
            <w:tcW w:w="2288" w:type="dxa"/>
            <w:hideMark/>
          </w:tcPr>
          <w:p w14:paraId="72233C18"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Extreme importance</w:t>
            </w:r>
          </w:p>
        </w:tc>
      </w:tr>
      <w:tr w:rsidR="00B31F36" w14:paraId="45C707C2" w14:textId="77777777" w:rsidTr="00B31F36">
        <w:trPr>
          <w:jc w:val="center"/>
        </w:trPr>
        <w:tc>
          <w:tcPr>
            <w:tcW w:w="2122" w:type="dxa"/>
            <w:tcBorders>
              <w:top w:val="nil"/>
              <w:left w:val="nil"/>
              <w:bottom w:val="single" w:sz="4" w:space="0" w:color="auto"/>
              <w:right w:val="nil"/>
            </w:tcBorders>
            <w:hideMark/>
          </w:tcPr>
          <w:p w14:paraId="48BB2624"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2,4,6,8</w:t>
            </w:r>
          </w:p>
        </w:tc>
        <w:tc>
          <w:tcPr>
            <w:tcW w:w="2288" w:type="dxa"/>
            <w:tcBorders>
              <w:top w:val="nil"/>
              <w:left w:val="nil"/>
              <w:bottom w:val="single" w:sz="4" w:space="0" w:color="auto"/>
              <w:right w:val="nil"/>
            </w:tcBorders>
            <w:hideMark/>
          </w:tcPr>
          <w:p w14:paraId="4EB30B58" w14:textId="77777777" w:rsidR="00B31F36" w:rsidRDefault="00B31F36">
            <w:pPr>
              <w:spacing w:after="0" w:line="240" w:lineRule="auto"/>
              <w:jc w:val="both"/>
              <w:rPr>
                <w:rFonts w:asciiTheme="majorHAnsi" w:hAnsiTheme="majorHAnsi"/>
                <w:sz w:val="18"/>
                <w:szCs w:val="18"/>
              </w:rPr>
            </w:pPr>
            <w:r>
              <w:rPr>
                <w:rFonts w:asciiTheme="majorHAnsi" w:hAnsiTheme="majorHAnsi"/>
                <w:sz w:val="18"/>
                <w:szCs w:val="18"/>
              </w:rPr>
              <w:t>Intermediate values</w:t>
            </w:r>
          </w:p>
        </w:tc>
      </w:tr>
    </w:tbl>
    <w:p w14:paraId="7F8180AE" w14:textId="77777777" w:rsidR="00B31F36" w:rsidRDefault="00B31F36" w:rsidP="00B31F36">
      <w:pPr>
        <w:spacing w:after="0" w:line="240" w:lineRule="auto"/>
        <w:jc w:val="both"/>
        <w:rPr>
          <w:rFonts w:asciiTheme="majorHAnsi" w:hAnsiTheme="majorHAnsi"/>
          <w:sz w:val="20"/>
          <w:szCs w:val="20"/>
        </w:rPr>
      </w:pPr>
    </w:p>
    <w:p w14:paraId="26327FEF"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The pair-wise comparison matrix is then normalized to obtain criteria weights</w:t>
      </w:r>
    </w:p>
    <w:p w14:paraId="7A62BCE0" w14:textId="77777777" w:rsidR="00B31F36" w:rsidRDefault="00B31F36" w:rsidP="00B31F36">
      <w:pPr>
        <w:spacing w:after="0" w:line="240" w:lineRule="auto"/>
        <w:jc w:val="both"/>
        <w:rPr>
          <w:rFonts w:asciiTheme="majorHAnsi" w:hAnsiTheme="majorHAnsi"/>
          <w:sz w:val="20"/>
          <w:szCs w:val="20"/>
        </w:rPr>
      </w:pPr>
    </w:p>
    <w:p w14:paraId="38F4E166" w14:textId="77777777" w:rsidR="00B31F36" w:rsidRDefault="00B31F36" w:rsidP="00B31F36">
      <w:pPr>
        <w:pStyle w:val="Paragraphedeliste"/>
        <w:numPr>
          <w:ilvl w:val="0"/>
          <w:numId w:val="5"/>
        </w:numPr>
        <w:spacing w:after="0" w:line="240" w:lineRule="auto"/>
        <w:ind w:left="180" w:hanging="180"/>
        <w:jc w:val="both"/>
        <w:rPr>
          <w:rFonts w:asciiTheme="majorHAnsi" w:hAnsiTheme="majorHAnsi"/>
          <w:sz w:val="20"/>
          <w:szCs w:val="20"/>
        </w:rPr>
      </w:pPr>
      <w:r>
        <w:rPr>
          <w:rFonts w:asciiTheme="majorHAnsi" w:hAnsiTheme="majorHAnsi"/>
          <w:sz w:val="20"/>
          <w:szCs w:val="20"/>
        </w:rPr>
        <w:t>Step 3: evaluate the consistency</w:t>
      </w:r>
    </w:p>
    <w:p w14:paraId="2577E1FE"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Before moving forward with analysis, the pair-wise comparison matrix is evaluated by means of the consistency index (CI) calculated using the largest eigenvalue (λmax)</w:t>
      </w:r>
    </w:p>
    <w:p w14:paraId="0325A23F" w14:textId="77777777" w:rsidR="00B31F36" w:rsidRDefault="00B31F36" w:rsidP="00B31F36">
      <w:pPr>
        <w:spacing w:after="0" w:line="240" w:lineRule="auto"/>
        <w:jc w:val="both"/>
        <w:rPr>
          <w:rFonts w:asciiTheme="majorHAnsi" w:hAnsiTheme="majorHAnsi"/>
          <w:sz w:val="20"/>
          <w:szCs w:val="20"/>
        </w:rPr>
      </w:pPr>
    </w:p>
    <w:p w14:paraId="55CDFD9D" w14:textId="77777777" w:rsidR="00B31F36" w:rsidRDefault="00B31F36" w:rsidP="00B31F36">
      <w:pPr>
        <w:spacing w:after="0" w:line="240" w:lineRule="auto"/>
        <w:jc w:val="both"/>
        <w:rPr>
          <w:rFonts w:asciiTheme="majorHAnsi" w:eastAsiaTheme="minorEastAsia" w:hAnsiTheme="majorHAnsi"/>
          <w:sz w:val="20"/>
          <w:szCs w:val="20"/>
        </w:rPr>
      </w:pPr>
      <m:oMathPara>
        <m:oMath>
          <m:r>
            <w:rPr>
              <w:rFonts w:ascii="Cambria Math" w:hAnsi="Cambria Math"/>
              <w:sz w:val="20"/>
              <w:szCs w:val="20"/>
            </w:rPr>
            <m:t>CI=</m:t>
          </m:r>
          <m:f>
            <m:fPr>
              <m:ctrlPr>
                <w:rPr>
                  <w:rFonts w:ascii="Cambria Math" w:hAnsi="Cambria Math"/>
                  <w:i/>
                </w:rPr>
              </m:ctrlPr>
            </m:fPr>
            <m:num>
              <m:sSub>
                <m:sSubPr>
                  <m:ctrlPr>
                    <w:rPr>
                      <w:rFonts w:ascii="Cambria Math" w:hAnsi="Cambria Math"/>
                      <w:i/>
                    </w:rPr>
                  </m:ctrlPr>
                </m:sSubPr>
                <m:e>
                  <m:r>
                    <w:rPr>
                      <w:rFonts w:ascii="Cambria Math" w:hAnsi="Cambria Math"/>
                      <w:sz w:val="20"/>
                      <w:szCs w:val="20"/>
                    </w:rPr>
                    <m:t>λ</m:t>
                  </m:r>
                </m:e>
                <m:sub>
                  <m:r>
                    <w:rPr>
                      <w:rFonts w:ascii="Cambria Math" w:hAnsi="Cambria Math"/>
                      <w:sz w:val="20"/>
                      <w:szCs w:val="20"/>
                    </w:rPr>
                    <m:t>max</m:t>
                  </m:r>
                </m:sub>
              </m:sSub>
              <m:r>
                <w:rPr>
                  <w:rFonts w:ascii="Cambria Math" w:hAnsi="Cambria Math"/>
                  <w:sz w:val="20"/>
                  <w:szCs w:val="20"/>
                </w:rPr>
                <m:t>-n</m:t>
              </m:r>
            </m:num>
            <m:den>
              <m:r>
                <w:rPr>
                  <w:rFonts w:ascii="Cambria Math" w:hAnsi="Cambria Math"/>
                  <w:sz w:val="20"/>
                  <w:szCs w:val="20"/>
                </w:rPr>
                <m:t>n-1</m:t>
              </m:r>
            </m:den>
          </m:f>
        </m:oMath>
      </m:oMathPara>
    </w:p>
    <w:p w14:paraId="5A8748C0" w14:textId="77777777" w:rsidR="00B31F36" w:rsidRDefault="00B31F36" w:rsidP="00B31F36">
      <w:pPr>
        <w:spacing w:after="0" w:line="240" w:lineRule="auto"/>
        <w:jc w:val="both"/>
        <w:rPr>
          <w:rFonts w:asciiTheme="majorHAnsi" w:hAnsiTheme="majorHAnsi"/>
          <w:sz w:val="20"/>
          <w:szCs w:val="20"/>
        </w:rPr>
      </w:pPr>
    </w:p>
    <w:p w14:paraId="12FEE0FE"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The obtained consistency index is afterwards divided by Random Index (RI) (Saaty, 1980), If the result is less than 0.1, the comparisons are acknowledged (perfect comparisons result in CR = 0).</w:t>
      </w:r>
    </w:p>
    <w:p w14:paraId="570A31AF" w14:textId="77777777" w:rsidR="00B31F36" w:rsidRDefault="00B31F36" w:rsidP="00B31F36">
      <w:pPr>
        <w:spacing w:after="0" w:line="240" w:lineRule="auto"/>
        <w:jc w:val="both"/>
        <w:rPr>
          <w:rFonts w:asciiTheme="majorHAnsi" w:hAnsiTheme="majorHAnsi"/>
          <w:sz w:val="20"/>
          <w:szCs w:val="20"/>
        </w:rPr>
      </w:pPr>
    </w:p>
    <w:p w14:paraId="3D20F65E" w14:textId="77777777" w:rsidR="00B31F36" w:rsidRDefault="00B31F36" w:rsidP="00B31F36">
      <w:pPr>
        <w:spacing w:after="0" w:line="240" w:lineRule="auto"/>
        <w:jc w:val="both"/>
        <w:rPr>
          <w:rFonts w:asciiTheme="majorHAnsi" w:eastAsiaTheme="minorEastAsia" w:hAnsiTheme="majorHAnsi"/>
          <w:sz w:val="20"/>
          <w:szCs w:val="20"/>
        </w:rPr>
      </w:pPr>
      <m:oMathPara>
        <m:oMath>
          <m:r>
            <w:rPr>
              <w:rFonts w:ascii="Cambria Math" w:hAnsi="Cambria Math"/>
              <w:sz w:val="20"/>
              <w:szCs w:val="20"/>
            </w:rPr>
            <m:t>CR=</m:t>
          </m:r>
          <m:f>
            <m:fPr>
              <m:ctrlPr>
                <w:rPr>
                  <w:rFonts w:ascii="Cambria Math" w:hAnsi="Cambria Math"/>
                  <w:i/>
                </w:rPr>
              </m:ctrlPr>
            </m:fPr>
            <m:num>
              <m:r>
                <w:rPr>
                  <w:rFonts w:ascii="Cambria Math" w:hAnsi="Cambria Math"/>
                  <w:sz w:val="20"/>
                  <w:szCs w:val="20"/>
                </w:rPr>
                <m:t>CI</m:t>
              </m:r>
            </m:num>
            <m:den>
              <m:r>
                <w:rPr>
                  <w:rFonts w:ascii="Cambria Math" w:hAnsi="Cambria Math"/>
                  <w:sz w:val="20"/>
                  <w:szCs w:val="20"/>
                </w:rPr>
                <m:t>RI</m:t>
              </m:r>
            </m:den>
          </m:f>
        </m:oMath>
      </m:oMathPara>
    </w:p>
    <w:p w14:paraId="34984E4A" w14:textId="77777777" w:rsidR="00B31F36" w:rsidRDefault="00B31F36" w:rsidP="00B31F36">
      <w:pPr>
        <w:spacing w:after="0" w:line="240" w:lineRule="auto"/>
        <w:rPr>
          <w:rFonts w:asciiTheme="majorHAnsi" w:eastAsiaTheme="minorEastAsia" w:hAnsiTheme="majorHAnsi"/>
          <w:sz w:val="20"/>
          <w:szCs w:val="20"/>
        </w:rPr>
        <w:sectPr w:rsidR="00B31F36">
          <w:type w:val="continuous"/>
          <w:pgSz w:w="11906" w:h="16838"/>
          <w:pgMar w:top="1008" w:right="1066" w:bottom="950" w:left="1166" w:header="850" w:footer="763" w:gutter="0"/>
          <w:cols w:num="2" w:space="720"/>
        </w:sectPr>
      </w:pPr>
    </w:p>
    <w:p w14:paraId="52003410" w14:textId="77777777" w:rsidR="00B31F36" w:rsidRDefault="00B31F36" w:rsidP="00B31F36">
      <w:pPr>
        <w:spacing w:after="0" w:line="240" w:lineRule="auto"/>
        <w:jc w:val="both"/>
        <w:rPr>
          <w:rFonts w:asciiTheme="majorHAnsi" w:eastAsiaTheme="minorEastAsia" w:hAnsiTheme="majorHAnsi"/>
          <w:sz w:val="20"/>
          <w:szCs w:val="20"/>
        </w:rPr>
      </w:pPr>
    </w:p>
    <w:tbl>
      <w:tblPr>
        <w:tblW w:w="8395" w:type="dxa"/>
        <w:jc w:val="center"/>
        <w:tblCellMar>
          <w:left w:w="70" w:type="dxa"/>
          <w:right w:w="70" w:type="dxa"/>
        </w:tblCellMar>
        <w:tblLook w:val="04A0" w:firstRow="1" w:lastRow="0" w:firstColumn="1" w:lastColumn="0" w:noHBand="0" w:noVBand="1"/>
      </w:tblPr>
      <w:tblGrid>
        <w:gridCol w:w="1531"/>
        <w:gridCol w:w="624"/>
        <w:gridCol w:w="624"/>
        <w:gridCol w:w="624"/>
        <w:gridCol w:w="624"/>
        <w:gridCol w:w="624"/>
        <w:gridCol w:w="624"/>
        <w:gridCol w:w="624"/>
        <w:gridCol w:w="624"/>
        <w:gridCol w:w="624"/>
        <w:gridCol w:w="624"/>
        <w:gridCol w:w="624"/>
      </w:tblGrid>
      <w:tr w:rsidR="00B31F36" w:rsidRPr="00B31F36" w14:paraId="0ACCAA5B" w14:textId="77777777" w:rsidTr="00B31F36">
        <w:trPr>
          <w:trHeight w:val="56"/>
          <w:jc w:val="center"/>
        </w:trPr>
        <w:tc>
          <w:tcPr>
            <w:tcW w:w="8395" w:type="dxa"/>
            <w:gridSpan w:val="12"/>
            <w:tcBorders>
              <w:top w:val="nil"/>
              <w:left w:val="nil"/>
              <w:bottom w:val="single" w:sz="4" w:space="0" w:color="auto"/>
              <w:right w:val="nil"/>
            </w:tcBorders>
            <w:noWrap/>
            <w:vAlign w:val="bottom"/>
            <w:hideMark/>
          </w:tcPr>
          <w:p w14:paraId="6CDA3914" w14:textId="77777777" w:rsidR="00B31F36" w:rsidRDefault="00B31F36">
            <w:pPr>
              <w:spacing w:after="0" w:line="240" w:lineRule="auto"/>
              <w:jc w:val="center"/>
              <w:rPr>
                <w:rFonts w:asciiTheme="majorHAnsi" w:eastAsia="Times New Roman" w:hAnsiTheme="majorHAnsi" w:cs="Calibri"/>
                <w:b/>
                <w:bCs/>
                <w:color w:val="000000"/>
                <w:sz w:val="18"/>
                <w:szCs w:val="18"/>
                <w:lang w:eastAsia="fr-FR"/>
              </w:rPr>
            </w:pPr>
            <w:r>
              <w:rPr>
                <w:rFonts w:asciiTheme="majorHAnsi" w:eastAsia="Times New Roman" w:hAnsiTheme="majorHAnsi" w:cs="Calibri"/>
                <w:b/>
                <w:bCs/>
                <w:color w:val="000000"/>
                <w:sz w:val="18"/>
                <w:szCs w:val="18"/>
                <w:lang w:eastAsia="fr-FR"/>
              </w:rPr>
              <w:t>Table2. Saaty’s Random Index table</w:t>
            </w:r>
          </w:p>
        </w:tc>
      </w:tr>
      <w:tr w:rsidR="00B31F36" w14:paraId="28E9B4B9" w14:textId="77777777" w:rsidTr="00B31F36">
        <w:trPr>
          <w:trHeight w:val="46"/>
          <w:jc w:val="center"/>
        </w:trPr>
        <w:tc>
          <w:tcPr>
            <w:tcW w:w="1531" w:type="dxa"/>
            <w:tcBorders>
              <w:top w:val="single" w:sz="4" w:space="0" w:color="auto"/>
              <w:left w:val="nil"/>
              <w:bottom w:val="nil"/>
              <w:right w:val="nil"/>
            </w:tcBorders>
            <w:noWrap/>
            <w:vAlign w:val="bottom"/>
            <w:hideMark/>
          </w:tcPr>
          <w:p w14:paraId="68B022B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Matrix order n</w:t>
            </w:r>
          </w:p>
        </w:tc>
        <w:tc>
          <w:tcPr>
            <w:tcW w:w="624" w:type="dxa"/>
            <w:tcBorders>
              <w:top w:val="single" w:sz="4" w:space="0" w:color="auto"/>
              <w:left w:val="nil"/>
              <w:bottom w:val="nil"/>
              <w:right w:val="nil"/>
            </w:tcBorders>
            <w:noWrap/>
            <w:vAlign w:val="bottom"/>
            <w:hideMark/>
          </w:tcPr>
          <w:p w14:paraId="4830FFD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w:t>
            </w:r>
          </w:p>
        </w:tc>
        <w:tc>
          <w:tcPr>
            <w:tcW w:w="624" w:type="dxa"/>
            <w:tcBorders>
              <w:top w:val="single" w:sz="4" w:space="0" w:color="auto"/>
              <w:left w:val="nil"/>
              <w:bottom w:val="nil"/>
              <w:right w:val="nil"/>
            </w:tcBorders>
            <w:noWrap/>
            <w:vAlign w:val="bottom"/>
            <w:hideMark/>
          </w:tcPr>
          <w:p w14:paraId="1AD4369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w:t>
            </w:r>
          </w:p>
        </w:tc>
        <w:tc>
          <w:tcPr>
            <w:tcW w:w="624" w:type="dxa"/>
            <w:tcBorders>
              <w:top w:val="single" w:sz="4" w:space="0" w:color="auto"/>
              <w:left w:val="nil"/>
              <w:bottom w:val="nil"/>
              <w:right w:val="nil"/>
            </w:tcBorders>
            <w:noWrap/>
            <w:vAlign w:val="bottom"/>
            <w:hideMark/>
          </w:tcPr>
          <w:p w14:paraId="5A3E59D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w:t>
            </w:r>
          </w:p>
        </w:tc>
        <w:tc>
          <w:tcPr>
            <w:tcW w:w="624" w:type="dxa"/>
            <w:tcBorders>
              <w:top w:val="single" w:sz="4" w:space="0" w:color="auto"/>
              <w:left w:val="nil"/>
              <w:bottom w:val="nil"/>
              <w:right w:val="nil"/>
            </w:tcBorders>
            <w:noWrap/>
            <w:vAlign w:val="bottom"/>
            <w:hideMark/>
          </w:tcPr>
          <w:p w14:paraId="2509DFB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4</w:t>
            </w:r>
          </w:p>
        </w:tc>
        <w:tc>
          <w:tcPr>
            <w:tcW w:w="624" w:type="dxa"/>
            <w:tcBorders>
              <w:top w:val="single" w:sz="4" w:space="0" w:color="auto"/>
              <w:left w:val="nil"/>
              <w:bottom w:val="nil"/>
              <w:right w:val="nil"/>
            </w:tcBorders>
            <w:noWrap/>
            <w:vAlign w:val="bottom"/>
            <w:hideMark/>
          </w:tcPr>
          <w:p w14:paraId="06D8D31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w:t>
            </w:r>
          </w:p>
        </w:tc>
        <w:tc>
          <w:tcPr>
            <w:tcW w:w="624" w:type="dxa"/>
            <w:tcBorders>
              <w:top w:val="single" w:sz="4" w:space="0" w:color="auto"/>
              <w:left w:val="nil"/>
              <w:bottom w:val="nil"/>
              <w:right w:val="nil"/>
            </w:tcBorders>
            <w:noWrap/>
            <w:vAlign w:val="bottom"/>
            <w:hideMark/>
          </w:tcPr>
          <w:p w14:paraId="4727D2A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6</w:t>
            </w:r>
          </w:p>
        </w:tc>
        <w:tc>
          <w:tcPr>
            <w:tcW w:w="624" w:type="dxa"/>
            <w:tcBorders>
              <w:top w:val="single" w:sz="4" w:space="0" w:color="auto"/>
              <w:left w:val="nil"/>
              <w:bottom w:val="nil"/>
              <w:right w:val="nil"/>
            </w:tcBorders>
            <w:noWrap/>
            <w:vAlign w:val="bottom"/>
            <w:hideMark/>
          </w:tcPr>
          <w:p w14:paraId="5DC8552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7</w:t>
            </w:r>
          </w:p>
        </w:tc>
        <w:tc>
          <w:tcPr>
            <w:tcW w:w="624" w:type="dxa"/>
            <w:tcBorders>
              <w:top w:val="single" w:sz="4" w:space="0" w:color="auto"/>
              <w:left w:val="nil"/>
              <w:bottom w:val="nil"/>
              <w:right w:val="nil"/>
            </w:tcBorders>
            <w:noWrap/>
            <w:vAlign w:val="bottom"/>
            <w:hideMark/>
          </w:tcPr>
          <w:p w14:paraId="6978DF1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8</w:t>
            </w:r>
          </w:p>
        </w:tc>
        <w:tc>
          <w:tcPr>
            <w:tcW w:w="624" w:type="dxa"/>
            <w:tcBorders>
              <w:top w:val="single" w:sz="4" w:space="0" w:color="auto"/>
              <w:left w:val="nil"/>
              <w:bottom w:val="nil"/>
              <w:right w:val="nil"/>
            </w:tcBorders>
            <w:noWrap/>
            <w:vAlign w:val="bottom"/>
            <w:hideMark/>
          </w:tcPr>
          <w:p w14:paraId="5D13483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w:t>
            </w:r>
          </w:p>
        </w:tc>
        <w:tc>
          <w:tcPr>
            <w:tcW w:w="624" w:type="dxa"/>
            <w:tcBorders>
              <w:top w:val="single" w:sz="4" w:space="0" w:color="auto"/>
              <w:left w:val="nil"/>
              <w:bottom w:val="nil"/>
              <w:right w:val="nil"/>
            </w:tcBorders>
            <w:noWrap/>
            <w:vAlign w:val="bottom"/>
            <w:hideMark/>
          </w:tcPr>
          <w:p w14:paraId="47C6AED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w:t>
            </w:r>
          </w:p>
        </w:tc>
        <w:tc>
          <w:tcPr>
            <w:tcW w:w="624" w:type="dxa"/>
            <w:tcBorders>
              <w:top w:val="single" w:sz="4" w:space="0" w:color="auto"/>
              <w:left w:val="nil"/>
              <w:bottom w:val="nil"/>
              <w:right w:val="nil"/>
            </w:tcBorders>
            <w:noWrap/>
            <w:vAlign w:val="bottom"/>
            <w:hideMark/>
          </w:tcPr>
          <w:p w14:paraId="2C2F2D4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w:t>
            </w:r>
          </w:p>
        </w:tc>
      </w:tr>
      <w:tr w:rsidR="00B31F36" w14:paraId="2AF788D0" w14:textId="77777777" w:rsidTr="00B31F36">
        <w:trPr>
          <w:trHeight w:val="56"/>
          <w:jc w:val="center"/>
        </w:trPr>
        <w:tc>
          <w:tcPr>
            <w:tcW w:w="1531" w:type="dxa"/>
            <w:tcBorders>
              <w:top w:val="nil"/>
              <w:left w:val="nil"/>
              <w:bottom w:val="single" w:sz="4" w:space="0" w:color="auto"/>
              <w:right w:val="nil"/>
            </w:tcBorders>
            <w:noWrap/>
            <w:vAlign w:val="bottom"/>
            <w:hideMark/>
          </w:tcPr>
          <w:p w14:paraId="28C6D734"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RI</w:t>
            </w:r>
          </w:p>
        </w:tc>
        <w:tc>
          <w:tcPr>
            <w:tcW w:w="624" w:type="dxa"/>
            <w:tcBorders>
              <w:top w:val="nil"/>
              <w:left w:val="nil"/>
              <w:bottom w:val="single" w:sz="4" w:space="0" w:color="auto"/>
              <w:right w:val="nil"/>
            </w:tcBorders>
            <w:noWrap/>
            <w:vAlign w:val="bottom"/>
            <w:hideMark/>
          </w:tcPr>
          <w:p w14:paraId="6F3AAFFE" w14:textId="77777777" w:rsidR="00B31F36" w:rsidRDefault="00B31F36">
            <w:pPr>
              <w:spacing w:after="0" w:line="240" w:lineRule="auto"/>
              <w:jc w:val="both"/>
              <w:rPr>
                <w:rFonts w:asciiTheme="majorHAnsi" w:eastAsia="Times New Roman" w:hAnsiTheme="majorHAnsi" w:cs="Times New Roman"/>
                <w:sz w:val="18"/>
                <w:szCs w:val="18"/>
                <w:lang w:eastAsia="fr-FR"/>
              </w:rPr>
            </w:pPr>
            <w:r>
              <w:rPr>
                <w:rFonts w:asciiTheme="majorHAnsi" w:eastAsia="Times New Roman" w:hAnsiTheme="majorHAnsi" w:cs="Times New Roman"/>
                <w:sz w:val="18"/>
                <w:szCs w:val="18"/>
                <w:lang w:eastAsia="fr-FR"/>
              </w:rPr>
              <w:t>0</w:t>
            </w:r>
          </w:p>
        </w:tc>
        <w:tc>
          <w:tcPr>
            <w:tcW w:w="624" w:type="dxa"/>
            <w:tcBorders>
              <w:top w:val="nil"/>
              <w:left w:val="nil"/>
              <w:bottom w:val="single" w:sz="4" w:space="0" w:color="auto"/>
              <w:right w:val="nil"/>
            </w:tcBorders>
            <w:noWrap/>
            <w:vAlign w:val="bottom"/>
            <w:hideMark/>
          </w:tcPr>
          <w:p w14:paraId="397E95C4" w14:textId="77777777" w:rsidR="00B31F36" w:rsidRDefault="00B31F36">
            <w:pPr>
              <w:spacing w:after="0" w:line="240" w:lineRule="auto"/>
              <w:jc w:val="both"/>
              <w:rPr>
                <w:rFonts w:asciiTheme="majorHAnsi" w:eastAsia="Times New Roman" w:hAnsiTheme="majorHAnsi" w:cs="Times New Roman"/>
                <w:sz w:val="18"/>
                <w:szCs w:val="18"/>
                <w:lang w:eastAsia="fr-FR"/>
              </w:rPr>
            </w:pPr>
            <w:r>
              <w:rPr>
                <w:rFonts w:asciiTheme="majorHAnsi" w:eastAsia="Times New Roman" w:hAnsiTheme="majorHAnsi" w:cs="Times New Roman"/>
                <w:sz w:val="18"/>
                <w:szCs w:val="18"/>
                <w:lang w:eastAsia="fr-FR"/>
              </w:rPr>
              <w:t>0</w:t>
            </w:r>
          </w:p>
        </w:tc>
        <w:tc>
          <w:tcPr>
            <w:tcW w:w="624" w:type="dxa"/>
            <w:tcBorders>
              <w:top w:val="nil"/>
              <w:left w:val="nil"/>
              <w:bottom w:val="single" w:sz="4" w:space="0" w:color="auto"/>
              <w:right w:val="nil"/>
            </w:tcBorders>
            <w:noWrap/>
            <w:vAlign w:val="bottom"/>
            <w:hideMark/>
          </w:tcPr>
          <w:p w14:paraId="484448A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0.58</w:t>
            </w:r>
          </w:p>
        </w:tc>
        <w:tc>
          <w:tcPr>
            <w:tcW w:w="624" w:type="dxa"/>
            <w:tcBorders>
              <w:top w:val="nil"/>
              <w:left w:val="nil"/>
              <w:bottom w:val="single" w:sz="4" w:space="0" w:color="auto"/>
              <w:right w:val="nil"/>
            </w:tcBorders>
            <w:noWrap/>
            <w:vAlign w:val="bottom"/>
            <w:hideMark/>
          </w:tcPr>
          <w:p w14:paraId="7EA447A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0.90</w:t>
            </w:r>
          </w:p>
        </w:tc>
        <w:tc>
          <w:tcPr>
            <w:tcW w:w="624" w:type="dxa"/>
            <w:tcBorders>
              <w:top w:val="nil"/>
              <w:left w:val="nil"/>
              <w:bottom w:val="single" w:sz="4" w:space="0" w:color="auto"/>
              <w:right w:val="nil"/>
            </w:tcBorders>
            <w:noWrap/>
            <w:vAlign w:val="bottom"/>
            <w:hideMark/>
          </w:tcPr>
          <w:p w14:paraId="7F5E67E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1.12</w:t>
            </w:r>
          </w:p>
        </w:tc>
        <w:tc>
          <w:tcPr>
            <w:tcW w:w="624" w:type="dxa"/>
            <w:tcBorders>
              <w:top w:val="nil"/>
              <w:left w:val="nil"/>
              <w:bottom w:val="single" w:sz="4" w:space="0" w:color="auto"/>
              <w:right w:val="nil"/>
            </w:tcBorders>
            <w:noWrap/>
            <w:vAlign w:val="bottom"/>
            <w:hideMark/>
          </w:tcPr>
          <w:p w14:paraId="63C3E6D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1.24</w:t>
            </w:r>
          </w:p>
        </w:tc>
        <w:tc>
          <w:tcPr>
            <w:tcW w:w="624" w:type="dxa"/>
            <w:tcBorders>
              <w:top w:val="nil"/>
              <w:left w:val="nil"/>
              <w:bottom w:val="single" w:sz="4" w:space="0" w:color="auto"/>
              <w:right w:val="nil"/>
            </w:tcBorders>
            <w:noWrap/>
            <w:vAlign w:val="bottom"/>
            <w:hideMark/>
          </w:tcPr>
          <w:p w14:paraId="6D7BF104"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1.32</w:t>
            </w:r>
          </w:p>
        </w:tc>
        <w:tc>
          <w:tcPr>
            <w:tcW w:w="624" w:type="dxa"/>
            <w:tcBorders>
              <w:top w:val="nil"/>
              <w:left w:val="nil"/>
              <w:bottom w:val="single" w:sz="4" w:space="0" w:color="auto"/>
              <w:right w:val="nil"/>
            </w:tcBorders>
            <w:noWrap/>
            <w:vAlign w:val="bottom"/>
            <w:hideMark/>
          </w:tcPr>
          <w:p w14:paraId="46DA0CA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1.41</w:t>
            </w:r>
          </w:p>
        </w:tc>
        <w:tc>
          <w:tcPr>
            <w:tcW w:w="624" w:type="dxa"/>
            <w:tcBorders>
              <w:top w:val="nil"/>
              <w:left w:val="nil"/>
              <w:bottom w:val="single" w:sz="4" w:space="0" w:color="auto"/>
              <w:right w:val="nil"/>
            </w:tcBorders>
            <w:noWrap/>
            <w:vAlign w:val="bottom"/>
            <w:hideMark/>
          </w:tcPr>
          <w:p w14:paraId="3624599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1.45</w:t>
            </w:r>
          </w:p>
        </w:tc>
        <w:tc>
          <w:tcPr>
            <w:tcW w:w="624" w:type="dxa"/>
            <w:tcBorders>
              <w:top w:val="nil"/>
              <w:left w:val="nil"/>
              <w:bottom w:val="single" w:sz="4" w:space="0" w:color="auto"/>
              <w:right w:val="nil"/>
            </w:tcBorders>
            <w:noWrap/>
            <w:vAlign w:val="bottom"/>
            <w:hideMark/>
          </w:tcPr>
          <w:p w14:paraId="2B8D66B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1.49</w:t>
            </w:r>
          </w:p>
        </w:tc>
        <w:tc>
          <w:tcPr>
            <w:tcW w:w="624" w:type="dxa"/>
            <w:tcBorders>
              <w:top w:val="nil"/>
              <w:left w:val="nil"/>
              <w:bottom w:val="single" w:sz="4" w:space="0" w:color="auto"/>
              <w:right w:val="nil"/>
            </w:tcBorders>
            <w:noWrap/>
            <w:vAlign w:val="bottom"/>
            <w:hideMark/>
          </w:tcPr>
          <w:p w14:paraId="6AAA868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w:t>
            </w:r>
          </w:p>
        </w:tc>
      </w:tr>
    </w:tbl>
    <w:p w14:paraId="75486DFF" w14:textId="77777777" w:rsidR="00B31F36" w:rsidRDefault="00B31F36" w:rsidP="00B31F36">
      <w:pPr>
        <w:spacing w:after="0" w:line="240" w:lineRule="auto"/>
        <w:jc w:val="both"/>
        <w:rPr>
          <w:rFonts w:asciiTheme="majorHAnsi" w:hAnsiTheme="majorHAnsi"/>
          <w:sz w:val="20"/>
          <w:szCs w:val="20"/>
        </w:rPr>
      </w:pPr>
    </w:p>
    <w:p w14:paraId="76B0D90D"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space="720"/>
        </w:sectPr>
      </w:pPr>
    </w:p>
    <w:p w14:paraId="7983CD04"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 xml:space="preserve">If result falls out of threshold, the comparisons are qualified inconsistent and returned to user for re-calculation or redeveloping the assessment </w:t>
      </w:r>
      <w:r>
        <w:rPr>
          <w:rFonts w:asciiTheme="majorHAnsi" w:hAnsiTheme="majorHAnsi" w:cs="Calibri"/>
          <w:sz w:val="20"/>
          <w:szCs w:val="20"/>
        </w:rPr>
        <w:t>(Asadabadi et al., 2019; Veeris Ammarapala et al., 2018)</w:t>
      </w:r>
      <w:r>
        <w:rPr>
          <w:rFonts w:asciiTheme="majorHAnsi" w:hAnsiTheme="majorHAnsi"/>
          <w:sz w:val="20"/>
          <w:szCs w:val="20"/>
        </w:rPr>
        <w:t>.</w:t>
      </w:r>
    </w:p>
    <w:p w14:paraId="505D180D" w14:textId="77777777" w:rsidR="00B31F36" w:rsidRDefault="00B31F36" w:rsidP="00B31F36">
      <w:pPr>
        <w:spacing w:after="0" w:line="240" w:lineRule="auto"/>
        <w:jc w:val="both"/>
        <w:rPr>
          <w:rFonts w:asciiTheme="majorHAnsi" w:hAnsiTheme="majorHAnsi"/>
          <w:sz w:val="20"/>
          <w:szCs w:val="20"/>
        </w:rPr>
      </w:pPr>
    </w:p>
    <w:p w14:paraId="1E707F78" w14:textId="77777777" w:rsidR="00B31F36" w:rsidRDefault="00B31F36" w:rsidP="00B31F36">
      <w:pPr>
        <w:pStyle w:val="Titre2"/>
        <w:spacing w:before="0" w:line="240" w:lineRule="auto"/>
        <w:ind w:left="360" w:hanging="360"/>
        <w:rPr>
          <w:b/>
          <w:bCs/>
          <w:sz w:val="20"/>
          <w:szCs w:val="20"/>
        </w:rPr>
      </w:pPr>
      <w:r>
        <w:rPr>
          <w:b/>
          <w:bCs/>
          <w:sz w:val="20"/>
          <w:szCs w:val="20"/>
        </w:rPr>
        <w:t>Building the ANN model</w:t>
      </w:r>
    </w:p>
    <w:p w14:paraId="5CD6E2C7" w14:textId="77777777" w:rsidR="00B31F36" w:rsidRDefault="00B31F36" w:rsidP="00B31F36">
      <w:pPr>
        <w:spacing w:after="0" w:line="240" w:lineRule="auto"/>
        <w:jc w:val="both"/>
        <w:rPr>
          <w:rFonts w:asciiTheme="majorHAnsi" w:hAnsiTheme="majorHAnsi"/>
          <w:sz w:val="20"/>
          <w:szCs w:val="20"/>
        </w:rPr>
      </w:pPr>
    </w:p>
    <w:p w14:paraId="3AC6D15F"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 xml:space="preserve">At this point, the problem has been well defined. We next proceed to build the resolution model using neural networks. Artificial neural networks (ANN) are mathematical constructs that incorporate linked artificial neurons replicating the function of organic neural networks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{"citationID":"7hObrEuW","properties":{"formattedCitation":"(Tufegd\\uc0\\u382{}i\\uc0\\u263{} et al., 2020)","plainCitation":"(Tufegdžić et al., 2020)","noteIndex":0},"citationItems":[{"id":43,"uris":["http://zotero.org/users/local/J2gD9SYp/items/X7AG5JR8"],"itemData":{"id":43,"type":"article-journal","abstract":"Different sets of quantitative and qualitative Key performance indicators (KPIs), tailored to company's business strategies, require different metrics. The management of the company is very often facing difficulties in the processes of tracking, following and monitoring multiple financial and non-financial indicators, arranged in 4 different perspectives, as a base for accurate prediction of overall performance values using Balanced Scorecard (BSC) software. Combining the capability of the BSC and artificial intelligence it is possible to predict overall performance based on the values of learning and growth, internal processes and customer perspective. The study was conducted on sample of 53 different companies. Appropriate data sets were collected from different sources and converted in a manner which enables processing and calculating the values for financial, customer, internal processes and learning and growth perspectives in BSC software. Overall performance values are also obtained. These values are further used as input data, processed with tools of artificial neural networks in order to generate predictive model for overall performance. The results of our study are presented in the form of tables and graphs. Presented approach is useful for forecasting business performance, time-efficient and applicable to any company, regardless of its size or number of employees.","language":"en","page":"6","source":"Zotero","title":"Company’s performance prediction using Balanced Scorecard software and neural networks as a tool for strategic management","author":[{"family":"Tufegdžić","given":"M"},{"family":"Jovičić","given":"G"},{"family":"Trajanović","given":"M"},{"family":"Pravdić","given":"P"}],"issued":{"date-parts":[["2020"]]}}}],"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(Tufegdžić et al., 2020)</w:t>
      </w:r>
      <w:r>
        <w:rPr>
          <w:rFonts w:asciiTheme="majorHAnsi" w:hAnsiTheme="majorHAnsi"/>
          <w:sz w:val="20"/>
          <w:szCs w:val="20"/>
        </w:rPr>
        <w:fldChar w:fldCharType="end"/>
      </w:r>
      <w:r>
        <w:rPr>
          <w:rFonts w:asciiTheme="majorHAnsi" w:hAnsiTheme="majorHAnsi"/>
          <w:sz w:val="20"/>
          <w:szCs w:val="20"/>
        </w:rPr>
        <w:t>. This machine learning model is becoming increasingly advantageous than convolutional regression and statistical models thanks to its efficient processing at high-speed</w:t>
      </w:r>
      <w:r>
        <w:rPr>
          <w:rFonts w:asciiTheme="majorHAnsi" w:hAnsiTheme="majorHAnsi" w:cs="Calibri"/>
          <w:sz w:val="20"/>
          <w:szCs w:val="20"/>
        </w:rPr>
        <w:t xml:space="preserve"> (Tuan Hoang et al., 2021)</w:t>
      </w:r>
      <w:r>
        <w:rPr>
          <w:rFonts w:asciiTheme="majorHAnsi" w:hAnsiTheme="majorHAnsi"/>
          <w:sz w:val="20"/>
          <w:szCs w:val="20"/>
        </w:rPr>
        <w:t>.</w:t>
      </w:r>
    </w:p>
    <w:p w14:paraId="785B049F" w14:textId="77777777" w:rsidR="00B31F36" w:rsidRDefault="00B31F36" w:rsidP="00B31F36">
      <w:pPr>
        <w:spacing w:after="0" w:line="240" w:lineRule="auto"/>
        <w:jc w:val="both"/>
        <w:rPr>
          <w:rFonts w:asciiTheme="majorHAnsi" w:hAnsiTheme="majorHAnsi"/>
          <w:sz w:val="20"/>
          <w:szCs w:val="20"/>
        </w:rPr>
      </w:pPr>
    </w:p>
    <w:p w14:paraId="56CD432B"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 xml:space="preserve">The proposed model ANN builds on AHP and BSC outputs to predict the best decision via a feed – forward artificial neural networks with back propagation training. Our solution’s structure is dynamic depending on number of KPIs set during the BSC phase and was determined based on experience (trial and error method) As there is no general procedure to find an optimal ANN architecture </w:t>
      </w:r>
      <w:r>
        <w:rPr>
          <w:rFonts w:asciiTheme="majorHAnsi" w:hAnsiTheme="majorHAnsi"/>
          <w:sz w:val="20"/>
          <w:szCs w:val="20"/>
        </w:rPr>
        <w:fldChar w:fldCharType="begin"/>
      </w:r>
      <w:r>
        <w:rPr>
          <w:rFonts w:asciiTheme="majorHAnsi" w:hAnsiTheme="majorHAnsi"/>
          <w:sz w:val="20"/>
          <w:szCs w:val="20"/>
        </w:rPr>
        <w:instrText xml:space="preserve"> ADDIN ZOTERO_ITEM CSL_CITATION {"citationID":"DpXMiVRS","properties":{"formattedCitation":"(Tufegd\\uc0\\u382{}i\\uc0\\u263{} et al., 2020)","plainCitation":"(Tufegdžić et al., 2020)","noteIndex":0},"citationItems":[{"id":43,"uris":["http://zotero.org/users/local/J2gD9SYp/items/X7AG5JR8"],"itemData":{"id":43,"type":"article-journal","abstract":"Different sets of quantitative and qualitative Key performance indicators (KPIs), tailored to company's business strategies, require different metrics. The management of the company is very often facing difficulties in the processes of tracking, following and monitoring multiple financial and non-financial indicators, arranged in 4 different perspectives, as a base for accurate prediction of overall performance values using Balanced Scorecard (BSC) software. Combining the capability of the BSC and artificial intelligence it is possible to predict overall performance based on the values of learning and growth, internal processes and customer perspective. The study was conducted on sample of 53 different companies. Appropriate data sets were collected from different sources and converted in a manner which enables processing and calculating the values for financial, customer, internal processes and learning and growth perspectives in BSC software. Overall performance values are also obtained. These values are further used as input data, processed with tools of artificial neural networks in order to generate predictive model for overall performance. The results of our study are presented in the form of tables and graphs. Presented approach is useful for forecasting business performance, time-efficient and applicable to any company, regardless of its size or number of employees.","language":"en","page":"6","source":"Zotero","title":"Company’s performance prediction using Balanced Scorecard software and neural networks as a tool for strategic management","author":[{"family":"Tufegdžić","given":"M"},{"family":"Jovičić","given":"G"},{"family":"Trajanović","given":"M"},{"family":"Pravdić","given":"P"}],"issued":{"date-parts":[["2020"]]}}}],"schema":"https://github.com/citation-style-language/schema/raw/master/csl-citation.json"} </w:instrText>
      </w:r>
      <w:r>
        <w:rPr>
          <w:rFonts w:asciiTheme="majorHAnsi" w:hAnsiTheme="majorHAnsi"/>
          <w:sz w:val="20"/>
          <w:szCs w:val="20"/>
        </w:rPr>
        <w:fldChar w:fldCharType="separate"/>
      </w:r>
      <w:r>
        <w:rPr>
          <w:rFonts w:asciiTheme="majorHAnsi" w:hAnsiTheme="majorHAnsi" w:cs="Calibri"/>
          <w:sz w:val="20"/>
          <w:szCs w:val="20"/>
        </w:rPr>
        <w:t>(Tufegdžić et al., 2020)</w:t>
      </w:r>
      <w:r>
        <w:rPr>
          <w:rFonts w:asciiTheme="majorHAnsi" w:hAnsiTheme="majorHAnsi"/>
          <w:sz w:val="20"/>
          <w:szCs w:val="20"/>
        </w:rPr>
        <w:fldChar w:fldCharType="end"/>
      </w:r>
      <w:r>
        <w:rPr>
          <w:rFonts w:asciiTheme="majorHAnsi" w:hAnsiTheme="majorHAnsi"/>
          <w:sz w:val="20"/>
          <w:szCs w:val="20"/>
        </w:rPr>
        <w:t xml:space="preserve"> . For instance, the optimal structure for a set of 12 KPIs consists of an input layer built with 24 neurons, two hidden layers with respectfully 12 and 6 neurons and one output neuron that correspond to the alternative overall score.</w:t>
      </w:r>
    </w:p>
    <w:p w14:paraId="1B96A8C2"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num="2" w:space="720"/>
        </w:sectPr>
      </w:pPr>
    </w:p>
    <w:p w14:paraId="7DD4CFAC" w14:textId="77777777" w:rsidR="00B31F36" w:rsidRDefault="00B31F36" w:rsidP="00B31F36">
      <w:pPr>
        <w:spacing w:after="0" w:line="240" w:lineRule="auto"/>
        <w:jc w:val="center"/>
        <w:rPr>
          <w:rFonts w:asciiTheme="majorHAnsi" w:hAnsiTheme="majorHAnsi"/>
          <w:sz w:val="20"/>
          <w:szCs w:val="20"/>
        </w:rPr>
      </w:pPr>
    </w:p>
    <w:p w14:paraId="682FF856" w14:textId="06109E09" w:rsidR="00B31F36" w:rsidRDefault="00B31F36" w:rsidP="00B31F36">
      <w:pPr>
        <w:keepNext/>
        <w:spacing w:after="0" w:line="240" w:lineRule="auto"/>
        <w:jc w:val="center"/>
        <w:rPr>
          <w:rFonts w:asciiTheme="majorHAnsi" w:hAnsiTheme="majorHAnsi"/>
          <w:sz w:val="20"/>
          <w:szCs w:val="20"/>
        </w:rPr>
      </w:pPr>
      <w:r>
        <w:rPr>
          <w:rFonts w:asciiTheme="majorHAnsi" w:hAnsiTheme="majorHAnsi"/>
          <w:noProof/>
          <w:sz w:val="20"/>
          <w:szCs w:val="20"/>
        </w:rPr>
        <w:drawing>
          <wp:inline distT="0" distB="0" distL="0" distR="0" wp14:anchorId="0C36A04F" wp14:editId="355B2E6B">
            <wp:extent cx="5943600" cy="4273550"/>
            <wp:effectExtent l="0" t="0" r="0" b="0"/>
            <wp:docPr id="3" name="Image 3" descr="Une image contenant lune, obscurité,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lune, obscurité, cercl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273550"/>
                    </a:xfrm>
                    <a:prstGeom prst="rect">
                      <a:avLst/>
                    </a:prstGeom>
                    <a:noFill/>
                    <a:ln>
                      <a:noFill/>
                    </a:ln>
                  </pic:spPr>
                </pic:pic>
              </a:graphicData>
            </a:graphic>
          </wp:inline>
        </w:drawing>
      </w:r>
    </w:p>
    <w:p w14:paraId="1356E904" w14:textId="77777777" w:rsidR="00B31F36" w:rsidRDefault="00B31F36" w:rsidP="00B31F36">
      <w:pPr>
        <w:pStyle w:val="Lgende"/>
        <w:spacing w:after="0"/>
        <w:rPr>
          <w:rFonts w:asciiTheme="majorHAnsi" w:hAnsiTheme="majorHAnsi"/>
          <w:b w:val="0"/>
          <w:bCs w:val="0"/>
          <w:sz w:val="20"/>
          <w:szCs w:val="20"/>
        </w:rPr>
      </w:pPr>
      <w:r>
        <w:rPr>
          <w:rFonts w:asciiTheme="majorHAnsi" w:hAnsiTheme="majorHAnsi"/>
          <w:sz w:val="20"/>
          <w:szCs w:val="20"/>
        </w:rPr>
        <w:t xml:space="preserve">Figure </w:t>
      </w:r>
      <w:r>
        <w:rPr>
          <w:rFonts w:asciiTheme="majorHAnsi" w:hAnsiTheme="majorHAnsi"/>
          <w:sz w:val="20"/>
          <w:szCs w:val="20"/>
        </w:rPr>
        <w:fldChar w:fldCharType="begin"/>
      </w:r>
      <w:r>
        <w:rPr>
          <w:rFonts w:asciiTheme="majorHAnsi" w:hAnsiTheme="majorHAnsi"/>
          <w:sz w:val="20"/>
          <w:szCs w:val="20"/>
        </w:rPr>
        <w:instrText xml:space="preserve"> SEQ Figure \* ARABIC </w:instrText>
      </w:r>
      <w:r>
        <w:rPr>
          <w:rFonts w:asciiTheme="majorHAnsi" w:hAnsiTheme="majorHAnsi"/>
          <w:sz w:val="20"/>
          <w:szCs w:val="20"/>
        </w:rPr>
        <w:fldChar w:fldCharType="separate"/>
      </w:r>
      <w:r>
        <w:rPr>
          <w:rFonts w:asciiTheme="majorHAnsi" w:hAnsiTheme="majorHAnsi"/>
          <w:noProof/>
          <w:sz w:val="20"/>
          <w:szCs w:val="20"/>
        </w:rPr>
        <w:t>3</w:t>
      </w:r>
      <w:r>
        <w:rPr>
          <w:rFonts w:asciiTheme="majorHAnsi" w:hAnsiTheme="majorHAnsi"/>
          <w:noProof/>
          <w:sz w:val="20"/>
          <w:szCs w:val="20"/>
        </w:rPr>
        <w:fldChar w:fldCharType="end"/>
      </w:r>
      <w:r>
        <w:rPr>
          <w:rFonts w:asciiTheme="majorHAnsi" w:hAnsiTheme="majorHAnsi"/>
          <w:sz w:val="20"/>
          <w:szCs w:val="20"/>
        </w:rPr>
        <w:t xml:space="preserve">: </w:t>
      </w:r>
      <w:r>
        <w:rPr>
          <w:rFonts w:asciiTheme="majorHAnsi" w:hAnsiTheme="majorHAnsi"/>
          <w:b w:val="0"/>
          <w:bCs w:val="0"/>
          <w:sz w:val="20"/>
          <w:szCs w:val="20"/>
        </w:rPr>
        <w:t>Architecture of the ANN model for a 12 KPIs based performance measure system.</w:t>
      </w:r>
    </w:p>
    <w:p w14:paraId="0835F5E7" w14:textId="77777777" w:rsidR="00B31F36" w:rsidRDefault="00B31F36" w:rsidP="00B31F36">
      <w:pPr>
        <w:pStyle w:val="Lgende"/>
        <w:spacing w:after="0"/>
        <w:rPr>
          <w:rFonts w:asciiTheme="majorHAnsi" w:hAnsiTheme="majorHAnsi"/>
          <w:sz w:val="20"/>
          <w:szCs w:val="20"/>
        </w:rPr>
      </w:pPr>
      <w:r>
        <w:rPr>
          <w:rFonts w:asciiTheme="majorHAnsi" w:hAnsiTheme="majorHAnsi"/>
          <w:sz w:val="20"/>
          <w:szCs w:val="20"/>
        </w:rPr>
        <w:t>Source:</w:t>
      </w:r>
      <w:r>
        <w:rPr>
          <w:rFonts w:asciiTheme="majorHAnsi" w:hAnsiTheme="majorHAnsi"/>
          <w:b w:val="0"/>
          <w:bCs w:val="0"/>
          <w:sz w:val="20"/>
          <w:szCs w:val="20"/>
        </w:rPr>
        <w:t xml:space="preserve"> Authors own work.</w:t>
      </w:r>
    </w:p>
    <w:p w14:paraId="19276248" w14:textId="77777777" w:rsidR="00B31F36" w:rsidRDefault="00B31F36" w:rsidP="00B31F36">
      <w:pPr>
        <w:spacing w:after="0" w:line="240" w:lineRule="auto"/>
        <w:jc w:val="center"/>
        <w:rPr>
          <w:rFonts w:asciiTheme="majorHAnsi" w:hAnsiTheme="majorHAnsi"/>
          <w:sz w:val="20"/>
          <w:szCs w:val="20"/>
        </w:rPr>
      </w:pPr>
    </w:p>
    <w:p w14:paraId="16F222F3"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space="720"/>
        </w:sectPr>
      </w:pPr>
    </w:p>
    <w:p w14:paraId="62337FFE"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The ANN training is conducted in Python through the Numpy library. Dataset was built to contain alternatives scores per objective as well as current KPIs values against the overall score calculated using AHP method and adjusted considering actual performance to prioritize the objective with the biggest gap compared to the target. The dataset was then randomly divided into training part (1600 samples) and testing part (400 samples) in proportion 80:20 and Mean Squared Error – MSE was used to evaluate the ANN performance at both training and testing stages.</w:t>
      </w:r>
    </w:p>
    <w:p w14:paraId="6CC22A8F" w14:textId="77777777" w:rsidR="00B31F36" w:rsidRDefault="00B31F36" w:rsidP="00B31F36">
      <w:pPr>
        <w:spacing w:after="0" w:line="240" w:lineRule="auto"/>
        <w:jc w:val="both"/>
        <w:rPr>
          <w:rFonts w:asciiTheme="majorHAnsi" w:hAnsiTheme="majorHAnsi"/>
          <w:sz w:val="20"/>
          <w:szCs w:val="20"/>
        </w:rPr>
      </w:pPr>
    </w:p>
    <w:p w14:paraId="6FE79061" w14:textId="77777777" w:rsidR="00B31F36" w:rsidRDefault="00B31F36" w:rsidP="00B31F36">
      <w:pPr>
        <w:pStyle w:val="Titre1"/>
        <w:spacing w:before="0" w:line="240" w:lineRule="auto"/>
        <w:ind w:left="270" w:hanging="270"/>
        <w:jc w:val="both"/>
        <w:rPr>
          <w:b/>
          <w:bCs/>
          <w:sz w:val="20"/>
          <w:szCs w:val="20"/>
        </w:rPr>
      </w:pPr>
      <w:r>
        <w:rPr>
          <w:b/>
          <w:bCs/>
          <w:sz w:val="20"/>
          <w:szCs w:val="20"/>
        </w:rPr>
        <w:t>Results and discussion</w:t>
      </w:r>
    </w:p>
    <w:p w14:paraId="219AD0C0"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The suggested model employs a holistic approach assisting decision-makers in defining the decision framework, beginning with defining the overall performance goal and splitting it into quantifiable and hierarchized objectives that reflect decision-maker’s strategy and conditions overall performance optimization. While in operation, the neural network previously trained to capture the preferences of the decision-makers receives real performance data from the ERP to provide an accurate prediction of the best decision.</w:t>
      </w:r>
    </w:p>
    <w:p w14:paraId="4B4724CD"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num="2" w:space="720"/>
        </w:sectPr>
      </w:pPr>
    </w:p>
    <w:p w14:paraId="035B9827" w14:textId="0AC3B2D1" w:rsidR="00B31F36" w:rsidRDefault="00B31F36" w:rsidP="00B31F36">
      <w:pPr>
        <w:spacing w:after="0" w:line="240" w:lineRule="auto"/>
        <w:jc w:val="center"/>
        <w:rPr>
          <w:rFonts w:asciiTheme="majorHAnsi" w:hAnsiTheme="majorHAnsi"/>
          <w:sz w:val="20"/>
          <w:szCs w:val="20"/>
        </w:rPr>
      </w:pPr>
      <w:r>
        <w:rPr>
          <w:noProof/>
        </w:rPr>
        <w:drawing>
          <wp:inline distT="0" distB="0" distL="0" distR="0" wp14:anchorId="26B0A95A" wp14:editId="5B168A47">
            <wp:extent cx="6127750" cy="2533650"/>
            <wp:effectExtent l="0" t="0" r="6350" b="0"/>
            <wp:docPr id="2" name="Image 2" descr="Une image contenant texte, diagramme, Dessin technique, croqui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diagramme, Dessin technique, croquis&#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t="4195" b="8034"/>
                    <a:stretch>
                      <a:fillRect/>
                    </a:stretch>
                  </pic:blipFill>
                  <pic:spPr bwMode="auto">
                    <a:xfrm>
                      <a:off x="0" y="0"/>
                      <a:ext cx="6127750" cy="2533650"/>
                    </a:xfrm>
                    <a:prstGeom prst="rect">
                      <a:avLst/>
                    </a:prstGeom>
                    <a:noFill/>
                    <a:ln>
                      <a:noFill/>
                    </a:ln>
                  </pic:spPr>
                </pic:pic>
              </a:graphicData>
            </a:graphic>
          </wp:inline>
        </w:drawing>
      </w:r>
    </w:p>
    <w:p w14:paraId="6BE8D52D" w14:textId="77777777" w:rsidR="00B31F36" w:rsidRDefault="00B31F36" w:rsidP="00B31F36">
      <w:pPr>
        <w:pStyle w:val="Lgende"/>
        <w:spacing w:after="0"/>
        <w:rPr>
          <w:rFonts w:asciiTheme="majorHAnsi" w:hAnsiTheme="majorHAnsi"/>
          <w:sz w:val="20"/>
          <w:szCs w:val="20"/>
        </w:rPr>
      </w:pPr>
      <w:r>
        <w:rPr>
          <w:rFonts w:asciiTheme="majorHAnsi" w:hAnsiTheme="majorHAnsi"/>
          <w:sz w:val="20"/>
          <w:szCs w:val="20"/>
        </w:rPr>
        <w:t xml:space="preserve">Figure </w:t>
      </w:r>
      <w:r>
        <w:rPr>
          <w:rFonts w:asciiTheme="majorHAnsi" w:hAnsiTheme="majorHAnsi"/>
          <w:sz w:val="20"/>
          <w:szCs w:val="20"/>
        </w:rPr>
        <w:fldChar w:fldCharType="begin"/>
      </w:r>
      <w:r>
        <w:rPr>
          <w:rFonts w:asciiTheme="majorHAnsi" w:hAnsiTheme="majorHAnsi"/>
          <w:sz w:val="20"/>
          <w:szCs w:val="20"/>
        </w:rPr>
        <w:instrText xml:space="preserve"> SEQ Figure \* ARABIC </w:instrText>
      </w:r>
      <w:r>
        <w:rPr>
          <w:rFonts w:asciiTheme="majorHAnsi" w:hAnsiTheme="majorHAnsi"/>
          <w:sz w:val="20"/>
          <w:szCs w:val="20"/>
        </w:rPr>
        <w:fldChar w:fldCharType="separate"/>
      </w:r>
      <w:r>
        <w:rPr>
          <w:rFonts w:asciiTheme="majorHAnsi" w:hAnsiTheme="majorHAnsi"/>
          <w:noProof/>
          <w:sz w:val="20"/>
          <w:szCs w:val="20"/>
        </w:rPr>
        <w:t>4</w:t>
      </w:r>
      <w:r>
        <w:rPr>
          <w:rFonts w:asciiTheme="majorHAnsi" w:hAnsiTheme="majorHAnsi"/>
          <w:noProof/>
          <w:sz w:val="20"/>
          <w:szCs w:val="20"/>
        </w:rPr>
        <w:fldChar w:fldCharType="end"/>
      </w:r>
      <w:r>
        <w:rPr>
          <w:rFonts w:asciiTheme="majorHAnsi" w:hAnsiTheme="majorHAnsi"/>
          <w:sz w:val="20"/>
          <w:szCs w:val="20"/>
        </w:rPr>
        <w:t>: Data flow during the model's operation and implementation phases.</w:t>
      </w:r>
    </w:p>
    <w:p w14:paraId="5E470459" w14:textId="77777777" w:rsidR="00B31F36" w:rsidRDefault="00B31F36" w:rsidP="00B31F36">
      <w:pPr>
        <w:pStyle w:val="Lgende"/>
        <w:spacing w:after="0"/>
        <w:rPr>
          <w:rFonts w:asciiTheme="majorHAnsi" w:hAnsiTheme="majorHAnsi"/>
          <w:b w:val="0"/>
          <w:bCs w:val="0"/>
          <w:sz w:val="20"/>
          <w:szCs w:val="20"/>
        </w:rPr>
      </w:pPr>
      <w:r>
        <w:rPr>
          <w:rFonts w:asciiTheme="majorHAnsi" w:hAnsiTheme="majorHAnsi"/>
          <w:sz w:val="20"/>
          <w:szCs w:val="20"/>
        </w:rPr>
        <w:t>Source:</w:t>
      </w:r>
      <w:r>
        <w:rPr>
          <w:rFonts w:asciiTheme="majorHAnsi" w:hAnsiTheme="majorHAnsi"/>
          <w:b w:val="0"/>
          <w:bCs w:val="0"/>
          <w:sz w:val="20"/>
          <w:szCs w:val="20"/>
        </w:rPr>
        <w:t xml:space="preserve"> Authors own work.</w:t>
      </w:r>
    </w:p>
    <w:p w14:paraId="657EC4D6" w14:textId="77777777" w:rsidR="00B31F36" w:rsidRDefault="00B31F36" w:rsidP="00B31F36">
      <w:pPr>
        <w:spacing w:after="0" w:line="240" w:lineRule="auto"/>
        <w:jc w:val="center"/>
      </w:pPr>
    </w:p>
    <w:p w14:paraId="4B524545" w14:textId="77777777" w:rsidR="00B31F36" w:rsidRDefault="00B31F36" w:rsidP="00B31F36">
      <w:pPr>
        <w:spacing w:after="0" w:line="240" w:lineRule="auto"/>
        <w:rPr>
          <w:rFonts w:asciiTheme="majorHAnsi" w:eastAsiaTheme="majorEastAsia" w:hAnsiTheme="majorHAnsi" w:cstheme="majorBidi"/>
          <w:b/>
          <w:bCs/>
          <w:color w:val="000000" w:themeColor="text1"/>
          <w:sz w:val="20"/>
          <w:szCs w:val="20"/>
        </w:rPr>
        <w:sectPr w:rsidR="00B31F36">
          <w:type w:val="continuous"/>
          <w:pgSz w:w="11906" w:h="16838"/>
          <w:pgMar w:top="1008" w:right="1066" w:bottom="950" w:left="1166" w:header="850" w:footer="763" w:gutter="0"/>
          <w:cols w:space="720"/>
        </w:sectPr>
      </w:pPr>
    </w:p>
    <w:p w14:paraId="2E3847C0" w14:textId="77777777" w:rsidR="00B31F36" w:rsidRDefault="00B31F36" w:rsidP="00B31F36">
      <w:pPr>
        <w:pStyle w:val="Titre2"/>
        <w:spacing w:before="0" w:line="240" w:lineRule="auto"/>
        <w:ind w:left="360" w:hanging="360"/>
        <w:rPr>
          <w:b/>
          <w:bCs/>
          <w:sz w:val="20"/>
          <w:szCs w:val="20"/>
        </w:rPr>
      </w:pPr>
      <w:r>
        <w:rPr>
          <w:b/>
          <w:bCs/>
          <w:sz w:val="20"/>
          <w:szCs w:val="20"/>
        </w:rPr>
        <w:t>Empirical example</w:t>
      </w:r>
    </w:p>
    <w:p w14:paraId="402568DE" w14:textId="77777777" w:rsidR="00B31F36" w:rsidRDefault="00B31F36" w:rsidP="00B31F36">
      <w:pPr>
        <w:spacing w:after="0" w:line="240" w:lineRule="auto"/>
        <w:jc w:val="both"/>
        <w:rPr>
          <w:rFonts w:asciiTheme="majorHAnsi" w:hAnsiTheme="majorHAnsi"/>
          <w:sz w:val="20"/>
          <w:szCs w:val="20"/>
        </w:rPr>
      </w:pPr>
    </w:p>
    <w:p w14:paraId="7634D780"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To show the findings, we will place ourselves in the context of a small local firm that manufactures and sells a specific item, and whose balanced scorecard contains 12 KPI as follow.</w:t>
      </w:r>
    </w:p>
    <w:p w14:paraId="643C34F2"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num="2" w:space="720"/>
        </w:sectPr>
      </w:pPr>
    </w:p>
    <w:p w14:paraId="74C81408" w14:textId="77777777" w:rsidR="00B31F36" w:rsidRDefault="00B31F36" w:rsidP="00B31F36">
      <w:pPr>
        <w:spacing w:after="0" w:line="240" w:lineRule="auto"/>
        <w:jc w:val="both"/>
        <w:rPr>
          <w:rFonts w:asciiTheme="majorHAnsi" w:hAnsiTheme="majorHAnsi"/>
          <w:sz w:val="20"/>
          <w:szCs w:val="20"/>
        </w:rPr>
      </w:pPr>
    </w:p>
    <w:tbl>
      <w:tblPr>
        <w:tblW w:w="8100" w:type="dxa"/>
        <w:jc w:val="center"/>
        <w:tblCellMar>
          <w:left w:w="70" w:type="dxa"/>
          <w:right w:w="70" w:type="dxa"/>
        </w:tblCellMar>
        <w:tblLook w:val="04A0" w:firstRow="1" w:lastRow="0" w:firstColumn="1" w:lastColumn="0" w:noHBand="0" w:noVBand="1"/>
      </w:tblPr>
      <w:tblGrid>
        <w:gridCol w:w="1890"/>
        <w:gridCol w:w="2970"/>
        <w:gridCol w:w="2520"/>
        <w:gridCol w:w="720"/>
      </w:tblGrid>
      <w:tr w:rsidR="00B31F36" w:rsidRPr="00B31F36" w14:paraId="5F4557E1" w14:textId="77777777" w:rsidTr="00B31F36">
        <w:trPr>
          <w:trHeight w:val="56"/>
          <w:jc w:val="center"/>
        </w:trPr>
        <w:tc>
          <w:tcPr>
            <w:tcW w:w="8100" w:type="dxa"/>
            <w:gridSpan w:val="4"/>
            <w:tcBorders>
              <w:top w:val="nil"/>
              <w:left w:val="nil"/>
              <w:bottom w:val="single" w:sz="4" w:space="0" w:color="auto"/>
              <w:right w:val="nil"/>
            </w:tcBorders>
            <w:noWrap/>
            <w:vAlign w:val="bottom"/>
            <w:hideMark/>
          </w:tcPr>
          <w:p w14:paraId="3AB57B3B" w14:textId="77777777" w:rsidR="00B31F36" w:rsidRDefault="00B31F36">
            <w:pPr>
              <w:spacing w:after="0" w:line="240" w:lineRule="auto"/>
              <w:jc w:val="center"/>
              <w:rPr>
                <w:rFonts w:asciiTheme="majorHAnsi" w:eastAsia="Times New Roman" w:hAnsiTheme="majorHAnsi" w:cs="Calibri"/>
                <w:b/>
                <w:bCs/>
                <w:color w:val="000000"/>
                <w:sz w:val="18"/>
                <w:szCs w:val="18"/>
                <w:lang w:eastAsia="fr-FR"/>
              </w:rPr>
            </w:pPr>
            <w:r>
              <w:rPr>
                <w:rFonts w:asciiTheme="majorHAnsi" w:eastAsia="Times New Roman" w:hAnsiTheme="majorHAnsi" w:cs="Calibri"/>
                <w:b/>
                <w:bCs/>
                <w:color w:val="000000"/>
                <w:sz w:val="18"/>
                <w:szCs w:val="18"/>
                <w:lang w:eastAsia="fr-FR"/>
              </w:rPr>
              <w:t>Table3. A balanced scorecard of a company operating in the automotive sector</w:t>
            </w:r>
          </w:p>
        </w:tc>
      </w:tr>
      <w:tr w:rsidR="00B31F36" w14:paraId="2715EF86" w14:textId="77777777" w:rsidTr="00B31F36">
        <w:trPr>
          <w:trHeight w:val="46"/>
          <w:jc w:val="center"/>
        </w:trPr>
        <w:tc>
          <w:tcPr>
            <w:tcW w:w="1890" w:type="dxa"/>
            <w:noWrap/>
            <w:vAlign w:val="bottom"/>
            <w:hideMark/>
          </w:tcPr>
          <w:p w14:paraId="02493D97" w14:textId="77777777" w:rsidR="00B31F36" w:rsidRDefault="00B31F36">
            <w:pPr>
              <w:rPr>
                <w:rFonts w:asciiTheme="majorHAnsi" w:eastAsia="Times New Roman" w:hAnsiTheme="majorHAnsi" w:cs="Calibri"/>
                <w:b/>
                <w:bCs/>
                <w:color w:val="000000"/>
                <w:sz w:val="18"/>
                <w:szCs w:val="18"/>
                <w:lang w:eastAsia="fr-FR"/>
              </w:rPr>
            </w:pPr>
          </w:p>
        </w:tc>
        <w:tc>
          <w:tcPr>
            <w:tcW w:w="2970" w:type="dxa"/>
            <w:vMerge w:val="restart"/>
            <w:tcBorders>
              <w:top w:val="single" w:sz="4" w:space="0" w:color="auto"/>
              <w:left w:val="nil"/>
              <w:bottom w:val="single" w:sz="4" w:space="0" w:color="auto"/>
              <w:right w:val="nil"/>
            </w:tcBorders>
            <w:noWrap/>
            <w:vAlign w:val="center"/>
            <w:hideMark/>
          </w:tcPr>
          <w:p w14:paraId="4ECC7E14"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Strategic objective</w:t>
            </w:r>
          </w:p>
        </w:tc>
        <w:tc>
          <w:tcPr>
            <w:tcW w:w="3240" w:type="dxa"/>
            <w:gridSpan w:val="2"/>
            <w:tcBorders>
              <w:top w:val="single" w:sz="4" w:space="0" w:color="auto"/>
              <w:left w:val="nil"/>
              <w:bottom w:val="single" w:sz="4" w:space="0" w:color="auto"/>
              <w:right w:val="nil"/>
            </w:tcBorders>
            <w:noWrap/>
            <w:vAlign w:val="center"/>
            <w:hideMark/>
          </w:tcPr>
          <w:p w14:paraId="160DB64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Performance measure</w:t>
            </w:r>
          </w:p>
        </w:tc>
      </w:tr>
      <w:tr w:rsidR="00B31F36" w14:paraId="7422ADE2" w14:textId="77777777" w:rsidTr="00B31F36">
        <w:trPr>
          <w:trHeight w:val="46"/>
          <w:jc w:val="center"/>
        </w:trPr>
        <w:tc>
          <w:tcPr>
            <w:tcW w:w="1890" w:type="dxa"/>
            <w:noWrap/>
            <w:vAlign w:val="bottom"/>
          </w:tcPr>
          <w:p w14:paraId="0F92B097" w14:textId="77777777" w:rsidR="00B31F36" w:rsidRDefault="00B31F36">
            <w:pPr>
              <w:spacing w:after="0" w:line="240" w:lineRule="auto"/>
              <w:jc w:val="both"/>
              <w:rPr>
                <w:rFonts w:asciiTheme="majorHAnsi" w:eastAsia="Times New Roman" w:hAnsiTheme="majorHAnsi" w:cs="Times New Roman"/>
                <w:sz w:val="18"/>
                <w:szCs w:val="18"/>
                <w:lang w:eastAsia="fr-FR"/>
              </w:rPr>
            </w:pPr>
          </w:p>
        </w:tc>
        <w:tc>
          <w:tcPr>
            <w:tcW w:w="0" w:type="auto"/>
            <w:vMerge/>
            <w:tcBorders>
              <w:top w:val="single" w:sz="4" w:space="0" w:color="auto"/>
              <w:left w:val="nil"/>
              <w:bottom w:val="single" w:sz="4" w:space="0" w:color="auto"/>
              <w:right w:val="nil"/>
            </w:tcBorders>
            <w:vAlign w:val="center"/>
            <w:hideMark/>
          </w:tcPr>
          <w:p w14:paraId="098D3A38" w14:textId="77777777" w:rsidR="00B31F36" w:rsidRDefault="00B31F36">
            <w:pPr>
              <w:spacing w:after="0"/>
              <w:rPr>
                <w:rFonts w:asciiTheme="majorHAnsi" w:eastAsia="Times New Roman" w:hAnsiTheme="majorHAnsi" w:cs="Calibri"/>
                <w:color w:val="000000"/>
                <w:sz w:val="18"/>
                <w:szCs w:val="18"/>
                <w:lang w:eastAsia="fr-FR"/>
              </w:rPr>
            </w:pPr>
          </w:p>
        </w:tc>
        <w:tc>
          <w:tcPr>
            <w:tcW w:w="2520" w:type="dxa"/>
            <w:tcBorders>
              <w:top w:val="single" w:sz="4" w:space="0" w:color="auto"/>
              <w:left w:val="nil"/>
              <w:bottom w:val="single" w:sz="4" w:space="0" w:color="auto"/>
              <w:right w:val="nil"/>
            </w:tcBorders>
            <w:noWrap/>
            <w:vAlign w:val="center"/>
            <w:hideMark/>
          </w:tcPr>
          <w:p w14:paraId="09FF340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Key performance indicator</w:t>
            </w:r>
          </w:p>
        </w:tc>
        <w:tc>
          <w:tcPr>
            <w:tcW w:w="720" w:type="dxa"/>
            <w:tcBorders>
              <w:top w:val="single" w:sz="4" w:space="0" w:color="auto"/>
              <w:left w:val="nil"/>
              <w:bottom w:val="single" w:sz="4" w:space="0" w:color="auto"/>
              <w:right w:val="nil"/>
            </w:tcBorders>
            <w:noWrap/>
            <w:vAlign w:val="center"/>
            <w:hideMark/>
          </w:tcPr>
          <w:p w14:paraId="1E7B1D6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Target</w:t>
            </w:r>
          </w:p>
        </w:tc>
      </w:tr>
      <w:tr w:rsidR="00B31F36" w14:paraId="4360B111" w14:textId="77777777" w:rsidTr="00B31F36">
        <w:trPr>
          <w:trHeight w:val="20"/>
          <w:jc w:val="center"/>
        </w:trPr>
        <w:tc>
          <w:tcPr>
            <w:tcW w:w="1890" w:type="dxa"/>
            <w:vMerge w:val="restart"/>
            <w:tcBorders>
              <w:top w:val="nil"/>
              <w:left w:val="nil"/>
              <w:bottom w:val="single" w:sz="4" w:space="0" w:color="auto"/>
              <w:right w:val="nil"/>
            </w:tcBorders>
            <w:noWrap/>
            <w:vAlign w:val="center"/>
            <w:hideMark/>
          </w:tcPr>
          <w:p w14:paraId="7175B84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Financial</w:t>
            </w:r>
          </w:p>
        </w:tc>
        <w:tc>
          <w:tcPr>
            <w:tcW w:w="2970" w:type="dxa"/>
            <w:tcBorders>
              <w:top w:val="single" w:sz="4" w:space="0" w:color="auto"/>
              <w:left w:val="nil"/>
              <w:bottom w:val="nil"/>
              <w:right w:val="nil"/>
            </w:tcBorders>
            <w:noWrap/>
            <w:vAlign w:val="center"/>
            <w:hideMark/>
          </w:tcPr>
          <w:p w14:paraId="4C2B5B5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Obj1.Increase profit</w:t>
            </w:r>
          </w:p>
        </w:tc>
        <w:tc>
          <w:tcPr>
            <w:tcW w:w="2520" w:type="dxa"/>
            <w:tcBorders>
              <w:top w:val="single" w:sz="4" w:space="0" w:color="auto"/>
              <w:left w:val="nil"/>
              <w:bottom w:val="nil"/>
              <w:right w:val="nil"/>
            </w:tcBorders>
            <w:noWrap/>
            <w:vAlign w:val="center"/>
            <w:hideMark/>
          </w:tcPr>
          <w:p w14:paraId="365B6FC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Net profit margin</w:t>
            </w:r>
          </w:p>
        </w:tc>
        <w:tc>
          <w:tcPr>
            <w:tcW w:w="720" w:type="dxa"/>
            <w:tcBorders>
              <w:top w:val="single" w:sz="4" w:space="0" w:color="auto"/>
              <w:left w:val="nil"/>
              <w:bottom w:val="nil"/>
              <w:right w:val="nil"/>
            </w:tcBorders>
            <w:noWrap/>
            <w:vAlign w:val="center"/>
            <w:hideMark/>
          </w:tcPr>
          <w:p w14:paraId="6CDBB2A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25%</w:t>
            </w:r>
          </w:p>
        </w:tc>
      </w:tr>
      <w:tr w:rsidR="00B31F36" w14:paraId="56230C3C" w14:textId="77777777" w:rsidTr="00B31F36">
        <w:trPr>
          <w:trHeight w:val="20"/>
          <w:jc w:val="center"/>
        </w:trPr>
        <w:tc>
          <w:tcPr>
            <w:tcW w:w="0" w:type="auto"/>
            <w:vMerge/>
            <w:tcBorders>
              <w:top w:val="nil"/>
              <w:left w:val="nil"/>
              <w:bottom w:val="single" w:sz="4" w:space="0" w:color="auto"/>
              <w:right w:val="nil"/>
            </w:tcBorders>
            <w:vAlign w:val="center"/>
            <w:hideMark/>
          </w:tcPr>
          <w:p w14:paraId="6F75A646"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noWrap/>
            <w:vAlign w:val="center"/>
            <w:hideMark/>
          </w:tcPr>
          <w:p w14:paraId="0F78C81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Obj2.Make profitable investments</w:t>
            </w:r>
          </w:p>
        </w:tc>
        <w:tc>
          <w:tcPr>
            <w:tcW w:w="2520" w:type="dxa"/>
            <w:noWrap/>
            <w:vAlign w:val="center"/>
            <w:hideMark/>
          </w:tcPr>
          <w:p w14:paraId="27A1BD9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Return on Investment (ROI)</w:t>
            </w:r>
          </w:p>
        </w:tc>
        <w:tc>
          <w:tcPr>
            <w:tcW w:w="720" w:type="dxa"/>
            <w:noWrap/>
            <w:vAlign w:val="center"/>
            <w:hideMark/>
          </w:tcPr>
          <w:p w14:paraId="02F3983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w:t>
            </w:r>
          </w:p>
        </w:tc>
      </w:tr>
      <w:tr w:rsidR="00B31F36" w14:paraId="799B830E" w14:textId="77777777" w:rsidTr="00B31F36">
        <w:trPr>
          <w:trHeight w:val="20"/>
          <w:jc w:val="center"/>
        </w:trPr>
        <w:tc>
          <w:tcPr>
            <w:tcW w:w="0" w:type="auto"/>
            <w:vMerge/>
            <w:tcBorders>
              <w:top w:val="nil"/>
              <w:left w:val="nil"/>
              <w:bottom w:val="single" w:sz="4" w:space="0" w:color="auto"/>
              <w:right w:val="nil"/>
            </w:tcBorders>
            <w:vAlign w:val="center"/>
            <w:hideMark/>
          </w:tcPr>
          <w:p w14:paraId="1999319E"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tcBorders>
              <w:top w:val="nil"/>
              <w:left w:val="nil"/>
              <w:bottom w:val="single" w:sz="4" w:space="0" w:color="auto"/>
              <w:right w:val="nil"/>
            </w:tcBorders>
            <w:noWrap/>
            <w:vAlign w:val="center"/>
            <w:hideMark/>
          </w:tcPr>
          <w:p w14:paraId="2511406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Obj3.Increase sales</w:t>
            </w:r>
          </w:p>
        </w:tc>
        <w:tc>
          <w:tcPr>
            <w:tcW w:w="2520" w:type="dxa"/>
            <w:tcBorders>
              <w:top w:val="nil"/>
              <w:left w:val="nil"/>
              <w:bottom w:val="single" w:sz="4" w:space="0" w:color="auto"/>
              <w:right w:val="nil"/>
            </w:tcBorders>
            <w:noWrap/>
            <w:vAlign w:val="center"/>
            <w:hideMark/>
          </w:tcPr>
          <w:p w14:paraId="21DFBC1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Revenue growth rate</w:t>
            </w:r>
          </w:p>
        </w:tc>
        <w:tc>
          <w:tcPr>
            <w:tcW w:w="720" w:type="dxa"/>
            <w:tcBorders>
              <w:top w:val="nil"/>
              <w:left w:val="nil"/>
              <w:bottom w:val="single" w:sz="4" w:space="0" w:color="auto"/>
              <w:right w:val="nil"/>
            </w:tcBorders>
            <w:noWrap/>
            <w:vAlign w:val="center"/>
            <w:hideMark/>
          </w:tcPr>
          <w:p w14:paraId="1F401CB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w:t>
            </w:r>
          </w:p>
        </w:tc>
      </w:tr>
      <w:tr w:rsidR="00B31F36" w14:paraId="57A7F6C4" w14:textId="77777777" w:rsidTr="00B31F36">
        <w:trPr>
          <w:trHeight w:val="20"/>
          <w:jc w:val="center"/>
        </w:trPr>
        <w:tc>
          <w:tcPr>
            <w:tcW w:w="1890" w:type="dxa"/>
            <w:vMerge w:val="restart"/>
            <w:tcBorders>
              <w:top w:val="single" w:sz="4" w:space="0" w:color="auto"/>
              <w:left w:val="nil"/>
              <w:bottom w:val="single" w:sz="4" w:space="0" w:color="auto"/>
              <w:right w:val="nil"/>
            </w:tcBorders>
            <w:noWrap/>
            <w:vAlign w:val="center"/>
            <w:hideMark/>
          </w:tcPr>
          <w:p w14:paraId="5DFFAEB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customer perspective</w:t>
            </w:r>
          </w:p>
        </w:tc>
        <w:tc>
          <w:tcPr>
            <w:tcW w:w="2970" w:type="dxa"/>
            <w:tcBorders>
              <w:top w:val="single" w:sz="4" w:space="0" w:color="auto"/>
              <w:left w:val="nil"/>
              <w:bottom w:val="nil"/>
              <w:right w:val="nil"/>
            </w:tcBorders>
            <w:noWrap/>
            <w:vAlign w:val="center"/>
            <w:hideMark/>
          </w:tcPr>
          <w:p w14:paraId="34DE7B6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Obj4.Satisfy customers</w:t>
            </w:r>
          </w:p>
        </w:tc>
        <w:tc>
          <w:tcPr>
            <w:tcW w:w="2520" w:type="dxa"/>
            <w:tcBorders>
              <w:top w:val="single" w:sz="4" w:space="0" w:color="auto"/>
              <w:left w:val="nil"/>
              <w:bottom w:val="nil"/>
              <w:right w:val="nil"/>
            </w:tcBorders>
            <w:noWrap/>
            <w:vAlign w:val="center"/>
            <w:hideMark/>
          </w:tcPr>
          <w:p w14:paraId="5631A90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Complaints rate</w:t>
            </w:r>
          </w:p>
        </w:tc>
        <w:tc>
          <w:tcPr>
            <w:tcW w:w="720" w:type="dxa"/>
            <w:tcBorders>
              <w:top w:val="single" w:sz="4" w:space="0" w:color="auto"/>
              <w:left w:val="nil"/>
              <w:bottom w:val="nil"/>
              <w:right w:val="nil"/>
            </w:tcBorders>
            <w:noWrap/>
            <w:vAlign w:val="center"/>
            <w:hideMark/>
          </w:tcPr>
          <w:p w14:paraId="4A2DBC9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w:t>
            </w:r>
          </w:p>
        </w:tc>
      </w:tr>
      <w:tr w:rsidR="00B31F36" w14:paraId="69035E6B" w14:textId="77777777" w:rsidTr="00B31F36">
        <w:trPr>
          <w:trHeight w:val="20"/>
          <w:jc w:val="center"/>
        </w:trPr>
        <w:tc>
          <w:tcPr>
            <w:tcW w:w="0" w:type="auto"/>
            <w:vMerge/>
            <w:tcBorders>
              <w:top w:val="single" w:sz="4" w:space="0" w:color="auto"/>
              <w:left w:val="nil"/>
              <w:bottom w:val="single" w:sz="4" w:space="0" w:color="auto"/>
              <w:right w:val="nil"/>
            </w:tcBorders>
            <w:vAlign w:val="center"/>
            <w:hideMark/>
          </w:tcPr>
          <w:p w14:paraId="61B2B337"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noWrap/>
            <w:vAlign w:val="center"/>
            <w:hideMark/>
          </w:tcPr>
          <w:p w14:paraId="1F92220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Obj5.Increase market share</w:t>
            </w:r>
          </w:p>
        </w:tc>
        <w:tc>
          <w:tcPr>
            <w:tcW w:w="2520" w:type="dxa"/>
            <w:noWrap/>
            <w:vAlign w:val="center"/>
            <w:hideMark/>
          </w:tcPr>
          <w:p w14:paraId="4430CA6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Market share index</w:t>
            </w:r>
          </w:p>
        </w:tc>
        <w:tc>
          <w:tcPr>
            <w:tcW w:w="720" w:type="dxa"/>
            <w:noWrap/>
            <w:vAlign w:val="center"/>
            <w:hideMark/>
          </w:tcPr>
          <w:p w14:paraId="1ED1930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w:t>
            </w:r>
          </w:p>
        </w:tc>
      </w:tr>
      <w:tr w:rsidR="00B31F36" w14:paraId="4F8DEFCE" w14:textId="77777777" w:rsidTr="00B31F36">
        <w:trPr>
          <w:trHeight w:val="20"/>
          <w:jc w:val="center"/>
        </w:trPr>
        <w:tc>
          <w:tcPr>
            <w:tcW w:w="0" w:type="auto"/>
            <w:vMerge/>
            <w:tcBorders>
              <w:top w:val="single" w:sz="4" w:space="0" w:color="auto"/>
              <w:left w:val="nil"/>
              <w:bottom w:val="single" w:sz="4" w:space="0" w:color="auto"/>
              <w:right w:val="nil"/>
            </w:tcBorders>
            <w:vAlign w:val="center"/>
            <w:hideMark/>
          </w:tcPr>
          <w:p w14:paraId="414A2303"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tcBorders>
              <w:top w:val="nil"/>
              <w:left w:val="nil"/>
              <w:bottom w:val="single" w:sz="4" w:space="0" w:color="auto"/>
              <w:right w:val="nil"/>
            </w:tcBorders>
            <w:noWrap/>
            <w:vAlign w:val="center"/>
            <w:hideMark/>
          </w:tcPr>
          <w:p w14:paraId="542DF26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Obj6.Retain customers</w:t>
            </w:r>
          </w:p>
        </w:tc>
        <w:tc>
          <w:tcPr>
            <w:tcW w:w="2520" w:type="dxa"/>
            <w:tcBorders>
              <w:top w:val="nil"/>
              <w:left w:val="nil"/>
              <w:bottom w:val="single" w:sz="4" w:space="0" w:color="auto"/>
              <w:right w:val="nil"/>
            </w:tcBorders>
            <w:noWrap/>
            <w:vAlign w:val="center"/>
            <w:hideMark/>
          </w:tcPr>
          <w:p w14:paraId="01B8F16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Customer retention rate</w:t>
            </w:r>
          </w:p>
        </w:tc>
        <w:tc>
          <w:tcPr>
            <w:tcW w:w="720" w:type="dxa"/>
            <w:tcBorders>
              <w:top w:val="nil"/>
              <w:left w:val="nil"/>
              <w:bottom w:val="single" w:sz="4" w:space="0" w:color="auto"/>
              <w:right w:val="nil"/>
            </w:tcBorders>
            <w:noWrap/>
            <w:vAlign w:val="center"/>
            <w:hideMark/>
          </w:tcPr>
          <w:p w14:paraId="2F118E54"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90%</w:t>
            </w:r>
          </w:p>
        </w:tc>
      </w:tr>
      <w:tr w:rsidR="00B31F36" w14:paraId="100246B2" w14:textId="77777777" w:rsidTr="00B31F36">
        <w:trPr>
          <w:trHeight w:val="20"/>
          <w:jc w:val="center"/>
        </w:trPr>
        <w:tc>
          <w:tcPr>
            <w:tcW w:w="1890" w:type="dxa"/>
            <w:vMerge w:val="restart"/>
            <w:tcBorders>
              <w:top w:val="single" w:sz="4" w:space="0" w:color="auto"/>
              <w:left w:val="nil"/>
              <w:bottom w:val="single" w:sz="4" w:space="0" w:color="auto"/>
              <w:right w:val="nil"/>
            </w:tcBorders>
            <w:noWrap/>
            <w:vAlign w:val="center"/>
            <w:hideMark/>
          </w:tcPr>
          <w:p w14:paraId="133580A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internal process</w:t>
            </w:r>
          </w:p>
        </w:tc>
        <w:tc>
          <w:tcPr>
            <w:tcW w:w="2970" w:type="dxa"/>
            <w:tcBorders>
              <w:top w:val="single" w:sz="4" w:space="0" w:color="auto"/>
              <w:left w:val="nil"/>
              <w:bottom w:val="nil"/>
              <w:right w:val="nil"/>
            </w:tcBorders>
            <w:noWrap/>
            <w:vAlign w:val="center"/>
            <w:hideMark/>
          </w:tcPr>
          <w:p w14:paraId="0695B08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Obj7.Increase availability</w:t>
            </w:r>
          </w:p>
        </w:tc>
        <w:tc>
          <w:tcPr>
            <w:tcW w:w="2520" w:type="dxa"/>
            <w:tcBorders>
              <w:top w:val="single" w:sz="4" w:space="0" w:color="auto"/>
              <w:left w:val="nil"/>
              <w:bottom w:val="nil"/>
              <w:right w:val="nil"/>
            </w:tcBorders>
            <w:noWrap/>
            <w:vAlign w:val="center"/>
            <w:hideMark/>
          </w:tcPr>
          <w:p w14:paraId="37A222C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Operational availability rate</w:t>
            </w:r>
          </w:p>
        </w:tc>
        <w:tc>
          <w:tcPr>
            <w:tcW w:w="720" w:type="dxa"/>
            <w:tcBorders>
              <w:top w:val="single" w:sz="4" w:space="0" w:color="auto"/>
              <w:left w:val="nil"/>
              <w:bottom w:val="nil"/>
              <w:right w:val="nil"/>
            </w:tcBorders>
            <w:noWrap/>
            <w:vAlign w:val="center"/>
            <w:hideMark/>
          </w:tcPr>
          <w:p w14:paraId="621D102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98%</w:t>
            </w:r>
          </w:p>
        </w:tc>
      </w:tr>
      <w:tr w:rsidR="00B31F36" w14:paraId="0A2AD644" w14:textId="77777777" w:rsidTr="00B31F36">
        <w:trPr>
          <w:trHeight w:val="20"/>
          <w:jc w:val="center"/>
        </w:trPr>
        <w:tc>
          <w:tcPr>
            <w:tcW w:w="0" w:type="auto"/>
            <w:vMerge/>
            <w:tcBorders>
              <w:top w:val="single" w:sz="4" w:space="0" w:color="auto"/>
              <w:left w:val="nil"/>
              <w:bottom w:val="single" w:sz="4" w:space="0" w:color="auto"/>
              <w:right w:val="nil"/>
            </w:tcBorders>
            <w:vAlign w:val="center"/>
            <w:hideMark/>
          </w:tcPr>
          <w:p w14:paraId="425EE4EB"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noWrap/>
            <w:vAlign w:val="center"/>
            <w:hideMark/>
          </w:tcPr>
          <w:p w14:paraId="4D80E56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Obj8.Have efficient processes</w:t>
            </w:r>
          </w:p>
        </w:tc>
        <w:tc>
          <w:tcPr>
            <w:tcW w:w="2520" w:type="dxa"/>
            <w:noWrap/>
            <w:vAlign w:val="center"/>
            <w:hideMark/>
          </w:tcPr>
          <w:p w14:paraId="64EEB9E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Performance rate</w:t>
            </w:r>
          </w:p>
        </w:tc>
        <w:tc>
          <w:tcPr>
            <w:tcW w:w="720" w:type="dxa"/>
            <w:noWrap/>
            <w:vAlign w:val="center"/>
            <w:hideMark/>
          </w:tcPr>
          <w:p w14:paraId="355E9FF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95%</w:t>
            </w:r>
          </w:p>
        </w:tc>
      </w:tr>
      <w:tr w:rsidR="00B31F36" w14:paraId="705D2CC7" w14:textId="77777777" w:rsidTr="00B31F36">
        <w:trPr>
          <w:trHeight w:val="20"/>
          <w:jc w:val="center"/>
        </w:trPr>
        <w:tc>
          <w:tcPr>
            <w:tcW w:w="0" w:type="auto"/>
            <w:vMerge/>
            <w:tcBorders>
              <w:top w:val="single" w:sz="4" w:space="0" w:color="auto"/>
              <w:left w:val="nil"/>
              <w:bottom w:val="single" w:sz="4" w:space="0" w:color="auto"/>
              <w:right w:val="nil"/>
            </w:tcBorders>
            <w:vAlign w:val="center"/>
            <w:hideMark/>
          </w:tcPr>
          <w:p w14:paraId="286AAFE4"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tcBorders>
              <w:top w:val="nil"/>
              <w:left w:val="nil"/>
              <w:bottom w:val="single" w:sz="4" w:space="0" w:color="auto"/>
              <w:right w:val="nil"/>
            </w:tcBorders>
            <w:noWrap/>
            <w:vAlign w:val="center"/>
            <w:hideMark/>
          </w:tcPr>
          <w:p w14:paraId="1FEA98B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Obj9.Produce high quality products</w:t>
            </w:r>
          </w:p>
        </w:tc>
        <w:tc>
          <w:tcPr>
            <w:tcW w:w="2520" w:type="dxa"/>
            <w:tcBorders>
              <w:top w:val="nil"/>
              <w:left w:val="nil"/>
              <w:bottom w:val="single" w:sz="4" w:space="0" w:color="auto"/>
              <w:right w:val="nil"/>
            </w:tcBorders>
            <w:noWrap/>
            <w:vAlign w:val="center"/>
            <w:hideMark/>
          </w:tcPr>
          <w:p w14:paraId="05F18AF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Quality rate</w:t>
            </w:r>
          </w:p>
        </w:tc>
        <w:tc>
          <w:tcPr>
            <w:tcW w:w="720" w:type="dxa"/>
            <w:tcBorders>
              <w:top w:val="nil"/>
              <w:left w:val="nil"/>
              <w:bottom w:val="single" w:sz="4" w:space="0" w:color="auto"/>
              <w:right w:val="nil"/>
            </w:tcBorders>
            <w:noWrap/>
            <w:vAlign w:val="center"/>
            <w:hideMark/>
          </w:tcPr>
          <w:p w14:paraId="1E6DAB9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98%</w:t>
            </w:r>
          </w:p>
        </w:tc>
      </w:tr>
      <w:tr w:rsidR="00B31F36" w14:paraId="38605057" w14:textId="77777777" w:rsidTr="00B31F36">
        <w:trPr>
          <w:trHeight w:val="20"/>
          <w:jc w:val="center"/>
        </w:trPr>
        <w:tc>
          <w:tcPr>
            <w:tcW w:w="1890" w:type="dxa"/>
            <w:vMerge w:val="restart"/>
            <w:tcBorders>
              <w:top w:val="single" w:sz="4" w:space="0" w:color="auto"/>
              <w:left w:val="nil"/>
              <w:bottom w:val="single" w:sz="4" w:space="0" w:color="auto"/>
              <w:right w:val="nil"/>
            </w:tcBorders>
            <w:noWrap/>
            <w:vAlign w:val="center"/>
            <w:hideMark/>
          </w:tcPr>
          <w:p w14:paraId="418BB57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learning and growth</w:t>
            </w:r>
          </w:p>
        </w:tc>
        <w:tc>
          <w:tcPr>
            <w:tcW w:w="2970" w:type="dxa"/>
            <w:tcBorders>
              <w:top w:val="single" w:sz="4" w:space="0" w:color="auto"/>
              <w:left w:val="nil"/>
              <w:bottom w:val="nil"/>
              <w:right w:val="nil"/>
            </w:tcBorders>
            <w:noWrap/>
            <w:vAlign w:val="center"/>
            <w:hideMark/>
          </w:tcPr>
          <w:p w14:paraId="27BD9B1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Obj10.Have a well-trained staff</w:t>
            </w:r>
          </w:p>
        </w:tc>
        <w:tc>
          <w:tcPr>
            <w:tcW w:w="2520" w:type="dxa"/>
            <w:tcBorders>
              <w:top w:val="single" w:sz="4" w:space="0" w:color="auto"/>
              <w:left w:val="nil"/>
              <w:bottom w:val="nil"/>
              <w:right w:val="nil"/>
            </w:tcBorders>
            <w:noWrap/>
            <w:vAlign w:val="center"/>
            <w:hideMark/>
          </w:tcPr>
          <w:p w14:paraId="2FF329F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Job role competency rate</w:t>
            </w:r>
          </w:p>
        </w:tc>
        <w:tc>
          <w:tcPr>
            <w:tcW w:w="720" w:type="dxa"/>
            <w:tcBorders>
              <w:top w:val="single" w:sz="4" w:space="0" w:color="auto"/>
              <w:left w:val="nil"/>
              <w:bottom w:val="nil"/>
              <w:right w:val="nil"/>
            </w:tcBorders>
            <w:noWrap/>
            <w:vAlign w:val="center"/>
            <w:hideMark/>
          </w:tcPr>
          <w:p w14:paraId="1E9E424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90%</w:t>
            </w:r>
          </w:p>
        </w:tc>
      </w:tr>
      <w:tr w:rsidR="00B31F36" w14:paraId="074AAFB4" w14:textId="77777777" w:rsidTr="00B31F36">
        <w:trPr>
          <w:trHeight w:val="20"/>
          <w:jc w:val="center"/>
        </w:trPr>
        <w:tc>
          <w:tcPr>
            <w:tcW w:w="0" w:type="auto"/>
            <w:vMerge/>
            <w:tcBorders>
              <w:top w:val="single" w:sz="4" w:space="0" w:color="auto"/>
              <w:left w:val="nil"/>
              <w:bottom w:val="single" w:sz="4" w:space="0" w:color="auto"/>
              <w:right w:val="nil"/>
            </w:tcBorders>
            <w:vAlign w:val="center"/>
            <w:hideMark/>
          </w:tcPr>
          <w:p w14:paraId="61F6F132"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noWrap/>
            <w:vAlign w:val="center"/>
            <w:hideMark/>
          </w:tcPr>
          <w:p w14:paraId="598FF1F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Obj11.Retain employees</w:t>
            </w:r>
          </w:p>
        </w:tc>
        <w:tc>
          <w:tcPr>
            <w:tcW w:w="2520" w:type="dxa"/>
            <w:noWrap/>
            <w:vAlign w:val="center"/>
            <w:hideMark/>
          </w:tcPr>
          <w:p w14:paraId="024272A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Employee turnover</w:t>
            </w:r>
          </w:p>
        </w:tc>
        <w:tc>
          <w:tcPr>
            <w:tcW w:w="720" w:type="dxa"/>
            <w:noWrap/>
            <w:vAlign w:val="center"/>
            <w:hideMark/>
          </w:tcPr>
          <w:p w14:paraId="4A35A6B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w:t>
            </w:r>
          </w:p>
        </w:tc>
      </w:tr>
      <w:tr w:rsidR="00B31F36" w14:paraId="50C5335C" w14:textId="77777777" w:rsidTr="00B31F36">
        <w:trPr>
          <w:trHeight w:val="20"/>
          <w:jc w:val="center"/>
        </w:trPr>
        <w:tc>
          <w:tcPr>
            <w:tcW w:w="0" w:type="auto"/>
            <w:vMerge/>
            <w:tcBorders>
              <w:top w:val="single" w:sz="4" w:space="0" w:color="auto"/>
              <w:left w:val="nil"/>
              <w:bottom w:val="single" w:sz="4" w:space="0" w:color="auto"/>
              <w:right w:val="nil"/>
            </w:tcBorders>
            <w:vAlign w:val="center"/>
            <w:hideMark/>
          </w:tcPr>
          <w:p w14:paraId="57434D5A"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tcBorders>
              <w:top w:val="nil"/>
              <w:left w:val="nil"/>
              <w:bottom w:val="single" w:sz="4" w:space="0" w:color="auto"/>
              <w:right w:val="nil"/>
            </w:tcBorders>
            <w:noWrap/>
            <w:vAlign w:val="center"/>
            <w:hideMark/>
          </w:tcPr>
          <w:p w14:paraId="4BFB620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Obj12.Engage employees</w:t>
            </w:r>
          </w:p>
        </w:tc>
        <w:tc>
          <w:tcPr>
            <w:tcW w:w="2520" w:type="dxa"/>
            <w:tcBorders>
              <w:top w:val="nil"/>
              <w:left w:val="nil"/>
              <w:bottom w:val="single" w:sz="4" w:space="0" w:color="auto"/>
              <w:right w:val="nil"/>
            </w:tcBorders>
            <w:noWrap/>
            <w:vAlign w:val="center"/>
            <w:hideMark/>
          </w:tcPr>
          <w:p w14:paraId="05ED0C8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Employee participation rate</w:t>
            </w:r>
          </w:p>
        </w:tc>
        <w:tc>
          <w:tcPr>
            <w:tcW w:w="720" w:type="dxa"/>
            <w:tcBorders>
              <w:top w:val="nil"/>
              <w:left w:val="nil"/>
              <w:bottom w:val="single" w:sz="4" w:space="0" w:color="auto"/>
              <w:right w:val="nil"/>
            </w:tcBorders>
            <w:noWrap/>
            <w:vAlign w:val="center"/>
            <w:hideMark/>
          </w:tcPr>
          <w:p w14:paraId="72054F6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w:t>
            </w:r>
          </w:p>
        </w:tc>
      </w:tr>
    </w:tbl>
    <w:p w14:paraId="385028C3" w14:textId="77777777" w:rsidR="00B31F36" w:rsidRDefault="00B31F36" w:rsidP="00B31F36">
      <w:pPr>
        <w:pStyle w:val="Lgende"/>
        <w:spacing w:after="0"/>
        <w:rPr>
          <w:rFonts w:asciiTheme="majorHAnsi" w:hAnsiTheme="majorHAnsi"/>
          <w:sz w:val="20"/>
          <w:szCs w:val="20"/>
        </w:rPr>
      </w:pPr>
      <w:r>
        <w:rPr>
          <w:rFonts w:asciiTheme="majorHAnsi" w:hAnsiTheme="majorHAnsi"/>
          <w:sz w:val="20"/>
          <w:szCs w:val="20"/>
        </w:rPr>
        <w:t>Source:</w:t>
      </w:r>
      <w:r>
        <w:rPr>
          <w:rFonts w:asciiTheme="majorHAnsi" w:hAnsiTheme="majorHAnsi"/>
          <w:b w:val="0"/>
          <w:bCs w:val="0"/>
          <w:sz w:val="20"/>
          <w:szCs w:val="20"/>
        </w:rPr>
        <w:t xml:space="preserve"> Authors own work.</w:t>
      </w:r>
    </w:p>
    <w:p w14:paraId="7638A098" w14:textId="77777777" w:rsidR="00B31F36" w:rsidRDefault="00B31F36" w:rsidP="00B31F36">
      <w:pPr>
        <w:spacing w:after="0" w:line="240" w:lineRule="auto"/>
        <w:jc w:val="both"/>
        <w:rPr>
          <w:rFonts w:asciiTheme="majorHAnsi" w:hAnsiTheme="majorHAnsi"/>
          <w:sz w:val="20"/>
          <w:szCs w:val="20"/>
        </w:rPr>
      </w:pPr>
    </w:p>
    <w:p w14:paraId="7575ECAA"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space="720"/>
        </w:sectPr>
      </w:pPr>
    </w:p>
    <w:p w14:paraId="480522EE"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We will consider that the strategy for achieving performance goals is reflected in the hierarchy of objectives below, where consistency evaluation revealed that the consistency ratio is 0.1 falls inside the threshold.</w:t>
      </w:r>
    </w:p>
    <w:p w14:paraId="0819D0F7"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num="2" w:space="720"/>
        </w:sectPr>
      </w:pPr>
    </w:p>
    <w:p w14:paraId="617258AA" w14:textId="77777777" w:rsidR="00B31F36" w:rsidRDefault="00B31F36" w:rsidP="00B31F36">
      <w:pPr>
        <w:spacing w:after="0" w:line="240" w:lineRule="auto"/>
        <w:jc w:val="both"/>
        <w:rPr>
          <w:rFonts w:asciiTheme="majorHAnsi" w:hAnsiTheme="majorHAnsi"/>
          <w:sz w:val="20"/>
          <w:szCs w:val="20"/>
        </w:rPr>
      </w:pPr>
    </w:p>
    <w:tbl>
      <w:tblPr>
        <w:tblW w:w="8922" w:type="dxa"/>
        <w:jc w:val="center"/>
        <w:tblCellMar>
          <w:left w:w="70" w:type="dxa"/>
          <w:right w:w="70" w:type="dxa"/>
        </w:tblCellMar>
        <w:tblLook w:val="04A0" w:firstRow="1" w:lastRow="0" w:firstColumn="1" w:lastColumn="0" w:noHBand="0" w:noVBand="1"/>
      </w:tblPr>
      <w:tblGrid>
        <w:gridCol w:w="687"/>
        <w:gridCol w:w="686"/>
        <w:gridCol w:w="686"/>
        <w:gridCol w:w="686"/>
        <w:gridCol w:w="686"/>
        <w:gridCol w:w="686"/>
        <w:gridCol w:w="686"/>
        <w:gridCol w:w="686"/>
        <w:gridCol w:w="686"/>
        <w:gridCol w:w="686"/>
        <w:gridCol w:w="687"/>
        <w:gridCol w:w="687"/>
        <w:gridCol w:w="687"/>
      </w:tblGrid>
      <w:tr w:rsidR="00B31F36" w14:paraId="3EC1F703" w14:textId="77777777" w:rsidTr="00B31F36">
        <w:trPr>
          <w:trHeight w:val="56"/>
          <w:jc w:val="center"/>
        </w:trPr>
        <w:tc>
          <w:tcPr>
            <w:tcW w:w="8922" w:type="dxa"/>
            <w:gridSpan w:val="13"/>
            <w:tcBorders>
              <w:top w:val="nil"/>
              <w:left w:val="nil"/>
              <w:bottom w:val="single" w:sz="4" w:space="0" w:color="auto"/>
              <w:right w:val="nil"/>
            </w:tcBorders>
            <w:vAlign w:val="bottom"/>
            <w:hideMark/>
          </w:tcPr>
          <w:p w14:paraId="7AC04FCA" w14:textId="77777777" w:rsidR="00B31F36" w:rsidRDefault="00B31F36">
            <w:pPr>
              <w:spacing w:after="0" w:line="240" w:lineRule="auto"/>
              <w:jc w:val="center"/>
              <w:rPr>
                <w:rFonts w:asciiTheme="majorHAnsi" w:eastAsia="Times New Roman" w:hAnsiTheme="majorHAnsi" w:cs="Calibri"/>
                <w:b/>
                <w:bCs/>
                <w:color w:val="000000"/>
                <w:sz w:val="18"/>
                <w:szCs w:val="18"/>
                <w:lang w:eastAsia="fr-FR"/>
              </w:rPr>
            </w:pPr>
            <w:r>
              <w:rPr>
                <w:rFonts w:asciiTheme="majorHAnsi" w:eastAsia="Times New Roman" w:hAnsiTheme="majorHAnsi" w:cs="Calibri"/>
                <w:b/>
                <w:bCs/>
                <w:color w:val="000000"/>
                <w:sz w:val="18"/>
                <w:szCs w:val="18"/>
                <w:lang w:val="fr-FR" w:eastAsia="fr-FR"/>
              </w:rPr>
              <w:t>Table 4. The o</w:t>
            </w:r>
            <w:r>
              <w:rPr>
                <w:rFonts w:asciiTheme="majorHAnsi" w:eastAsia="Times New Roman" w:hAnsiTheme="majorHAnsi" w:cs="Calibri"/>
                <w:b/>
                <w:bCs/>
                <w:color w:val="000000"/>
                <w:sz w:val="18"/>
                <w:szCs w:val="18"/>
                <w:lang w:eastAsia="fr-FR"/>
              </w:rPr>
              <w:t>bjectives pair-wise comparison matrix</w:t>
            </w:r>
          </w:p>
        </w:tc>
      </w:tr>
      <w:tr w:rsidR="00B31F36" w14:paraId="0C1182BA" w14:textId="77777777" w:rsidTr="00B31F36">
        <w:trPr>
          <w:trHeight w:val="46"/>
          <w:jc w:val="center"/>
        </w:trPr>
        <w:tc>
          <w:tcPr>
            <w:tcW w:w="687" w:type="dxa"/>
            <w:tcBorders>
              <w:top w:val="single" w:sz="4" w:space="0" w:color="auto"/>
              <w:left w:val="nil"/>
              <w:bottom w:val="nil"/>
              <w:right w:val="nil"/>
            </w:tcBorders>
            <w:vAlign w:val="bottom"/>
            <w:hideMark/>
          </w:tcPr>
          <w:p w14:paraId="322E0708" w14:textId="77777777" w:rsidR="00B31F36" w:rsidRDefault="00B31F36">
            <w:pPr>
              <w:rPr>
                <w:rFonts w:asciiTheme="majorHAnsi" w:eastAsia="Times New Roman" w:hAnsiTheme="majorHAnsi" w:cs="Calibri"/>
                <w:b/>
                <w:bCs/>
                <w:color w:val="000000"/>
                <w:sz w:val="18"/>
                <w:szCs w:val="18"/>
                <w:lang w:eastAsia="fr-FR"/>
              </w:rPr>
            </w:pPr>
          </w:p>
        </w:tc>
        <w:tc>
          <w:tcPr>
            <w:tcW w:w="686" w:type="dxa"/>
            <w:tcBorders>
              <w:top w:val="single" w:sz="4" w:space="0" w:color="auto"/>
              <w:left w:val="nil"/>
              <w:bottom w:val="single" w:sz="4" w:space="0" w:color="auto"/>
              <w:right w:val="nil"/>
            </w:tcBorders>
            <w:vAlign w:val="bottom"/>
            <w:hideMark/>
          </w:tcPr>
          <w:p w14:paraId="2AD088B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w:t>
            </w:r>
          </w:p>
        </w:tc>
        <w:tc>
          <w:tcPr>
            <w:tcW w:w="686" w:type="dxa"/>
            <w:tcBorders>
              <w:top w:val="single" w:sz="4" w:space="0" w:color="auto"/>
              <w:left w:val="nil"/>
              <w:bottom w:val="single" w:sz="4" w:space="0" w:color="auto"/>
              <w:right w:val="nil"/>
            </w:tcBorders>
            <w:vAlign w:val="bottom"/>
            <w:hideMark/>
          </w:tcPr>
          <w:p w14:paraId="1D18860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Obj2</w:t>
            </w:r>
          </w:p>
        </w:tc>
        <w:tc>
          <w:tcPr>
            <w:tcW w:w="686" w:type="dxa"/>
            <w:tcBorders>
              <w:top w:val="single" w:sz="4" w:space="0" w:color="auto"/>
              <w:left w:val="nil"/>
              <w:bottom w:val="single" w:sz="4" w:space="0" w:color="auto"/>
              <w:right w:val="nil"/>
            </w:tcBorders>
            <w:vAlign w:val="bottom"/>
            <w:hideMark/>
          </w:tcPr>
          <w:p w14:paraId="50DB90D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Obj3</w:t>
            </w:r>
          </w:p>
        </w:tc>
        <w:tc>
          <w:tcPr>
            <w:tcW w:w="686" w:type="dxa"/>
            <w:tcBorders>
              <w:top w:val="single" w:sz="4" w:space="0" w:color="auto"/>
              <w:left w:val="nil"/>
              <w:bottom w:val="single" w:sz="4" w:space="0" w:color="auto"/>
              <w:right w:val="nil"/>
            </w:tcBorders>
            <w:vAlign w:val="bottom"/>
            <w:hideMark/>
          </w:tcPr>
          <w:p w14:paraId="124F7194"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Obj4</w:t>
            </w:r>
          </w:p>
        </w:tc>
        <w:tc>
          <w:tcPr>
            <w:tcW w:w="686" w:type="dxa"/>
            <w:tcBorders>
              <w:top w:val="single" w:sz="4" w:space="0" w:color="auto"/>
              <w:left w:val="nil"/>
              <w:bottom w:val="single" w:sz="4" w:space="0" w:color="auto"/>
              <w:right w:val="nil"/>
            </w:tcBorders>
            <w:vAlign w:val="bottom"/>
            <w:hideMark/>
          </w:tcPr>
          <w:p w14:paraId="0CC4F17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Obj5</w:t>
            </w:r>
          </w:p>
        </w:tc>
        <w:tc>
          <w:tcPr>
            <w:tcW w:w="686" w:type="dxa"/>
            <w:tcBorders>
              <w:top w:val="single" w:sz="4" w:space="0" w:color="auto"/>
              <w:left w:val="nil"/>
              <w:bottom w:val="single" w:sz="4" w:space="0" w:color="auto"/>
              <w:right w:val="nil"/>
            </w:tcBorders>
            <w:vAlign w:val="bottom"/>
            <w:hideMark/>
          </w:tcPr>
          <w:p w14:paraId="7A702CA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Obj6</w:t>
            </w:r>
          </w:p>
        </w:tc>
        <w:tc>
          <w:tcPr>
            <w:tcW w:w="686" w:type="dxa"/>
            <w:tcBorders>
              <w:top w:val="single" w:sz="4" w:space="0" w:color="auto"/>
              <w:left w:val="nil"/>
              <w:bottom w:val="single" w:sz="4" w:space="0" w:color="auto"/>
              <w:right w:val="nil"/>
            </w:tcBorders>
            <w:vAlign w:val="bottom"/>
            <w:hideMark/>
          </w:tcPr>
          <w:p w14:paraId="3C6D2AD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Obj7</w:t>
            </w:r>
          </w:p>
        </w:tc>
        <w:tc>
          <w:tcPr>
            <w:tcW w:w="686" w:type="dxa"/>
            <w:tcBorders>
              <w:top w:val="single" w:sz="4" w:space="0" w:color="auto"/>
              <w:left w:val="nil"/>
              <w:bottom w:val="single" w:sz="4" w:space="0" w:color="auto"/>
              <w:right w:val="nil"/>
            </w:tcBorders>
            <w:vAlign w:val="bottom"/>
            <w:hideMark/>
          </w:tcPr>
          <w:p w14:paraId="4311CB8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Obj8</w:t>
            </w:r>
          </w:p>
        </w:tc>
        <w:tc>
          <w:tcPr>
            <w:tcW w:w="686" w:type="dxa"/>
            <w:tcBorders>
              <w:top w:val="single" w:sz="4" w:space="0" w:color="auto"/>
              <w:left w:val="nil"/>
              <w:bottom w:val="single" w:sz="4" w:space="0" w:color="auto"/>
              <w:right w:val="nil"/>
            </w:tcBorders>
            <w:vAlign w:val="bottom"/>
            <w:hideMark/>
          </w:tcPr>
          <w:p w14:paraId="1CB9EE2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Obj9</w:t>
            </w:r>
          </w:p>
        </w:tc>
        <w:tc>
          <w:tcPr>
            <w:tcW w:w="687" w:type="dxa"/>
            <w:tcBorders>
              <w:top w:val="single" w:sz="4" w:space="0" w:color="auto"/>
              <w:left w:val="nil"/>
              <w:bottom w:val="single" w:sz="4" w:space="0" w:color="auto"/>
              <w:right w:val="nil"/>
            </w:tcBorders>
            <w:vAlign w:val="bottom"/>
            <w:hideMark/>
          </w:tcPr>
          <w:p w14:paraId="23F3496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Obj10</w:t>
            </w:r>
          </w:p>
        </w:tc>
        <w:tc>
          <w:tcPr>
            <w:tcW w:w="687" w:type="dxa"/>
            <w:tcBorders>
              <w:top w:val="single" w:sz="4" w:space="0" w:color="auto"/>
              <w:left w:val="nil"/>
              <w:bottom w:val="single" w:sz="4" w:space="0" w:color="auto"/>
              <w:right w:val="nil"/>
            </w:tcBorders>
            <w:vAlign w:val="bottom"/>
            <w:hideMark/>
          </w:tcPr>
          <w:p w14:paraId="4752F2F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Obj11</w:t>
            </w:r>
          </w:p>
        </w:tc>
        <w:tc>
          <w:tcPr>
            <w:tcW w:w="687" w:type="dxa"/>
            <w:tcBorders>
              <w:top w:val="single" w:sz="4" w:space="0" w:color="auto"/>
              <w:left w:val="nil"/>
              <w:bottom w:val="single" w:sz="4" w:space="0" w:color="auto"/>
              <w:right w:val="nil"/>
            </w:tcBorders>
            <w:vAlign w:val="bottom"/>
            <w:hideMark/>
          </w:tcPr>
          <w:p w14:paraId="543EE62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Obj12</w:t>
            </w:r>
          </w:p>
        </w:tc>
      </w:tr>
      <w:tr w:rsidR="00B31F36" w14:paraId="5D7C1C1D" w14:textId="77777777" w:rsidTr="00B31F36">
        <w:trPr>
          <w:trHeight w:val="46"/>
          <w:jc w:val="center"/>
        </w:trPr>
        <w:tc>
          <w:tcPr>
            <w:tcW w:w="687" w:type="dxa"/>
            <w:vAlign w:val="center"/>
            <w:hideMark/>
          </w:tcPr>
          <w:p w14:paraId="16D0D16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w:t>
            </w:r>
          </w:p>
        </w:tc>
        <w:tc>
          <w:tcPr>
            <w:tcW w:w="686" w:type="dxa"/>
            <w:tcBorders>
              <w:top w:val="single" w:sz="4" w:space="0" w:color="auto"/>
              <w:left w:val="nil"/>
              <w:bottom w:val="nil"/>
              <w:right w:val="nil"/>
            </w:tcBorders>
            <w:noWrap/>
            <w:vAlign w:val="center"/>
            <w:hideMark/>
          </w:tcPr>
          <w:p w14:paraId="63FDCF8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tcBorders>
              <w:top w:val="single" w:sz="4" w:space="0" w:color="auto"/>
              <w:left w:val="nil"/>
              <w:bottom w:val="nil"/>
              <w:right w:val="nil"/>
            </w:tcBorders>
            <w:noWrap/>
            <w:vAlign w:val="center"/>
            <w:hideMark/>
          </w:tcPr>
          <w:p w14:paraId="1B0F64F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tcBorders>
              <w:top w:val="single" w:sz="4" w:space="0" w:color="auto"/>
              <w:left w:val="nil"/>
              <w:bottom w:val="nil"/>
              <w:right w:val="nil"/>
            </w:tcBorders>
            <w:noWrap/>
            <w:vAlign w:val="center"/>
            <w:hideMark/>
          </w:tcPr>
          <w:p w14:paraId="38A0C89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tcBorders>
              <w:top w:val="single" w:sz="4" w:space="0" w:color="auto"/>
              <w:left w:val="nil"/>
              <w:bottom w:val="nil"/>
              <w:right w:val="nil"/>
            </w:tcBorders>
            <w:noWrap/>
            <w:vAlign w:val="center"/>
            <w:hideMark/>
          </w:tcPr>
          <w:p w14:paraId="0B3C54E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tcBorders>
              <w:top w:val="single" w:sz="4" w:space="0" w:color="auto"/>
              <w:left w:val="nil"/>
              <w:bottom w:val="nil"/>
              <w:right w:val="nil"/>
            </w:tcBorders>
            <w:noWrap/>
            <w:vAlign w:val="center"/>
            <w:hideMark/>
          </w:tcPr>
          <w:p w14:paraId="2491C1B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tcBorders>
              <w:top w:val="single" w:sz="4" w:space="0" w:color="auto"/>
              <w:left w:val="nil"/>
              <w:bottom w:val="nil"/>
              <w:right w:val="nil"/>
            </w:tcBorders>
            <w:noWrap/>
            <w:vAlign w:val="center"/>
            <w:hideMark/>
          </w:tcPr>
          <w:p w14:paraId="06C0576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0.50</w:t>
            </w:r>
          </w:p>
        </w:tc>
        <w:tc>
          <w:tcPr>
            <w:tcW w:w="686" w:type="dxa"/>
            <w:tcBorders>
              <w:top w:val="single" w:sz="4" w:space="0" w:color="auto"/>
              <w:left w:val="nil"/>
              <w:bottom w:val="nil"/>
              <w:right w:val="nil"/>
            </w:tcBorders>
            <w:noWrap/>
            <w:vAlign w:val="center"/>
            <w:hideMark/>
          </w:tcPr>
          <w:p w14:paraId="1BE4E0E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0.33</w:t>
            </w:r>
          </w:p>
        </w:tc>
        <w:tc>
          <w:tcPr>
            <w:tcW w:w="686" w:type="dxa"/>
            <w:tcBorders>
              <w:top w:val="single" w:sz="4" w:space="0" w:color="auto"/>
              <w:left w:val="nil"/>
              <w:bottom w:val="nil"/>
              <w:right w:val="nil"/>
            </w:tcBorders>
            <w:noWrap/>
            <w:vAlign w:val="center"/>
            <w:hideMark/>
          </w:tcPr>
          <w:p w14:paraId="3695E93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tcBorders>
              <w:top w:val="single" w:sz="4" w:space="0" w:color="auto"/>
              <w:left w:val="nil"/>
              <w:bottom w:val="nil"/>
              <w:right w:val="nil"/>
            </w:tcBorders>
            <w:noWrap/>
            <w:vAlign w:val="center"/>
            <w:hideMark/>
          </w:tcPr>
          <w:p w14:paraId="3021E71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7" w:type="dxa"/>
            <w:tcBorders>
              <w:top w:val="single" w:sz="4" w:space="0" w:color="auto"/>
              <w:left w:val="nil"/>
              <w:bottom w:val="nil"/>
              <w:right w:val="nil"/>
            </w:tcBorders>
            <w:noWrap/>
            <w:vAlign w:val="center"/>
            <w:hideMark/>
          </w:tcPr>
          <w:p w14:paraId="1FABF31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7" w:type="dxa"/>
            <w:tcBorders>
              <w:top w:val="single" w:sz="4" w:space="0" w:color="auto"/>
              <w:left w:val="nil"/>
              <w:bottom w:val="nil"/>
              <w:right w:val="nil"/>
            </w:tcBorders>
            <w:noWrap/>
            <w:vAlign w:val="center"/>
            <w:hideMark/>
          </w:tcPr>
          <w:p w14:paraId="229A867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2.00</w:t>
            </w:r>
          </w:p>
        </w:tc>
        <w:tc>
          <w:tcPr>
            <w:tcW w:w="687" w:type="dxa"/>
            <w:tcBorders>
              <w:top w:val="single" w:sz="4" w:space="0" w:color="auto"/>
              <w:left w:val="nil"/>
              <w:bottom w:val="nil"/>
              <w:right w:val="nil"/>
            </w:tcBorders>
            <w:noWrap/>
            <w:vAlign w:val="center"/>
            <w:hideMark/>
          </w:tcPr>
          <w:p w14:paraId="1D2632E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3.00</w:t>
            </w:r>
          </w:p>
        </w:tc>
      </w:tr>
      <w:tr w:rsidR="00B31F36" w14:paraId="3B3A6781" w14:textId="77777777" w:rsidTr="00B31F36">
        <w:trPr>
          <w:trHeight w:val="56"/>
          <w:jc w:val="center"/>
        </w:trPr>
        <w:tc>
          <w:tcPr>
            <w:tcW w:w="687" w:type="dxa"/>
            <w:vAlign w:val="center"/>
            <w:hideMark/>
          </w:tcPr>
          <w:p w14:paraId="7D4F6DF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Obj2</w:t>
            </w:r>
          </w:p>
        </w:tc>
        <w:tc>
          <w:tcPr>
            <w:tcW w:w="686" w:type="dxa"/>
            <w:noWrap/>
            <w:vAlign w:val="center"/>
            <w:hideMark/>
          </w:tcPr>
          <w:p w14:paraId="6B3A3FA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34A88FA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419BFD7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0.33</w:t>
            </w:r>
          </w:p>
        </w:tc>
        <w:tc>
          <w:tcPr>
            <w:tcW w:w="686" w:type="dxa"/>
            <w:noWrap/>
            <w:vAlign w:val="center"/>
            <w:hideMark/>
          </w:tcPr>
          <w:p w14:paraId="1857AB7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c>
          <w:tcPr>
            <w:tcW w:w="686" w:type="dxa"/>
            <w:noWrap/>
            <w:vAlign w:val="center"/>
            <w:hideMark/>
          </w:tcPr>
          <w:p w14:paraId="765A3AB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7E8B5EA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43BC687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2E00980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67D5864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7" w:type="dxa"/>
            <w:noWrap/>
            <w:vAlign w:val="center"/>
            <w:hideMark/>
          </w:tcPr>
          <w:p w14:paraId="058E53E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2.00</w:t>
            </w:r>
          </w:p>
        </w:tc>
        <w:tc>
          <w:tcPr>
            <w:tcW w:w="687" w:type="dxa"/>
            <w:noWrap/>
            <w:vAlign w:val="center"/>
            <w:hideMark/>
          </w:tcPr>
          <w:p w14:paraId="4035782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c>
          <w:tcPr>
            <w:tcW w:w="687" w:type="dxa"/>
            <w:noWrap/>
            <w:vAlign w:val="center"/>
            <w:hideMark/>
          </w:tcPr>
          <w:p w14:paraId="5E4FECC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r>
      <w:tr w:rsidR="00B31F36" w14:paraId="6B3C5621" w14:textId="77777777" w:rsidTr="00B31F36">
        <w:trPr>
          <w:trHeight w:val="56"/>
          <w:jc w:val="center"/>
        </w:trPr>
        <w:tc>
          <w:tcPr>
            <w:tcW w:w="687" w:type="dxa"/>
            <w:vAlign w:val="center"/>
            <w:hideMark/>
          </w:tcPr>
          <w:p w14:paraId="4AA18CF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Obj3</w:t>
            </w:r>
          </w:p>
        </w:tc>
        <w:tc>
          <w:tcPr>
            <w:tcW w:w="686" w:type="dxa"/>
            <w:noWrap/>
            <w:vAlign w:val="center"/>
            <w:hideMark/>
          </w:tcPr>
          <w:p w14:paraId="32A9B60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c>
          <w:tcPr>
            <w:tcW w:w="686" w:type="dxa"/>
            <w:noWrap/>
            <w:vAlign w:val="center"/>
            <w:hideMark/>
          </w:tcPr>
          <w:p w14:paraId="33B9CDC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3.00</w:t>
            </w:r>
          </w:p>
        </w:tc>
        <w:tc>
          <w:tcPr>
            <w:tcW w:w="686" w:type="dxa"/>
            <w:noWrap/>
            <w:vAlign w:val="center"/>
            <w:hideMark/>
          </w:tcPr>
          <w:p w14:paraId="7A1899A4"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1CCB31E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c>
          <w:tcPr>
            <w:tcW w:w="686" w:type="dxa"/>
            <w:noWrap/>
            <w:vAlign w:val="center"/>
            <w:hideMark/>
          </w:tcPr>
          <w:p w14:paraId="3A4702A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513C907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3.00</w:t>
            </w:r>
          </w:p>
        </w:tc>
        <w:tc>
          <w:tcPr>
            <w:tcW w:w="686" w:type="dxa"/>
            <w:noWrap/>
            <w:vAlign w:val="center"/>
            <w:hideMark/>
          </w:tcPr>
          <w:p w14:paraId="1B7DEA2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488C053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2.00</w:t>
            </w:r>
          </w:p>
        </w:tc>
        <w:tc>
          <w:tcPr>
            <w:tcW w:w="686" w:type="dxa"/>
            <w:noWrap/>
            <w:vAlign w:val="center"/>
            <w:hideMark/>
          </w:tcPr>
          <w:p w14:paraId="3EB0501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7" w:type="dxa"/>
            <w:noWrap/>
            <w:vAlign w:val="center"/>
            <w:hideMark/>
          </w:tcPr>
          <w:p w14:paraId="0CFE598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c>
          <w:tcPr>
            <w:tcW w:w="687" w:type="dxa"/>
            <w:noWrap/>
            <w:vAlign w:val="center"/>
            <w:hideMark/>
          </w:tcPr>
          <w:p w14:paraId="14BD669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9.00</w:t>
            </w:r>
          </w:p>
        </w:tc>
        <w:tc>
          <w:tcPr>
            <w:tcW w:w="687" w:type="dxa"/>
            <w:noWrap/>
            <w:vAlign w:val="center"/>
            <w:hideMark/>
          </w:tcPr>
          <w:p w14:paraId="41155A7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9.00</w:t>
            </w:r>
          </w:p>
        </w:tc>
      </w:tr>
      <w:tr w:rsidR="00B31F36" w14:paraId="1E98B436" w14:textId="77777777" w:rsidTr="00B31F36">
        <w:trPr>
          <w:trHeight w:val="56"/>
          <w:jc w:val="center"/>
        </w:trPr>
        <w:tc>
          <w:tcPr>
            <w:tcW w:w="687" w:type="dxa"/>
            <w:vAlign w:val="center"/>
            <w:hideMark/>
          </w:tcPr>
          <w:p w14:paraId="04C1141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Obj4</w:t>
            </w:r>
          </w:p>
        </w:tc>
        <w:tc>
          <w:tcPr>
            <w:tcW w:w="686" w:type="dxa"/>
            <w:noWrap/>
            <w:vAlign w:val="center"/>
            <w:hideMark/>
          </w:tcPr>
          <w:p w14:paraId="7E2CA9F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1281735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noWrap/>
            <w:vAlign w:val="center"/>
            <w:hideMark/>
          </w:tcPr>
          <w:p w14:paraId="0B32F8A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noWrap/>
            <w:vAlign w:val="center"/>
            <w:hideMark/>
          </w:tcPr>
          <w:p w14:paraId="3D7AA21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24A8603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0.33</w:t>
            </w:r>
          </w:p>
        </w:tc>
        <w:tc>
          <w:tcPr>
            <w:tcW w:w="686" w:type="dxa"/>
            <w:noWrap/>
            <w:vAlign w:val="center"/>
            <w:hideMark/>
          </w:tcPr>
          <w:p w14:paraId="6A80B38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6673A0F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0.50</w:t>
            </w:r>
          </w:p>
        </w:tc>
        <w:tc>
          <w:tcPr>
            <w:tcW w:w="686" w:type="dxa"/>
            <w:noWrap/>
            <w:vAlign w:val="center"/>
            <w:hideMark/>
          </w:tcPr>
          <w:p w14:paraId="7CF452D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0.33</w:t>
            </w:r>
          </w:p>
        </w:tc>
        <w:tc>
          <w:tcPr>
            <w:tcW w:w="686" w:type="dxa"/>
            <w:noWrap/>
            <w:vAlign w:val="center"/>
            <w:hideMark/>
          </w:tcPr>
          <w:p w14:paraId="441BEEA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0.33</w:t>
            </w:r>
          </w:p>
        </w:tc>
        <w:tc>
          <w:tcPr>
            <w:tcW w:w="687" w:type="dxa"/>
            <w:noWrap/>
            <w:vAlign w:val="center"/>
            <w:hideMark/>
          </w:tcPr>
          <w:p w14:paraId="7E9E8A8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7" w:type="dxa"/>
            <w:noWrap/>
            <w:vAlign w:val="center"/>
            <w:hideMark/>
          </w:tcPr>
          <w:p w14:paraId="23362AE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c>
          <w:tcPr>
            <w:tcW w:w="687" w:type="dxa"/>
            <w:noWrap/>
            <w:vAlign w:val="center"/>
            <w:hideMark/>
          </w:tcPr>
          <w:p w14:paraId="7019888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r>
      <w:tr w:rsidR="00B31F36" w14:paraId="6182E885" w14:textId="77777777" w:rsidTr="00B31F36">
        <w:trPr>
          <w:trHeight w:val="56"/>
          <w:jc w:val="center"/>
        </w:trPr>
        <w:tc>
          <w:tcPr>
            <w:tcW w:w="687" w:type="dxa"/>
            <w:vAlign w:val="center"/>
            <w:hideMark/>
          </w:tcPr>
          <w:p w14:paraId="6346429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Obj5</w:t>
            </w:r>
          </w:p>
        </w:tc>
        <w:tc>
          <w:tcPr>
            <w:tcW w:w="686" w:type="dxa"/>
            <w:noWrap/>
            <w:vAlign w:val="center"/>
            <w:hideMark/>
          </w:tcPr>
          <w:p w14:paraId="1974DBC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c>
          <w:tcPr>
            <w:tcW w:w="686" w:type="dxa"/>
            <w:noWrap/>
            <w:vAlign w:val="center"/>
            <w:hideMark/>
          </w:tcPr>
          <w:p w14:paraId="331FCA4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65A05BC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53EE253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3.00</w:t>
            </w:r>
          </w:p>
        </w:tc>
        <w:tc>
          <w:tcPr>
            <w:tcW w:w="686" w:type="dxa"/>
            <w:noWrap/>
            <w:vAlign w:val="center"/>
            <w:hideMark/>
          </w:tcPr>
          <w:p w14:paraId="721721E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7C7C49B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4726127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2.00</w:t>
            </w:r>
          </w:p>
        </w:tc>
        <w:tc>
          <w:tcPr>
            <w:tcW w:w="686" w:type="dxa"/>
            <w:noWrap/>
            <w:vAlign w:val="center"/>
            <w:hideMark/>
          </w:tcPr>
          <w:p w14:paraId="1A9EE5E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5CE688C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c>
          <w:tcPr>
            <w:tcW w:w="687" w:type="dxa"/>
            <w:noWrap/>
            <w:vAlign w:val="center"/>
            <w:hideMark/>
          </w:tcPr>
          <w:p w14:paraId="1319836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3.00</w:t>
            </w:r>
          </w:p>
        </w:tc>
        <w:tc>
          <w:tcPr>
            <w:tcW w:w="687" w:type="dxa"/>
            <w:noWrap/>
            <w:vAlign w:val="center"/>
            <w:hideMark/>
          </w:tcPr>
          <w:p w14:paraId="54D1A7E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9.00</w:t>
            </w:r>
          </w:p>
        </w:tc>
        <w:tc>
          <w:tcPr>
            <w:tcW w:w="687" w:type="dxa"/>
            <w:noWrap/>
            <w:vAlign w:val="center"/>
            <w:hideMark/>
          </w:tcPr>
          <w:p w14:paraId="0A2250D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r>
      <w:tr w:rsidR="00B31F36" w14:paraId="0D25398A" w14:textId="77777777" w:rsidTr="00B31F36">
        <w:trPr>
          <w:trHeight w:val="56"/>
          <w:jc w:val="center"/>
        </w:trPr>
        <w:tc>
          <w:tcPr>
            <w:tcW w:w="687" w:type="dxa"/>
            <w:vAlign w:val="center"/>
            <w:hideMark/>
          </w:tcPr>
          <w:p w14:paraId="761F0F8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Obj6</w:t>
            </w:r>
          </w:p>
        </w:tc>
        <w:tc>
          <w:tcPr>
            <w:tcW w:w="686" w:type="dxa"/>
            <w:noWrap/>
            <w:vAlign w:val="center"/>
            <w:hideMark/>
          </w:tcPr>
          <w:p w14:paraId="20A4A13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2.00</w:t>
            </w:r>
          </w:p>
        </w:tc>
        <w:tc>
          <w:tcPr>
            <w:tcW w:w="686" w:type="dxa"/>
            <w:noWrap/>
            <w:vAlign w:val="center"/>
            <w:hideMark/>
          </w:tcPr>
          <w:p w14:paraId="66CA754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00030A8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0.33</w:t>
            </w:r>
          </w:p>
        </w:tc>
        <w:tc>
          <w:tcPr>
            <w:tcW w:w="686" w:type="dxa"/>
            <w:noWrap/>
            <w:vAlign w:val="center"/>
            <w:hideMark/>
          </w:tcPr>
          <w:p w14:paraId="0FB6B03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6E91D33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6B5FD77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56DA4F4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1020C05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0.33</w:t>
            </w:r>
          </w:p>
        </w:tc>
        <w:tc>
          <w:tcPr>
            <w:tcW w:w="686" w:type="dxa"/>
            <w:noWrap/>
            <w:vAlign w:val="center"/>
            <w:hideMark/>
          </w:tcPr>
          <w:p w14:paraId="537FD07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0.50</w:t>
            </w:r>
          </w:p>
        </w:tc>
        <w:tc>
          <w:tcPr>
            <w:tcW w:w="687" w:type="dxa"/>
            <w:noWrap/>
            <w:vAlign w:val="center"/>
            <w:hideMark/>
          </w:tcPr>
          <w:p w14:paraId="696DB05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7.00</w:t>
            </w:r>
          </w:p>
        </w:tc>
        <w:tc>
          <w:tcPr>
            <w:tcW w:w="687" w:type="dxa"/>
            <w:noWrap/>
            <w:vAlign w:val="center"/>
            <w:hideMark/>
          </w:tcPr>
          <w:p w14:paraId="3013A3A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c>
          <w:tcPr>
            <w:tcW w:w="687" w:type="dxa"/>
            <w:noWrap/>
            <w:vAlign w:val="center"/>
            <w:hideMark/>
          </w:tcPr>
          <w:p w14:paraId="7C7AC6B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r>
      <w:tr w:rsidR="00B31F36" w14:paraId="4FDB4E85" w14:textId="77777777" w:rsidTr="00B31F36">
        <w:trPr>
          <w:trHeight w:val="56"/>
          <w:jc w:val="center"/>
        </w:trPr>
        <w:tc>
          <w:tcPr>
            <w:tcW w:w="687" w:type="dxa"/>
            <w:vAlign w:val="center"/>
            <w:hideMark/>
          </w:tcPr>
          <w:p w14:paraId="681D105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Obj7</w:t>
            </w:r>
          </w:p>
        </w:tc>
        <w:tc>
          <w:tcPr>
            <w:tcW w:w="686" w:type="dxa"/>
            <w:noWrap/>
            <w:vAlign w:val="center"/>
            <w:hideMark/>
          </w:tcPr>
          <w:p w14:paraId="3E07BB3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3.00</w:t>
            </w:r>
          </w:p>
        </w:tc>
        <w:tc>
          <w:tcPr>
            <w:tcW w:w="686" w:type="dxa"/>
            <w:noWrap/>
            <w:vAlign w:val="center"/>
            <w:hideMark/>
          </w:tcPr>
          <w:p w14:paraId="49A5BA8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75F23B9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68E5DD0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2.00</w:t>
            </w:r>
          </w:p>
        </w:tc>
        <w:tc>
          <w:tcPr>
            <w:tcW w:w="686" w:type="dxa"/>
            <w:noWrap/>
            <w:vAlign w:val="center"/>
            <w:hideMark/>
          </w:tcPr>
          <w:p w14:paraId="555E7F5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0.50</w:t>
            </w:r>
          </w:p>
        </w:tc>
        <w:tc>
          <w:tcPr>
            <w:tcW w:w="686" w:type="dxa"/>
            <w:noWrap/>
            <w:vAlign w:val="center"/>
            <w:hideMark/>
          </w:tcPr>
          <w:p w14:paraId="2548D06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756ED88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387685B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0.50</w:t>
            </w:r>
          </w:p>
        </w:tc>
        <w:tc>
          <w:tcPr>
            <w:tcW w:w="686" w:type="dxa"/>
            <w:noWrap/>
            <w:vAlign w:val="center"/>
            <w:hideMark/>
          </w:tcPr>
          <w:p w14:paraId="35F4BE4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0.50</w:t>
            </w:r>
          </w:p>
        </w:tc>
        <w:tc>
          <w:tcPr>
            <w:tcW w:w="687" w:type="dxa"/>
            <w:noWrap/>
            <w:vAlign w:val="center"/>
            <w:hideMark/>
          </w:tcPr>
          <w:p w14:paraId="0934B33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7" w:type="dxa"/>
            <w:noWrap/>
            <w:vAlign w:val="center"/>
            <w:hideMark/>
          </w:tcPr>
          <w:p w14:paraId="45CBFD6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7" w:type="dxa"/>
            <w:noWrap/>
            <w:vAlign w:val="center"/>
            <w:hideMark/>
          </w:tcPr>
          <w:p w14:paraId="3DC529A4"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9.00</w:t>
            </w:r>
          </w:p>
        </w:tc>
      </w:tr>
      <w:tr w:rsidR="00B31F36" w14:paraId="6230D7A5" w14:textId="77777777" w:rsidTr="00B31F36">
        <w:trPr>
          <w:trHeight w:val="56"/>
          <w:jc w:val="center"/>
        </w:trPr>
        <w:tc>
          <w:tcPr>
            <w:tcW w:w="687" w:type="dxa"/>
            <w:vAlign w:val="center"/>
            <w:hideMark/>
          </w:tcPr>
          <w:p w14:paraId="2B602B4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Obj8</w:t>
            </w:r>
          </w:p>
        </w:tc>
        <w:tc>
          <w:tcPr>
            <w:tcW w:w="686" w:type="dxa"/>
            <w:noWrap/>
            <w:vAlign w:val="center"/>
            <w:hideMark/>
          </w:tcPr>
          <w:p w14:paraId="2368BF9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c>
          <w:tcPr>
            <w:tcW w:w="686" w:type="dxa"/>
            <w:noWrap/>
            <w:vAlign w:val="center"/>
            <w:hideMark/>
          </w:tcPr>
          <w:p w14:paraId="048A252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42BFE5D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0.50</w:t>
            </w:r>
          </w:p>
        </w:tc>
        <w:tc>
          <w:tcPr>
            <w:tcW w:w="686" w:type="dxa"/>
            <w:noWrap/>
            <w:vAlign w:val="center"/>
            <w:hideMark/>
          </w:tcPr>
          <w:p w14:paraId="56E23EE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3.00</w:t>
            </w:r>
          </w:p>
        </w:tc>
        <w:tc>
          <w:tcPr>
            <w:tcW w:w="686" w:type="dxa"/>
            <w:noWrap/>
            <w:vAlign w:val="center"/>
            <w:hideMark/>
          </w:tcPr>
          <w:p w14:paraId="4094FCA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2EADD52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3.00</w:t>
            </w:r>
          </w:p>
        </w:tc>
        <w:tc>
          <w:tcPr>
            <w:tcW w:w="686" w:type="dxa"/>
            <w:noWrap/>
            <w:vAlign w:val="center"/>
            <w:hideMark/>
          </w:tcPr>
          <w:p w14:paraId="5DD8343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2.00</w:t>
            </w:r>
          </w:p>
        </w:tc>
        <w:tc>
          <w:tcPr>
            <w:tcW w:w="686" w:type="dxa"/>
            <w:noWrap/>
            <w:vAlign w:val="center"/>
            <w:hideMark/>
          </w:tcPr>
          <w:p w14:paraId="4A58923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42ED956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7" w:type="dxa"/>
            <w:noWrap/>
            <w:vAlign w:val="center"/>
            <w:hideMark/>
          </w:tcPr>
          <w:p w14:paraId="2F89795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c>
          <w:tcPr>
            <w:tcW w:w="687" w:type="dxa"/>
            <w:noWrap/>
            <w:vAlign w:val="center"/>
            <w:hideMark/>
          </w:tcPr>
          <w:p w14:paraId="47FFFDA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9.00</w:t>
            </w:r>
          </w:p>
        </w:tc>
        <w:tc>
          <w:tcPr>
            <w:tcW w:w="687" w:type="dxa"/>
            <w:noWrap/>
            <w:vAlign w:val="center"/>
            <w:hideMark/>
          </w:tcPr>
          <w:p w14:paraId="42B2D8B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9.00</w:t>
            </w:r>
          </w:p>
        </w:tc>
      </w:tr>
      <w:tr w:rsidR="00B31F36" w14:paraId="6FDE3318" w14:textId="77777777" w:rsidTr="00B31F36">
        <w:trPr>
          <w:trHeight w:val="56"/>
          <w:jc w:val="center"/>
        </w:trPr>
        <w:tc>
          <w:tcPr>
            <w:tcW w:w="687" w:type="dxa"/>
            <w:vAlign w:val="center"/>
            <w:hideMark/>
          </w:tcPr>
          <w:p w14:paraId="06CDB5C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Obj9</w:t>
            </w:r>
          </w:p>
        </w:tc>
        <w:tc>
          <w:tcPr>
            <w:tcW w:w="686" w:type="dxa"/>
            <w:noWrap/>
            <w:vAlign w:val="center"/>
            <w:hideMark/>
          </w:tcPr>
          <w:p w14:paraId="1CC2544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5.00</w:t>
            </w:r>
          </w:p>
        </w:tc>
        <w:tc>
          <w:tcPr>
            <w:tcW w:w="686" w:type="dxa"/>
            <w:noWrap/>
            <w:vAlign w:val="center"/>
            <w:hideMark/>
          </w:tcPr>
          <w:p w14:paraId="6628E7B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4A4F085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5500B54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3.00</w:t>
            </w:r>
          </w:p>
        </w:tc>
        <w:tc>
          <w:tcPr>
            <w:tcW w:w="686" w:type="dxa"/>
            <w:noWrap/>
            <w:vAlign w:val="center"/>
            <w:hideMark/>
          </w:tcPr>
          <w:p w14:paraId="1737F27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noWrap/>
            <w:vAlign w:val="center"/>
            <w:hideMark/>
          </w:tcPr>
          <w:p w14:paraId="585D6824"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2.00</w:t>
            </w:r>
          </w:p>
        </w:tc>
        <w:tc>
          <w:tcPr>
            <w:tcW w:w="686" w:type="dxa"/>
            <w:noWrap/>
            <w:vAlign w:val="center"/>
            <w:hideMark/>
          </w:tcPr>
          <w:p w14:paraId="12710DA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2.00</w:t>
            </w:r>
          </w:p>
        </w:tc>
        <w:tc>
          <w:tcPr>
            <w:tcW w:w="686" w:type="dxa"/>
            <w:noWrap/>
            <w:vAlign w:val="center"/>
            <w:hideMark/>
          </w:tcPr>
          <w:p w14:paraId="1625EB6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47C4B48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7" w:type="dxa"/>
            <w:noWrap/>
            <w:vAlign w:val="center"/>
            <w:hideMark/>
          </w:tcPr>
          <w:p w14:paraId="604F287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3.00</w:t>
            </w:r>
          </w:p>
        </w:tc>
        <w:tc>
          <w:tcPr>
            <w:tcW w:w="687" w:type="dxa"/>
            <w:noWrap/>
            <w:vAlign w:val="center"/>
            <w:hideMark/>
          </w:tcPr>
          <w:p w14:paraId="57CF38C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9.00</w:t>
            </w:r>
          </w:p>
        </w:tc>
        <w:tc>
          <w:tcPr>
            <w:tcW w:w="687" w:type="dxa"/>
            <w:noWrap/>
            <w:vAlign w:val="center"/>
            <w:hideMark/>
          </w:tcPr>
          <w:p w14:paraId="43C1762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9.00</w:t>
            </w:r>
          </w:p>
        </w:tc>
      </w:tr>
      <w:tr w:rsidR="00B31F36" w14:paraId="04A60F32" w14:textId="77777777" w:rsidTr="00B31F36">
        <w:trPr>
          <w:trHeight w:val="56"/>
          <w:jc w:val="center"/>
        </w:trPr>
        <w:tc>
          <w:tcPr>
            <w:tcW w:w="687" w:type="dxa"/>
            <w:vAlign w:val="center"/>
            <w:hideMark/>
          </w:tcPr>
          <w:p w14:paraId="3A5B0EC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Obj10</w:t>
            </w:r>
          </w:p>
        </w:tc>
        <w:tc>
          <w:tcPr>
            <w:tcW w:w="686" w:type="dxa"/>
            <w:noWrap/>
            <w:vAlign w:val="center"/>
            <w:hideMark/>
          </w:tcPr>
          <w:p w14:paraId="5252302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360EDFF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0.50</w:t>
            </w:r>
          </w:p>
        </w:tc>
        <w:tc>
          <w:tcPr>
            <w:tcW w:w="686" w:type="dxa"/>
            <w:noWrap/>
            <w:vAlign w:val="center"/>
            <w:hideMark/>
          </w:tcPr>
          <w:p w14:paraId="73B2508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noWrap/>
            <w:vAlign w:val="center"/>
            <w:hideMark/>
          </w:tcPr>
          <w:p w14:paraId="1AC94B4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3759A7A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0.33</w:t>
            </w:r>
          </w:p>
        </w:tc>
        <w:tc>
          <w:tcPr>
            <w:tcW w:w="686" w:type="dxa"/>
            <w:noWrap/>
            <w:vAlign w:val="center"/>
            <w:hideMark/>
          </w:tcPr>
          <w:p w14:paraId="058188B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0.14</w:t>
            </w:r>
          </w:p>
        </w:tc>
        <w:tc>
          <w:tcPr>
            <w:tcW w:w="686" w:type="dxa"/>
            <w:noWrap/>
            <w:vAlign w:val="center"/>
            <w:hideMark/>
          </w:tcPr>
          <w:p w14:paraId="556770A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7C5AC1F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noWrap/>
            <w:vAlign w:val="center"/>
            <w:hideMark/>
          </w:tcPr>
          <w:p w14:paraId="40D0EDA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0.33</w:t>
            </w:r>
          </w:p>
        </w:tc>
        <w:tc>
          <w:tcPr>
            <w:tcW w:w="687" w:type="dxa"/>
            <w:noWrap/>
            <w:vAlign w:val="center"/>
            <w:hideMark/>
          </w:tcPr>
          <w:p w14:paraId="2A39614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7" w:type="dxa"/>
            <w:noWrap/>
            <w:vAlign w:val="center"/>
            <w:hideMark/>
          </w:tcPr>
          <w:p w14:paraId="7654C8B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3.00</w:t>
            </w:r>
          </w:p>
        </w:tc>
        <w:tc>
          <w:tcPr>
            <w:tcW w:w="687" w:type="dxa"/>
            <w:noWrap/>
            <w:vAlign w:val="center"/>
            <w:hideMark/>
          </w:tcPr>
          <w:p w14:paraId="2DA3EC1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r>
      <w:tr w:rsidR="00B31F36" w14:paraId="0ED56945" w14:textId="77777777" w:rsidTr="00B31F36">
        <w:trPr>
          <w:trHeight w:val="56"/>
          <w:jc w:val="center"/>
        </w:trPr>
        <w:tc>
          <w:tcPr>
            <w:tcW w:w="687" w:type="dxa"/>
            <w:vAlign w:val="center"/>
            <w:hideMark/>
          </w:tcPr>
          <w:p w14:paraId="71A1B1E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Obj11</w:t>
            </w:r>
          </w:p>
        </w:tc>
        <w:tc>
          <w:tcPr>
            <w:tcW w:w="686" w:type="dxa"/>
            <w:noWrap/>
            <w:vAlign w:val="center"/>
            <w:hideMark/>
          </w:tcPr>
          <w:p w14:paraId="6332C25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0.50</w:t>
            </w:r>
          </w:p>
        </w:tc>
        <w:tc>
          <w:tcPr>
            <w:tcW w:w="686" w:type="dxa"/>
            <w:noWrap/>
            <w:vAlign w:val="center"/>
            <w:hideMark/>
          </w:tcPr>
          <w:p w14:paraId="2D571C5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noWrap/>
            <w:vAlign w:val="center"/>
            <w:hideMark/>
          </w:tcPr>
          <w:p w14:paraId="01E7E69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0.11</w:t>
            </w:r>
          </w:p>
        </w:tc>
        <w:tc>
          <w:tcPr>
            <w:tcW w:w="686" w:type="dxa"/>
            <w:noWrap/>
            <w:vAlign w:val="center"/>
            <w:hideMark/>
          </w:tcPr>
          <w:p w14:paraId="388506C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noWrap/>
            <w:vAlign w:val="center"/>
            <w:hideMark/>
          </w:tcPr>
          <w:p w14:paraId="6262637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0.11</w:t>
            </w:r>
          </w:p>
        </w:tc>
        <w:tc>
          <w:tcPr>
            <w:tcW w:w="686" w:type="dxa"/>
            <w:noWrap/>
            <w:vAlign w:val="center"/>
            <w:hideMark/>
          </w:tcPr>
          <w:p w14:paraId="738F25F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noWrap/>
            <w:vAlign w:val="center"/>
            <w:hideMark/>
          </w:tcPr>
          <w:p w14:paraId="55B0957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6" w:type="dxa"/>
            <w:noWrap/>
            <w:vAlign w:val="center"/>
            <w:hideMark/>
          </w:tcPr>
          <w:p w14:paraId="72624E7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0.11</w:t>
            </w:r>
          </w:p>
        </w:tc>
        <w:tc>
          <w:tcPr>
            <w:tcW w:w="686" w:type="dxa"/>
            <w:noWrap/>
            <w:vAlign w:val="center"/>
            <w:hideMark/>
          </w:tcPr>
          <w:p w14:paraId="406833F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0.11</w:t>
            </w:r>
          </w:p>
        </w:tc>
        <w:tc>
          <w:tcPr>
            <w:tcW w:w="687" w:type="dxa"/>
            <w:noWrap/>
            <w:vAlign w:val="center"/>
            <w:hideMark/>
          </w:tcPr>
          <w:p w14:paraId="789D9E2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0.33</w:t>
            </w:r>
          </w:p>
        </w:tc>
        <w:tc>
          <w:tcPr>
            <w:tcW w:w="687" w:type="dxa"/>
            <w:noWrap/>
            <w:vAlign w:val="center"/>
            <w:hideMark/>
          </w:tcPr>
          <w:p w14:paraId="51C95D2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7" w:type="dxa"/>
            <w:noWrap/>
            <w:vAlign w:val="center"/>
            <w:hideMark/>
          </w:tcPr>
          <w:p w14:paraId="3507FF2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2.00</w:t>
            </w:r>
          </w:p>
        </w:tc>
      </w:tr>
      <w:tr w:rsidR="00B31F36" w14:paraId="0A62AB96" w14:textId="77777777" w:rsidTr="00B31F36">
        <w:trPr>
          <w:trHeight w:val="56"/>
          <w:jc w:val="center"/>
        </w:trPr>
        <w:tc>
          <w:tcPr>
            <w:tcW w:w="687" w:type="dxa"/>
            <w:tcBorders>
              <w:top w:val="nil"/>
              <w:left w:val="nil"/>
              <w:bottom w:val="single" w:sz="4" w:space="0" w:color="auto"/>
              <w:right w:val="nil"/>
            </w:tcBorders>
            <w:vAlign w:val="center"/>
            <w:hideMark/>
          </w:tcPr>
          <w:p w14:paraId="2C34429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Obj12</w:t>
            </w:r>
          </w:p>
        </w:tc>
        <w:tc>
          <w:tcPr>
            <w:tcW w:w="686" w:type="dxa"/>
            <w:tcBorders>
              <w:top w:val="nil"/>
              <w:left w:val="nil"/>
              <w:bottom w:val="single" w:sz="4" w:space="0" w:color="auto"/>
              <w:right w:val="nil"/>
            </w:tcBorders>
            <w:noWrap/>
            <w:vAlign w:val="center"/>
            <w:hideMark/>
          </w:tcPr>
          <w:p w14:paraId="6BEAD85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0.33</w:t>
            </w:r>
          </w:p>
        </w:tc>
        <w:tc>
          <w:tcPr>
            <w:tcW w:w="686" w:type="dxa"/>
            <w:tcBorders>
              <w:top w:val="nil"/>
              <w:left w:val="nil"/>
              <w:bottom w:val="single" w:sz="4" w:space="0" w:color="auto"/>
              <w:right w:val="nil"/>
            </w:tcBorders>
            <w:noWrap/>
            <w:vAlign w:val="center"/>
            <w:hideMark/>
          </w:tcPr>
          <w:p w14:paraId="2B79903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tcBorders>
              <w:top w:val="nil"/>
              <w:left w:val="nil"/>
              <w:bottom w:val="single" w:sz="4" w:space="0" w:color="auto"/>
              <w:right w:val="nil"/>
            </w:tcBorders>
            <w:noWrap/>
            <w:vAlign w:val="center"/>
            <w:hideMark/>
          </w:tcPr>
          <w:p w14:paraId="719F54E4"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0.11</w:t>
            </w:r>
          </w:p>
        </w:tc>
        <w:tc>
          <w:tcPr>
            <w:tcW w:w="686" w:type="dxa"/>
            <w:tcBorders>
              <w:top w:val="nil"/>
              <w:left w:val="nil"/>
              <w:bottom w:val="single" w:sz="4" w:space="0" w:color="auto"/>
              <w:right w:val="nil"/>
            </w:tcBorders>
            <w:noWrap/>
            <w:vAlign w:val="center"/>
            <w:hideMark/>
          </w:tcPr>
          <w:p w14:paraId="08889BC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tcBorders>
              <w:top w:val="nil"/>
              <w:left w:val="nil"/>
              <w:bottom w:val="single" w:sz="4" w:space="0" w:color="auto"/>
              <w:right w:val="nil"/>
            </w:tcBorders>
            <w:noWrap/>
            <w:vAlign w:val="center"/>
            <w:hideMark/>
          </w:tcPr>
          <w:p w14:paraId="7BCCD8F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tcBorders>
              <w:top w:val="nil"/>
              <w:left w:val="nil"/>
              <w:bottom w:val="single" w:sz="4" w:space="0" w:color="auto"/>
              <w:right w:val="nil"/>
            </w:tcBorders>
            <w:noWrap/>
            <w:vAlign w:val="center"/>
            <w:hideMark/>
          </w:tcPr>
          <w:p w14:paraId="7CAC53F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0.20</w:t>
            </w:r>
          </w:p>
        </w:tc>
        <w:tc>
          <w:tcPr>
            <w:tcW w:w="686" w:type="dxa"/>
            <w:tcBorders>
              <w:top w:val="nil"/>
              <w:left w:val="nil"/>
              <w:bottom w:val="single" w:sz="4" w:space="0" w:color="auto"/>
              <w:right w:val="nil"/>
            </w:tcBorders>
            <w:noWrap/>
            <w:vAlign w:val="center"/>
            <w:hideMark/>
          </w:tcPr>
          <w:p w14:paraId="7A1F369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0.11</w:t>
            </w:r>
          </w:p>
        </w:tc>
        <w:tc>
          <w:tcPr>
            <w:tcW w:w="686" w:type="dxa"/>
            <w:tcBorders>
              <w:top w:val="nil"/>
              <w:left w:val="nil"/>
              <w:bottom w:val="single" w:sz="4" w:space="0" w:color="auto"/>
              <w:right w:val="nil"/>
            </w:tcBorders>
            <w:noWrap/>
            <w:vAlign w:val="center"/>
            <w:hideMark/>
          </w:tcPr>
          <w:p w14:paraId="1A7D969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0.11</w:t>
            </w:r>
          </w:p>
        </w:tc>
        <w:tc>
          <w:tcPr>
            <w:tcW w:w="686" w:type="dxa"/>
            <w:tcBorders>
              <w:top w:val="nil"/>
              <w:left w:val="nil"/>
              <w:bottom w:val="single" w:sz="4" w:space="0" w:color="auto"/>
              <w:right w:val="nil"/>
            </w:tcBorders>
            <w:noWrap/>
            <w:vAlign w:val="center"/>
            <w:hideMark/>
          </w:tcPr>
          <w:p w14:paraId="5F0816E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0.11</w:t>
            </w:r>
          </w:p>
        </w:tc>
        <w:tc>
          <w:tcPr>
            <w:tcW w:w="687" w:type="dxa"/>
            <w:tcBorders>
              <w:top w:val="nil"/>
              <w:left w:val="nil"/>
              <w:bottom w:val="single" w:sz="4" w:space="0" w:color="auto"/>
              <w:right w:val="nil"/>
            </w:tcBorders>
            <w:noWrap/>
            <w:vAlign w:val="center"/>
            <w:hideMark/>
          </w:tcPr>
          <w:p w14:paraId="5464284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c>
          <w:tcPr>
            <w:tcW w:w="687" w:type="dxa"/>
            <w:tcBorders>
              <w:top w:val="nil"/>
              <w:left w:val="nil"/>
              <w:bottom w:val="single" w:sz="4" w:space="0" w:color="auto"/>
              <w:right w:val="nil"/>
            </w:tcBorders>
            <w:noWrap/>
            <w:vAlign w:val="center"/>
            <w:hideMark/>
          </w:tcPr>
          <w:p w14:paraId="216B50F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0.50</w:t>
            </w:r>
          </w:p>
        </w:tc>
        <w:tc>
          <w:tcPr>
            <w:tcW w:w="687" w:type="dxa"/>
            <w:tcBorders>
              <w:top w:val="nil"/>
              <w:left w:val="nil"/>
              <w:bottom w:val="single" w:sz="4" w:space="0" w:color="auto"/>
              <w:right w:val="nil"/>
            </w:tcBorders>
            <w:noWrap/>
            <w:vAlign w:val="center"/>
            <w:hideMark/>
          </w:tcPr>
          <w:p w14:paraId="2D0DEDA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1.00</w:t>
            </w:r>
          </w:p>
        </w:tc>
      </w:tr>
    </w:tbl>
    <w:p w14:paraId="065D4867" w14:textId="77777777" w:rsidR="00B31F36" w:rsidRDefault="00B31F36" w:rsidP="00B31F36">
      <w:pPr>
        <w:pStyle w:val="Lgende"/>
        <w:spacing w:after="0"/>
        <w:rPr>
          <w:rFonts w:asciiTheme="majorHAnsi" w:hAnsiTheme="majorHAnsi"/>
          <w:sz w:val="20"/>
          <w:szCs w:val="20"/>
        </w:rPr>
      </w:pPr>
      <w:r>
        <w:rPr>
          <w:rFonts w:asciiTheme="majorHAnsi" w:hAnsiTheme="majorHAnsi"/>
          <w:sz w:val="20"/>
          <w:szCs w:val="20"/>
        </w:rPr>
        <w:t>Source:</w:t>
      </w:r>
      <w:r>
        <w:rPr>
          <w:rFonts w:asciiTheme="majorHAnsi" w:hAnsiTheme="majorHAnsi"/>
          <w:b w:val="0"/>
          <w:bCs w:val="0"/>
          <w:sz w:val="20"/>
          <w:szCs w:val="20"/>
        </w:rPr>
        <w:t xml:space="preserve"> Authors own work.</w:t>
      </w:r>
    </w:p>
    <w:p w14:paraId="43AF3FA8"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space="720"/>
        </w:sectPr>
      </w:pPr>
    </w:p>
    <w:p w14:paraId="3529D843"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Based on the training performance results, basic conclusion follows. The developed optimal ANN model is acceptable with a mean square error value: 3.3246e-05 indicating how well the features were detected and learned by the model. Results of the test phase are presented in Figure 5.</w:t>
      </w:r>
    </w:p>
    <w:p w14:paraId="215A6014" w14:textId="77777777" w:rsidR="00B31F36" w:rsidRDefault="00B31F36" w:rsidP="00B31F36">
      <w:pPr>
        <w:spacing w:after="0" w:line="240" w:lineRule="auto"/>
        <w:rPr>
          <w:rFonts w:asciiTheme="majorHAnsi" w:hAnsiTheme="majorHAnsi"/>
          <w:strike/>
          <w:sz w:val="20"/>
          <w:szCs w:val="20"/>
        </w:rPr>
        <w:sectPr w:rsidR="00B31F36">
          <w:type w:val="continuous"/>
          <w:pgSz w:w="11906" w:h="16838"/>
          <w:pgMar w:top="1008" w:right="1066" w:bottom="950" w:left="1166" w:header="850" w:footer="763" w:gutter="0"/>
          <w:cols w:num="2" w:space="720"/>
        </w:sectPr>
      </w:pPr>
    </w:p>
    <w:p w14:paraId="23249BA9" w14:textId="77777777" w:rsidR="00B31F36" w:rsidRDefault="00B31F36" w:rsidP="00B31F36">
      <w:pPr>
        <w:spacing w:after="0" w:line="240" w:lineRule="auto"/>
        <w:jc w:val="center"/>
        <w:rPr>
          <w:rFonts w:asciiTheme="majorHAnsi" w:hAnsiTheme="majorHAnsi"/>
          <w:strike/>
          <w:sz w:val="20"/>
          <w:szCs w:val="20"/>
        </w:rPr>
      </w:pPr>
    </w:p>
    <w:p w14:paraId="4E74654E" w14:textId="4BBF094C" w:rsidR="00B31F36" w:rsidRDefault="00B31F36" w:rsidP="00B31F36">
      <w:pPr>
        <w:keepNext/>
        <w:spacing w:after="0" w:line="240" w:lineRule="auto"/>
        <w:jc w:val="center"/>
        <w:rPr>
          <w:rFonts w:asciiTheme="majorHAnsi" w:hAnsiTheme="majorHAnsi"/>
          <w:sz w:val="20"/>
          <w:szCs w:val="20"/>
        </w:rPr>
      </w:pPr>
      <w:r>
        <w:rPr>
          <w:rFonts w:asciiTheme="majorHAnsi" w:hAnsiTheme="majorHAnsi"/>
          <w:noProof/>
          <w:sz w:val="20"/>
          <w:szCs w:val="20"/>
        </w:rPr>
        <w:drawing>
          <wp:inline distT="0" distB="0" distL="0" distR="0" wp14:anchorId="625DB371" wp14:editId="09A64C05">
            <wp:extent cx="3219450" cy="2609850"/>
            <wp:effectExtent l="0" t="0" r="0" b="0"/>
            <wp:docPr id="1" name="Image 1" descr="Une image contenant ligne, capture d’écran,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ligne, capture d’écran, Caractère coloré&#10;&#10;Description générée automatiqu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9450" cy="2609850"/>
                    </a:xfrm>
                    <a:prstGeom prst="rect">
                      <a:avLst/>
                    </a:prstGeom>
                    <a:noFill/>
                    <a:ln>
                      <a:noFill/>
                    </a:ln>
                  </pic:spPr>
                </pic:pic>
              </a:graphicData>
            </a:graphic>
          </wp:inline>
        </w:drawing>
      </w:r>
    </w:p>
    <w:p w14:paraId="625F430A" w14:textId="77777777" w:rsidR="00B31F36" w:rsidRDefault="00B31F36" w:rsidP="00B31F36">
      <w:pPr>
        <w:pStyle w:val="Lgende"/>
        <w:spacing w:after="0"/>
        <w:rPr>
          <w:rFonts w:asciiTheme="majorHAnsi" w:hAnsiTheme="majorHAnsi"/>
          <w:sz w:val="20"/>
          <w:szCs w:val="20"/>
        </w:rPr>
      </w:pPr>
      <w:r>
        <w:rPr>
          <w:rFonts w:asciiTheme="majorHAnsi" w:hAnsiTheme="majorHAnsi"/>
          <w:sz w:val="20"/>
          <w:szCs w:val="20"/>
        </w:rPr>
        <w:t xml:space="preserve">Figure </w:t>
      </w:r>
      <w:r>
        <w:rPr>
          <w:rFonts w:asciiTheme="majorHAnsi" w:hAnsiTheme="majorHAnsi"/>
          <w:sz w:val="20"/>
          <w:szCs w:val="20"/>
        </w:rPr>
        <w:fldChar w:fldCharType="begin"/>
      </w:r>
      <w:r>
        <w:rPr>
          <w:rFonts w:asciiTheme="majorHAnsi" w:hAnsiTheme="majorHAnsi"/>
          <w:sz w:val="20"/>
          <w:szCs w:val="20"/>
        </w:rPr>
        <w:instrText xml:space="preserve"> SEQ Figure \* ARABIC </w:instrText>
      </w:r>
      <w:r>
        <w:rPr>
          <w:rFonts w:asciiTheme="majorHAnsi" w:hAnsiTheme="majorHAnsi"/>
          <w:sz w:val="20"/>
          <w:szCs w:val="20"/>
        </w:rPr>
        <w:fldChar w:fldCharType="separate"/>
      </w:r>
      <w:r>
        <w:rPr>
          <w:rFonts w:asciiTheme="majorHAnsi" w:hAnsiTheme="majorHAnsi"/>
          <w:noProof/>
          <w:sz w:val="20"/>
          <w:szCs w:val="20"/>
        </w:rPr>
        <w:t>5</w:t>
      </w:r>
      <w:r>
        <w:rPr>
          <w:rFonts w:asciiTheme="majorHAnsi" w:hAnsiTheme="majorHAnsi"/>
          <w:noProof/>
          <w:sz w:val="20"/>
          <w:szCs w:val="20"/>
        </w:rPr>
        <w:fldChar w:fldCharType="end"/>
      </w:r>
      <w:r>
        <w:rPr>
          <w:rFonts w:asciiTheme="majorHAnsi" w:hAnsiTheme="majorHAnsi"/>
          <w:sz w:val="20"/>
          <w:szCs w:val="20"/>
        </w:rPr>
        <w:t>: The ANN model’s training performance.</w:t>
      </w:r>
    </w:p>
    <w:p w14:paraId="7B9BD170" w14:textId="77777777" w:rsidR="00B31F36" w:rsidRDefault="00B31F36" w:rsidP="00B31F36">
      <w:pPr>
        <w:pStyle w:val="Lgende"/>
        <w:spacing w:after="0"/>
        <w:rPr>
          <w:rFonts w:asciiTheme="majorHAnsi" w:hAnsiTheme="majorHAnsi"/>
          <w:sz w:val="20"/>
          <w:szCs w:val="20"/>
        </w:rPr>
      </w:pPr>
      <w:r>
        <w:rPr>
          <w:rFonts w:asciiTheme="majorHAnsi" w:hAnsiTheme="majorHAnsi"/>
          <w:sz w:val="20"/>
          <w:szCs w:val="20"/>
        </w:rPr>
        <w:t>Source:</w:t>
      </w:r>
      <w:r>
        <w:rPr>
          <w:rFonts w:asciiTheme="majorHAnsi" w:hAnsiTheme="majorHAnsi"/>
          <w:b w:val="0"/>
          <w:bCs w:val="0"/>
          <w:sz w:val="20"/>
          <w:szCs w:val="20"/>
        </w:rPr>
        <w:t xml:space="preserve"> Authors own work.</w:t>
      </w:r>
    </w:p>
    <w:p w14:paraId="23BEAABA" w14:textId="77777777" w:rsidR="00B31F36" w:rsidRDefault="00B31F36" w:rsidP="00B31F36">
      <w:pPr>
        <w:spacing w:after="0" w:line="240" w:lineRule="auto"/>
        <w:jc w:val="center"/>
        <w:rPr>
          <w:rFonts w:asciiTheme="majorHAnsi" w:hAnsiTheme="majorHAnsi"/>
          <w:sz w:val="20"/>
          <w:szCs w:val="20"/>
        </w:rPr>
      </w:pPr>
    </w:p>
    <w:p w14:paraId="64A870EB"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space="720"/>
        </w:sectPr>
      </w:pPr>
    </w:p>
    <w:p w14:paraId="2D00CEEC"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In order to evaluate the methodology’s validity, we have prepared two separate decision-making frameworks in which we will seek the optimal action to implement among 5 possible alternatives with the final goal to compare our model’s predictions to those of the standard AHP technique.</w:t>
      </w:r>
    </w:p>
    <w:p w14:paraId="130F0EA0"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num="2" w:space="720"/>
        </w:sectPr>
      </w:pPr>
    </w:p>
    <w:p w14:paraId="43B0D044" w14:textId="77777777" w:rsidR="00B31F36" w:rsidRDefault="00B31F36" w:rsidP="00B31F36">
      <w:pPr>
        <w:spacing w:after="0" w:line="240" w:lineRule="auto"/>
        <w:jc w:val="both"/>
        <w:rPr>
          <w:rFonts w:asciiTheme="majorHAnsi" w:hAnsiTheme="majorHAnsi"/>
          <w:sz w:val="20"/>
          <w:szCs w:val="20"/>
        </w:rPr>
      </w:pPr>
    </w:p>
    <w:tbl>
      <w:tblPr>
        <w:tblW w:w="9630" w:type="dxa"/>
        <w:jc w:val="center"/>
        <w:tblCellMar>
          <w:left w:w="70" w:type="dxa"/>
          <w:right w:w="70" w:type="dxa"/>
        </w:tblCellMar>
        <w:tblLook w:val="04A0" w:firstRow="1" w:lastRow="0" w:firstColumn="1" w:lastColumn="0" w:noHBand="0" w:noVBand="1"/>
      </w:tblPr>
      <w:tblGrid>
        <w:gridCol w:w="1980"/>
        <w:gridCol w:w="2970"/>
        <w:gridCol w:w="2520"/>
        <w:gridCol w:w="1080"/>
        <w:gridCol w:w="1080"/>
      </w:tblGrid>
      <w:tr w:rsidR="00B31F36" w:rsidRPr="00B31F36" w14:paraId="3A68BA50" w14:textId="77777777" w:rsidTr="00B31F36">
        <w:trPr>
          <w:trHeight w:val="56"/>
          <w:jc w:val="center"/>
        </w:trPr>
        <w:tc>
          <w:tcPr>
            <w:tcW w:w="9630" w:type="dxa"/>
            <w:gridSpan w:val="5"/>
            <w:tcBorders>
              <w:top w:val="nil"/>
              <w:left w:val="nil"/>
              <w:bottom w:val="single" w:sz="4" w:space="0" w:color="auto"/>
              <w:right w:val="nil"/>
            </w:tcBorders>
            <w:noWrap/>
            <w:vAlign w:val="bottom"/>
            <w:hideMark/>
          </w:tcPr>
          <w:p w14:paraId="713286C2" w14:textId="77777777" w:rsidR="00B31F36" w:rsidRDefault="00B31F36">
            <w:pPr>
              <w:spacing w:after="0" w:line="240" w:lineRule="auto"/>
              <w:jc w:val="center"/>
              <w:rPr>
                <w:rFonts w:asciiTheme="majorHAnsi" w:eastAsia="Times New Roman" w:hAnsiTheme="majorHAnsi" w:cs="Calibri"/>
                <w:b/>
                <w:bCs/>
                <w:color w:val="000000"/>
                <w:sz w:val="18"/>
                <w:szCs w:val="18"/>
                <w:lang w:eastAsia="fr-FR"/>
              </w:rPr>
            </w:pPr>
            <w:r>
              <w:rPr>
                <w:rFonts w:asciiTheme="majorHAnsi" w:eastAsia="Times New Roman" w:hAnsiTheme="majorHAnsi" w:cs="Calibri"/>
                <w:b/>
                <w:bCs/>
                <w:color w:val="000000"/>
                <w:sz w:val="18"/>
                <w:szCs w:val="18"/>
                <w:lang w:eastAsia="fr-FR"/>
              </w:rPr>
              <w:t>Table 5. The balanced scorecard completed with performance gap values for two decisional cases.</w:t>
            </w:r>
          </w:p>
        </w:tc>
      </w:tr>
      <w:tr w:rsidR="00B31F36" w14:paraId="0550BCCC" w14:textId="77777777" w:rsidTr="00B31F36">
        <w:trPr>
          <w:trHeight w:val="46"/>
          <w:jc w:val="center"/>
        </w:trPr>
        <w:tc>
          <w:tcPr>
            <w:tcW w:w="1980" w:type="dxa"/>
            <w:noWrap/>
            <w:vAlign w:val="bottom"/>
            <w:hideMark/>
          </w:tcPr>
          <w:p w14:paraId="5EC05006" w14:textId="77777777" w:rsidR="00B31F36" w:rsidRDefault="00B31F36">
            <w:pPr>
              <w:rPr>
                <w:rFonts w:asciiTheme="majorHAnsi" w:eastAsia="Times New Roman" w:hAnsiTheme="majorHAnsi" w:cs="Calibri"/>
                <w:b/>
                <w:bCs/>
                <w:color w:val="000000"/>
                <w:sz w:val="18"/>
                <w:szCs w:val="18"/>
                <w:lang w:eastAsia="fr-FR"/>
              </w:rPr>
            </w:pPr>
          </w:p>
        </w:tc>
        <w:tc>
          <w:tcPr>
            <w:tcW w:w="2970" w:type="dxa"/>
            <w:vMerge w:val="restart"/>
            <w:tcBorders>
              <w:top w:val="single" w:sz="4" w:space="0" w:color="auto"/>
              <w:left w:val="nil"/>
              <w:bottom w:val="single" w:sz="4" w:space="0" w:color="auto"/>
              <w:right w:val="nil"/>
            </w:tcBorders>
            <w:noWrap/>
            <w:vAlign w:val="center"/>
            <w:hideMark/>
          </w:tcPr>
          <w:p w14:paraId="12CAE28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Strategic objective</w:t>
            </w:r>
          </w:p>
        </w:tc>
        <w:tc>
          <w:tcPr>
            <w:tcW w:w="4680" w:type="dxa"/>
            <w:gridSpan w:val="3"/>
            <w:tcBorders>
              <w:top w:val="single" w:sz="4" w:space="0" w:color="auto"/>
              <w:left w:val="nil"/>
              <w:bottom w:val="single" w:sz="4" w:space="0" w:color="auto"/>
              <w:right w:val="nil"/>
            </w:tcBorders>
            <w:noWrap/>
            <w:vAlign w:val="center"/>
            <w:hideMark/>
          </w:tcPr>
          <w:p w14:paraId="0C61218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Performance measure</w:t>
            </w:r>
          </w:p>
        </w:tc>
      </w:tr>
      <w:tr w:rsidR="00B31F36" w14:paraId="3BC0F186" w14:textId="77777777" w:rsidTr="00B31F36">
        <w:trPr>
          <w:trHeight w:val="46"/>
          <w:jc w:val="center"/>
        </w:trPr>
        <w:tc>
          <w:tcPr>
            <w:tcW w:w="1980" w:type="dxa"/>
            <w:noWrap/>
            <w:vAlign w:val="bottom"/>
          </w:tcPr>
          <w:p w14:paraId="056795C9" w14:textId="77777777" w:rsidR="00B31F36" w:rsidRDefault="00B31F36">
            <w:pPr>
              <w:spacing w:after="0" w:line="240" w:lineRule="auto"/>
              <w:jc w:val="both"/>
              <w:rPr>
                <w:rFonts w:asciiTheme="majorHAnsi" w:eastAsia="Times New Roman" w:hAnsiTheme="majorHAnsi" w:cs="Times New Roman"/>
                <w:sz w:val="18"/>
                <w:szCs w:val="18"/>
                <w:lang w:eastAsia="fr-FR"/>
              </w:rPr>
            </w:pPr>
          </w:p>
        </w:tc>
        <w:tc>
          <w:tcPr>
            <w:tcW w:w="0" w:type="auto"/>
            <w:vMerge/>
            <w:tcBorders>
              <w:top w:val="single" w:sz="4" w:space="0" w:color="auto"/>
              <w:left w:val="nil"/>
              <w:bottom w:val="single" w:sz="4" w:space="0" w:color="auto"/>
              <w:right w:val="nil"/>
            </w:tcBorders>
            <w:vAlign w:val="center"/>
            <w:hideMark/>
          </w:tcPr>
          <w:p w14:paraId="71E9F1EB" w14:textId="77777777" w:rsidR="00B31F36" w:rsidRDefault="00B31F36">
            <w:pPr>
              <w:spacing w:after="0"/>
              <w:rPr>
                <w:rFonts w:asciiTheme="majorHAnsi" w:eastAsia="Times New Roman" w:hAnsiTheme="majorHAnsi" w:cs="Calibri"/>
                <w:color w:val="000000"/>
                <w:sz w:val="18"/>
                <w:szCs w:val="18"/>
                <w:lang w:eastAsia="fr-FR"/>
              </w:rPr>
            </w:pPr>
          </w:p>
        </w:tc>
        <w:tc>
          <w:tcPr>
            <w:tcW w:w="2520" w:type="dxa"/>
            <w:tcBorders>
              <w:top w:val="single" w:sz="4" w:space="0" w:color="auto"/>
              <w:left w:val="nil"/>
              <w:bottom w:val="single" w:sz="4" w:space="0" w:color="auto"/>
              <w:right w:val="nil"/>
            </w:tcBorders>
            <w:noWrap/>
            <w:vAlign w:val="center"/>
            <w:hideMark/>
          </w:tcPr>
          <w:p w14:paraId="36F2C38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Key performance indicator</w:t>
            </w:r>
          </w:p>
        </w:tc>
        <w:tc>
          <w:tcPr>
            <w:tcW w:w="1080" w:type="dxa"/>
            <w:tcBorders>
              <w:top w:val="single" w:sz="4" w:space="0" w:color="auto"/>
              <w:left w:val="nil"/>
              <w:bottom w:val="single" w:sz="4" w:space="0" w:color="auto"/>
              <w:right w:val="nil"/>
            </w:tcBorders>
            <w:noWrap/>
            <w:vAlign w:val="center"/>
            <w:hideMark/>
          </w:tcPr>
          <w:p w14:paraId="1A43CEF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Gap Case 1</w:t>
            </w:r>
          </w:p>
        </w:tc>
        <w:tc>
          <w:tcPr>
            <w:tcW w:w="1080" w:type="dxa"/>
            <w:tcBorders>
              <w:top w:val="single" w:sz="4" w:space="0" w:color="auto"/>
              <w:left w:val="nil"/>
              <w:bottom w:val="single" w:sz="4" w:space="0" w:color="auto"/>
              <w:right w:val="nil"/>
            </w:tcBorders>
            <w:noWrap/>
            <w:vAlign w:val="center"/>
            <w:hideMark/>
          </w:tcPr>
          <w:p w14:paraId="366780B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Gap Case 2</w:t>
            </w:r>
          </w:p>
        </w:tc>
      </w:tr>
      <w:tr w:rsidR="00B31F36" w14:paraId="68949FDF" w14:textId="77777777" w:rsidTr="00B31F36">
        <w:trPr>
          <w:trHeight w:val="20"/>
          <w:jc w:val="center"/>
        </w:trPr>
        <w:tc>
          <w:tcPr>
            <w:tcW w:w="1980" w:type="dxa"/>
            <w:vMerge w:val="restart"/>
            <w:tcBorders>
              <w:top w:val="nil"/>
              <w:left w:val="nil"/>
              <w:bottom w:val="single" w:sz="2" w:space="0" w:color="auto"/>
              <w:right w:val="nil"/>
            </w:tcBorders>
            <w:noWrap/>
            <w:vAlign w:val="center"/>
            <w:hideMark/>
          </w:tcPr>
          <w:p w14:paraId="73FE78B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Financial</w:t>
            </w:r>
          </w:p>
        </w:tc>
        <w:tc>
          <w:tcPr>
            <w:tcW w:w="2970" w:type="dxa"/>
            <w:tcBorders>
              <w:top w:val="single" w:sz="4" w:space="0" w:color="auto"/>
              <w:left w:val="nil"/>
              <w:bottom w:val="nil"/>
              <w:right w:val="nil"/>
            </w:tcBorders>
            <w:noWrap/>
            <w:vAlign w:val="center"/>
            <w:hideMark/>
          </w:tcPr>
          <w:p w14:paraId="046B13C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Obj1.Increase profit</w:t>
            </w:r>
          </w:p>
        </w:tc>
        <w:tc>
          <w:tcPr>
            <w:tcW w:w="2520" w:type="dxa"/>
            <w:tcBorders>
              <w:top w:val="single" w:sz="4" w:space="0" w:color="auto"/>
              <w:left w:val="nil"/>
              <w:bottom w:val="nil"/>
              <w:right w:val="nil"/>
            </w:tcBorders>
            <w:noWrap/>
            <w:vAlign w:val="center"/>
            <w:hideMark/>
          </w:tcPr>
          <w:p w14:paraId="1AE26B6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Net profit margin</w:t>
            </w:r>
          </w:p>
        </w:tc>
        <w:tc>
          <w:tcPr>
            <w:tcW w:w="1080" w:type="dxa"/>
            <w:tcBorders>
              <w:top w:val="single" w:sz="4" w:space="0" w:color="auto"/>
              <w:left w:val="nil"/>
              <w:bottom w:val="nil"/>
              <w:right w:val="nil"/>
            </w:tcBorders>
            <w:noWrap/>
            <w:hideMark/>
          </w:tcPr>
          <w:p w14:paraId="7B3FD59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15%</w:t>
            </w:r>
          </w:p>
        </w:tc>
        <w:tc>
          <w:tcPr>
            <w:tcW w:w="1080" w:type="dxa"/>
            <w:tcBorders>
              <w:top w:val="single" w:sz="4" w:space="0" w:color="auto"/>
              <w:left w:val="nil"/>
              <w:bottom w:val="nil"/>
              <w:right w:val="nil"/>
            </w:tcBorders>
            <w:noWrap/>
            <w:hideMark/>
          </w:tcPr>
          <w:p w14:paraId="5AF0F284"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w:t>
            </w:r>
          </w:p>
        </w:tc>
      </w:tr>
      <w:tr w:rsidR="00B31F36" w14:paraId="5219C877" w14:textId="77777777" w:rsidTr="00B31F36">
        <w:trPr>
          <w:trHeight w:val="20"/>
          <w:jc w:val="center"/>
        </w:trPr>
        <w:tc>
          <w:tcPr>
            <w:tcW w:w="0" w:type="auto"/>
            <w:vMerge/>
            <w:tcBorders>
              <w:top w:val="nil"/>
              <w:left w:val="nil"/>
              <w:bottom w:val="single" w:sz="2" w:space="0" w:color="auto"/>
              <w:right w:val="nil"/>
            </w:tcBorders>
            <w:vAlign w:val="center"/>
            <w:hideMark/>
          </w:tcPr>
          <w:p w14:paraId="28C619C3"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noWrap/>
            <w:vAlign w:val="center"/>
            <w:hideMark/>
          </w:tcPr>
          <w:p w14:paraId="52D708F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Obj2.Make profitable investments</w:t>
            </w:r>
          </w:p>
        </w:tc>
        <w:tc>
          <w:tcPr>
            <w:tcW w:w="2520" w:type="dxa"/>
            <w:noWrap/>
            <w:vAlign w:val="center"/>
            <w:hideMark/>
          </w:tcPr>
          <w:p w14:paraId="1E7F84E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ROI (Return on Investment)</w:t>
            </w:r>
          </w:p>
        </w:tc>
        <w:tc>
          <w:tcPr>
            <w:tcW w:w="1080" w:type="dxa"/>
            <w:noWrap/>
            <w:hideMark/>
          </w:tcPr>
          <w:p w14:paraId="1D1A935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35%</w:t>
            </w:r>
          </w:p>
        </w:tc>
        <w:tc>
          <w:tcPr>
            <w:tcW w:w="1080" w:type="dxa"/>
            <w:noWrap/>
            <w:hideMark/>
          </w:tcPr>
          <w:p w14:paraId="1F927ED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15%</w:t>
            </w:r>
          </w:p>
        </w:tc>
      </w:tr>
      <w:tr w:rsidR="00B31F36" w14:paraId="3AA02EB0" w14:textId="77777777" w:rsidTr="00B31F36">
        <w:trPr>
          <w:trHeight w:val="20"/>
          <w:jc w:val="center"/>
        </w:trPr>
        <w:tc>
          <w:tcPr>
            <w:tcW w:w="0" w:type="auto"/>
            <w:vMerge/>
            <w:tcBorders>
              <w:top w:val="nil"/>
              <w:left w:val="nil"/>
              <w:bottom w:val="single" w:sz="2" w:space="0" w:color="auto"/>
              <w:right w:val="nil"/>
            </w:tcBorders>
            <w:vAlign w:val="center"/>
            <w:hideMark/>
          </w:tcPr>
          <w:p w14:paraId="422C5173"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tcBorders>
              <w:top w:val="nil"/>
              <w:left w:val="nil"/>
              <w:bottom w:val="single" w:sz="2" w:space="0" w:color="auto"/>
              <w:right w:val="nil"/>
            </w:tcBorders>
            <w:noWrap/>
            <w:vAlign w:val="center"/>
            <w:hideMark/>
          </w:tcPr>
          <w:p w14:paraId="393D88E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Obj3.Increase sales</w:t>
            </w:r>
          </w:p>
        </w:tc>
        <w:tc>
          <w:tcPr>
            <w:tcW w:w="2520" w:type="dxa"/>
            <w:tcBorders>
              <w:top w:val="nil"/>
              <w:left w:val="nil"/>
              <w:bottom w:val="single" w:sz="2" w:space="0" w:color="auto"/>
              <w:right w:val="nil"/>
            </w:tcBorders>
            <w:noWrap/>
            <w:vAlign w:val="center"/>
            <w:hideMark/>
          </w:tcPr>
          <w:p w14:paraId="08BA2E3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Revenue growth rate</w:t>
            </w:r>
          </w:p>
        </w:tc>
        <w:tc>
          <w:tcPr>
            <w:tcW w:w="1080" w:type="dxa"/>
            <w:tcBorders>
              <w:top w:val="nil"/>
              <w:left w:val="nil"/>
              <w:bottom w:val="single" w:sz="2" w:space="0" w:color="auto"/>
              <w:right w:val="nil"/>
            </w:tcBorders>
            <w:noWrap/>
            <w:hideMark/>
          </w:tcPr>
          <w:p w14:paraId="698B7FB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15%</w:t>
            </w:r>
          </w:p>
        </w:tc>
        <w:tc>
          <w:tcPr>
            <w:tcW w:w="1080" w:type="dxa"/>
            <w:tcBorders>
              <w:top w:val="nil"/>
              <w:left w:val="nil"/>
              <w:bottom w:val="single" w:sz="2" w:space="0" w:color="auto"/>
              <w:right w:val="nil"/>
            </w:tcBorders>
            <w:noWrap/>
            <w:hideMark/>
          </w:tcPr>
          <w:p w14:paraId="27B089B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15%</w:t>
            </w:r>
          </w:p>
        </w:tc>
      </w:tr>
      <w:tr w:rsidR="00B31F36" w14:paraId="16830C29" w14:textId="77777777" w:rsidTr="00B31F36">
        <w:trPr>
          <w:trHeight w:val="20"/>
          <w:jc w:val="center"/>
        </w:trPr>
        <w:tc>
          <w:tcPr>
            <w:tcW w:w="1980" w:type="dxa"/>
            <w:vMerge w:val="restart"/>
            <w:tcBorders>
              <w:top w:val="single" w:sz="2" w:space="0" w:color="auto"/>
              <w:left w:val="nil"/>
              <w:bottom w:val="single" w:sz="4" w:space="0" w:color="auto"/>
              <w:right w:val="nil"/>
            </w:tcBorders>
            <w:noWrap/>
            <w:vAlign w:val="center"/>
            <w:hideMark/>
          </w:tcPr>
          <w:p w14:paraId="2E2BDD6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customer perspective</w:t>
            </w:r>
          </w:p>
        </w:tc>
        <w:tc>
          <w:tcPr>
            <w:tcW w:w="2970" w:type="dxa"/>
            <w:tcBorders>
              <w:top w:val="single" w:sz="2" w:space="0" w:color="auto"/>
              <w:left w:val="nil"/>
              <w:bottom w:val="nil"/>
              <w:right w:val="nil"/>
            </w:tcBorders>
            <w:noWrap/>
            <w:vAlign w:val="center"/>
            <w:hideMark/>
          </w:tcPr>
          <w:p w14:paraId="63DA36A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Obj4.Satisfy customers</w:t>
            </w:r>
          </w:p>
        </w:tc>
        <w:tc>
          <w:tcPr>
            <w:tcW w:w="2520" w:type="dxa"/>
            <w:tcBorders>
              <w:top w:val="single" w:sz="2" w:space="0" w:color="auto"/>
              <w:left w:val="nil"/>
              <w:bottom w:val="nil"/>
              <w:right w:val="nil"/>
            </w:tcBorders>
            <w:noWrap/>
            <w:vAlign w:val="center"/>
            <w:hideMark/>
          </w:tcPr>
          <w:p w14:paraId="456F63E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Complaints rate</w:t>
            </w:r>
          </w:p>
        </w:tc>
        <w:tc>
          <w:tcPr>
            <w:tcW w:w="1080" w:type="dxa"/>
            <w:tcBorders>
              <w:top w:val="single" w:sz="2" w:space="0" w:color="auto"/>
              <w:left w:val="nil"/>
              <w:bottom w:val="nil"/>
              <w:right w:val="nil"/>
            </w:tcBorders>
            <w:noWrap/>
            <w:hideMark/>
          </w:tcPr>
          <w:p w14:paraId="5D58A0C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w:t>
            </w:r>
          </w:p>
        </w:tc>
        <w:tc>
          <w:tcPr>
            <w:tcW w:w="1080" w:type="dxa"/>
            <w:tcBorders>
              <w:top w:val="single" w:sz="2" w:space="0" w:color="auto"/>
              <w:left w:val="nil"/>
              <w:bottom w:val="nil"/>
              <w:right w:val="nil"/>
            </w:tcBorders>
            <w:noWrap/>
            <w:hideMark/>
          </w:tcPr>
          <w:p w14:paraId="2C1E03C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30%</w:t>
            </w:r>
          </w:p>
        </w:tc>
      </w:tr>
      <w:tr w:rsidR="00B31F36" w14:paraId="51F5BD62" w14:textId="77777777" w:rsidTr="00B31F36">
        <w:trPr>
          <w:trHeight w:val="20"/>
          <w:jc w:val="center"/>
        </w:trPr>
        <w:tc>
          <w:tcPr>
            <w:tcW w:w="0" w:type="auto"/>
            <w:vMerge/>
            <w:tcBorders>
              <w:top w:val="single" w:sz="2" w:space="0" w:color="auto"/>
              <w:left w:val="nil"/>
              <w:bottom w:val="single" w:sz="4" w:space="0" w:color="auto"/>
              <w:right w:val="nil"/>
            </w:tcBorders>
            <w:vAlign w:val="center"/>
            <w:hideMark/>
          </w:tcPr>
          <w:p w14:paraId="3C763CD6"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noWrap/>
            <w:vAlign w:val="center"/>
            <w:hideMark/>
          </w:tcPr>
          <w:p w14:paraId="1F08C39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Obj5.Increase market share</w:t>
            </w:r>
          </w:p>
        </w:tc>
        <w:tc>
          <w:tcPr>
            <w:tcW w:w="2520" w:type="dxa"/>
            <w:noWrap/>
            <w:vAlign w:val="center"/>
            <w:hideMark/>
          </w:tcPr>
          <w:p w14:paraId="2E438C1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Market share index</w:t>
            </w:r>
          </w:p>
        </w:tc>
        <w:tc>
          <w:tcPr>
            <w:tcW w:w="1080" w:type="dxa"/>
            <w:noWrap/>
            <w:hideMark/>
          </w:tcPr>
          <w:p w14:paraId="7062E05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15%</w:t>
            </w:r>
          </w:p>
        </w:tc>
        <w:tc>
          <w:tcPr>
            <w:tcW w:w="1080" w:type="dxa"/>
            <w:noWrap/>
            <w:hideMark/>
          </w:tcPr>
          <w:p w14:paraId="1C4659F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15%</w:t>
            </w:r>
          </w:p>
        </w:tc>
      </w:tr>
      <w:tr w:rsidR="00B31F36" w14:paraId="6108A6EE" w14:textId="77777777" w:rsidTr="00B31F36">
        <w:trPr>
          <w:trHeight w:val="20"/>
          <w:jc w:val="center"/>
        </w:trPr>
        <w:tc>
          <w:tcPr>
            <w:tcW w:w="0" w:type="auto"/>
            <w:vMerge/>
            <w:tcBorders>
              <w:top w:val="single" w:sz="2" w:space="0" w:color="auto"/>
              <w:left w:val="nil"/>
              <w:bottom w:val="single" w:sz="4" w:space="0" w:color="auto"/>
              <w:right w:val="nil"/>
            </w:tcBorders>
            <w:vAlign w:val="center"/>
            <w:hideMark/>
          </w:tcPr>
          <w:p w14:paraId="5B6F26FA"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tcBorders>
              <w:top w:val="nil"/>
              <w:left w:val="nil"/>
              <w:bottom w:val="single" w:sz="4" w:space="0" w:color="auto"/>
              <w:right w:val="nil"/>
            </w:tcBorders>
            <w:noWrap/>
            <w:vAlign w:val="center"/>
            <w:hideMark/>
          </w:tcPr>
          <w:p w14:paraId="52371E8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Obj6.Retain customers</w:t>
            </w:r>
          </w:p>
        </w:tc>
        <w:tc>
          <w:tcPr>
            <w:tcW w:w="2520" w:type="dxa"/>
            <w:tcBorders>
              <w:top w:val="nil"/>
              <w:left w:val="nil"/>
              <w:bottom w:val="single" w:sz="4" w:space="0" w:color="auto"/>
              <w:right w:val="nil"/>
            </w:tcBorders>
            <w:noWrap/>
            <w:vAlign w:val="center"/>
            <w:hideMark/>
          </w:tcPr>
          <w:p w14:paraId="279A4B54"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Customer retention rate</w:t>
            </w:r>
          </w:p>
        </w:tc>
        <w:tc>
          <w:tcPr>
            <w:tcW w:w="1080" w:type="dxa"/>
            <w:tcBorders>
              <w:top w:val="nil"/>
              <w:left w:val="nil"/>
              <w:bottom w:val="single" w:sz="4" w:space="0" w:color="auto"/>
              <w:right w:val="nil"/>
            </w:tcBorders>
            <w:noWrap/>
            <w:hideMark/>
          </w:tcPr>
          <w:p w14:paraId="654890C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20%</w:t>
            </w:r>
          </w:p>
        </w:tc>
        <w:tc>
          <w:tcPr>
            <w:tcW w:w="1080" w:type="dxa"/>
            <w:tcBorders>
              <w:top w:val="nil"/>
              <w:left w:val="nil"/>
              <w:bottom w:val="single" w:sz="4" w:space="0" w:color="auto"/>
              <w:right w:val="nil"/>
            </w:tcBorders>
            <w:noWrap/>
            <w:hideMark/>
          </w:tcPr>
          <w:p w14:paraId="2BE73C7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35%</w:t>
            </w:r>
          </w:p>
        </w:tc>
      </w:tr>
      <w:tr w:rsidR="00B31F36" w14:paraId="1C4A9725" w14:textId="77777777" w:rsidTr="00B31F36">
        <w:trPr>
          <w:trHeight w:val="20"/>
          <w:jc w:val="center"/>
        </w:trPr>
        <w:tc>
          <w:tcPr>
            <w:tcW w:w="1980" w:type="dxa"/>
            <w:vMerge w:val="restart"/>
            <w:tcBorders>
              <w:top w:val="single" w:sz="4" w:space="0" w:color="auto"/>
              <w:left w:val="nil"/>
              <w:bottom w:val="single" w:sz="4" w:space="0" w:color="auto"/>
              <w:right w:val="nil"/>
            </w:tcBorders>
            <w:noWrap/>
            <w:vAlign w:val="center"/>
            <w:hideMark/>
          </w:tcPr>
          <w:p w14:paraId="23F8EDA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internal process</w:t>
            </w:r>
          </w:p>
        </w:tc>
        <w:tc>
          <w:tcPr>
            <w:tcW w:w="2970" w:type="dxa"/>
            <w:tcBorders>
              <w:top w:val="single" w:sz="4" w:space="0" w:color="auto"/>
              <w:left w:val="nil"/>
              <w:bottom w:val="nil"/>
              <w:right w:val="nil"/>
            </w:tcBorders>
            <w:noWrap/>
            <w:vAlign w:val="center"/>
            <w:hideMark/>
          </w:tcPr>
          <w:p w14:paraId="1FC1D67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Obj7.Increase availability</w:t>
            </w:r>
          </w:p>
        </w:tc>
        <w:tc>
          <w:tcPr>
            <w:tcW w:w="2520" w:type="dxa"/>
            <w:tcBorders>
              <w:top w:val="single" w:sz="4" w:space="0" w:color="auto"/>
              <w:left w:val="nil"/>
              <w:bottom w:val="nil"/>
              <w:right w:val="nil"/>
            </w:tcBorders>
            <w:noWrap/>
            <w:vAlign w:val="center"/>
            <w:hideMark/>
          </w:tcPr>
          <w:p w14:paraId="6A4C7E6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Operational availability rate</w:t>
            </w:r>
          </w:p>
        </w:tc>
        <w:tc>
          <w:tcPr>
            <w:tcW w:w="1080" w:type="dxa"/>
            <w:tcBorders>
              <w:top w:val="single" w:sz="4" w:space="0" w:color="auto"/>
              <w:left w:val="nil"/>
              <w:bottom w:val="nil"/>
              <w:right w:val="nil"/>
            </w:tcBorders>
            <w:noWrap/>
            <w:hideMark/>
          </w:tcPr>
          <w:p w14:paraId="139AD91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19%</w:t>
            </w:r>
          </w:p>
        </w:tc>
        <w:tc>
          <w:tcPr>
            <w:tcW w:w="1080" w:type="dxa"/>
            <w:tcBorders>
              <w:top w:val="single" w:sz="4" w:space="0" w:color="auto"/>
              <w:left w:val="nil"/>
              <w:bottom w:val="nil"/>
              <w:right w:val="nil"/>
            </w:tcBorders>
            <w:noWrap/>
            <w:hideMark/>
          </w:tcPr>
          <w:p w14:paraId="36880C3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19%</w:t>
            </w:r>
          </w:p>
        </w:tc>
      </w:tr>
      <w:tr w:rsidR="00B31F36" w14:paraId="6FA6A07C" w14:textId="77777777" w:rsidTr="00B31F36">
        <w:trPr>
          <w:trHeight w:val="20"/>
          <w:jc w:val="center"/>
        </w:trPr>
        <w:tc>
          <w:tcPr>
            <w:tcW w:w="0" w:type="auto"/>
            <w:vMerge/>
            <w:tcBorders>
              <w:top w:val="single" w:sz="4" w:space="0" w:color="auto"/>
              <w:left w:val="nil"/>
              <w:bottom w:val="single" w:sz="4" w:space="0" w:color="auto"/>
              <w:right w:val="nil"/>
            </w:tcBorders>
            <w:vAlign w:val="center"/>
            <w:hideMark/>
          </w:tcPr>
          <w:p w14:paraId="74951A24"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noWrap/>
            <w:vAlign w:val="center"/>
            <w:hideMark/>
          </w:tcPr>
          <w:p w14:paraId="1718BDA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Obj8.Have efficient processes</w:t>
            </w:r>
          </w:p>
        </w:tc>
        <w:tc>
          <w:tcPr>
            <w:tcW w:w="2520" w:type="dxa"/>
            <w:noWrap/>
            <w:vAlign w:val="center"/>
            <w:hideMark/>
          </w:tcPr>
          <w:p w14:paraId="2B30A32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Performance rate</w:t>
            </w:r>
          </w:p>
        </w:tc>
        <w:tc>
          <w:tcPr>
            <w:tcW w:w="1080" w:type="dxa"/>
            <w:noWrap/>
            <w:hideMark/>
          </w:tcPr>
          <w:p w14:paraId="03EF25A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w:t>
            </w:r>
          </w:p>
        </w:tc>
        <w:tc>
          <w:tcPr>
            <w:tcW w:w="1080" w:type="dxa"/>
            <w:noWrap/>
            <w:hideMark/>
          </w:tcPr>
          <w:p w14:paraId="0884F48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w:t>
            </w:r>
          </w:p>
        </w:tc>
      </w:tr>
      <w:tr w:rsidR="00B31F36" w14:paraId="00D0AB1E" w14:textId="77777777" w:rsidTr="00B31F36">
        <w:trPr>
          <w:trHeight w:val="20"/>
          <w:jc w:val="center"/>
        </w:trPr>
        <w:tc>
          <w:tcPr>
            <w:tcW w:w="0" w:type="auto"/>
            <w:vMerge/>
            <w:tcBorders>
              <w:top w:val="single" w:sz="4" w:space="0" w:color="auto"/>
              <w:left w:val="nil"/>
              <w:bottom w:val="single" w:sz="4" w:space="0" w:color="auto"/>
              <w:right w:val="nil"/>
            </w:tcBorders>
            <w:vAlign w:val="center"/>
            <w:hideMark/>
          </w:tcPr>
          <w:p w14:paraId="66679806"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tcBorders>
              <w:top w:val="nil"/>
              <w:left w:val="nil"/>
              <w:bottom w:val="single" w:sz="4" w:space="0" w:color="auto"/>
              <w:right w:val="nil"/>
            </w:tcBorders>
            <w:noWrap/>
            <w:vAlign w:val="center"/>
            <w:hideMark/>
          </w:tcPr>
          <w:p w14:paraId="2F401C6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Obj9.Produce high quality products</w:t>
            </w:r>
          </w:p>
        </w:tc>
        <w:tc>
          <w:tcPr>
            <w:tcW w:w="2520" w:type="dxa"/>
            <w:tcBorders>
              <w:top w:val="nil"/>
              <w:left w:val="nil"/>
              <w:bottom w:val="single" w:sz="4" w:space="0" w:color="auto"/>
              <w:right w:val="nil"/>
            </w:tcBorders>
            <w:noWrap/>
            <w:vAlign w:val="center"/>
            <w:hideMark/>
          </w:tcPr>
          <w:p w14:paraId="498FAAA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Quality rate</w:t>
            </w:r>
          </w:p>
        </w:tc>
        <w:tc>
          <w:tcPr>
            <w:tcW w:w="1080" w:type="dxa"/>
            <w:tcBorders>
              <w:top w:val="nil"/>
              <w:left w:val="nil"/>
              <w:bottom w:val="single" w:sz="4" w:space="0" w:color="auto"/>
              <w:right w:val="nil"/>
            </w:tcBorders>
            <w:noWrap/>
            <w:hideMark/>
          </w:tcPr>
          <w:p w14:paraId="279200A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18%</w:t>
            </w:r>
          </w:p>
        </w:tc>
        <w:tc>
          <w:tcPr>
            <w:tcW w:w="1080" w:type="dxa"/>
            <w:tcBorders>
              <w:top w:val="nil"/>
              <w:left w:val="nil"/>
              <w:bottom w:val="single" w:sz="4" w:space="0" w:color="auto"/>
              <w:right w:val="nil"/>
            </w:tcBorders>
            <w:noWrap/>
            <w:hideMark/>
          </w:tcPr>
          <w:p w14:paraId="27303E3E"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18%</w:t>
            </w:r>
          </w:p>
        </w:tc>
      </w:tr>
      <w:tr w:rsidR="00B31F36" w14:paraId="305BABE6" w14:textId="77777777" w:rsidTr="00B31F36">
        <w:trPr>
          <w:trHeight w:val="20"/>
          <w:jc w:val="center"/>
        </w:trPr>
        <w:tc>
          <w:tcPr>
            <w:tcW w:w="1980" w:type="dxa"/>
            <w:vMerge w:val="restart"/>
            <w:tcBorders>
              <w:top w:val="single" w:sz="4" w:space="0" w:color="auto"/>
              <w:left w:val="nil"/>
              <w:bottom w:val="single" w:sz="4" w:space="0" w:color="auto"/>
              <w:right w:val="nil"/>
            </w:tcBorders>
            <w:noWrap/>
            <w:vAlign w:val="center"/>
            <w:hideMark/>
          </w:tcPr>
          <w:p w14:paraId="6041422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learning and growth</w:t>
            </w:r>
          </w:p>
        </w:tc>
        <w:tc>
          <w:tcPr>
            <w:tcW w:w="2970" w:type="dxa"/>
            <w:tcBorders>
              <w:top w:val="single" w:sz="4" w:space="0" w:color="auto"/>
              <w:left w:val="nil"/>
              <w:bottom w:val="nil"/>
              <w:right w:val="nil"/>
            </w:tcBorders>
            <w:noWrap/>
            <w:vAlign w:val="center"/>
            <w:hideMark/>
          </w:tcPr>
          <w:p w14:paraId="42941BC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Obj10.Have a well-trained staff</w:t>
            </w:r>
          </w:p>
        </w:tc>
        <w:tc>
          <w:tcPr>
            <w:tcW w:w="2520" w:type="dxa"/>
            <w:tcBorders>
              <w:top w:val="single" w:sz="4" w:space="0" w:color="auto"/>
              <w:left w:val="nil"/>
              <w:bottom w:val="nil"/>
              <w:right w:val="nil"/>
            </w:tcBorders>
            <w:noWrap/>
            <w:vAlign w:val="center"/>
            <w:hideMark/>
          </w:tcPr>
          <w:p w14:paraId="46FB64E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Job role competency rate</w:t>
            </w:r>
          </w:p>
        </w:tc>
        <w:tc>
          <w:tcPr>
            <w:tcW w:w="1080" w:type="dxa"/>
            <w:tcBorders>
              <w:top w:val="single" w:sz="4" w:space="0" w:color="auto"/>
              <w:left w:val="nil"/>
              <w:bottom w:val="nil"/>
              <w:right w:val="nil"/>
            </w:tcBorders>
            <w:noWrap/>
            <w:hideMark/>
          </w:tcPr>
          <w:p w14:paraId="355B058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15%</w:t>
            </w:r>
          </w:p>
        </w:tc>
        <w:tc>
          <w:tcPr>
            <w:tcW w:w="1080" w:type="dxa"/>
            <w:tcBorders>
              <w:top w:val="single" w:sz="4" w:space="0" w:color="auto"/>
              <w:left w:val="nil"/>
              <w:bottom w:val="nil"/>
              <w:right w:val="nil"/>
            </w:tcBorders>
            <w:noWrap/>
            <w:hideMark/>
          </w:tcPr>
          <w:p w14:paraId="7FEFDF6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15%</w:t>
            </w:r>
          </w:p>
        </w:tc>
      </w:tr>
      <w:tr w:rsidR="00B31F36" w14:paraId="4C4AAF8F" w14:textId="77777777" w:rsidTr="00B31F36">
        <w:trPr>
          <w:trHeight w:val="20"/>
          <w:jc w:val="center"/>
        </w:trPr>
        <w:tc>
          <w:tcPr>
            <w:tcW w:w="0" w:type="auto"/>
            <w:vMerge/>
            <w:tcBorders>
              <w:top w:val="single" w:sz="4" w:space="0" w:color="auto"/>
              <w:left w:val="nil"/>
              <w:bottom w:val="single" w:sz="4" w:space="0" w:color="auto"/>
              <w:right w:val="nil"/>
            </w:tcBorders>
            <w:vAlign w:val="center"/>
            <w:hideMark/>
          </w:tcPr>
          <w:p w14:paraId="47DE52B9"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noWrap/>
            <w:vAlign w:val="center"/>
            <w:hideMark/>
          </w:tcPr>
          <w:p w14:paraId="37185794"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Obj11.Retain employees</w:t>
            </w:r>
          </w:p>
        </w:tc>
        <w:tc>
          <w:tcPr>
            <w:tcW w:w="2520" w:type="dxa"/>
            <w:noWrap/>
            <w:vAlign w:val="center"/>
            <w:hideMark/>
          </w:tcPr>
          <w:p w14:paraId="3BE4907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Employee turnover</w:t>
            </w:r>
          </w:p>
        </w:tc>
        <w:tc>
          <w:tcPr>
            <w:tcW w:w="1080" w:type="dxa"/>
            <w:noWrap/>
            <w:hideMark/>
          </w:tcPr>
          <w:p w14:paraId="4A87454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w:t>
            </w:r>
          </w:p>
        </w:tc>
        <w:tc>
          <w:tcPr>
            <w:tcW w:w="1080" w:type="dxa"/>
            <w:noWrap/>
            <w:hideMark/>
          </w:tcPr>
          <w:p w14:paraId="42798E0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5%</w:t>
            </w:r>
          </w:p>
        </w:tc>
      </w:tr>
      <w:tr w:rsidR="00B31F36" w14:paraId="3B753720" w14:textId="77777777" w:rsidTr="00B31F36">
        <w:trPr>
          <w:trHeight w:val="20"/>
          <w:jc w:val="center"/>
        </w:trPr>
        <w:tc>
          <w:tcPr>
            <w:tcW w:w="0" w:type="auto"/>
            <w:vMerge/>
            <w:tcBorders>
              <w:top w:val="single" w:sz="4" w:space="0" w:color="auto"/>
              <w:left w:val="nil"/>
              <w:bottom w:val="single" w:sz="4" w:space="0" w:color="auto"/>
              <w:right w:val="nil"/>
            </w:tcBorders>
            <w:vAlign w:val="center"/>
            <w:hideMark/>
          </w:tcPr>
          <w:p w14:paraId="683DD4F1" w14:textId="77777777" w:rsidR="00B31F36" w:rsidRDefault="00B31F36">
            <w:pPr>
              <w:spacing w:after="0"/>
              <w:rPr>
                <w:rFonts w:asciiTheme="majorHAnsi" w:eastAsia="Times New Roman" w:hAnsiTheme="majorHAnsi" w:cs="Calibri"/>
                <w:color w:val="000000"/>
                <w:sz w:val="18"/>
                <w:szCs w:val="18"/>
                <w:lang w:eastAsia="fr-FR"/>
              </w:rPr>
            </w:pPr>
          </w:p>
        </w:tc>
        <w:tc>
          <w:tcPr>
            <w:tcW w:w="2970" w:type="dxa"/>
            <w:tcBorders>
              <w:top w:val="nil"/>
              <w:left w:val="nil"/>
              <w:bottom w:val="single" w:sz="4" w:space="0" w:color="auto"/>
              <w:right w:val="nil"/>
            </w:tcBorders>
            <w:noWrap/>
            <w:vAlign w:val="center"/>
            <w:hideMark/>
          </w:tcPr>
          <w:p w14:paraId="271F132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Obj12.Engage employees</w:t>
            </w:r>
          </w:p>
        </w:tc>
        <w:tc>
          <w:tcPr>
            <w:tcW w:w="2520" w:type="dxa"/>
            <w:tcBorders>
              <w:top w:val="nil"/>
              <w:left w:val="nil"/>
              <w:bottom w:val="single" w:sz="4" w:space="0" w:color="auto"/>
              <w:right w:val="nil"/>
            </w:tcBorders>
            <w:noWrap/>
            <w:vAlign w:val="center"/>
            <w:hideMark/>
          </w:tcPr>
          <w:p w14:paraId="6E2E340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Employee participation rate</w:t>
            </w:r>
          </w:p>
        </w:tc>
        <w:tc>
          <w:tcPr>
            <w:tcW w:w="1080" w:type="dxa"/>
            <w:tcBorders>
              <w:top w:val="nil"/>
              <w:left w:val="nil"/>
              <w:bottom w:val="single" w:sz="4" w:space="0" w:color="auto"/>
              <w:right w:val="nil"/>
            </w:tcBorders>
            <w:noWrap/>
            <w:hideMark/>
          </w:tcPr>
          <w:p w14:paraId="7D8DE1B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14%</w:t>
            </w:r>
          </w:p>
        </w:tc>
        <w:tc>
          <w:tcPr>
            <w:tcW w:w="1080" w:type="dxa"/>
            <w:tcBorders>
              <w:top w:val="nil"/>
              <w:left w:val="nil"/>
              <w:bottom w:val="single" w:sz="4" w:space="0" w:color="auto"/>
              <w:right w:val="nil"/>
            </w:tcBorders>
            <w:noWrap/>
            <w:hideMark/>
          </w:tcPr>
          <w:p w14:paraId="471994F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10%</w:t>
            </w:r>
          </w:p>
        </w:tc>
      </w:tr>
    </w:tbl>
    <w:p w14:paraId="1AD0AD94" w14:textId="77777777" w:rsidR="00B31F36" w:rsidRDefault="00B31F36" w:rsidP="00B31F36">
      <w:pPr>
        <w:pStyle w:val="Lgende"/>
        <w:spacing w:after="0"/>
        <w:rPr>
          <w:rFonts w:asciiTheme="majorHAnsi" w:hAnsiTheme="majorHAnsi"/>
          <w:sz w:val="20"/>
          <w:szCs w:val="20"/>
        </w:rPr>
      </w:pPr>
      <w:r>
        <w:rPr>
          <w:rFonts w:asciiTheme="majorHAnsi" w:hAnsiTheme="majorHAnsi"/>
          <w:sz w:val="20"/>
          <w:szCs w:val="20"/>
        </w:rPr>
        <w:t>Source:</w:t>
      </w:r>
      <w:r>
        <w:rPr>
          <w:rFonts w:asciiTheme="majorHAnsi" w:hAnsiTheme="majorHAnsi"/>
          <w:b w:val="0"/>
          <w:bCs w:val="0"/>
          <w:sz w:val="20"/>
          <w:szCs w:val="20"/>
        </w:rPr>
        <w:t xml:space="preserve"> Authors own work.</w:t>
      </w:r>
    </w:p>
    <w:p w14:paraId="529FD045" w14:textId="77777777" w:rsidR="00B31F36" w:rsidRDefault="00B31F36" w:rsidP="00B31F36">
      <w:pPr>
        <w:spacing w:after="0" w:line="240" w:lineRule="auto"/>
        <w:jc w:val="both"/>
        <w:rPr>
          <w:rFonts w:asciiTheme="majorHAnsi" w:hAnsiTheme="majorHAnsi"/>
          <w:sz w:val="20"/>
          <w:szCs w:val="20"/>
        </w:rPr>
      </w:pPr>
    </w:p>
    <w:p w14:paraId="5805C82C"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space="720"/>
        </w:sectPr>
      </w:pPr>
    </w:p>
    <w:p w14:paraId="70DD2968"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As shown in table 5, the typical AHP technique recommends equally both actions 1 and 2 as the best choice, with a total score of 3.19 in both scenarios, whereas the developed model differentiates between the two alternatives, recommending action 1 as the best choice in the first case and action 2 in the second.</w:t>
      </w:r>
    </w:p>
    <w:p w14:paraId="6F8A6A6C"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num="2" w:space="720"/>
        </w:sectPr>
      </w:pPr>
    </w:p>
    <w:p w14:paraId="2C21A3F3" w14:textId="77777777" w:rsidR="00B31F36" w:rsidRDefault="00B31F36" w:rsidP="00B31F36">
      <w:pPr>
        <w:spacing w:after="0" w:line="240" w:lineRule="auto"/>
        <w:jc w:val="both"/>
        <w:rPr>
          <w:rFonts w:asciiTheme="majorHAnsi" w:hAnsiTheme="majorHAnsi"/>
          <w:sz w:val="20"/>
          <w:szCs w:val="20"/>
        </w:rPr>
      </w:pPr>
    </w:p>
    <w:tbl>
      <w:tblPr>
        <w:tblW w:w="9209" w:type="dxa"/>
        <w:jc w:val="center"/>
        <w:tblCellMar>
          <w:left w:w="70" w:type="dxa"/>
          <w:right w:w="70" w:type="dxa"/>
        </w:tblCellMar>
        <w:tblLook w:val="04A0" w:firstRow="1" w:lastRow="0" w:firstColumn="1" w:lastColumn="0" w:noHBand="0" w:noVBand="1"/>
      </w:tblPr>
      <w:tblGrid>
        <w:gridCol w:w="1253"/>
        <w:gridCol w:w="1861"/>
        <w:gridCol w:w="2126"/>
        <w:gridCol w:w="1843"/>
        <w:gridCol w:w="2126"/>
      </w:tblGrid>
      <w:tr w:rsidR="00B31F36" w:rsidRPr="00B31F36" w14:paraId="6558F95C" w14:textId="77777777" w:rsidTr="00B31F36">
        <w:trPr>
          <w:trHeight w:val="56"/>
          <w:jc w:val="center"/>
        </w:trPr>
        <w:tc>
          <w:tcPr>
            <w:tcW w:w="9209" w:type="dxa"/>
            <w:gridSpan w:val="5"/>
            <w:tcBorders>
              <w:top w:val="nil"/>
              <w:left w:val="nil"/>
              <w:bottom w:val="single" w:sz="2" w:space="0" w:color="auto"/>
              <w:right w:val="nil"/>
            </w:tcBorders>
            <w:noWrap/>
            <w:vAlign w:val="center"/>
            <w:hideMark/>
          </w:tcPr>
          <w:p w14:paraId="219B7EB7" w14:textId="77777777" w:rsidR="00B31F36" w:rsidRDefault="00B31F36">
            <w:pPr>
              <w:spacing w:after="0" w:line="240" w:lineRule="auto"/>
              <w:jc w:val="both"/>
              <w:rPr>
                <w:rFonts w:asciiTheme="majorHAnsi" w:eastAsia="Times New Roman" w:hAnsiTheme="majorHAnsi" w:cs="Calibri"/>
                <w:b/>
                <w:bCs/>
                <w:color w:val="000000"/>
                <w:sz w:val="18"/>
                <w:szCs w:val="18"/>
                <w:lang w:eastAsia="fr-FR"/>
              </w:rPr>
            </w:pPr>
            <w:r>
              <w:rPr>
                <w:rFonts w:asciiTheme="majorHAnsi" w:eastAsia="Times New Roman" w:hAnsiTheme="majorHAnsi" w:cs="Calibri"/>
                <w:b/>
                <w:bCs/>
                <w:color w:val="000000"/>
                <w:sz w:val="18"/>
                <w:szCs w:val="18"/>
                <w:lang w:eastAsia="fr-FR"/>
              </w:rPr>
              <w:t>Table 5. Comparison of the standard AHP technique results with the developed model</w:t>
            </w:r>
          </w:p>
        </w:tc>
      </w:tr>
      <w:tr w:rsidR="00B31F36" w14:paraId="0847835E" w14:textId="77777777" w:rsidTr="00B31F36">
        <w:trPr>
          <w:trHeight w:val="51"/>
          <w:jc w:val="center"/>
        </w:trPr>
        <w:tc>
          <w:tcPr>
            <w:tcW w:w="1253" w:type="dxa"/>
            <w:vMerge w:val="restart"/>
            <w:tcBorders>
              <w:top w:val="single" w:sz="2" w:space="0" w:color="auto"/>
              <w:left w:val="nil"/>
              <w:bottom w:val="single" w:sz="2" w:space="0" w:color="auto"/>
              <w:right w:val="nil"/>
            </w:tcBorders>
            <w:noWrap/>
            <w:vAlign w:val="center"/>
            <w:hideMark/>
          </w:tcPr>
          <w:p w14:paraId="2163382F"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Alternatives</w:t>
            </w:r>
          </w:p>
        </w:tc>
        <w:tc>
          <w:tcPr>
            <w:tcW w:w="3987" w:type="dxa"/>
            <w:gridSpan w:val="2"/>
            <w:tcBorders>
              <w:top w:val="single" w:sz="2" w:space="0" w:color="auto"/>
              <w:left w:val="nil"/>
              <w:bottom w:val="single" w:sz="2" w:space="0" w:color="auto"/>
              <w:right w:val="nil"/>
            </w:tcBorders>
            <w:noWrap/>
            <w:vAlign w:val="bottom"/>
            <w:hideMark/>
          </w:tcPr>
          <w:p w14:paraId="766F1CE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Performance case 1</w:t>
            </w:r>
          </w:p>
        </w:tc>
        <w:tc>
          <w:tcPr>
            <w:tcW w:w="3969" w:type="dxa"/>
            <w:gridSpan w:val="2"/>
            <w:tcBorders>
              <w:top w:val="single" w:sz="2" w:space="0" w:color="auto"/>
              <w:left w:val="nil"/>
              <w:bottom w:val="single" w:sz="2" w:space="0" w:color="auto"/>
              <w:right w:val="nil"/>
            </w:tcBorders>
            <w:noWrap/>
            <w:vAlign w:val="bottom"/>
            <w:hideMark/>
          </w:tcPr>
          <w:p w14:paraId="1FB545E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Performance case 2</w:t>
            </w:r>
          </w:p>
        </w:tc>
      </w:tr>
      <w:tr w:rsidR="00B31F36" w14:paraId="20E0F839" w14:textId="77777777" w:rsidTr="00B31F36">
        <w:trPr>
          <w:trHeight w:val="51"/>
          <w:jc w:val="center"/>
        </w:trPr>
        <w:tc>
          <w:tcPr>
            <w:tcW w:w="0" w:type="auto"/>
            <w:vMerge/>
            <w:tcBorders>
              <w:top w:val="single" w:sz="2" w:space="0" w:color="auto"/>
              <w:left w:val="nil"/>
              <w:bottom w:val="single" w:sz="2" w:space="0" w:color="auto"/>
              <w:right w:val="nil"/>
            </w:tcBorders>
            <w:vAlign w:val="center"/>
            <w:hideMark/>
          </w:tcPr>
          <w:p w14:paraId="3A875576" w14:textId="77777777" w:rsidR="00B31F36" w:rsidRDefault="00B31F36">
            <w:pPr>
              <w:spacing w:after="0"/>
              <w:rPr>
                <w:rFonts w:asciiTheme="majorHAnsi" w:eastAsia="Times New Roman" w:hAnsiTheme="majorHAnsi" w:cs="Calibri"/>
                <w:color w:val="000000"/>
                <w:sz w:val="18"/>
                <w:szCs w:val="18"/>
                <w:lang w:eastAsia="fr-FR"/>
              </w:rPr>
            </w:pPr>
          </w:p>
        </w:tc>
        <w:tc>
          <w:tcPr>
            <w:tcW w:w="1861" w:type="dxa"/>
            <w:tcBorders>
              <w:top w:val="single" w:sz="2" w:space="0" w:color="auto"/>
              <w:left w:val="nil"/>
              <w:bottom w:val="single" w:sz="2" w:space="0" w:color="auto"/>
              <w:right w:val="nil"/>
            </w:tcBorders>
            <w:vAlign w:val="bottom"/>
            <w:hideMark/>
          </w:tcPr>
          <w:p w14:paraId="74E65F10"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Model prediction</w:t>
            </w:r>
          </w:p>
        </w:tc>
        <w:tc>
          <w:tcPr>
            <w:tcW w:w="2126" w:type="dxa"/>
            <w:tcBorders>
              <w:top w:val="single" w:sz="2" w:space="0" w:color="auto"/>
              <w:left w:val="nil"/>
              <w:bottom w:val="single" w:sz="2" w:space="0" w:color="auto"/>
              <w:right w:val="nil"/>
            </w:tcBorders>
            <w:vAlign w:val="bottom"/>
            <w:hideMark/>
          </w:tcPr>
          <w:p w14:paraId="44D9E8CA"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Standard AHP results</w:t>
            </w:r>
          </w:p>
        </w:tc>
        <w:tc>
          <w:tcPr>
            <w:tcW w:w="1843" w:type="dxa"/>
            <w:tcBorders>
              <w:top w:val="single" w:sz="2" w:space="0" w:color="auto"/>
              <w:left w:val="nil"/>
              <w:bottom w:val="single" w:sz="2" w:space="0" w:color="auto"/>
              <w:right w:val="nil"/>
            </w:tcBorders>
            <w:vAlign w:val="bottom"/>
            <w:hideMark/>
          </w:tcPr>
          <w:p w14:paraId="76C4708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model prediction</w:t>
            </w:r>
          </w:p>
        </w:tc>
        <w:tc>
          <w:tcPr>
            <w:tcW w:w="2126" w:type="dxa"/>
            <w:tcBorders>
              <w:top w:val="single" w:sz="2" w:space="0" w:color="auto"/>
              <w:left w:val="nil"/>
              <w:bottom w:val="single" w:sz="2" w:space="0" w:color="auto"/>
              <w:right w:val="nil"/>
            </w:tcBorders>
            <w:vAlign w:val="bottom"/>
            <w:hideMark/>
          </w:tcPr>
          <w:p w14:paraId="691D3757"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Standard AHP results</w:t>
            </w:r>
          </w:p>
        </w:tc>
      </w:tr>
      <w:tr w:rsidR="00B31F36" w14:paraId="66EDE6B6" w14:textId="77777777" w:rsidTr="00B31F36">
        <w:trPr>
          <w:trHeight w:val="51"/>
          <w:jc w:val="center"/>
        </w:trPr>
        <w:tc>
          <w:tcPr>
            <w:tcW w:w="1253" w:type="dxa"/>
            <w:tcBorders>
              <w:top w:val="single" w:sz="2" w:space="0" w:color="auto"/>
              <w:left w:val="nil"/>
              <w:bottom w:val="nil"/>
              <w:right w:val="nil"/>
            </w:tcBorders>
            <w:noWrap/>
            <w:vAlign w:val="bottom"/>
            <w:hideMark/>
          </w:tcPr>
          <w:p w14:paraId="719F609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Action 1</w:t>
            </w:r>
          </w:p>
        </w:tc>
        <w:tc>
          <w:tcPr>
            <w:tcW w:w="1861" w:type="dxa"/>
            <w:tcBorders>
              <w:top w:val="single" w:sz="2" w:space="0" w:color="auto"/>
              <w:left w:val="nil"/>
              <w:bottom w:val="nil"/>
              <w:right w:val="nil"/>
            </w:tcBorders>
            <w:shd w:val="clear" w:color="auto" w:fill="FFFFFF" w:themeFill="background1"/>
            <w:noWrap/>
            <w:vAlign w:val="bottom"/>
            <w:hideMark/>
          </w:tcPr>
          <w:p w14:paraId="0A49A8C6" w14:textId="77777777" w:rsidR="00B31F36" w:rsidRDefault="00B31F36">
            <w:pPr>
              <w:spacing w:after="0" w:line="240" w:lineRule="auto"/>
              <w:jc w:val="both"/>
              <w:rPr>
                <w:rFonts w:asciiTheme="majorHAnsi" w:eastAsia="Times New Roman" w:hAnsiTheme="majorHAnsi" w:cs="Calibri"/>
                <w:b/>
                <w:bCs/>
                <w:color w:val="000000"/>
                <w:sz w:val="18"/>
                <w:szCs w:val="18"/>
                <w:lang w:eastAsia="fr-FR"/>
              </w:rPr>
            </w:pPr>
            <w:r>
              <w:rPr>
                <w:rFonts w:asciiTheme="majorHAnsi" w:eastAsia="Times New Roman" w:hAnsiTheme="majorHAnsi" w:cs="Calibri"/>
                <w:b/>
                <w:bCs/>
                <w:color w:val="000000"/>
                <w:sz w:val="18"/>
                <w:szCs w:val="18"/>
                <w:lang w:eastAsia="fr-FR"/>
              </w:rPr>
              <w:t>3.76</w:t>
            </w:r>
          </w:p>
        </w:tc>
        <w:tc>
          <w:tcPr>
            <w:tcW w:w="2126" w:type="dxa"/>
            <w:tcBorders>
              <w:top w:val="single" w:sz="2" w:space="0" w:color="auto"/>
              <w:left w:val="nil"/>
              <w:bottom w:val="nil"/>
              <w:right w:val="nil"/>
            </w:tcBorders>
            <w:shd w:val="clear" w:color="auto" w:fill="FFFFFF" w:themeFill="background1"/>
            <w:vAlign w:val="bottom"/>
            <w:hideMark/>
          </w:tcPr>
          <w:p w14:paraId="46DC69A7" w14:textId="77777777" w:rsidR="00B31F36" w:rsidRDefault="00B31F36">
            <w:pPr>
              <w:spacing w:after="0" w:line="240" w:lineRule="auto"/>
              <w:jc w:val="both"/>
              <w:rPr>
                <w:rFonts w:asciiTheme="majorHAnsi" w:eastAsia="Times New Roman" w:hAnsiTheme="majorHAnsi" w:cs="Calibri"/>
                <w:b/>
                <w:bCs/>
                <w:color w:val="000000"/>
                <w:sz w:val="18"/>
                <w:szCs w:val="18"/>
                <w:lang w:eastAsia="fr-FR"/>
              </w:rPr>
            </w:pPr>
            <w:r>
              <w:rPr>
                <w:rFonts w:asciiTheme="majorHAnsi" w:eastAsia="Times New Roman" w:hAnsiTheme="majorHAnsi" w:cs="Calibri"/>
                <w:b/>
                <w:bCs/>
                <w:color w:val="000000"/>
                <w:sz w:val="18"/>
                <w:szCs w:val="18"/>
                <w:lang w:eastAsia="fr-FR"/>
              </w:rPr>
              <w:t>3.19</w:t>
            </w:r>
          </w:p>
        </w:tc>
        <w:tc>
          <w:tcPr>
            <w:tcW w:w="1843" w:type="dxa"/>
            <w:tcBorders>
              <w:top w:val="single" w:sz="2" w:space="0" w:color="auto"/>
              <w:left w:val="nil"/>
              <w:bottom w:val="nil"/>
              <w:right w:val="nil"/>
            </w:tcBorders>
            <w:shd w:val="clear" w:color="auto" w:fill="FFFFFF" w:themeFill="background1"/>
            <w:noWrap/>
            <w:vAlign w:val="bottom"/>
            <w:hideMark/>
          </w:tcPr>
          <w:p w14:paraId="10CE0E94"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3.73</w:t>
            </w:r>
          </w:p>
        </w:tc>
        <w:tc>
          <w:tcPr>
            <w:tcW w:w="2126" w:type="dxa"/>
            <w:tcBorders>
              <w:top w:val="single" w:sz="2" w:space="0" w:color="auto"/>
              <w:left w:val="nil"/>
              <w:bottom w:val="nil"/>
              <w:right w:val="nil"/>
            </w:tcBorders>
            <w:shd w:val="clear" w:color="auto" w:fill="FFFFFF" w:themeFill="background1"/>
            <w:vAlign w:val="bottom"/>
            <w:hideMark/>
          </w:tcPr>
          <w:p w14:paraId="4C11EE40" w14:textId="77777777" w:rsidR="00B31F36" w:rsidRDefault="00B31F36">
            <w:pPr>
              <w:spacing w:after="0" w:line="240" w:lineRule="auto"/>
              <w:jc w:val="both"/>
              <w:rPr>
                <w:rFonts w:asciiTheme="majorHAnsi" w:eastAsia="Times New Roman" w:hAnsiTheme="majorHAnsi" w:cs="Calibri"/>
                <w:b/>
                <w:bCs/>
                <w:color w:val="000000"/>
                <w:sz w:val="18"/>
                <w:szCs w:val="18"/>
                <w:lang w:eastAsia="fr-FR"/>
              </w:rPr>
            </w:pPr>
            <w:r>
              <w:rPr>
                <w:rFonts w:asciiTheme="majorHAnsi" w:eastAsia="Times New Roman" w:hAnsiTheme="majorHAnsi" w:cs="Calibri"/>
                <w:b/>
                <w:bCs/>
                <w:color w:val="000000"/>
                <w:sz w:val="18"/>
                <w:szCs w:val="18"/>
                <w:lang w:eastAsia="fr-FR"/>
              </w:rPr>
              <w:t>3.19</w:t>
            </w:r>
          </w:p>
        </w:tc>
      </w:tr>
      <w:tr w:rsidR="00B31F36" w14:paraId="026EE0D3" w14:textId="77777777" w:rsidTr="00B31F36">
        <w:trPr>
          <w:trHeight w:val="56"/>
          <w:jc w:val="center"/>
        </w:trPr>
        <w:tc>
          <w:tcPr>
            <w:tcW w:w="1253" w:type="dxa"/>
            <w:noWrap/>
            <w:vAlign w:val="bottom"/>
            <w:hideMark/>
          </w:tcPr>
          <w:p w14:paraId="4FB8CFA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Action 2</w:t>
            </w:r>
          </w:p>
        </w:tc>
        <w:tc>
          <w:tcPr>
            <w:tcW w:w="1861" w:type="dxa"/>
            <w:shd w:val="clear" w:color="auto" w:fill="FFFFFF" w:themeFill="background1"/>
            <w:noWrap/>
            <w:vAlign w:val="bottom"/>
            <w:hideMark/>
          </w:tcPr>
          <w:p w14:paraId="0003E77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3.68</w:t>
            </w:r>
          </w:p>
        </w:tc>
        <w:tc>
          <w:tcPr>
            <w:tcW w:w="2126" w:type="dxa"/>
            <w:shd w:val="clear" w:color="auto" w:fill="FFFFFF" w:themeFill="background1"/>
            <w:vAlign w:val="bottom"/>
            <w:hideMark/>
          </w:tcPr>
          <w:p w14:paraId="30D42609" w14:textId="77777777" w:rsidR="00B31F36" w:rsidRDefault="00B31F36">
            <w:pPr>
              <w:spacing w:after="0" w:line="240" w:lineRule="auto"/>
              <w:jc w:val="both"/>
              <w:rPr>
                <w:rFonts w:asciiTheme="majorHAnsi" w:eastAsia="Times New Roman" w:hAnsiTheme="majorHAnsi" w:cs="Calibri"/>
                <w:b/>
                <w:bCs/>
                <w:color w:val="000000"/>
                <w:sz w:val="18"/>
                <w:szCs w:val="18"/>
                <w:lang w:eastAsia="fr-FR"/>
              </w:rPr>
            </w:pPr>
            <w:r>
              <w:rPr>
                <w:rFonts w:asciiTheme="majorHAnsi" w:eastAsia="Times New Roman" w:hAnsiTheme="majorHAnsi" w:cs="Calibri"/>
                <w:b/>
                <w:bCs/>
                <w:color w:val="000000"/>
                <w:sz w:val="18"/>
                <w:szCs w:val="18"/>
                <w:lang w:eastAsia="fr-FR"/>
              </w:rPr>
              <w:t>3.19</w:t>
            </w:r>
          </w:p>
        </w:tc>
        <w:tc>
          <w:tcPr>
            <w:tcW w:w="1843" w:type="dxa"/>
            <w:shd w:val="clear" w:color="auto" w:fill="FFFFFF" w:themeFill="background1"/>
            <w:noWrap/>
            <w:vAlign w:val="bottom"/>
            <w:hideMark/>
          </w:tcPr>
          <w:p w14:paraId="55C404A1" w14:textId="77777777" w:rsidR="00B31F36" w:rsidRDefault="00B31F36">
            <w:pPr>
              <w:spacing w:after="0" w:line="240" w:lineRule="auto"/>
              <w:jc w:val="both"/>
              <w:rPr>
                <w:rFonts w:asciiTheme="majorHAnsi" w:eastAsia="Times New Roman" w:hAnsiTheme="majorHAnsi" w:cs="Calibri"/>
                <w:b/>
                <w:bCs/>
                <w:color w:val="000000"/>
                <w:sz w:val="18"/>
                <w:szCs w:val="18"/>
                <w:lang w:eastAsia="fr-FR"/>
              </w:rPr>
            </w:pPr>
            <w:r>
              <w:rPr>
                <w:rFonts w:asciiTheme="majorHAnsi" w:eastAsia="Times New Roman" w:hAnsiTheme="majorHAnsi" w:cs="Calibri"/>
                <w:b/>
                <w:bCs/>
                <w:color w:val="000000"/>
                <w:sz w:val="18"/>
                <w:szCs w:val="18"/>
                <w:lang w:eastAsia="fr-FR"/>
              </w:rPr>
              <w:t>3.77</w:t>
            </w:r>
          </w:p>
        </w:tc>
        <w:tc>
          <w:tcPr>
            <w:tcW w:w="2126" w:type="dxa"/>
            <w:shd w:val="clear" w:color="auto" w:fill="FFFFFF" w:themeFill="background1"/>
            <w:vAlign w:val="bottom"/>
            <w:hideMark/>
          </w:tcPr>
          <w:p w14:paraId="5BF28897" w14:textId="77777777" w:rsidR="00B31F36" w:rsidRDefault="00B31F36">
            <w:pPr>
              <w:spacing w:after="0" w:line="240" w:lineRule="auto"/>
              <w:jc w:val="both"/>
              <w:rPr>
                <w:rFonts w:asciiTheme="majorHAnsi" w:eastAsia="Times New Roman" w:hAnsiTheme="majorHAnsi" w:cs="Calibri"/>
                <w:b/>
                <w:bCs/>
                <w:color w:val="000000"/>
                <w:sz w:val="18"/>
                <w:szCs w:val="18"/>
                <w:lang w:eastAsia="fr-FR"/>
              </w:rPr>
            </w:pPr>
            <w:r>
              <w:rPr>
                <w:rFonts w:asciiTheme="majorHAnsi" w:eastAsia="Times New Roman" w:hAnsiTheme="majorHAnsi" w:cs="Calibri"/>
                <w:b/>
                <w:bCs/>
                <w:color w:val="000000"/>
                <w:sz w:val="18"/>
                <w:szCs w:val="18"/>
                <w:lang w:eastAsia="fr-FR"/>
              </w:rPr>
              <w:t>3.19</w:t>
            </w:r>
          </w:p>
        </w:tc>
      </w:tr>
      <w:tr w:rsidR="00B31F36" w14:paraId="0061F044" w14:textId="77777777" w:rsidTr="00B31F36">
        <w:trPr>
          <w:trHeight w:val="56"/>
          <w:jc w:val="center"/>
        </w:trPr>
        <w:tc>
          <w:tcPr>
            <w:tcW w:w="1253" w:type="dxa"/>
            <w:noWrap/>
            <w:vAlign w:val="bottom"/>
            <w:hideMark/>
          </w:tcPr>
          <w:p w14:paraId="72B3BB9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Action 3</w:t>
            </w:r>
          </w:p>
        </w:tc>
        <w:tc>
          <w:tcPr>
            <w:tcW w:w="1861" w:type="dxa"/>
            <w:noWrap/>
            <w:vAlign w:val="bottom"/>
            <w:hideMark/>
          </w:tcPr>
          <w:p w14:paraId="742F9D5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2.92</w:t>
            </w:r>
          </w:p>
        </w:tc>
        <w:tc>
          <w:tcPr>
            <w:tcW w:w="2126" w:type="dxa"/>
            <w:vAlign w:val="bottom"/>
            <w:hideMark/>
          </w:tcPr>
          <w:p w14:paraId="61B4FB1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2.52</w:t>
            </w:r>
          </w:p>
        </w:tc>
        <w:tc>
          <w:tcPr>
            <w:tcW w:w="1843" w:type="dxa"/>
            <w:noWrap/>
            <w:vAlign w:val="bottom"/>
            <w:hideMark/>
          </w:tcPr>
          <w:p w14:paraId="7711500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2.95</w:t>
            </w:r>
          </w:p>
        </w:tc>
        <w:tc>
          <w:tcPr>
            <w:tcW w:w="2126" w:type="dxa"/>
            <w:vAlign w:val="bottom"/>
            <w:hideMark/>
          </w:tcPr>
          <w:p w14:paraId="6E38495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2.52</w:t>
            </w:r>
          </w:p>
        </w:tc>
      </w:tr>
      <w:tr w:rsidR="00B31F36" w14:paraId="5B3535BF" w14:textId="77777777" w:rsidTr="00B31F36">
        <w:trPr>
          <w:trHeight w:val="56"/>
          <w:jc w:val="center"/>
        </w:trPr>
        <w:tc>
          <w:tcPr>
            <w:tcW w:w="1253" w:type="dxa"/>
            <w:noWrap/>
            <w:vAlign w:val="bottom"/>
            <w:hideMark/>
          </w:tcPr>
          <w:p w14:paraId="484AFE99"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Action 4</w:t>
            </w:r>
          </w:p>
        </w:tc>
        <w:tc>
          <w:tcPr>
            <w:tcW w:w="1861" w:type="dxa"/>
            <w:noWrap/>
            <w:vAlign w:val="bottom"/>
            <w:hideMark/>
          </w:tcPr>
          <w:p w14:paraId="00161FA2"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2.82</w:t>
            </w:r>
          </w:p>
        </w:tc>
        <w:tc>
          <w:tcPr>
            <w:tcW w:w="2126" w:type="dxa"/>
            <w:vAlign w:val="bottom"/>
            <w:hideMark/>
          </w:tcPr>
          <w:p w14:paraId="6BC848DD"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2.40</w:t>
            </w:r>
          </w:p>
        </w:tc>
        <w:tc>
          <w:tcPr>
            <w:tcW w:w="1843" w:type="dxa"/>
            <w:noWrap/>
            <w:vAlign w:val="bottom"/>
            <w:hideMark/>
          </w:tcPr>
          <w:p w14:paraId="7DA03D45"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2.78</w:t>
            </w:r>
          </w:p>
        </w:tc>
        <w:tc>
          <w:tcPr>
            <w:tcW w:w="2126" w:type="dxa"/>
            <w:vAlign w:val="bottom"/>
            <w:hideMark/>
          </w:tcPr>
          <w:p w14:paraId="075B78C8"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2.40</w:t>
            </w:r>
          </w:p>
        </w:tc>
      </w:tr>
      <w:tr w:rsidR="00B31F36" w14:paraId="097C48EB" w14:textId="77777777" w:rsidTr="00B31F36">
        <w:trPr>
          <w:trHeight w:val="56"/>
          <w:jc w:val="center"/>
        </w:trPr>
        <w:tc>
          <w:tcPr>
            <w:tcW w:w="1253" w:type="dxa"/>
            <w:tcBorders>
              <w:top w:val="nil"/>
              <w:left w:val="nil"/>
              <w:bottom w:val="single" w:sz="2" w:space="0" w:color="auto"/>
              <w:right w:val="nil"/>
            </w:tcBorders>
            <w:noWrap/>
            <w:vAlign w:val="bottom"/>
            <w:hideMark/>
          </w:tcPr>
          <w:p w14:paraId="235BB6DB"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Action 5</w:t>
            </w:r>
          </w:p>
        </w:tc>
        <w:tc>
          <w:tcPr>
            <w:tcW w:w="1861" w:type="dxa"/>
            <w:tcBorders>
              <w:top w:val="nil"/>
              <w:left w:val="nil"/>
              <w:bottom w:val="single" w:sz="2" w:space="0" w:color="auto"/>
              <w:right w:val="nil"/>
            </w:tcBorders>
            <w:noWrap/>
            <w:vAlign w:val="bottom"/>
            <w:hideMark/>
          </w:tcPr>
          <w:p w14:paraId="1082BA91"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3.12</w:t>
            </w:r>
          </w:p>
        </w:tc>
        <w:tc>
          <w:tcPr>
            <w:tcW w:w="2126" w:type="dxa"/>
            <w:tcBorders>
              <w:top w:val="nil"/>
              <w:left w:val="nil"/>
              <w:bottom w:val="single" w:sz="2" w:space="0" w:color="auto"/>
              <w:right w:val="nil"/>
            </w:tcBorders>
            <w:vAlign w:val="bottom"/>
            <w:hideMark/>
          </w:tcPr>
          <w:p w14:paraId="023BF956"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2.68</w:t>
            </w:r>
          </w:p>
        </w:tc>
        <w:tc>
          <w:tcPr>
            <w:tcW w:w="1843" w:type="dxa"/>
            <w:tcBorders>
              <w:top w:val="nil"/>
              <w:left w:val="nil"/>
              <w:bottom w:val="single" w:sz="2" w:space="0" w:color="auto"/>
              <w:right w:val="nil"/>
            </w:tcBorders>
            <w:noWrap/>
            <w:vAlign w:val="bottom"/>
            <w:hideMark/>
          </w:tcPr>
          <w:p w14:paraId="51D9159C"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3.17</w:t>
            </w:r>
          </w:p>
        </w:tc>
        <w:tc>
          <w:tcPr>
            <w:tcW w:w="2126" w:type="dxa"/>
            <w:tcBorders>
              <w:top w:val="nil"/>
              <w:left w:val="nil"/>
              <w:bottom w:val="single" w:sz="2" w:space="0" w:color="auto"/>
              <w:right w:val="nil"/>
            </w:tcBorders>
            <w:vAlign w:val="bottom"/>
            <w:hideMark/>
          </w:tcPr>
          <w:p w14:paraId="101ED273" w14:textId="77777777" w:rsidR="00B31F36" w:rsidRDefault="00B31F36">
            <w:pPr>
              <w:spacing w:after="0" w:line="240" w:lineRule="auto"/>
              <w:jc w:val="both"/>
              <w:rPr>
                <w:rFonts w:asciiTheme="majorHAnsi" w:eastAsia="Times New Roman" w:hAnsiTheme="majorHAnsi" w:cs="Calibri"/>
                <w:color w:val="000000"/>
                <w:sz w:val="18"/>
                <w:szCs w:val="18"/>
                <w:lang w:eastAsia="fr-FR"/>
              </w:rPr>
            </w:pPr>
            <w:r>
              <w:rPr>
                <w:rFonts w:asciiTheme="majorHAnsi" w:eastAsia="Times New Roman" w:hAnsiTheme="majorHAnsi" w:cs="Calibri"/>
                <w:color w:val="000000"/>
                <w:sz w:val="18"/>
                <w:szCs w:val="18"/>
                <w:lang w:eastAsia="fr-FR"/>
              </w:rPr>
              <w:t>2.68</w:t>
            </w:r>
          </w:p>
        </w:tc>
      </w:tr>
    </w:tbl>
    <w:p w14:paraId="00060943" w14:textId="77777777" w:rsidR="00B31F36" w:rsidRDefault="00B31F36" w:rsidP="00B31F36">
      <w:pPr>
        <w:pStyle w:val="Lgende"/>
        <w:spacing w:after="0"/>
        <w:rPr>
          <w:rFonts w:asciiTheme="majorHAnsi" w:hAnsiTheme="majorHAnsi"/>
          <w:sz w:val="20"/>
          <w:szCs w:val="20"/>
        </w:rPr>
      </w:pPr>
      <w:r>
        <w:rPr>
          <w:rFonts w:asciiTheme="majorHAnsi" w:hAnsiTheme="majorHAnsi"/>
          <w:sz w:val="20"/>
          <w:szCs w:val="20"/>
        </w:rPr>
        <w:t>Source:</w:t>
      </w:r>
      <w:r>
        <w:rPr>
          <w:rFonts w:asciiTheme="majorHAnsi" w:hAnsiTheme="majorHAnsi"/>
          <w:b w:val="0"/>
          <w:bCs w:val="0"/>
          <w:sz w:val="20"/>
          <w:szCs w:val="20"/>
        </w:rPr>
        <w:t xml:space="preserve"> Authors own work.</w:t>
      </w:r>
    </w:p>
    <w:p w14:paraId="029DF110" w14:textId="77777777" w:rsidR="00B31F36" w:rsidRDefault="00B31F36" w:rsidP="00B31F36">
      <w:pPr>
        <w:spacing w:after="0" w:line="240" w:lineRule="auto"/>
        <w:jc w:val="both"/>
        <w:rPr>
          <w:rFonts w:asciiTheme="majorHAnsi" w:hAnsiTheme="majorHAnsi"/>
          <w:sz w:val="20"/>
          <w:szCs w:val="20"/>
        </w:rPr>
      </w:pPr>
    </w:p>
    <w:p w14:paraId="00359C41" w14:textId="77777777" w:rsidR="00B31F36" w:rsidRDefault="00B31F36" w:rsidP="00B31F36">
      <w:pPr>
        <w:spacing w:after="0" w:line="240" w:lineRule="auto"/>
        <w:rPr>
          <w:rFonts w:asciiTheme="majorHAnsi" w:hAnsiTheme="majorHAnsi"/>
          <w:sz w:val="20"/>
          <w:szCs w:val="20"/>
        </w:rPr>
        <w:sectPr w:rsidR="00B31F36">
          <w:type w:val="continuous"/>
          <w:pgSz w:w="11906" w:h="16838"/>
          <w:pgMar w:top="1008" w:right="1066" w:bottom="950" w:left="1166" w:header="850" w:footer="763" w:gutter="0"/>
          <w:cols w:space="720"/>
        </w:sectPr>
      </w:pPr>
    </w:p>
    <w:p w14:paraId="23B8158B"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Overall, these results indicate that, when compared to the traditional AHP technique, the model gives valuable predictions that best suit the actual performance while honoring decision makers' preferences.</w:t>
      </w:r>
    </w:p>
    <w:p w14:paraId="681F320E" w14:textId="77777777" w:rsidR="00B31F36" w:rsidRDefault="00B31F36" w:rsidP="00B31F36">
      <w:pPr>
        <w:spacing w:after="0" w:line="240" w:lineRule="auto"/>
        <w:jc w:val="both"/>
        <w:rPr>
          <w:rFonts w:asciiTheme="majorHAnsi" w:hAnsiTheme="majorHAnsi"/>
          <w:sz w:val="20"/>
          <w:szCs w:val="20"/>
        </w:rPr>
      </w:pPr>
    </w:p>
    <w:p w14:paraId="0FD040D2" w14:textId="77777777" w:rsidR="00B31F36" w:rsidRDefault="00B31F36" w:rsidP="00B31F36">
      <w:pPr>
        <w:pStyle w:val="Titre1"/>
        <w:spacing w:before="0" w:line="240" w:lineRule="auto"/>
        <w:ind w:left="180" w:hanging="180"/>
        <w:jc w:val="both"/>
        <w:rPr>
          <w:b/>
          <w:bCs/>
          <w:sz w:val="20"/>
          <w:szCs w:val="20"/>
        </w:rPr>
      </w:pPr>
      <w:r>
        <w:rPr>
          <w:b/>
          <w:bCs/>
          <w:sz w:val="20"/>
          <w:szCs w:val="20"/>
        </w:rPr>
        <w:t>Conclusions and Future Work</w:t>
      </w:r>
    </w:p>
    <w:p w14:paraId="435363D3"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The problem of multi-criteria optimization of performance, consists in finding the best possible decision among a set of available options, by proposing a modeling of the decision-making context through the definition of the important factors and their hierarchization in order to build the objective function prior to actually building a neural network capable of determining the most optimal solution.</w:t>
      </w:r>
    </w:p>
    <w:p w14:paraId="71295D95" w14:textId="77777777" w:rsidR="00B31F36" w:rsidRDefault="00B31F36" w:rsidP="00B31F36">
      <w:pPr>
        <w:spacing w:after="0" w:line="240" w:lineRule="auto"/>
        <w:jc w:val="both"/>
        <w:rPr>
          <w:rFonts w:asciiTheme="majorHAnsi" w:hAnsiTheme="majorHAnsi"/>
          <w:sz w:val="20"/>
          <w:szCs w:val="20"/>
        </w:rPr>
      </w:pPr>
    </w:p>
    <w:p w14:paraId="5AF8055A"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Industrial performance optimization is a complex process that involves choosing the most efficient options from a range of alternatives. Traditionally, this has been accomplished through a multi-criteria approach that considers multiple factors in the decision-making process. While this approach is effective to a certain extent, it has limitations that can impede its efficacy.</w:t>
      </w:r>
    </w:p>
    <w:p w14:paraId="77F24102"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To address these limitations, this paper proposes a new methodology that builds upon the classic multi-criteria approach by incorporating the Analytical Hierarchy Process (AHP) and Artificial Neural Network (ANN) methods. By using AHP to classify decisions and actions, and coupling it with ANN to refine the most efficient possibilities, this methodology simplifies tasks for decision-makers and offers more precise solutions.</w:t>
      </w:r>
    </w:p>
    <w:p w14:paraId="23B4D879" w14:textId="77777777" w:rsidR="00B31F36" w:rsidRDefault="00B31F36" w:rsidP="00B31F36">
      <w:pPr>
        <w:spacing w:after="0" w:line="240" w:lineRule="auto"/>
        <w:jc w:val="both"/>
        <w:rPr>
          <w:rFonts w:asciiTheme="majorHAnsi" w:hAnsiTheme="majorHAnsi"/>
          <w:sz w:val="20"/>
          <w:szCs w:val="20"/>
        </w:rPr>
      </w:pPr>
    </w:p>
    <w:p w14:paraId="6BE15F6A"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While this approach represents a significant advancement in industrial performance optimization, it can still be further improved through the use of artificial intelligence applications and machine learning. By incorporating these technologies, the decision-making process can become even more precise and tailored to the specific needs of an industrial application.</w:t>
      </w:r>
    </w:p>
    <w:p w14:paraId="40164DF5" w14:textId="77777777" w:rsidR="00B31F36" w:rsidRDefault="00B31F36" w:rsidP="00B31F36">
      <w:pPr>
        <w:spacing w:after="0" w:line="240" w:lineRule="auto"/>
        <w:jc w:val="both"/>
        <w:rPr>
          <w:rFonts w:asciiTheme="majorHAnsi" w:hAnsiTheme="majorHAnsi"/>
          <w:sz w:val="20"/>
          <w:szCs w:val="20"/>
        </w:rPr>
      </w:pPr>
    </w:p>
    <w:p w14:paraId="32B991F0" w14:textId="77777777" w:rsidR="00B31F36" w:rsidRDefault="00B31F36" w:rsidP="00B31F36">
      <w:pPr>
        <w:pStyle w:val="Titre1"/>
        <w:spacing w:before="0" w:line="240" w:lineRule="auto"/>
        <w:ind w:left="180" w:hanging="180"/>
        <w:jc w:val="both"/>
        <w:rPr>
          <w:b/>
          <w:bCs/>
          <w:sz w:val="20"/>
          <w:szCs w:val="20"/>
        </w:rPr>
      </w:pPr>
      <w:r>
        <w:rPr>
          <w:b/>
          <w:bCs/>
          <w:sz w:val="20"/>
          <w:szCs w:val="20"/>
        </w:rPr>
        <w:t>Acknowledgement</w:t>
      </w:r>
    </w:p>
    <w:p w14:paraId="1420672D" w14:textId="77777777" w:rsidR="00B31F36" w:rsidRDefault="00B31F36" w:rsidP="00B31F36">
      <w:pPr>
        <w:spacing w:after="0" w:line="240" w:lineRule="auto"/>
        <w:jc w:val="both"/>
        <w:rPr>
          <w:rFonts w:asciiTheme="majorHAnsi" w:hAnsiTheme="majorHAnsi" w:cstheme="majorBidi"/>
          <w:sz w:val="20"/>
          <w:szCs w:val="20"/>
        </w:rPr>
      </w:pPr>
      <w:r>
        <w:rPr>
          <w:rFonts w:asciiTheme="majorHAnsi" w:hAnsiTheme="majorHAnsi" w:cstheme="majorBidi"/>
          <w:color w:val="222222"/>
          <w:sz w:val="20"/>
          <w:szCs w:val="20"/>
          <w:shd w:val="clear" w:color="auto" w:fill="FFFFFF"/>
        </w:rPr>
        <w:t>First and foremost, we would like to thank managers and decision makers that accepted to assess our model their contributions and expertise were invaluable in helping us to shape the direction of our research and to bring our ideas to fruition.</w:t>
      </w:r>
    </w:p>
    <w:p w14:paraId="3A22EBA9" w14:textId="77777777" w:rsidR="00B31F36" w:rsidRDefault="00B31F36" w:rsidP="00B31F36">
      <w:pPr>
        <w:spacing w:after="0" w:line="240" w:lineRule="auto"/>
        <w:jc w:val="both"/>
        <w:rPr>
          <w:rFonts w:asciiTheme="majorHAnsi" w:hAnsiTheme="majorHAnsi" w:cstheme="majorBidi"/>
          <w:color w:val="222222"/>
          <w:sz w:val="20"/>
          <w:szCs w:val="20"/>
          <w:shd w:val="clear" w:color="auto" w:fill="FFFFFF"/>
        </w:rPr>
      </w:pPr>
    </w:p>
    <w:p w14:paraId="68B782B7" w14:textId="77777777" w:rsidR="00B31F36" w:rsidRDefault="00B31F36" w:rsidP="00B31F36">
      <w:pPr>
        <w:spacing w:after="0" w:line="240" w:lineRule="auto"/>
        <w:jc w:val="both"/>
        <w:rPr>
          <w:rFonts w:asciiTheme="majorHAnsi" w:hAnsiTheme="majorHAnsi" w:cstheme="majorBidi"/>
          <w:color w:val="222222"/>
          <w:sz w:val="20"/>
          <w:szCs w:val="20"/>
          <w:shd w:val="clear" w:color="auto" w:fill="FFFFFF"/>
        </w:rPr>
      </w:pPr>
      <w:r>
        <w:rPr>
          <w:rFonts w:asciiTheme="majorHAnsi" w:hAnsiTheme="majorHAnsi" w:cstheme="majorBidi"/>
          <w:color w:val="222222"/>
          <w:sz w:val="20"/>
          <w:szCs w:val="20"/>
          <w:shd w:val="clear" w:color="auto" w:fill="FFFFFF"/>
        </w:rPr>
        <w:t>We would also like to express our gratitude to the members of our research team Industrial Systems Modeling and Optimization who provided valuable input, insights, and assistance at every stage of the project. Their contributions were critical to the success of this research, and we are deeply grateful for their hard work and dedication.</w:t>
      </w:r>
    </w:p>
    <w:p w14:paraId="631E9BE4" w14:textId="77777777" w:rsidR="00B31F36" w:rsidRDefault="00B31F36" w:rsidP="00B31F36">
      <w:pPr>
        <w:pStyle w:val="Titre1"/>
        <w:numPr>
          <w:ilvl w:val="0"/>
          <w:numId w:val="6"/>
        </w:numPr>
        <w:spacing w:before="0" w:line="240" w:lineRule="auto"/>
        <w:ind w:left="270" w:hanging="270"/>
        <w:jc w:val="both"/>
        <w:rPr>
          <w:b/>
          <w:bCs/>
          <w:sz w:val="20"/>
          <w:szCs w:val="20"/>
        </w:rPr>
      </w:pPr>
      <w:r>
        <w:rPr>
          <w:b/>
          <w:bCs/>
          <w:sz w:val="20"/>
          <w:szCs w:val="20"/>
        </w:rPr>
        <w:t>Declarations</w:t>
      </w:r>
    </w:p>
    <w:p w14:paraId="284F6BDF" w14:textId="77777777" w:rsidR="00B31F36" w:rsidRDefault="00B31F36" w:rsidP="00B31F36">
      <w:pPr>
        <w:pStyle w:val="Titre2"/>
        <w:numPr>
          <w:ilvl w:val="1"/>
          <w:numId w:val="6"/>
        </w:numPr>
        <w:spacing w:before="0" w:line="240" w:lineRule="auto"/>
        <w:ind w:left="360" w:hanging="360"/>
        <w:rPr>
          <w:b/>
          <w:bCs/>
          <w:sz w:val="20"/>
          <w:szCs w:val="20"/>
        </w:rPr>
      </w:pPr>
      <w:r>
        <w:rPr>
          <w:b/>
          <w:bCs/>
          <w:sz w:val="20"/>
          <w:szCs w:val="20"/>
        </w:rPr>
        <w:t>Declaration of interests</w:t>
      </w:r>
    </w:p>
    <w:p w14:paraId="09EA0F06" w14:textId="77777777" w:rsidR="00B31F36" w:rsidRDefault="00B31F36" w:rsidP="00B31F36">
      <w:pPr>
        <w:spacing w:after="0" w:line="240" w:lineRule="auto"/>
        <w:jc w:val="both"/>
        <w:rPr>
          <w:rFonts w:asciiTheme="majorHAnsi" w:hAnsiTheme="majorHAnsi"/>
          <w:sz w:val="20"/>
          <w:szCs w:val="20"/>
        </w:rPr>
      </w:pPr>
    </w:p>
    <w:p w14:paraId="734F17D1" w14:textId="77777777" w:rsidR="00B31F36" w:rsidRDefault="00B31F36" w:rsidP="00B31F36">
      <w:pPr>
        <w:spacing w:after="0" w:line="240" w:lineRule="auto"/>
        <w:jc w:val="both"/>
        <w:rPr>
          <w:rFonts w:asciiTheme="majorHAnsi" w:hAnsiTheme="majorHAnsi" w:cs="Times New Roman"/>
          <w:sz w:val="20"/>
          <w:szCs w:val="20"/>
        </w:rPr>
      </w:pPr>
      <w:r>
        <w:rPr>
          <w:rFonts w:asciiTheme="majorHAnsi" w:hAnsiTheme="majorHAnsi" w:cs="Times New Roman"/>
          <w:sz w:val="20"/>
          <w:szCs w:val="20"/>
        </w:rPr>
        <w:t>The authors declare that they have no known competing financial interests or personal relationships that could have appeared to influence the work reported in this paper.</w:t>
      </w:r>
    </w:p>
    <w:p w14:paraId="3C51A76F" w14:textId="77777777" w:rsidR="00B31F36" w:rsidRDefault="00B31F36" w:rsidP="00B31F36">
      <w:pPr>
        <w:spacing w:after="0" w:line="240" w:lineRule="auto"/>
        <w:jc w:val="both"/>
        <w:rPr>
          <w:rFonts w:asciiTheme="majorHAnsi" w:hAnsiTheme="majorHAnsi"/>
          <w:sz w:val="20"/>
          <w:szCs w:val="20"/>
        </w:rPr>
      </w:pPr>
    </w:p>
    <w:p w14:paraId="23912691" w14:textId="77777777" w:rsidR="00B31F36" w:rsidRDefault="00B31F36" w:rsidP="00B31F36">
      <w:pPr>
        <w:pStyle w:val="Titre2"/>
        <w:numPr>
          <w:ilvl w:val="1"/>
          <w:numId w:val="6"/>
        </w:numPr>
        <w:spacing w:before="0" w:line="240" w:lineRule="auto"/>
        <w:ind w:left="360" w:hanging="360"/>
        <w:rPr>
          <w:b/>
          <w:bCs/>
          <w:sz w:val="20"/>
          <w:szCs w:val="20"/>
        </w:rPr>
      </w:pPr>
      <w:r>
        <w:rPr>
          <w:b/>
          <w:bCs/>
          <w:sz w:val="20"/>
          <w:szCs w:val="20"/>
        </w:rPr>
        <w:t>Fundings</w:t>
      </w:r>
    </w:p>
    <w:p w14:paraId="128148F8" w14:textId="77777777" w:rsidR="00B31F36" w:rsidRDefault="00B31F36" w:rsidP="00B31F36">
      <w:pPr>
        <w:spacing w:after="0" w:line="240" w:lineRule="auto"/>
        <w:jc w:val="both"/>
        <w:rPr>
          <w:rFonts w:asciiTheme="majorHAnsi" w:hAnsiTheme="majorHAnsi"/>
          <w:sz w:val="20"/>
          <w:szCs w:val="20"/>
        </w:rPr>
      </w:pPr>
    </w:p>
    <w:p w14:paraId="04D8FFBB" w14:textId="77777777" w:rsidR="00B31F36" w:rsidRDefault="00B31F36" w:rsidP="00B31F36">
      <w:pPr>
        <w:spacing w:after="0" w:line="240" w:lineRule="auto"/>
        <w:jc w:val="both"/>
        <w:rPr>
          <w:rFonts w:asciiTheme="majorHAnsi" w:hAnsiTheme="majorHAnsi"/>
          <w:sz w:val="20"/>
          <w:szCs w:val="20"/>
        </w:rPr>
      </w:pPr>
      <w:r>
        <w:rPr>
          <w:rFonts w:asciiTheme="majorHAnsi" w:hAnsiTheme="majorHAnsi"/>
          <w:sz w:val="20"/>
          <w:szCs w:val="20"/>
        </w:rPr>
        <w:t>This research work has not received any funding from whatsoever organization</w:t>
      </w:r>
    </w:p>
    <w:p w14:paraId="13D74DCD" w14:textId="77777777" w:rsidR="00B31F36" w:rsidRDefault="00B31F36" w:rsidP="00B31F36">
      <w:pPr>
        <w:spacing w:after="0" w:line="240" w:lineRule="auto"/>
        <w:jc w:val="both"/>
        <w:rPr>
          <w:rFonts w:asciiTheme="majorHAnsi" w:hAnsiTheme="majorHAnsi"/>
          <w:sz w:val="20"/>
          <w:szCs w:val="20"/>
        </w:rPr>
      </w:pPr>
    </w:p>
    <w:p w14:paraId="45D07309" w14:textId="77777777" w:rsidR="00B31F36" w:rsidRDefault="00B31F36" w:rsidP="00B31F36">
      <w:pPr>
        <w:pStyle w:val="Titre2"/>
        <w:numPr>
          <w:ilvl w:val="1"/>
          <w:numId w:val="6"/>
        </w:numPr>
        <w:spacing w:before="0" w:line="240" w:lineRule="auto"/>
        <w:ind w:left="360" w:hanging="360"/>
        <w:rPr>
          <w:b/>
          <w:bCs/>
          <w:sz w:val="20"/>
          <w:szCs w:val="20"/>
        </w:rPr>
      </w:pPr>
      <w:r>
        <w:rPr>
          <w:b/>
          <w:bCs/>
          <w:sz w:val="20"/>
          <w:szCs w:val="20"/>
        </w:rPr>
        <w:t>Data availability statement</w:t>
      </w:r>
    </w:p>
    <w:p w14:paraId="68D9F7A2" w14:textId="77777777" w:rsidR="00B31F36" w:rsidRDefault="00B31F36" w:rsidP="00B31F36">
      <w:pPr>
        <w:spacing w:after="0" w:line="240" w:lineRule="auto"/>
        <w:jc w:val="both"/>
        <w:rPr>
          <w:rFonts w:asciiTheme="majorHAnsi" w:hAnsiTheme="majorHAnsi"/>
          <w:sz w:val="20"/>
          <w:szCs w:val="20"/>
        </w:rPr>
      </w:pPr>
    </w:p>
    <w:p w14:paraId="0CFDFA1D" w14:textId="77777777" w:rsidR="00B31F36" w:rsidRDefault="00B31F36" w:rsidP="00B31F36">
      <w:pPr>
        <w:spacing w:after="0" w:line="240" w:lineRule="auto"/>
        <w:jc w:val="both"/>
        <w:rPr>
          <w:rFonts w:asciiTheme="majorHAnsi" w:hAnsiTheme="majorHAnsi" w:cstheme="majorBidi"/>
          <w:color w:val="222222"/>
          <w:sz w:val="20"/>
          <w:szCs w:val="20"/>
          <w:shd w:val="clear" w:color="auto" w:fill="FFFFFF"/>
        </w:rPr>
      </w:pPr>
      <w:r>
        <w:rPr>
          <w:rFonts w:asciiTheme="majorHAnsi" w:hAnsiTheme="majorHAnsi"/>
          <w:sz w:val="20"/>
          <w:szCs w:val="20"/>
        </w:rPr>
        <w:t>The data that support the findings of this study are available on request from the corresponding author HM</w:t>
      </w:r>
    </w:p>
    <w:p w14:paraId="0670F278" w14:textId="77777777" w:rsidR="00B31F36" w:rsidRDefault="00B31F36" w:rsidP="00B31F36">
      <w:pPr>
        <w:spacing w:after="0" w:line="240" w:lineRule="auto"/>
        <w:jc w:val="both"/>
        <w:rPr>
          <w:rFonts w:asciiTheme="majorHAnsi" w:hAnsiTheme="majorHAnsi"/>
          <w:sz w:val="20"/>
          <w:szCs w:val="20"/>
        </w:rPr>
      </w:pPr>
    </w:p>
    <w:p w14:paraId="3612A775" w14:textId="77777777" w:rsidR="00B31F36" w:rsidRDefault="00B31F36" w:rsidP="00B31F36">
      <w:pPr>
        <w:pStyle w:val="Titre1"/>
        <w:spacing w:before="0" w:line="240" w:lineRule="auto"/>
        <w:ind w:left="180" w:hanging="180"/>
        <w:jc w:val="both"/>
        <w:rPr>
          <w:b/>
          <w:bCs/>
          <w:sz w:val="20"/>
          <w:szCs w:val="20"/>
        </w:rPr>
      </w:pPr>
      <w:r>
        <w:rPr>
          <w:b/>
          <w:bCs/>
          <w:sz w:val="20"/>
          <w:szCs w:val="20"/>
        </w:rPr>
        <w:t>References</w:t>
      </w:r>
    </w:p>
    <w:p w14:paraId="04AF0062"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Aziz, N.F., Sorooshian, S., Mahmud, F., 2016. MCDM-AHP METHOD IN DECISION MAKINGS 11.</w:t>
      </w:r>
    </w:p>
    <w:p w14:paraId="48AE7104"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Banja, V., 2020. Artificial Intelligence Techniques in Business Decision Making.</w:t>
      </w:r>
    </w:p>
    <w:p w14:paraId="67326FE1" w14:textId="77777777" w:rsidR="00B31F36" w:rsidRDefault="00B31F36" w:rsidP="00B31F36">
      <w:pPr>
        <w:pStyle w:val="Paragraphedelist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Capgemini Research Institute. (2018). Digital Mastery Survey; April–May 2018, N=1,338 respondents, 757 organizations.</w:t>
      </w:r>
    </w:p>
    <w:p w14:paraId="14FB0B3E" w14:textId="77777777" w:rsidR="00B31F36" w:rsidRDefault="00B31F36" w:rsidP="00B31F36">
      <w:pPr>
        <w:pStyle w:val="Paragraphedelist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Cagno, E., Neri, A., Howard, M., Brenna, G., Trianni, A., 2019. Industrial sustainability performance measurement systems: A novel framework. J. Clean. Prod. 230, 1354–1375. https://doi.org/10.1016/j.jclepro.2019.05.021</w:t>
      </w:r>
    </w:p>
    <w:p w14:paraId="7DEB10B4"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Dos Santos, P.H., Neves, S.M., Sant’Anna, D.O., Oliveira, C.H. de, Carvalho, H.D., 2019. The analytic hierarchy process supporting decision making for sustainable development: An overview of applications. J. Clean. Prod. 212, 119–138. https://doi.org/10.1016/j.jclepro.2018.11.270</w:t>
      </w:r>
    </w:p>
    <w:p w14:paraId="3DECB8A9"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Duman, G.M., El-Sayed, A., Kongar, E., Gupta, S.M., 2020. An Intelligent Multiattribute Group Decision-Making Approach With Preference Elicitation for Performance Evaluation. IEEE Trans. Eng. Manag. 67, 885–901. https://doi.org/10.1109/TEM.2019.2900936</w:t>
      </w:r>
    </w:p>
    <w:p w14:paraId="3D74FB32"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Durão, L.F.C.S., Carvalho, M.M., Takey, S., Cauchick-Miguel, P.A., Zancul, E., 2018. Internet of Things process selection: AHP selection method. Int. J. Adv. Manuf. Technol. 99, 2623–2634. https://doi.org/10.1007/s00170-018-2617-2</w:t>
      </w:r>
    </w:p>
    <w:p w14:paraId="4BD571CC"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Dweiri, F., Kumar, S., Khan, S.A., Jain, V., 2016. Designing an integrated AHP based decision support system for supplier selection in automotive industry. Expert Syst. Appl. 62, 273–283. https://doi.org/10.1016/j.eswa.2016.06.030</w:t>
      </w:r>
    </w:p>
    <w:p w14:paraId="567B87A2"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Graham, I., Goodall, P., Peng, Y., Palmer, C., West, A., Conway, P., Mascolo, J.E., Dettmer, F.U., 2015. Performance measurement and KPIs for remanufacturing. J. Remanufacturing 5, 10. https://doi.org/10.1186/s13243-015-0019-2</w:t>
      </w:r>
    </w:p>
    <w:p w14:paraId="5C0F3A9A"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Kaplan, R.S., Norton, D.P., 2005. The balanced scorecard: measures that drive performance. Harvard business review US.</w:t>
      </w:r>
    </w:p>
    <w:p w14:paraId="4F47FD3C"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Kaplan, R.S., Norton, D.P., 1996. The balanced scorecard: translating strategy into action. Harvard business press.</w:t>
      </w:r>
    </w:p>
    <w:p w14:paraId="17CAD817"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lang w:val="fr-FR"/>
        </w:rPr>
      </w:pPr>
      <w:r>
        <w:rPr>
          <w:rFonts w:asciiTheme="majorHAnsi" w:hAnsiTheme="majorHAnsi"/>
          <w:sz w:val="20"/>
          <w:szCs w:val="20"/>
        </w:rPr>
        <w:t xml:space="preserve">Li, C., Chen, Y., Shang, Y., 2022. A review of industrial big data for decision making in intelligent manufacturing. </w:t>
      </w:r>
      <w:r>
        <w:rPr>
          <w:rFonts w:asciiTheme="majorHAnsi" w:hAnsiTheme="majorHAnsi"/>
          <w:sz w:val="20"/>
          <w:szCs w:val="20"/>
          <w:lang w:val="fr-FR"/>
        </w:rPr>
        <w:t xml:space="preserve">Eng. </w:t>
      </w:r>
      <w:proofErr w:type="spellStart"/>
      <w:r>
        <w:rPr>
          <w:rFonts w:asciiTheme="majorHAnsi" w:hAnsiTheme="majorHAnsi"/>
          <w:sz w:val="20"/>
          <w:szCs w:val="20"/>
          <w:lang w:val="fr-FR"/>
        </w:rPr>
        <w:t>Sci</w:t>
      </w:r>
      <w:proofErr w:type="spellEnd"/>
      <w:r>
        <w:rPr>
          <w:rFonts w:asciiTheme="majorHAnsi" w:hAnsiTheme="majorHAnsi"/>
          <w:sz w:val="20"/>
          <w:szCs w:val="20"/>
          <w:lang w:val="fr-FR"/>
        </w:rPr>
        <w:t xml:space="preserve">. </w:t>
      </w:r>
      <w:proofErr w:type="spellStart"/>
      <w:r>
        <w:rPr>
          <w:rFonts w:asciiTheme="majorHAnsi" w:hAnsiTheme="majorHAnsi"/>
          <w:sz w:val="20"/>
          <w:szCs w:val="20"/>
          <w:lang w:val="fr-FR"/>
        </w:rPr>
        <w:t>Technol</w:t>
      </w:r>
      <w:proofErr w:type="spellEnd"/>
      <w:r>
        <w:rPr>
          <w:rFonts w:asciiTheme="majorHAnsi" w:hAnsiTheme="majorHAnsi"/>
          <w:sz w:val="20"/>
          <w:szCs w:val="20"/>
          <w:lang w:val="fr-FR"/>
        </w:rPr>
        <w:t>. Int. J. 29. https://doi.org/10.1016/j.jestch.2021.06.001</w:t>
      </w:r>
    </w:p>
    <w:p w14:paraId="5BD0B668"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lang w:val="fr-FR"/>
        </w:rPr>
        <w:t xml:space="preserve">Lima, E., Gorski, E., Loures, E.F.R., Santos, E.A.P., Deschamps, F., 2019. </w:t>
      </w:r>
      <w:r>
        <w:rPr>
          <w:rFonts w:asciiTheme="majorHAnsi" w:hAnsiTheme="majorHAnsi"/>
          <w:sz w:val="20"/>
          <w:szCs w:val="20"/>
        </w:rPr>
        <w:t>Applying machine learning to AHP multicriteria decision making method to assets prioritization in the context of industrial maintenance 4.0. IFAC-Pap. 52, 2152–2157. https://doi.org/10.1016/j.ifacol.2019.11.524</w:t>
      </w:r>
    </w:p>
    <w:p w14:paraId="70F29BA1"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proofErr w:type="spellStart"/>
      <w:r>
        <w:rPr>
          <w:rFonts w:asciiTheme="majorHAnsi" w:hAnsiTheme="majorHAnsi"/>
          <w:sz w:val="20"/>
          <w:szCs w:val="20"/>
          <w:lang w:val="fr-FR"/>
        </w:rPr>
        <w:t>Mourtzis</w:t>
      </w:r>
      <w:proofErr w:type="spellEnd"/>
      <w:r>
        <w:rPr>
          <w:rFonts w:asciiTheme="majorHAnsi" w:hAnsiTheme="majorHAnsi"/>
          <w:sz w:val="20"/>
          <w:szCs w:val="20"/>
          <w:lang w:val="fr-FR"/>
        </w:rPr>
        <w:t xml:space="preserve">, D., </w:t>
      </w:r>
      <w:proofErr w:type="spellStart"/>
      <w:r>
        <w:rPr>
          <w:rFonts w:asciiTheme="majorHAnsi" w:hAnsiTheme="majorHAnsi"/>
          <w:sz w:val="20"/>
          <w:szCs w:val="20"/>
          <w:lang w:val="fr-FR"/>
        </w:rPr>
        <w:t>Papatheodorou</w:t>
      </w:r>
      <w:proofErr w:type="spellEnd"/>
      <w:r>
        <w:rPr>
          <w:rFonts w:asciiTheme="majorHAnsi" w:hAnsiTheme="majorHAnsi"/>
          <w:sz w:val="20"/>
          <w:szCs w:val="20"/>
          <w:lang w:val="fr-FR"/>
        </w:rPr>
        <w:t xml:space="preserve">, A.-M., </w:t>
      </w:r>
      <w:proofErr w:type="spellStart"/>
      <w:r>
        <w:rPr>
          <w:rFonts w:asciiTheme="majorHAnsi" w:hAnsiTheme="majorHAnsi"/>
          <w:sz w:val="20"/>
          <w:szCs w:val="20"/>
          <w:lang w:val="fr-FR"/>
        </w:rPr>
        <w:t>Fotia</w:t>
      </w:r>
      <w:proofErr w:type="spellEnd"/>
      <w:r>
        <w:rPr>
          <w:rFonts w:asciiTheme="majorHAnsi" w:hAnsiTheme="majorHAnsi"/>
          <w:sz w:val="20"/>
          <w:szCs w:val="20"/>
          <w:lang w:val="fr-FR"/>
        </w:rPr>
        <w:t xml:space="preserve">, S., 2018. </w:t>
      </w:r>
      <w:r>
        <w:rPr>
          <w:rFonts w:asciiTheme="majorHAnsi" w:hAnsiTheme="majorHAnsi"/>
          <w:sz w:val="20"/>
          <w:szCs w:val="20"/>
        </w:rPr>
        <w:t>Development of a Key Performance Indicator Assessment Methodology and Software Tool for Product-Service System Evaluation and Decision-Making Support. J. Comput. Inf. Sci. Eng. 18, 041005. https://doi.org/10.1115/1.4040340</w:t>
      </w:r>
    </w:p>
    <w:p w14:paraId="26496640"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Munier, N., Hontoria, E., 2021. Uses and Limitations of the AHP Method: A Non-Mathematical and Rational Analysis, Management for Professionals. Springer International Publishing, Cham. https://doi.org/10.1007/978-3-030-60392-2</w:t>
      </w:r>
    </w:p>
    <w:p w14:paraId="68E47B57"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Saaty, T.L., 2008. Decision making with the analytic hierarchy process. Int. J. Serv. Sci. 1, 83–98.</w:t>
      </w:r>
    </w:p>
    <w:p w14:paraId="205CAD7F"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Tufegdžić, M., Jovičić, G., Trajanović, M., Pravdić, P., 2020. Company’s performance prediction using Balanced Scorecard software and neural networks as a tool for strategic management 6.</w:t>
      </w:r>
    </w:p>
    <w:p w14:paraId="1E78A267" w14:textId="77777777" w:rsidR="00B31F36" w:rsidRDefault="00B31F36" w:rsidP="00B31F36">
      <w:pPr>
        <w:pStyle w:val="Bibliographie"/>
        <w:numPr>
          <w:ilvl w:val="0"/>
          <w:numId w:val="7"/>
        </w:numPr>
        <w:spacing w:after="0" w:line="240" w:lineRule="auto"/>
        <w:ind w:left="360"/>
        <w:jc w:val="both"/>
        <w:rPr>
          <w:rFonts w:asciiTheme="majorHAnsi" w:hAnsiTheme="majorHAnsi"/>
          <w:sz w:val="20"/>
          <w:szCs w:val="20"/>
        </w:rPr>
      </w:pPr>
      <w:r>
        <w:rPr>
          <w:rFonts w:asciiTheme="majorHAnsi" w:hAnsiTheme="majorHAnsi"/>
          <w:sz w:val="20"/>
          <w:szCs w:val="20"/>
        </w:rPr>
        <w:t>Wu, J.-Z., Tiao, P.-J., 2018. A validation scheme for intelligent and effective multiple criteria decision-making. Appl. Soft Comput. 68, 866–872. https://doi.org/10.1016/j.asoc.2017.04.054</w:t>
      </w:r>
    </w:p>
    <w:p w14:paraId="14FB04EA" w14:textId="77777777" w:rsidR="00B31F36" w:rsidRDefault="00B31F36" w:rsidP="00B31F36"/>
    <w:p w14:paraId="7CF84106" w14:textId="77777777" w:rsidR="00B31F36" w:rsidRDefault="00B31F36" w:rsidP="00B31F36"/>
    <w:p w14:paraId="5AE36FF9" w14:textId="77777777" w:rsidR="00B31F36" w:rsidRDefault="00B31F36" w:rsidP="00B31F36"/>
    <w:p w14:paraId="624B99C4" w14:textId="77777777" w:rsidR="00B31F36" w:rsidRDefault="00B31F36" w:rsidP="00B31F36"/>
    <w:p w14:paraId="0956ED24" w14:textId="77777777" w:rsidR="00B31F36" w:rsidRDefault="00B31F36" w:rsidP="00B31F36"/>
    <w:p w14:paraId="66D437FF" w14:textId="77777777" w:rsidR="00B31F36" w:rsidRDefault="00B31F36" w:rsidP="00B31F36"/>
    <w:p w14:paraId="76751B22" w14:textId="77777777" w:rsidR="00B31F36" w:rsidRDefault="00B31F36" w:rsidP="00B31F36"/>
    <w:p w14:paraId="059EDDF8" w14:textId="77777777" w:rsidR="00B31F36" w:rsidRDefault="00B31F36" w:rsidP="00B31F36"/>
    <w:p w14:paraId="3AB614E3" w14:textId="77777777" w:rsidR="00B31F36" w:rsidRDefault="00B31F36" w:rsidP="00B31F36"/>
    <w:p w14:paraId="764C1F3B" w14:textId="77777777" w:rsidR="00B31F36" w:rsidRDefault="00B31F36" w:rsidP="00B31F36"/>
    <w:p w14:paraId="6157014F" w14:textId="77777777" w:rsidR="00B31F36" w:rsidRDefault="00B31F36" w:rsidP="00B31F36"/>
    <w:p w14:paraId="61DA1CAC" w14:textId="77777777" w:rsidR="00B31F36" w:rsidRDefault="00B31F36" w:rsidP="00B31F36"/>
    <w:p w14:paraId="078ADEAF" w14:textId="77777777" w:rsidR="00B31F36" w:rsidRDefault="00B31F36" w:rsidP="00B31F36"/>
    <w:p w14:paraId="758D9E23" w14:textId="77777777" w:rsidR="00B31F36" w:rsidRDefault="00B31F36" w:rsidP="00B31F36"/>
    <w:p w14:paraId="54F89841" w14:textId="77777777" w:rsidR="00B31F36" w:rsidRDefault="00B31F36" w:rsidP="00B31F36"/>
    <w:p w14:paraId="5FF5D30C" w14:textId="77777777" w:rsidR="00B31F36" w:rsidRDefault="00B31F36" w:rsidP="00B31F36"/>
    <w:p w14:paraId="74AE609A" w14:textId="77777777" w:rsidR="00B31F36" w:rsidRDefault="00B31F36" w:rsidP="00B31F36"/>
    <w:p w14:paraId="60BCEDB4" w14:textId="77777777" w:rsidR="00B31F36" w:rsidRDefault="00B31F36" w:rsidP="00B31F36"/>
    <w:p w14:paraId="4AF7F2AC" w14:textId="77777777" w:rsidR="00B31F36" w:rsidRDefault="00B31F36" w:rsidP="00B31F36"/>
    <w:p w14:paraId="252599FC" w14:textId="77777777" w:rsidR="00B31F36" w:rsidRDefault="00B31F36" w:rsidP="00B31F36"/>
    <w:p w14:paraId="2E9128CC" w14:textId="77777777" w:rsidR="00B31F36" w:rsidRDefault="00B31F36" w:rsidP="00B31F36"/>
    <w:p w14:paraId="11D6E232" w14:textId="77777777" w:rsidR="00B31F36" w:rsidRDefault="00B31F36" w:rsidP="00B31F36"/>
    <w:p w14:paraId="7BB04199" w14:textId="77777777" w:rsidR="00B31F36" w:rsidRDefault="00B31F36" w:rsidP="00B31F36"/>
    <w:p w14:paraId="33D17595" w14:textId="77777777" w:rsidR="00B31F36" w:rsidRDefault="00B31F36" w:rsidP="00B31F36"/>
    <w:p w14:paraId="0598974B" w14:textId="77777777" w:rsidR="00B31F36" w:rsidRDefault="00B31F36" w:rsidP="00B31F36"/>
    <w:p w14:paraId="49F0DAA2" w14:textId="77777777" w:rsidR="00B31F36" w:rsidRDefault="00B31F36" w:rsidP="00B31F36"/>
    <w:p w14:paraId="38005025" w14:textId="77777777" w:rsidR="00B31F36" w:rsidRDefault="00B31F36" w:rsidP="00B31F36"/>
    <w:p w14:paraId="7F0F665E" w14:textId="77777777" w:rsidR="00B31F36" w:rsidRDefault="00B31F36" w:rsidP="00B31F36">
      <w:pPr>
        <w:spacing w:after="0"/>
        <w:sectPr w:rsidR="00B31F36">
          <w:type w:val="continuous"/>
          <w:pgSz w:w="11906" w:h="16838"/>
          <w:pgMar w:top="1008" w:right="1066" w:bottom="950" w:left="1166" w:header="850" w:footer="763" w:gutter="0"/>
          <w:cols w:num="2" w:space="720"/>
        </w:sectPr>
      </w:pPr>
    </w:p>
    <w:p w14:paraId="0CD71691" w14:textId="77777777" w:rsidR="00B31F36" w:rsidRDefault="00B31F36" w:rsidP="00B31F36"/>
    <w:p w14:paraId="7337E8FF" w14:textId="77777777" w:rsidR="00E51C41" w:rsidRDefault="00E51C41"/>
    <w:sectPr w:rsidR="00E51C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21E72"/>
    <w:multiLevelType w:val="hybridMultilevel"/>
    <w:tmpl w:val="8932CB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FBC7523"/>
    <w:multiLevelType w:val="hybridMultilevel"/>
    <w:tmpl w:val="16369D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4351108"/>
    <w:multiLevelType w:val="hybridMultilevel"/>
    <w:tmpl w:val="BC28C19A"/>
    <w:lvl w:ilvl="0" w:tplc="9178547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DF34243"/>
    <w:multiLevelType w:val="multilevel"/>
    <w:tmpl w:val="167C06E4"/>
    <w:lvl w:ilvl="0">
      <w:start w:val="1"/>
      <w:numFmt w:val="decimal"/>
      <w:pStyle w:val="Titre1"/>
      <w:lvlText w:val="%1."/>
      <w:lvlJc w:val="left"/>
      <w:pPr>
        <w:ind w:left="360" w:hanging="360"/>
      </w:pPr>
    </w:lvl>
    <w:lvl w:ilvl="1">
      <w:start w:val="1"/>
      <w:numFmt w:val="decimal"/>
      <w:pStyle w:val="Titre2"/>
      <w:lvlText w:val="%1.%2."/>
      <w:lvlJc w:val="left"/>
      <w:pPr>
        <w:ind w:left="3693"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ABB2DE5"/>
    <w:multiLevelType w:val="hybridMultilevel"/>
    <w:tmpl w:val="CAF82088"/>
    <w:lvl w:ilvl="0" w:tplc="3278A610">
      <w:numFmt w:val="bullet"/>
      <w:lvlText w:val="-"/>
      <w:lvlJc w:val="left"/>
      <w:pPr>
        <w:ind w:left="360" w:hanging="360"/>
      </w:pPr>
      <w:rPr>
        <w:rFonts w:ascii="Calibri" w:eastAsiaTheme="minorHAnsi" w:hAnsi="Calibri" w:cs="Calibri"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8339847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31867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3020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06117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7438781">
    <w:abstractNumId w:val="2"/>
  </w:num>
  <w:num w:numId="6" w16cid:durableId="16143666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0840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F36"/>
    <w:rsid w:val="00447DB4"/>
    <w:rsid w:val="00546719"/>
    <w:rsid w:val="00B31F36"/>
    <w:rsid w:val="00E51C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5B9E"/>
  <w15:chartTrackingRefBased/>
  <w15:docId w15:val="{D7962A4F-A1DA-4AA6-A40E-EF6F05CB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F36"/>
    <w:pPr>
      <w:spacing w:after="200" w:line="276" w:lineRule="auto"/>
    </w:pPr>
    <w:rPr>
      <w:lang w:val="en-US"/>
    </w:rPr>
  </w:style>
  <w:style w:type="paragraph" w:styleId="Titre1">
    <w:name w:val="heading 1"/>
    <w:basedOn w:val="Normal"/>
    <w:next w:val="Normal"/>
    <w:link w:val="Titre1Car"/>
    <w:uiPriority w:val="9"/>
    <w:qFormat/>
    <w:rsid w:val="00B31F36"/>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Titre2">
    <w:name w:val="heading 2"/>
    <w:basedOn w:val="Titre1"/>
    <w:next w:val="Normal"/>
    <w:link w:val="Titre2Car"/>
    <w:uiPriority w:val="9"/>
    <w:semiHidden/>
    <w:unhideWhenUsed/>
    <w:qFormat/>
    <w:rsid w:val="00B31F36"/>
    <w:pPr>
      <w:numPr>
        <w:ilvl w:val="1"/>
      </w:numPr>
      <w:ind w:left="709"/>
      <w:jc w:val="both"/>
      <w:outlineLvl w:val="1"/>
    </w:pPr>
    <w:rPr>
      <w:sz w:val="28"/>
      <w:szCs w:val="28"/>
    </w:rPr>
  </w:style>
  <w:style w:type="paragraph" w:styleId="Titre3">
    <w:name w:val="heading 3"/>
    <w:basedOn w:val="Titre2"/>
    <w:next w:val="Normal"/>
    <w:link w:val="Titre3Car"/>
    <w:uiPriority w:val="9"/>
    <w:semiHidden/>
    <w:unhideWhenUsed/>
    <w:qFormat/>
    <w:rsid w:val="00B31F36"/>
    <w:pPr>
      <w:numPr>
        <w:ilvl w:val="2"/>
      </w:num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1F36"/>
    <w:rPr>
      <w:rFonts w:asciiTheme="majorHAnsi" w:eastAsiaTheme="majorEastAsia" w:hAnsiTheme="majorHAnsi" w:cstheme="majorBidi"/>
      <w:color w:val="000000" w:themeColor="text1"/>
      <w:sz w:val="32"/>
      <w:szCs w:val="32"/>
      <w:lang w:val="en-US"/>
    </w:rPr>
  </w:style>
  <w:style w:type="character" w:customStyle="1" w:styleId="Titre2Car">
    <w:name w:val="Titre 2 Car"/>
    <w:basedOn w:val="Policepardfaut"/>
    <w:link w:val="Titre2"/>
    <w:uiPriority w:val="9"/>
    <w:semiHidden/>
    <w:rsid w:val="00B31F36"/>
    <w:rPr>
      <w:rFonts w:asciiTheme="majorHAnsi" w:eastAsiaTheme="majorEastAsia" w:hAnsiTheme="majorHAnsi" w:cstheme="majorBidi"/>
      <w:color w:val="000000" w:themeColor="text1"/>
      <w:sz w:val="28"/>
      <w:szCs w:val="28"/>
      <w:lang w:val="en-US"/>
    </w:rPr>
  </w:style>
  <w:style w:type="character" w:customStyle="1" w:styleId="Titre3Car">
    <w:name w:val="Titre 3 Car"/>
    <w:basedOn w:val="Policepardfaut"/>
    <w:link w:val="Titre3"/>
    <w:uiPriority w:val="9"/>
    <w:semiHidden/>
    <w:rsid w:val="00B31F36"/>
    <w:rPr>
      <w:rFonts w:asciiTheme="majorHAnsi" w:eastAsiaTheme="majorEastAsia" w:hAnsiTheme="majorHAnsi" w:cstheme="majorBidi"/>
      <w:color w:val="000000" w:themeColor="text1"/>
      <w:sz w:val="28"/>
      <w:szCs w:val="28"/>
      <w:lang w:val="en-US"/>
    </w:rPr>
  </w:style>
  <w:style w:type="character" w:styleId="Lienhypertexte">
    <w:name w:val="Hyperlink"/>
    <w:basedOn w:val="Policepardfaut"/>
    <w:uiPriority w:val="99"/>
    <w:semiHidden/>
    <w:unhideWhenUsed/>
    <w:rsid w:val="00B31F36"/>
    <w:rPr>
      <w:color w:val="0563C1" w:themeColor="hyperlink"/>
      <w:u w:val="single"/>
    </w:rPr>
  </w:style>
  <w:style w:type="paragraph" w:styleId="Lgende">
    <w:name w:val="caption"/>
    <w:basedOn w:val="Normal"/>
    <w:next w:val="Normal"/>
    <w:uiPriority w:val="35"/>
    <w:semiHidden/>
    <w:unhideWhenUsed/>
    <w:qFormat/>
    <w:rsid w:val="00B31F36"/>
    <w:pPr>
      <w:spacing w:line="240" w:lineRule="auto"/>
      <w:jc w:val="center"/>
    </w:pPr>
    <w:rPr>
      <w:b/>
      <w:bCs/>
      <w:i/>
      <w:iCs/>
      <w:color w:val="000000" w:themeColor="text1"/>
      <w:sz w:val="18"/>
      <w:szCs w:val="18"/>
    </w:rPr>
  </w:style>
  <w:style w:type="paragraph" w:styleId="Paragraphedeliste">
    <w:name w:val="List Paragraph"/>
    <w:basedOn w:val="Normal"/>
    <w:uiPriority w:val="34"/>
    <w:qFormat/>
    <w:rsid w:val="00B31F36"/>
    <w:pPr>
      <w:ind w:left="720"/>
      <w:contextualSpacing/>
    </w:pPr>
  </w:style>
  <w:style w:type="paragraph" w:styleId="Bibliographie">
    <w:name w:val="Bibliography"/>
    <w:basedOn w:val="Normal"/>
    <w:next w:val="Normal"/>
    <w:uiPriority w:val="37"/>
    <w:semiHidden/>
    <w:unhideWhenUsed/>
    <w:rsid w:val="00B31F36"/>
  </w:style>
  <w:style w:type="table" w:styleId="Grilledutableau">
    <w:name w:val="Table Grid"/>
    <w:basedOn w:val="TableauNormal"/>
    <w:uiPriority w:val="59"/>
    <w:rsid w:val="00B31F36"/>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79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chart" Target="charts/chart1.xml" /><Relationship Id="rId11" Type="http://schemas.openxmlformats.org/officeDocument/2006/relationships/fontTable" Target="fontTable.xml" /><Relationship Id="rId5" Type="http://schemas.openxmlformats.org/officeDocument/2006/relationships/hyperlink" Target="mailto:hala.mellouli-etu@etu.univh2c.ma" TargetMode="External" /><Relationship Id="rId10" Type="http://schemas.openxmlformats.org/officeDocument/2006/relationships/image" Target="media/image4.png" /><Relationship Id="rId4" Type="http://schemas.openxmlformats.org/officeDocument/2006/relationships/webSettings" Target="webSettings.xml" /><Relationship Id="rId9" Type="http://schemas.openxmlformats.org/officeDocument/2006/relationships/image" Target="media/image3.png" /></Relationships>
</file>

<file path=word/charts/_rels/chart1.xml.rels><?xml version="1.0" encoding="UTF-8" standalone="yes"?>
<Relationships xmlns="http://schemas.openxmlformats.org/package/2006/relationships"><Relationship Id="rId3" Type="http://schemas.openxmlformats.org/officeDocument/2006/relationships/oleObject" Target="Classeur1" TargetMode="External" /><Relationship Id="rId2" Type="http://schemas.microsoft.com/office/2011/relationships/chartColorStyle" Target="colors1.xml" /><Relationship Id="rId1" Type="http://schemas.microsoft.com/office/2011/relationships/chartStyle" Target="style1.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Feuil1!$B$35:$B$36</c:f>
              <c:numCache>
                <c:formatCode>General</c:formatCode>
                <c:ptCount val="2"/>
                <c:pt idx="0">
                  <c:v>2018</c:v>
                </c:pt>
                <c:pt idx="1">
                  <c:v>2020</c:v>
                </c:pt>
              </c:numCache>
            </c:numRef>
          </c:cat>
          <c:val>
            <c:numRef>
              <c:f>Feuil1!$C$35:$C$36</c:f>
              <c:numCache>
                <c:formatCode>0%</c:formatCode>
                <c:ptCount val="2"/>
                <c:pt idx="0">
                  <c:v>0.38</c:v>
                </c:pt>
                <c:pt idx="1">
                  <c:v>0.5</c:v>
                </c:pt>
              </c:numCache>
            </c:numRef>
          </c:val>
          <c:extLst>
            <c:ext xmlns:c16="http://schemas.microsoft.com/office/drawing/2014/chart" uri="{C3380CC4-5D6E-409C-BE32-E72D297353CC}">
              <c16:uniqueId val="{00000000-109F-4F8B-8B54-21C67F42970E}"/>
            </c:ext>
          </c:extLst>
        </c:ser>
        <c:dLbls>
          <c:dLblPos val="outEnd"/>
          <c:showLegendKey val="0"/>
          <c:showVal val="1"/>
          <c:showCatName val="0"/>
          <c:showSerName val="0"/>
          <c:showPercent val="0"/>
          <c:showBubbleSize val="0"/>
        </c:dLbls>
        <c:gapWidth val="45"/>
        <c:overlap val="-24"/>
        <c:axId val="336509504"/>
        <c:axId val="336511304"/>
      </c:barChart>
      <c:catAx>
        <c:axId val="3365095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2"/>
                </a:solidFill>
                <a:latin typeface="+mn-lt"/>
                <a:ea typeface="+mn-ea"/>
                <a:cs typeface="+mn-cs"/>
              </a:defRPr>
            </a:pPr>
            <a:endParaRPr lang="fr-FR"/>
          </a:p>
        </c:txPr>
        <c:crossAx val="336511304"/>
        <c:crosses val="autoZero"/>
        <c:auto val="1"/>
        <c:lblAlgn val="ctr"/>
        <c:lblOffset val="100"/>
        <c:noMultiLvlLbl val="0"/>
      </c:catAx>
      <c:valAx>
        <c:axId val="336511304"/>
        <c:scaling>
          <c:orientation val="minMax"/>
        </c:scaling>
        <c:delete val="0"/>
        <c:axPos val="l"/>
        <c:majorGridlines>
          <c:spPr>
            <a:ln w="317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2"/>
                    </a:solidFill>
                    <a:latin typeface="+mn-lt"/>
                    <a:ea typeface="+mn-ea"/>
                    <a:cs typeface="+mn-cs"/>
                  </a:defRPr>
                </a:pPr>
                <a:r>
                  <a:rPr lang="fr-FR" sz="600" b="0"/>
                  <a:t>Share of respondents</a:t>
                </a:r>
              </a:p>
            </c:rich>
          </c:tx>
          <c:overlay val="0"/>
          <c:spPr>
            <a:noFill/>
            <a:ln>
              <a:noFill/>
            </a:ln>
            <a:effectLst/>
          </c:spPr>
          <c:txPr>
            <a:bodyPr rot="-5400000" spcFirstLastPara="1" vertOverflow="ellipsis" vert="horz" wrap="square" anchor="ctr" anchorCtr="1"/>
            <a:lstStyle/>
            <a:p>
              <a:pPr>
                <a:defRPr sz="600" b="0" i="0" u="none" strike="noStrike" kern="1200" baseline="0">
                  <a:solidFill>
                    <a:schemeClr val="tx2"/>
                  </a:solidFill>
                  <a:latin typeface="+mn-lt"/>
                  <a:ea typeface="+mn-ea"/>
                  <a:cs typeface="+mn-cs"/>
                </a:defRPr>
              </a:pPr>
              <a:endParaRPr lang="fr-F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2"/>
                </a:solidFill>
                <a:latin typeface="+mn-lt"/>
                <a:ea typeface="+mn-ea"/>
                <a:cs typeface="+mn-cs"/>
              </a:defRPr>
            </a:pPr>
            <a:endParaRPr lang="fr-FR"/>
          </a:p>
        </c:txPr>
        <c:crossAx val="3365095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11745</Words>
  <Characters>64598</Characters>
  <Application>Microsoft Office Word</Application>
  <DocSecurity>0</DocSecurity>
  <Lines>538</Lines>
  <Paragraphs>152</Paragraphs>
  <ScaleCrop>false</ScaleCrop>
  <Company/>
  <LinksUpToDate>false</LinksUpToDate>
  <CharactersWithSpaces>76191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 Mellouli</dc:creator>
  <cp:keywords/>
  <dc:description/>
  <cp:lastModifiedBy>mellouli hala</cp:lastModifiedBy>
  <cp:revision>2</cp:revision>
  <dcterms:created xsi:type="dcterms:W3CDTF">2023-07-20T05:50:00Z</dcterms:created>
  <dcterms:modified xsi:type="dcterms:W3CDTF">2023-07-20T05:50:00Z</dcterms:modified>
</cp:coreProperties>
</file>