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C2D24" w14:textId="17FDEEF0" w:rsidR="00611CAF" w:rsidRPr="005369B5" w:rsidRDefault="00312BE5" w:rsidP="005369B5">
      <w:pPr>
        <w:jc w:val="center"/>
        <w:rPr>
          <w:rFonts w:ascii="Times New Roman" w:eastAsia="Times New Roman" w:hAnsi="Times New Roman" w:cs="Times New Roman"/>
          <w:b/>
          <w:sz w:val="24"/>
          <w:szCs w:val="24"/>
        </w:rPr>
      </w:pPr>
      <w:bookmarkStart w:id="0" w:name="_Hlk151325871"/>
      <w:r>
        <w:rPr>
          <w:rFonts w:ascii="Times New Roman" w:eastAsia="Times New Roman" w:hAnsi="Times New Roman" w:cs="Times New Roman"/>
          <w:b/>
          <w:sz w:val="24"/>
          <w:szCs w:val="24"/>
        </w:rPr>
        <w:t>Material Modelling of Cortical Bone</w:t>
      </w:r>
      <w:r w:rsidR="00B66613" w:rsidRPr="005369B5">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00B66613" w:rsidRPr="005369B5">
        <w:rPr>
          <w:rFonts w:ascii="Times New Roman" w:eastAsia="Times New Roman" w:hAnsi="Times New Roman" w:cs="Times New Roman"/>
          <w:b/>
          <w:sz w:val="24"/>
          <w:szCs w:val="24"/>
        </w:rPr>
        <w:t>A Review</w:t>
      </w:r>
    </w:p>
    <w:p w14:paraId="320C9BE4" w14:textId="77777777" w:rsidR="00611CAF" w:rsidRPr="005369B5" w:rsidRDefault="00611CAF" w:rsidP="005369B5">
      <w:pPr>
        <w:jc w:val="center"/>
        <w:rPr>
          <w:rFonts w:ascii="Times New Roman" w:eastAsia="Times New Roman" w:hAnsi="Times New Roman" w:cs="Times New Roman"/>
          <w:b/>
          <w:sz w:val="24"/>
          <w:szCs w:val="24"/>
        </w:rPr>
      </w:pPr>
    </w:p>
    <w:p w14:paraId="31C93F98" w14:textId="258C4855" w:rsidR="00611CAF" w:rsidRPr="005369B5" w:rsidRDefault="000F6BE3" w:rsidP="005369B5">
      <w:pPr>
        <w:jc w:val="center"/>
        <w:rPr>
          <w:rFonts w:ascii="Times New Roman" w:eastAsia="Times New Roman" w:hAnsi="Times New Roman" w:cs="Times New Roman"/>
          <w:sz w:val="24"/>
          <w:szCs w:val="24"/>
        </w:rPr>
      </w:pPr>
      <w:r w:rsidRPr="005369B5">
        <w:rPr>
          <w:rFonts w:ascii="Times New Roman" w:eastAsia="Times New Roman" w:hAnsi="Times New Roman" w:cs="Times New Roman"/>
          <w:sz w:val="24"/>
          <w:szCs w:val="24"/>
        </w:rPr>
        <w:t>Atulit Dasaratha</w:t>
      </w:r>
    </w:p>
    <w:p w14:paraId="109965F1" w14:textId="106681D7" w:rsidR="00611CAF" w:rsidRPr="005369B5" w:rsidRDefault="000F6BE3" w:rsidP="005369B5">
      <w:pPr>
        <w:jc w:val="center"/>
        <w:rPr>
          <w:rFonts w:ascii="Times New Roman" w:eastAsia="Times New Roman" w:hAnsi="Times New Roman" w:cs="Times New Roman"/>
          <w:sz w:val="24"/>
          <w:szCs w:val="24"/>
        </w:rPr>
      </w:pPr>
      <w:r w:rsidRPr="005369B5">
        <w:rPr>
          <w:rFonts w:ascii="Times New Roman" w:eastAsia="Times New Roman" w:hAnsi="Times New Roman" w:cs="Times New Roman"/>
          <w:sz w:val="24"/>
          <w:szCs w:val="24"/>
        </w:rPr>
        <w:t>Imperial College London</w:t>
      </w:r>
    </w:p>
    <w:bookmarkEnd w:id="0"/>
    <w:p w14:paraId="67E8791C" w14:textId="77777777" w:rsidR="00611CAF" w:rsidRPr="005369B5" w:rsidRDefault="00611CAF" w:rsidP="005369B5">
      <w:pPr>
        <w:rPr>
          <w:rFonts w:ascii="Times New Roman" w:eastAsia="Times New Roman" w:hAnsi="Times New Roman" w:cs="Times New Roman"/>
          <w:sz w:val="24"/>
          <w:szCs w:val="24"/>
        </w:rPr>
      </w:pPr>
    </w:p>
    <w:p w14:paraId="5C7B079A" w14:textId="77777777" w:rsidR="00611CAF" w:rsidRPr="005369B5" w:rsidRDefault="00C264DB" w:rsidP="005369B5">
      <w:pPr>
        <w:rPr>
          <w:rFonts w:ascii="Times New Roman" w:eastAsia="Times New Roman" w:hAnsi="Times New Roman" w:cs="Times New Roman"/>
          <w:b/>
          <w:sz w:val="24"/>
          <w:szCs w:val="24"/>
        </w:rPr>
      </w:pPr>
      <w:r w:rsidRPr="005369B5">
        <w:rPr>
          <w:rFonts w:ascii="Times New Roman" w:eastAsia="Times New Roman" w:hAnsi="Times New Roman" w:cs="Times New Roman"/>
          <w:b/>
          <w:sz w:val="24"/>
          <w:szCs w:val="24"/>
        </w:rPr>
        <w:t>ABSTRACT</w:t>
      </w:r>
    </w:p>
    <w:p w14:paraId="483716C2" w14:textId="77777777" w:rsidR="000F6BE3" w:rsidRPr="005369B5" w:rsidRDefault="000F6BE3" w:rsidP="005369B5">
      <w:pPr>
        <w:jc w:val="both"/>
        <w:rPr>
          <w:rFonts w:ascii="Times New Roman" w:eastAsia="Times New Roman" w:hAnsi="Times New Roman" w:cs="Times New Roman"/>
          <w:sz w:val="24"/>
          <w:szCs w:val="24"/>
        </w:rPr>
      </w:pPr>
      <w:bookmarkStart w:id="1" w:name="_Hlk147442208"/>
      <w:r w:rsidRPr="005369B5">
        <w:rPr>
          <w:rFonts w:ascii="Times New Roman" w:eastAsia="Times New Roman" w:hAnsi="Times New Roman" w:cs="Times New Roman"/>
          <w:sz w:val="24"/>
          <w:szCs w:val="24"/>
        </w:rPr>
        <w:t xml:space="preserve">The aim of this review is to provide a critical overview of the material modelling of cortical bone in the context of patient-specific finite element simulation for osteoporosis diagnosis. </w:t>
      </w:r>
    </w:p>
    <w:p w14:paraId="0470DC88" w14:textId="70455695" w:rsidR="000F6BE3" w:rsidRPr="005369B5" w:rsidRDefault="000F6BE3" w:rsidP="005369B5">
      <w:pPr>
        <w:jc w:val="both"/>
        <w:rPr>
          <w:rFonts w:ascii="Times New Roman" w:eastAsia="Times New Roman" w:hAnsi="Times New Roman" w:cs="Times New Roman"/>
          <w:sz w:val="24"/>
          <w:szCs w:val="24"/>
        </w:rPr>
      </w:pPr>
      <w:r w:rsidRPr="005369B5">
        <w:rPr>
          <w:rFonts w:ascii="Times New Roman" w:eastAsia="Times New Roman" w:hAnsi="Times New Roman" w:cs="Times New Roman"/>
          <w:sz w:val="24"/>
          <w:szCs w:val="24"/>
        </w:rPr>
        <w:t>The</w:t>
      </w:r>
      <w:r w:rsidR="008D3788">
        <w:rPr>
          <w:rFonts w:ascii="Times New Roman" w:eastAsia="Times New Roman" w:hAnsi="Times New Roman" w:cs="Times New Roman"/>
          <w:sz w:val="24"/>
          <w:szCs w:val="24"/>
        </w:rPr>
        <w:t xml:space="preserve"> paper </w:t>
      </w:r>
      <w:r w:rsidRPr="005369B5">
        <w:rPr>
          <w:rFonts w:ascii="Times New Roman" w:eastAsia="Times New Roman" w:hAnsi="Times New Roman" w:cs="Times New Roman"/>
          <w:sz w:val="24"/>
          <w:szCs w:val="24"/>
        </w:rPr>
        <w:t xml:space="preserve">provides motivation for the appraisal of the state-of-the art in cortical bone modelling through discussions of contested mechanisms of osteoporosis and the promising potential of patient-specific modelling in the clinical domain. Subsequently, a comprehensive set of material models developed in the last 10 years are analyzed based on their fidelity to bone material characteristics and mechanical response, and their ability to be incorporated into finite element bone simulation workflows. </w:t>
      </w:r>
    </w:p>
    <w:bookmarkEnd w:id="1"/>
    <w:p w14:paraId="78C90EE4" w14:textId="4E15B6BF" w:rsidR="000F6BE3" w:rsidRPr="005369B5" w:rsidRDefault="000F6BE3" w:rsidP="005369B5">
      <w:pPr>
        <w:jc w:val="both"/>
        <w:rPr>
          <w:rFonts w:ascii="Times New Roman" w:eastAsia="Times New Roman" w:hAnsi="Times New Roman" w:cs="Times New Roman"/>
          <w:sz w:val="24"/>
          <w:szCs w:val="24"/>
        </w:rPr>
      </w:pPr>
      <w:r w:rsidRPr="005369B5">
        <w:rPr>
          <w:rFonts w:ascii="Times New Roman" w:eastAsia="Times New Roman" w:hAnsi="Times New Roman" w:cs="Times New Roman"/>
          <w:sz w:val="24"/>
          <w:szCs w:val="24"/>
        </w:rPr>
        <w:t xml:space="preserve">Based on the thematic analysis of material models for cortical bone, it emerges that </w:t>
      </w:r>
      <w:r w:rsidR="00B66613" w:rsidRPr="005369B5">
        <w:rPr>
          <w:rFonts w:ascii="Times New Roman" w:eastAsia="Times New Roman" w:hAnsi="Times New Roman" w:cs="Times New Roman"/>
          <w:sz w:val="24"/>
          <w:szCs w:val="24"/>
        </w:rPr>
        <w:t>a</w:t>
      </w:r>
      <w:r w:rsidRPr="005369B5">
        <w:rPr>
          <w:rFonts w:ascii="Times New Roman" w:eastAsia="Times New Roman" w:hAnsi="Times New Roman" w:cs="Times New Roman"/>
          <w:sz w:val="24"/>
          <w:szCs w:val="24"/>
        </w:rPr>
        <w:t xml:space="preserve"> key development in the field is the increasing prevalence of multi-scale models that </w:t>
      </w:r>
      <w:r w:rsidR="00A612A9" w:rsidRPr="005369B5">
        <w:rPr>
          <w:rFonts w:ascii="Times New Roman" w:eastAsia="Times New Roman" w:hAnsi="Times New Roman" w:cs="Times New Roman"/>
          <w:sz w:val="24"/>
          <w:szCs w:val="24"/>
        </w:rPr>
        <w:t>can</w:t>
      </w:r>
      <w:r w:rsidRPr="005369B5">
        <w:rPr>
          <w:rFonts w:ascii="Times New Roman" w:eastAsia="Times New Roman" w:hAnsi="Times New Roman" w:cs="Times New Roman"/>
          <w:sz w:val="24"/>
          <w:szCs w:val="24"/>
        </w:rPr>
        <w:t xml:space="preserve"> incorporate features from multiple levels of the bone hierarchical structure. The most advanced constitutive models of cortical bone are beginning to reflect biological mechanisms of damage, osteoblast driven remodeling and fatigue. Key challenges that must be overcome to increase prevalence of advanced material models in finite element simulation include lack of high resolution in-vivo imaging techniques, standardization, and methodology to determine patient-specific material parameters. </w:t>
      </w:r>
    </w:p>
    <w:p w14:paraId="093ED43A" w14:textId="77777777" w:rsidR="000F6BE3" w:rsidRPr="005369B5" w:rsidRDefault="000F6BE3" w:rsidP="005369B5">
      <w:pPr>
        <w:jc w:val="both"/>
        <w:rPr>
          <w:rFonts w:ascii="Times New Roman" w:eastAsia="Times New Roman" w:hAnsi="Times New Roman" w:cs="Times New Roman"/>
          <w:sz w:val="24"/>
          <w:szCs w:val="24"/>
        </w:rPr>
      </w:pPr>
    </w:p>
    <w:p w14:paraId="7A98F59B" w14:textId="544D3797" w:rsidR="00611CAF" w:rsidRPr="005369B5" w:rsidRDefault="000F6BE3" w:rsidP="005369B5">
      <w:pPr>
        <w:rPr>
          <w:rFonts w:ascii="Times New Roman" w:eastAsia="Times New Roman" w:hAnsi="Times New Roman" w:cs="Times New Roman"/>
          <w:sz w:val="24"/>
          <w:szCs w:val="24"/>
        </w:rPr>
      </w:pPr>
      <w:r w:rsidRPr="005369B5">
        <w:rPr>
          <w:rFonts w:ascii="Times New Roman" w:eastAsia="Times New Roman" w:hAnsi="Times New Roman" w:cs="Times New Roman"/>
          <w:b/>
          <w:bCs/>
          <w:sz w:val="24"/>
          <w:szCs w:val="24"/>
        </w:rPr>
        <w:t>Keywords</w:t>
      </w:r>
      <w:r w:rsidRPr="005369B5">
        <w:rPr>
          <w:rFonts w:ascii="Times New Roman" w:eastAsia="Times New Roman" w:hAnsi="Times New Roman" w:cs="Times New Roman"/>
          <w:sz w:val="24"/>
          <w:szCs w:val="24"/>
        </w:rPr>
        <w:t>: Cortical bone, constitutive, material modelling, patient-specific, finite element</w:t>
      </w:r>
    </w:p>
    <w:p w14:paraId="4F553F90" w14:textId="77777777" w:rsidR="00611CAF" w:rsidRPr="005369B5" w:rsidRDefault="00611CAF" w:rsidP="005369B5">
      <w:pPr>
        <w:rPr>
          <w:rFonts w:ascii="Times New Roman" w:eastAsia="Times New Roman" w:hAnsi="Times New Roman" w:cs="Times New Roman"/>
          <w:sz w:val="24"/>
          <w:szCs w:val="24"/>
        </w:rPr>
      </w:pPr>
    </w:p>
    <w:p w14:paraId="14746250" w14:textId="77777777" w:rsidR="00611CAF" w:rsidRPr="005369B5" w:rsidRDefault="00C264DB" w:rsidP="005369B5">
      <w:pPr>
        <w:rPr>
          <w:rFonts w:ascii="Times New Roman" w:eastAsia="Times New Roman" w:hAnsi="Times New Roman" w:cs="Times New Roman"/>
          <w:b/>
          <w:sz w:val="24"/>
          <w:szCs w:val="24"/>
        </w:rPr>
      </w:pPr>
      <w:r w:rsidRPr="005369B5">
        <w:rPr>
          <w:rFonts w:ascii="Times New Roman" w:eastAsia="Times New Roman" w:hAnsi="Times New Roman" w:cs="Times New Roman"/>
          <w:b/>
          <w:sz w:val="24"/>
          <w:szCs w:val="24"/>
        </w:rPr>
        <w:t>INTRODUCTION</w:t>
      </w:r>
    </w:p>
    <w:p w14:paraId="264AAC55" w14:textId="57C6D71D" w:rsidR="00F209E5" w:rsidRPr="005369B5" w:rsidRDefault="00F209E5" w:rsidP="005369B5">
      <w:pPr>
        <w:jc w:val="both"/>
        <w:rPr>
          <w:rFonts w:ascii="Times New Roman" w:eastAsia="Times New Roman" w:hAnsi="Times New Roman" w:cs="Times New Roman"/>
          <w:sz w:val="24"/>
          <w:szCs w:val="24"/>
        </w:rPr>
      </w:pPr>
      <w:r w:rsidRPr="005369B5">
        <w:rPr>
          <w:rFonts w:ascii="Times New Roman" w:eastAsia="Times New Roman" w:hAnsi="Times New Roman" w:cs="Times New Roman"/>
          <w:sz w:val="24"/>
          <w:szCs w:val="24"/>
        </w:rPr>
        <w:t xml:space="preserve">Osteoporosis is an insidious condition which causes bone fragility and an increased propensity to fracture. As an age-related disorder, osteoporosis is increasing in prevalence due to an aging global population thus resulting in high levels of burden on the global healthcare system [1]. </w:t>
      </w:r>
    </w:p>
    <w:p w14:paraId="19C20A54" w14:textId="77777777" w:rsidR="00F209E5" w:rsidRPr="005369B5" w:rsidRDefault="00F209E5" w:rsidP="005369B5">
      <w:pPr>
        <w:jc w:val="both"/>
        <w:rPr>
          <w:rFonts w:ascii="Times New Roman" w:eastAsia="Times New Roman" w:hAnsi="Times New Roman" w:cs="Times New Roman"/>
          <w:sz w:val="24"/>
          <w:szCs w:val="24"/>
        </w:rPr>
      </w:pPr>
      <w:r w:rsidRPr="005369B5">
        <w:rPr>
          <w:rFonts w:ascii="Times New Roman" w:eastAsia="Times New Roman" w:hAnsi="Times New Roman" w:cs="Times New Roman"/>
          <w:sz w:val="24"/>
          <w:szCs w:val="24"/>
        </w:rPr>
        <w:t xml:space="preserve">Although the deleterious impacts of osteoporosis are well known, it remains chronically underdiagnosed. Traditional clinical diagnosis methods involve the production of a bone mineral density (BMD) map based on two-dimensional dual-energy X-ray absorptiometry (DXA) [2]. While this method can identify individuals at risk of osteoporotic fracture, it is unable to detect its onset and early-stage osteopenia, at which point no symptoms have appeared [2,3]. </w:t>
      </w:r>
    </w:p>
    <w:p w14:paraId="4412FD00" w14:textId="793799EA" w:rsidR="00F209E5" w:rsidRPr="005369B5" w:rsidRDefault="00F209E5" w:rsidP="005369B5">
      <w:pPr>
        <w:jc w:val="both"/>
        <w:rPr>
          <w:rFonts w:ascii="Times New Roman" w:eastAsia="Times New Roman" w:hAnsi="Times New Roman" w:cs="Times New Roman"/>
          <w:sz w:val="24"/>
          <w:szCs w:val="24"/>
        </w:rPr>
      </w:pPr>
      <w:r w:rsidRPr="005369B5">
        <w:rPr>
          <w:rFonts w:ascii="Times New Roman" w:eastAsia="Times New Roman" w:hAnsi="Times New Roman" w:cs="Times New Roman"/>
          <w:sz w:val="24"/>
          <w:szCs w:val="24"/>
        </w:rPr>
        <w:t xml:space="preserve">There has thus been surging interest in techniques to better assess and predict osteoporotic fracture risk. Patient-specific modelling (PSM) through finite element (FE) simulation has emerged as a promising approach as it is believed that by accounting for individual microstructural, geometrical, and compositional variations, a more clinically valuable picture of the bone can be constructed and used in diagnoses [4]. However, given the computationally intensive and time-consuming nature of FE simulation, they are seldom used in </w:t>
      </w:r>
      <w:r w:rsidR="005D1634" w:rsidRPr="005369B5">
        <w:rPr>
          <w:rFonts w:ascii="Times New Roman" w:eastAsia="Times New Roman" w:hAnsi="Times New Roman" w:cs="Times New Roman"/>
          <w:sz w:val="24"/>
          <w:szCs w:val="24"/>
        </w:rPr>
        <w:t>practice</w:t>
      </w:r>
      <w:r w:rsidRPr="005369B5">
        <w:rPr>
          <w:rFonts w:ascii="Times New Roman" w:eastAsia="Times New Roman" w:hAnsi="Times New Roman" w:cs="Times New Roman"/>
          <w:sz w:val="24"/>
          <w:szCs w:val="24"/>
        </w:rPr>
        <w:t xml:space="preserve"> and are </w:t>
      </w:r>
      <w:r w:rsidRPr="005369B5">
        <w:rPr>
          <w:rFonts w:ascii="Times New Roman" w:eastAsia="Times New Roman" w:hAnsi="Times New Roman" w:cs="Times New Roman"/>
          <w:sz w:val="24"/>
          <w:szCs w:val="24"/>
        </w:rPr>
        <w:lastRenderedPageBreak/>
        <w:t xml:space="preserve">reserved for only rare and serious cases where DXA imaging-based BMD measurement is insufficient [4]. </w:t>
      </w:r>
    </w:p>
    <w:p w14:paraId="2780C397" w14:textId="77777777" w:rsidR="00F209E5" w:rsidRPr="005369B5" w:rsidRDefault="00F209E5" w:rsidP="005369B5">
      <w:pPr>
        <w:jc w:val="both"/>
        <w:rPr>
          <w:rFonts w:ascii="Times New Roman" w:eastAsia="Times New Roman" w:hAnsi="Times New Roman" w:cs="Times New Roman"/>
          <w:sz w:val="24"/>
          <w:szCs w:val="24"/>
        </w:rPr>
      </w:pPr>
      <w:r w:rsidRPr="005369B5">
        <w:rPr>
          <w:rFonts w:ascii="Times New Roman" w:eastAsia="Times New Roman" w:hAnsi="Times New Roman" w:cs="Times New Roman"/>
          <w:sz w:val="24"/>
          <w:szCs w:val="24"/>
        </w:rPr>
        <w:t xml:space="preserve">A finite element bone simulation workflow requires several accurate inputs – the most important of these are imaging, material modelling and the application of load and boundary conditions [5]. Of these inputs, this review focusses predominantly on the material modelling procedure for the outer compact or cortical bone. </w:t>
      </w:r>
    </w:p>
    <w:p w14:paraId="11DC427D" w14:textId="3FF9D709" w:rsidR="00F209E5" w:rsidRPr="005369B5" w:rsidRDefault="00F209E5" w:rsidP="005369B5">
      <w:pPr>
        <w:jc w:val="both"/>
        <w:rPr>
          <w:rFonts w:ascii="Times New Roman" w:eastAsia="Times New Roman" w:hAnsi="Times New Roman" w:cs="Times New Roman"/>
          <w:sz w:val="24"/>
          <w:szCs w:val="24"/>
        </w:rPr>
      </w:pPr>
      <w:r w:rsidRPr="005369B5">
        <w:rPr>
          <w:rFonts w:ascii="Times New Roman" w:eastAsia="Times New Roman" w:hAnsi="Times New Roman" w:cs="Times New Roman"/>
          <w:sz w:val="24"/>
          <w:szCs w:val="24"/>
        </w:rPr>
        <w:t xml:space="preserve">Historically, the spongy inner trabecular bone has been preferentially studied and deemed a more significant contributor to osteoporosis than cortical bone [6] for reasons covered in section 2.2. However, recent contrary findings </w:t>
      </w:r>
      <w:r w:rsidR="005D1634" w:rsidRPr="005369B5">
        <w:rPr>
          <w:rFonts w:ascii="Times New Roman" w:eastAsia="Times New Roman" w:hAnsi="Times New Roman" w:cs="Times New Roman"/>
          <w:sz w:val="24"/>
          <w:szCs w:val="24"/>
        </w:rPr>
        <w:t>emphasizing</w:t>
      </w:r>
      <w:r w:rsidRPr="005369B5">
        <w:rPr>
          <w:rFonts w:ascii="Times New Roman" w:eastAsia="Times New Roman" w:hAnsi="Times New Roman" w:cs="Times New Roman"/>
          <w:sz w:val="24"/>
          <w:szCs w:val="24"/>
        </w:rPr>
        <w:t xml:space="preserve"> the role of cortical bone have resulted in increased efforts to model its structure and properties. Given that there has been a neglect of the cortical bone until the early 2000’s [7], the central focus of the review is to </w:t>
      </w:r>
      <w:r w:rsidR="005D1634" w:rsidRPr="005369B5">
        <w:rPr>
          <w:rFonts w:ascii="Times New Roman" w:eastAsia="Times New Roman" w:hAnsi="Times New Roman" w:cs="Times New Roman"/>
          <w:sz w:val="24"/>
          <w:szCs w:val="24"/>
        </w:rPr>
        <w:t>synthesize</w:t>
      </w:r>
      <w:r w:rsidRPr="005369B5">
        <w:rPr>
          <w:rFonts w:ascii="Times New Roman" w:eastAsia="Times New Roman" w:hAnsi="Times New Roman" w:cs="Times New Roman"/>
          <w:sz w:val="24"/>
          <w:szCs w:val="24"/>
        </w:rPr>
        <w:t xml:space="preserve"> and consolidate research into constitutive models for cortical bones and evaluate them from the perspective of delivering improvements to patient specific FE models with future applicability to the clinical setting.</w:t>
      </w:r>
    </w:p>
    <w:p w14:paraId="6507DCDD" w14:textId="41D85BBB" w:rsidR="000B031E" w:rsidRDefault="00F209E5" w:rsidP="005369B5">
      <w:pPr>
        <w:jc w:val="both"/>
        <w:rPr>
          <w:rFonts w:ascii="Times New Roman" w:eastAsia="Times New Roman" w:hAnsi="Times New Roman" w:cs="Times New Roman"/>
          <w:sz w:val="24"/>
          <w:szCs w:val="24"/>
        </w:rPr>
      </w:pPr>
      <w:r w:rsidRPr="005369B5">
        <w:rPr>
          <w:rFonts w:ascii="Times New Roman" w:eastAsia="Times New Roman" w:hAnsi="Times New Roman" w:cs="Times New Roman"/>
          <w:sz w:val="24"/>
          <w:szCs w:val="24"/>
        </w:rPr>
        <w:t xml:space="preserve">The review aims to achieve its objectives through the following structure. Section 2 provides a brief overview of the relevant microstructural properties of the cortical bone and introduces the mechanism of osteoporotic fracture. Section 3 explores the benefits and clinical importance of patient-specific FE bone modelling and details the procedural steps involved in an FE workflow. Section 4 provides a thematic material characteristic-based overview of cortical material models published in the literature and identifies the state of the art, recent developments, and any recent trends. Section 5 </w:t>
      </w:r>
      <w:r w:rsidR="005D1634" w:rsidRPr="005369B5">
        <w:rPr>
          <w:rFonts w:ascii="Times New Roman" w:eastAsia="Times New Roman" w:hAnsi="Times New Roman" w:cs="Times New Roman"/>
          <w:sz w:val="24"/>
          <w:szCs w:val="24"/>
        </w:rPr>
        <w:t>synthesizes</w:t>
      </w:r>
      <w:r w:rsidRPr="005369B5">
        <w:rPr>
          <w:rFonts w:ascii="Times New Roman" w:eastAsia="Times New Roman" w:hAnsi="Times New Roman" w:cs="Times New Roman"/>
          <w:sz w:val="24"/>
          <w:szCs w:val="24"/>
        </w:rPr>
        <w:t xml:space="preserve"> the insight from sections 3 and 4 through a discussion of the degree of adoption of state-of-the-art material models for cortical bone into FE workflows and consolidates the key challenge in developing more advanced and patient-specific modelling techniques. Finally, the review discusses unanswered questions in the field, and the progress that will need to occur for PSM to one day be ubiquitous in </w:t>
      </w:r>
      <w:r w:rsidR="005D1634" w:rsidRPr="005369B5">
        <w:rPr>
          <w:rFonts w:ascii="Times New Roman" w:eastAsia="Times New Roman" w:hAnsi="Times New Roman" w:cs="Times New Roman"/>
          <w:sz w:val="24"/>
          <w:szCs w:val="24"/>
        </w:rPr>
        <w:t>practice</w:t>
      </w:r>
      <w:r w:rsidRPr="005369B5">
        <w:rPr>
          <w:rFonts w:ascii="Times New Roman" w:eastAsia="Times New Roman" w:hAnsi="Times New Roman" w:cs="Times New Roman"/>
          <w:sz w:val="24"/>
          <w:szCs w:val="24"/>
        </w:rPr>
        <w:t xml:space="preserve">. </w:t>
      </w:r>
    </w:p>
    <w:p w14:paraId="613A3FD7" w14:textId="77777777" w:rsidR="0095732E" w:rsidRDefault="0095732E" w:rsidP="005369B5">
      <w:pPr>
        <w:jc w:val="both"/>
        <w:rPr>
          <w:rFonts w:ascii="Times New Roman" w:eastAsia="Times New Roman" w:hAnsi="Times New Roman" w:cs="Times New Roman"/>
          <w:sz w:val="24"/>
          <w:szCs w:val="24"/>
        </w:rPr>
      </w:pPr>
    </w:p>
    <w:p w14:paraId="100A5A20" w14:textId="33FC0580" w:rsidR="0095732E" w:rsidRDefault="0095732E" w:rsidP="0095732E">
      <w:pPr>
        <w:rPr>
          <w:rFonts w:ascii="Times New Roman" w:hAnsi="Times New Roman" w:cs="Times New Roman"/>
          <w:b/>
          <w:bCs/>
          <w:sz w:val="24"/>
          <w:szCs w:val="24"/>
        </w:rPr>
      </w:pPr>
      <w:bookmarkStart w:id="2" w:name="_Toc122082986"/>
      <w:r w:rsidRPr="005369B5">
        <w:rPr>
          <w:rFonts w:ascii="Times New Roman" w:hAnsi="Times New Roman" w:cs="Times New Roman"/>
          <w:b/>
          <w:bCs/>
          <w:sz w:val="24"/>
          <w:szCs w:val="24"/>
        </w:rPr>
        <w:t>MICROARCHITECTURE OF CORTICAL BONE</w:t>
      </w:r>
      <w:bookmarkEnd w:id="2"/>
    </w:p>
    <w:p w14:paraId="6E3EA21D" w14:textId="78CA2A27" w:rsidR="005D1634" w:rsidRPr="005369B5" w:rsidRDefault="005D1634" w:rsidP="0095732E">
      <w:pPr>
        <w:rPr>
          <w:rFonts w:ascii="Times New Roman" w:eastAsia="Times New Roman" w:hAnsi="Times New Roman" w:cs="Times New Roman"/>
          <w:sz w:val="24"/>
          <w:szCs w:val="24"/>
        </w:rPr>
      </w:pPr>
    </w:p>
    <w:p w14:paraId="5F6129EA" w14:textId="2E031A74" w:rsidR="000B031E" w:rsidRPr="005369B5" w:rsidRDefault="005D1634" w:rsidP="005369B5">
      <w:pPr>
        <w:jc w:val="both"/>
        <w:rPr>
          <w:rFonts w:ascii="Times New Roman" w:hAnsi="Times New Roman" w:cs="Times New Roman"/>
          <w:sz w:val="24"/>
          <w:szCs w:val="24"/>
        </w:rPr>
      </w:pPr>
      <w:r w:rsidRPr="00FB3FBB">
        <w:rPr>
          <w:rFonts w:ascii="CMU Sans Serif" w:hAnsi="CMU Sans Serif"/>
          <w:noProof/>
        </w:rPr>
        <w:drawing>
          <wp:anchor distT="0" distB="0" distL="114300" distR="114300" simplePos="0" relativeHeight="250890752" behindDoc="1" locked="0" layoutInCell="1" allowOverlap="1" wp14:anchorId="2D0B5CE5" wp14:editId="3720A036">
            <wp:simplePos x="0" y="0"/>
            <wp:positionH relativeFrom="margin">
              <wp:posOffset>-142875</wp:posOffset>
            </wp:positionH>
            <wp:positionV relativeFrom="paragraph">
              <wp:posOffset>72390</wp:posOffset>
            </wp:positionV>
            <wp:extent cx="3162300" cy="2254250"/>
            <wp:effectExtent l="0" t="0" r="0" b="0"/>
            <wp:wrapTight wrapText="bothSides">
              <wp:wrapPolygon edited="0">
                <wp:start x="0" y="0"/>
                <wp:lineTo x="0" y="21357"/>
                <wp:lineTo x="21470" y="21357"/>
                <wp:lineTo x="21470" y="0"/>
                <wp:lineTo x="0" y="0"/>
              </wp:wrapPolygon>
            </wp:wrapTight>
            <wp:docPr id="2" name="Picture 2" descr="A diagram of a bone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bone structur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162300" cy="2254250"/>
                    </a:xfrm>
                    <a:prstGeom prst="rect">
                      <a:avLst/>
                    </a:prstGeom>
                  </pic:spPr>
                </pic:pic>
              </a:graphicData>
            </a:graphic>
            <wp14:sizeRelH relativeFrom="page">
              <wp14:pctWidth>0</wp14:pctWidth>
            </wp14:sizeRelH>
            <wp14:sizeRelV relativeFrom="page">
              <wp14:pctHeight>0</wp14:pctHeight>
            </wp14:sizeRelV>
          </wp:anchor>
        </w:drawing>
      </w:r>
    </w:p>
    <w:p w14:paraId="2D91DFA8" w14:textId="481A9840" w:rsidR="000B031E" w:rsidRPr="005369B5" w:rsidRDefault="005D1634" w:rsidP="005369B5">
      <w:pPr>
        <w:jc w:val="both"/>
        <w:rPr>
          <w:rFonts w:ascii="Times New Roman" w:hAnsi="Times New Roman" w:cs="Times New Roman"/>
          <w:sz w:val="24"/>
          <w:szCs w:val="24"/>
        </w:rPr>
      </w:pPr>
      <w:r>
        <w:rPr>
          <w:noProof/>
        </w:rPr>
        <w:pict w14:anchorId="113B8274">
          <v:shapetype id="_x0000_t202" coordsize="21600,21600" o:spt="202" path="m,l,21600r21600,l21600,xe">
            <v:stroke joinstyle="miter"/>
            <v:path gradientshapeok="t" o:connecttype="rect"/>
          </v:shapetype>
          <v:shape id="_x0000_s1026" type="#_x0000_t202" style="position:absolute;left:0;text-align:left;margin-left:-240pt;margin-top:171.8pt;width:224.25pt;height:21.55pt;z-index:251661312;mso-position-horizontal-relative:text;mso-position-vertical-relative:text" wrapcoords="-65 0 -65 20618 21600 20618 21600 0 -65 0" stroked="f">
            <v:textbox style="mso-fit-shape-to-text:t" inset="0,0,0,0">
              <w:txbxContent>
                <w:p w14:paraId="330859A8" w14:textId="6F8761C1" w:rsidR="005D1634" w:rsidRPr="004520BC" w:rsidRDefault="005D1634" w:rsidP="005D1634">
                  <w:pPr>
                    <w:pStyle w:val="Caption"/>
                    <w:rPr>
                      <w:rFonts w:eastAsia="Arial" w:cs="Arial"/>
                      <w:noProof/>
                      <w:lang w:val="en"/>
                    </w:rPr>
                  </w:pPr>
                  <w:r>
                    <w:t xml:space="preserve">Figure </w:t>
                  </w:r>
                  <w:r>
                    <w:fldChar w:fldCharType="begin"/>
                  </w:r>
                  <w:r>
                    <w:instrText xml:space="preserve"> SEQ Figure \* ARABIC </w:instrText>
                  </w:r>
                  <w:r>
                    <w:fldChar w:fldCharType="separate"/>
                  </w:r>
                  <w:r w:rsidR="008961CE">
                    <w:rPr>
                      <w:noProof/>
                    </w:rPr>
                    <w:t>1</w:t>
                  </w:r>
                  <w:r>
                    <w:fldChar w:fldCharType="end"/>
                  </w:r>
                  <w:r>
                    <w:t>. Microstructure of cortical bone [8]</w:t>
                  </w:r>
                </w:p>
              </w:txbxContent>
            </v:textbox>
            <w10:wrap type="tight"/>
          </v:shape>
        </w:pict>
      </w:r>
      <w:r w:rsidR="000B031E" w:rsidRPr="005369B5">
        <w:rPr>
          <w:rFonts w:ascii="Times New Roman" w:hAnsi="Times New Roman" w:cs="Times New Roman"/>
          <w:sz w:val="24"/>
          <w:szCs w:val="24"/>
        </w:rPr>
        <w:t xml:space="preserve">Bone is composed of two types of tissue: cortical and trabecular. Cortical bone, the focus of this review, forms a protective outer sheath around the spongy inner trabeculae [5]. As the primary load bearing structure in the body, thick layers of cortical bone are found in the diaphysis or axis of long bones such as the femur and hip. </w:t>
      </w:r>
      <w:proofErr w:type="gramStart"/>
      <w:r w:rsidR="000B031E" w:rsidRPr="005369B5">
        <w:rPr>
          <w:rFonts w:ascii="Times New Roman" w:hAnsi="Times New Roman" w:cs="Times New Roman"/>
          <w:sz w:val="24"/>
          <w:szCs w:val="24"/>
        </w:rPr>
        <w:t>In order to</w:t>
      </w:r>
      <w:proofErr w:type="gramEnd"/>
      <w:r w:rsidR="000B031E" w:rsidRPr="005369B5">
        <w:rPr>
          <w:rFonts w:ascii="Times New Roman" w:hAnsi="Times New Roman" w:cs="Times New Roman"/>
          <w:sz w:val="24"/>
          <w:szCs w:val="24"/>
        </w:rPr>
        <w:t xml:space="preserve"> fulfil its physiological purpose, cortical bone is stiff, strong and hard; it consequently comprises 80% of the skeleton by weight [9]. </w:t>
      </w:r>
    </w:p>
    <w:p w14:paraId="503E0E37" w14:textId="7910BA20"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lastRenderedPageBreak/>
        <w:t xml:space="preserve">The structure of the cortical bone is hierarchical and multiscale [5]. As seen in </w:t>
      </w:r>
      <w:r w:rsidRPr="005369B5">
        <w:rPr>
          <w:rFonts w:ascii="Times New Roman" w:hAnsi="Times New Roman" w:cs="Times New Roman"/>
          <w:sz w:val="24"/>
          <w:szCs w:val="24"/>
        </w:rPr>
        <w:fldChar w:fldCharType="begin"/>
      </w:r>
      <w:r w:rsidRPr="005369B5">
        <w:rPr>
          <w:rFonts w:ascii="Times New Roman" w:hAnsi="Times New Roman" w:cs="Times New Roman"/>
          <w:sz w:val="24"/>
          <w:szCs w:val="24"/>
        </w:rPr>
        <w:instrText xml:space="preserve"> REF _Ref122054134 \h  \* MERGEFORMAT </w:instrText>
      </w:r>
      <w:r w:rsidRPr="005369B5">
        <w:rPr>
          <w:rFonts w:ascii="Times New Roman" w:hAnsi="Times New Roman" w:cs="Times New Roman"/>
          <w:sz w:val="24"/>
          <w:szCs w:val="24"/>
        </w:rPr>
      </w:r>
      <w:r w:rsidRPr="005369B5">
        <w:rPr>
          <w:rFonts w:ascii="Times New Roman" w:hAnsi="Times New Roman" w:cs="Times New Roman"/>
          <w:sz w:val="24"/>
          <w:szCs w:val="24"/>
        </w:rPr>
        <w:fldChar w:fldCharType="separate"/>
      </w:r>
      <w:r w:rsidRPr="005369B5">
        <w:rPr>
          <w:rFonts w:ascii="Times New Roman" w:hAnsi="Times New Roman" w:cs="Times New Roman"/>
          <w:sz w:val="24"/>
          <w:szCs w:val="24"/>
        </w:rPr>
        <w:t xml:space="preserve">Figure </w:t>
      </w:r>
      <w:r w:rsidRPr="005369B5">
        <w:rPr>
          <w:rFonts w:ascii="Times New Roman" w:hAnsi="Times New Roman" w:cs="Times New Roman"/>
          <w:noProof/>
          <w:sz w:val="24"/>
          <w:szCs w:val="24"/>
        </w:rPr>
        <w:t>1</w:t>
      </w:r>
      <w:r w:rsidRPr="005369B5">
        <w:rPr>
          <w:rFonts w:ascii="Times New Roman" w:hAnsi="Times New Roman" w:cs="Times New Roman"/>
          <w:sz w:val="24"/>
          <w:szCs w:val="24"/>
        </w:rPr>
        <w:fldChar w:fldCharType="end"/>
      </w:r>
      <w:r w:rsidRPr="005369B5">
        <w:rPr>
          <w:rFonts w:ascii="Times New Roman" w:hAnsi="Times New Roman" w:cs="Times New Roman"/>
          <w:sz w:val="24"/>
          <w:szCs w:val="24"/>
        </w:rPr>
        <w:t xml:space="preserve">, closely packed osteons form the building blocks of the cortical bone. The osteons are comprised of circumferentially arranged layers of lamellae, which are formed of collagen </w:t>
      </w:r>
      <w:r w:rsidR="001D5298" w:rsidRPr="005369B5">
        <w:rPr>
          <w:rFonts w:ascii="Times New Roman" w:hAnsi="Times New Roman" w:cs="Times New Roman"/>
          <w:sz w:val="24"/>
          <w:szCs w:val="24"/>
        </w:rPr>
        <w:t>fibers</w:t>
      </w:r>
      <w:r w:rsidRPr="005369B5">
        <w:rPr>
          <w:rFonts w:ascii="Times New Roman" w:hAnsi="Times New Roman" w:cs="Times New Roman"/>
          <w:sz w:val="24"/>
          <w:szCs w:val="24"/>
        </w:rPr>
        <w:t xml:space="preserve">. The direction of these </w:t>
      </w:r>
      <w:proofErr w:type="gramStart"/>
      <w:r w:rsidR="001D5298" w:rsidRPr="005369B5">
        <w:rPr>
          <w:rFonts w:ascii="Times New Roman" w:hAnsi="Times New Roman" w:cs="Times New Roman"/>
          <w:sz w:val="24"/>
          <w:szCs w:val="24"/>
        </w:rPr>
        <w:t>fibers</w:t>
      </w:r>
      <w:proofErr w:type="gramEnd"/>
      <w:r w:rsidRPr="005369B5">
        <w:rPr>
          <w:rFonts w:ascii="Times New Roman" w:hAnsi="Times New Roman" w:cs="Times New Roman"/>
          <w:sz w:val="24"/>
          <w:szCs w:val="24"/>
        </w:rPr>
        <w:t xml:space="preserve"> alternates with each successive lamellar layer, a feature that has been attributed to increasing bone strength in both tension and compression [10]. At the </w:t>
      </w:r>
      <w:r w:rsidR="001D5298" w:rsidRPr="005369B5">
        <w:rPr>
          <w:rFonts w:ascii="Times New Roman" w:hAnsi="Times New Roman" w:cs="Times New Roman"/>
          <w:sz w:val="24"/>
          <w:szCs w:val="24"/>
        </w:rPr>
        <w:t>center</w:t>
      </w:r>
      <w:r w:rsidRPr="005369B5">
        <w:rPr>
          <w:rFonts w:ascii="Times New Roman" w:hAnsi="Times New Roman" w:cs="Times New Roman"/>
          <w:sz w:val="24"/>
          <w:szCs w:val="24"/>
        </w:rPr>
        <w:t xml:space="preserve"> of the cortical osteon lies a Haversian canal which branches out into a network of transversely laid Volkmann canals, both of which support the transport of blood. The concentric lamellar arrangement has embedded spaces called lacunae, which house an osteocyte each, and are connected to adjacent lamellae through canaliculi. The Haversian canals, Volkmann canals, lamellae and canaliculi collectively constitute the porosity within the cortical bone, which is generally found to be between 4% and 30% and is strongly correlated to age [11]. </w:t>
      </w:r>
    </w:p>
    <w:p w14:paraId="77B43A2E" w14:textId="4362FA6E"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The mechanical behaviour of the cortical bone in response to loading is a strong function of its hierarchical structure. As a knowledge of this behaviour is crucial to the development of accurate material models, </w:t>
      </w:r>
      <w:r w:rsidRPr="005369B5">
        <w:rPr>
          <w:rFonts w:ascii="Times New Roman" w:hAnsi="Times New Roman" w:cs="Times New Roman"/>
          <w:sz w:val="24"/>
          <w:szCs w:val="24"/>
        </w:rPr>
        <w:fldChar w:fldCharType="begin"/>
      </w:r>
      <w:r w:rsidRPr="005369B5">
        <w:rPr>
          <w:rFonts w:ascii="Times New Roman" w:hAnsi="Times New Roman" w:cs="Times New Roman"/>
          <w:sz w:val="24"/>
          <w:szCs w:val="24"/>
        </w:rPr>
        <w:instrText xml:space="preserve"> REF _Ref122056913 \h  \* MERGEFORMAT </w:instrText>
      </w:r>
      <w:r w:rsidRPr="005369B5">
        <w:rPr>
          <w:rFonts w:ascii="Times New Roman" w:hAnsi="Times New Roman" w:cs="Times New Roman"/>
          <w:sz w:val="24"/>
          <w:szCs w:val="24"/>
        </w:rPr>
      </w:r>
      <w:r w:rsidRPr="005369B5">
        <w:rPr>
          <w:rFonts w:ascii="Times New Roman" w:hAnsi="Times New Roman" w:cs="Times New Roman"/>
          <w:sz w:val="24"/>
          <w:szCs w:val="24"/>
        </w:rPr>
        <w:fldChar w:fldCharType="separate"/>
      </w:r>
      <w:r w:rsidRPr="005369B5">
        <w:rPr>
          <w:rFonts w:ascii="Times New Roman" w:hAnsi="Times New Roman" w:cs="Times New Roman"/>
          <w:sz w:val="24"/>
          <w:szCs w:val="24"/>
        </w:rPr>
        <w:t xml:space="preserve">Table </w:t>
      </w:r>
      <w:r w:rsidRPr="005369B5">
        <w:rPr>
          <w:rFonts w:ascii="Times New Roman" w:hAnsi="Times New Roman" w:cs="Times New Roman"/>
          <w:noProof/>
          <w:sz w:val="24"/>
          <w:szCs w:val="24"/>
        </w:rPr>
        <w:t>1</w:t>
      </w:r>
      <w:r w:rsidRPr="005369B5">
        <w:rPr>
          <w:rFonts w:ascii="Times New Roman" w:hAnsi="Times New Roman" w:cs="Times New Roman"/>
          <w:sz w:val="24"/>
          <w:szCs w:val="24"/>
        </w:rPr>
        <w:fldChar w:fldCharType="end"/>
      </w:r>
      <w:r w:rsidRPr="005369B5">
        <w:rPr>
          <w:rFonts w:ascii="Times New Roman" w:hAnsi="Times New Roman" w:cs="Times New Roman"/>
          <w:sz w:val="24"/>
          <w:szCs w:val="24"/>
        </w:rPr>
        <w:t xml:space="preserve"> encapsulates the well-established description of cortical bone response to specific material characteristics based on comprehensive prior work by Evans [12]. </w:t>
      </w:r>
    </w:p>
    <w:p w14:paraId="5828ED9F" w14:textId="12669E9F" w:rsidR="000B031E" w:rsidRPr="00A612A9" w:rsidRDefault="000B031E" w:rsidP="005369B5">
      <w:pPr>
        <w:pStyle w:val="Caption"/>
        <w:keepNext/>
        <w:spacing w:line="276" w:lineRule="auto"/>
        <w:rPr>
          <w:rFonts w:ascii="Times New Roman" w:hAnsi="Times New Roman" w:cs="Times New Roman"/>
          <w:sz w:val="20"/>
          <w:szCs w:val="20"/>
        </w:rPr>
      </w:pPr>
      <w:bookmarkStart w:id="3" w:name="_Ref122056913"/>
      <w:r w:rsidRPr="00A612A9">
        <w:rPr>
          <w:rFonts w:ascii="Times New Roman" w:hAnsi="Times New Roman" w:cs="Times New Roman"/>
          <w:sz w:val="20"/>
          <w:szCs w:val="20"/>
        </w:rPr>
        <w:t xml:space="preserve">Table </w:t>
      </w:r>
      <w:r w:rsidRPr="00A612A9">
        <w:rPr>
          <w:rFonts w:ascii="Times New Roman" w:hAnsi="Times New Roman" w:cs="Times New Roman"/>
          <w:sz w:val="20"/>
          <w:szCs w:val="20"/>
        </w:rPr>
        <w:fldChar w:fldCharType="begin"/>
      </w:r>
      <w:r w:rsidRPr="00A612A9">
        <w:rPr>
          <w:rFonts w:ascii="Times New Roman" w:hAnsi="Times New Roman" w:cs="Times New Roman"/>
          <w:sz w:val="20"/>
          <w:szCs w:val="20"/>
        </w:rPr>
        <w:instrText xml:space="preserve"> SEQ Table \* ARABIC </w:instrText>
      </w:r>
      <w:r w:rsidRPr="00A612A9">
        <w:rPr>
          <w:rFonts w:ascii="Times New Roman" w:hAnsi="Times New Roman" w:cs="Times New Roman"/>
          <w:sz w:val="20"/>
          <w:szCs w:val="20"/>
        </w:rPr>
        <w:fldChar w:fldCharType="separate"/>
      </w:r>
      <w:r w:rsidR="00A612A9" w:rsidRPr="00A612A9">
        <w:rPr>
          <w:rFonts w:ascii="Times New Roman" w:hAnsi="Times New Roman" w:cs="Times New Roman"/>
          <w:noProof/>
          <w:sz w:val="20"/>
          <w:szCs w:val="20"/>
        </w:rPr>
        <w:t>1</w:t>
      </w:r>
      <w:r w:rsidRPr="00A612A9">
        <w:rPr>
          <w:rFonts w:ascii="Times New Roman" w:hAnsi="Times New Roman" w:cs="Times New Roman"/>
          <w:noProof/>
          <w:sz w:val="20"/>
          <w:szCs w:val="20"/>
        </w:rPr>
        <w:fldChar w:fldCharType="end"/>
      </w:r>
      <w:bookmarkEnd w:id="3"/>
      <w:r w:rsidRPr="00A612A9">
        <w:rPr>
          <w:rFonts w:ascii="Times New Roman" w:hAnsi="Times New Roman" w:cs="Times New Roman"/>
          <w:sz w:val="20"/>
          <w:szCs w:val="20"/>
        </w:rPr>
        <w:t>. Important material characteristics of cortical bone</w:t>
      </w:r>
    </w:p>
    <w:tbl>
      <w:tblPr>
        <w:tblStyle w:val="TableGrid"/>
        <w:tblW w:w="9015" w:type="dxa"/>
        <w:tblInd w:w="250" w:type="dxa"/>
        <w:tblLook w:val="04A0" w:firstRow="1" w:lastRow="0" w:firstColumn="1" w:lastColumn="0" w:noHBand="0" w:noVBand="1"/>
      </w:tblPr>
      <w:tblGrid>
        <w:gridCol w:w="2323"/>
        <w:gridCol w:w="6692"/>
      </w:tblGrid>
      <w:tr w:rsidR="000B031E" w:rsidRPr="005369B5" w14:paraId="600E6EEB" w14:textId="77777777" w:rsidTr="001D5298">
        <w:trPr>
          <w:cantSplit/>
          <w:trHeight w:val="599"/>
        </w:trPr>
        <w:tc>
          <w:tcPr>
            <w:tcW w:w="2323" w:type="dxa"/>
          </w:tcPr>
          <w:p w14:paraId="3530D0CB" w14:textId="77777777" w:rsidR="000B031E" w:rsidRPr="005369B5" w:rsidRDefault="000B031E" w:rsidP="005369B5">
            <w:pPr>
              <w:spacing w:line="276" w:lineRule="auto"/>
              <w:jc w:val="both"/>
              <w:rPr>
                <w:rFonts w:ascii="Times New Roman" w:hAnsi="Times New Roman" w:cs="Times New Roman"/>
                <w:b/>
                <w:bCs/>
                <w:sz w:val="24"/>
                <w:szCs w:val="24"/>
                <w:lang w:eastAsia="en-GB"/>
              </w:rPr>
            </w:pPr>
            <w:r w:rsidRPr="005369B5">
              <w:rPr>
                <w:rFonts w:ascii="Times New Roman" w:hAnsi="Times New Roman" w:cs="Times New Roman"/>
                <w:b/>
                <w:bCs/>
                <w:sz w:val="24"/>
                <w:szCs w:val="24"/>
                <w:lang w:eastAsia="en-GB"/>
              </w:rPr>
              <w:t>Material Characteristic</w:t>
            </w:r>
          </w:p>
        </w:tc>
        <w:tc>
          <w:tcPr>
            <w:tcW w:w="6692" w:type="dxa"/>
          </w:tcPr>
          <w:p w14:paraId="2CC6C208" w14:textId="77777777" w:rsidR="000B031E" w:rsidRPr="005369B5" w:rsidRDefault="000B031E" w:rsidP="005369B5">
            <w:pPr>
              <w:spacing w:line="276" w:lineRule="auto"/>
              <w:jc w:val="both"/>
              <w:rPr>
                <w:rFonts w:ascii="Times New Roman" w:hAnsi="Times New Roman" w:cs="Times New Roman"/>
                <w:b/>
                <w:bCs/>
                <w:sz w:val="24"/>
                <w:szCs w:val="24"/>
                <w:lang w:eastAsia="en-GB"/>
              </w:rPr>
            </w:pPr>
            <w:r w:rsidRPr="005369B5">
              <w:rPr>
                <w:rFonts w:ascii="Times New Roman" w:hAnsi="Times New Roman" w:cs="Times New Roman"/>
                <w:b/>
                <w:bCs/>
                <w:sz w:val="24"/>
                <w:szCs w:val="24"/>
                <w:lang w:eastAsia="en-GB"/>
              </w:rPr>
              <w:t>Response Description</w:t>
            </w:r>
          </w:p>
        </w:tc>
      </w:tr>
      <w:tr w:rsidR="000B031E" w:rsidRPr="005369B5" w14:paraId="7A5C74D9" w14:textId="77777777" w:rsidTr="001D5298">
        <w:trPr>
          <w:cantSplit/>
          <w:trHeight w:val="582"/>
        </w:trPr>
        <w:tc>
          <w:tcPr>
            <w:tcW w:w="2323" w:type="dxa"/>
          </w:tcPr>
          <w:p w14:paraId="24C20830" w14:textId="77777777" w:rsidR="000B031E" w:rsidRPr="005369B5" w:rsidRDefault="000B031E" w:rsidP="005369B5">
            <w:pPr>
              <w:spacing w:line="276" w:lineRule="auto"/>
              <w:jc w:val="both"/>
              <w:rPr>
                <w:rFonts w:ascii="Times New Roman" w:hAnsi="Times New Roman" w:cs="Times New Roman"/>
                <w:sz w:val="24"/>
                <w:szCs w:val="24"/>
                <w:lang w:eastAsia="en-GB"/>
              </w:rPr>
            </w:pPr>
            <w:r w:rsidRPr="005369B5">
              <w:rPr>
                <w:rFonts w:ascii="Times New Roman" w:hAnsi="Times New Roman" w:cs="Times New Roman"/>
                <w:sz w:val="24"/>
                <w:szCs w:val="24"/>
                <w:lang w:eastAsia="en-GB"/>
              </w:rPr>
              <w:t>Strength</w:t>
            </w:r>
          </w:p>
        </w:tc>
        <w:tc>
          <w:tcPr>
            <w:tcW w:w="6692" w:type="dxa"/>
          </w:tcPr>
          <w:p w14:paraId="42C0D29C" w14:textId="77777777" w:rsidR="000B031E" w:rsidRPr="005369B5" w:rsidRDefault="000B031E" w:rsidP="005369B5">
            <w:pPr>
              <w:spacing w:line="276" w:lineRule="auto"/>
              <w:jc w:val="both"/>
              <w:rPr>
                <w:rFonts w:ascii="Times New Roman" w:hAnsi="Times New Roman" w:cs="Times New Roman"/>
                <w:sz w:val="24"/>
                <w:szCs w:val="24"/>
                <w:lang w:eastAsia="en-GB"/>
              </w:rPr>
            </w:pPr>
            <w:r w:rsidRPr="005369B5">
              <w:rPr>
                <w:rFonts w:ascii="Times New Roman" w:hAnsi="Times New Roman" w:cs="Times New Roman"/>
                <w:sz w:val="24"/>
                <w:szCs w:val="24"/>
                <w:lang w:eastAsia="en-GB"/>
              </w:rPr>
              <w:t>Greater in compression than in tension</w:t>
            </w:r>
          </w:p>
        </w:tc>
      </w:tr>
      <w:tr w:rsidR="000B031E" w:rsidRPr="005369B5" w14:paraId="2C308FA7" w14:textId="77777777" w:rsidTr="001D5298">
        <w:trPr>
          <w:cantSplit/>
          <w:trHeight w:val="599"/>
        </w:trPr>
        <w:tc>
          <w:tcPr>
            <w:tcW w:w="2323" w:type="dxa"/>
          </w:tcPr>
          <w:p w14:paraId="47FBA24A" w14:textId="77777777" w:rsidR="000B031E" w:rsidRPr="005369B5" w:rsidRDefault="000B031E" w:rsidP="005369B5">
            <w:pPr>
              <w:spacing w:line="276" w:lineRule="auto"/>
              <w:jc w:val="both"/>
              <w:rPr>
                <w:rFonts w:ascii="Times New Roman" w:hAnsi="Times New Roman" w:cs="Times New Roman"/>
                <w:sz w:val="24"/>
                <w:szCs w:val="24"/>
                <w:lang w:eastAsia="en-GB"/>
              </w:rPr>
            </w:pPr>
            <w:r w:rsidRPr="005369B5">
              <w:rPr>
                <w:rFonts w:ascii="Times New Roman" w:hAnsi="Times New Roman" w:cs="Times New Roman"/>
                <w:sz w:val="24"/>
                <w:szCs w:val="24"/>
                <w:lang w:eastAsia="en-GB"/>
              </w:rPr>
              <w:t>Symmetry</w:t>
            </w:r>
          </w:p>
        </w:tc>
        <w:tc>
          <w:tcPr>
            <w:tcW w:w="6692" w:type="dxa"/>
          </w:tcPr>
          <w:p w14:paraId="1B8DDBA8" w14:textId="77777777" w:rsidR="000B031E" w:rsidRPr="005369B5" w:rsidRDefault="000B031E" w:rsidP="005369B5">
            <w:pPr>
              <w:spacing w:line="276" w:lineRule="auto"/>
              <w:jc w:val="both"/>
              <w:rPr>
                <w:rFonts w:ascii="Times New Roman" w:hAnsi="Times New Roman" w:cs="Times New Roman"/>
                <w:sz w:val="24"/>
                <w:szCs w:val="24"/>
                <w:lang w:eastAsia="en-GB"/>
              </w:rPr>
            </w:pPr>
            <w:r w:rsidRPr="005369B5">
              <w:rPr>
                <w:rFonts w:ascii="Times New Roman" w:hAnsi="Times New Roman" w:cs="Times New Roman"/>
                <w:sz w:val="24"/>
                <w:szCs w:val="24"/>
                <w:lang w:eastAsia="en-GB"/>
              </w:rPr>
              <w:t>Anisotropic, with greater strength and elasticity in longitudinal as opposed to transverse direction</w:t>
            </w:r>
          </w:p>
        </w:tc>
      </w:tr>
      <w:tr w:rsidR="000B031E" w:rsidRPr="005369B5" w14:paraId="11456021" w14:textId="77777777" w:rsidTr="001D5298">
        <w:trPr>
          <w:cantSplit/>
          <w:trHeight w:val="599"/>
        </w:trPr>
        <w:tc>
          <w:tcPr>
            <w:tcW w:w="2323" w:type="dxa"/>
          </w:tcPr>
          <w:p w14:paraId="5E03C86B" w14:textId="77777777" w:rsidR="000B031E" w:rsidRPr="005369B5" w:rsidRDefault="000B031E" w:rsidP="005369B5">
            <w:pPr>
              <w:spacing w:line="276" w:lineRule="auto"/>
              <w:jc w:val="both"/>
              <w:rPr>
                <w:rFonts w:ascii="Times New Roman" w:hAnsi="Times New Roman" w:cs="Times New Roman"/>
                <w:sz w:val="24"/>
                <w:szCs w:val="24"/>
                <w:lang w:eastAsia="en-GB"/>
              </w:rPr>
            </w:pPr>
            <w:r w:rsidRPr="005369B5">
              <w:rPr>
                <w:rFonts w:ascii="Times New Roman" w:hAnsi="Times New Roman" w:cs="Times New Roman"/>
                <w:sz w:val="24"/>
                <w:szCs w:val="24"/>
                <w:lang w:eastAsia="en-GB"/>
              </w:rPr>
              <w:t>Viscosity</w:t>
            </w:r>
          </w:p>
        </w:tc>
        <w:tc>
          <w:tcPr>
            <w:tcW w:w="6692" w:type="dxa"/>
          </w:tcPr>
          <w:p w14:paraId="522C870A" w14:textId="77777777" w:rsidR="000B031E" w:rsidRPr="005369B5" w:rsidRDefault="000B031E" w:rsidP="005369B5">
            <w:pPr>
              <w:spacing w:line="276" w:lineRule="auto"/>
              <w:jc w:val="both"/>
              <w:rPr>
                <w:rFonts w:ascii="Times New Roman" w:hAnsi="Times New Roman" w:cs="Times New Roman"/>
                <w:sz w:val="24"/>
                <w:szCs w:val="24"/>
                <w:lang w:eastAsia="en-GB"/>
              </w:rPr>
            </w:pPr>
            <w:r w:rsidRPr="005369B5">
              <w:rPr>
                <w:rFonts w:ascii="Times New Roman" w:hAnsi="Times New Roman" w:cs="Times New Roman"/>
                <w:sz w:val="24"/>
                <w:szCs w:val="24"/>
                <w:lang w:eastAsia="en-GB"/>
              </w:rPr>
              <w:t xml:space="preserve">There is a positive relationship between strain rate and yield strength, stiffness, and fracture strength </w:t>
            </w:r>
          </w:p>
        </w:tc>
      </w:tr>
      <w:tr w:rsidR="000B031E" w:rsidRPr="005369B5" w14:paraId="1F778E35" w14:textId="77777777" w:rsidTr="001D5298">
        <w:trPr>
          <w:cantSplit/>
          <w:trHeight w:val="599"/>
        </w:trPr>
        <w:tc>
          <w:tcPr>
            <w:tcW w:w="2323" w:type="dxa"/>
          </w:tcPr>
          <w:p w14:paraId="2D858F22" w14:textId="77777777" w:rsidR="000B031E" w:rsidRPr="005369B5" w:rsidRDefault="000B031E" w:rsidP="005369B5">
            <w:pPr>
              <w:spacing w:line="276" w:lineRule="auto"/>
              <w:jc w:val="both"/>
              <w:rPr>
                <w:rFonts w:ascii="Times New Roman" w:hAnsi="Times New Roman" w:cs="Times New Roman"/>
                <w:sz w:val="24"/>
                <w:szCs w:val="24"/>
                <w:lang w:eastAsia="en-GB"/>
              </w:rPr>
            </w:pPr>
            <w:r w:rsidRPr="005369B5">
              <w:rPr>
                <w:rFonts w:ascii="Times New Roman" w:hAnsi="Times New Roman" w:cs="Times New Roman"/>
                <w:sz w:val="24"/>
                <w:szCs w:val="24"/>
                <w:lang w:eastAsia="en-GB"/>
              </w:rPr>
              <w:t>Creep</w:t>
            </w:r>
          </w:p>
        </w:tc>
        <w:tc>
          <w:tcPr>
            <w:tcW w:w="6692" w:type="dxa"/>
          </w:tcPr>
          <w:p w14:paraId="77D0C737" w14:textId="77777777" w:rsidR="000B031E" w:rsidRPr="005369B5" w:rsidRDefault="000B031E" w:rsidP="005369B5">
            <w:pPr>
              <w:spacing w:line="276" w:lineRule="auto"/>
              <w:jc w:val="both"/>
              <w:rPr>
                <w:rFonts w:ascii="Times New Roman" w:hAnsi="Times New Roman" w:cs="Times New Roman"/>
                <w:sz w:val="24"/>
                <w:szCs w:val="24"/>
                <w:lang w:eastAsia="en-GB"/>
              </w:rPr>
            </w:pPr>
            <w:r w:rsidRPr="005369B5">
              <w:rPr>
                <w:rFonts w:ascii="Times New Roman" w:hAnsi="Times New Roman" w:cs="Times New Roman"/>
                <w:sz w:val="24"/>
                <w:szCs w:val="24"/>
                <w:lang w:eastAsia="en-GB"/>
              </w:rPr>
              <w:t>Observed only if loading results in stress above the creep threshold</w:t>
            </w:r>
          </w:p>
        </w:tc>
      </w:tr>
    </w:tbl>
    <w:p w14:paraId="4897393B" w14:textId="77777777" w:rsidR="000B031E" w:rsidRPr="005369B5" w:rsidRDefault="000B031E" w:rsidP="005369B5">
      <w:pPr>
        <w:jc w:val="both"/>
        <w:rPr>
          <w:rFonts w:ascii="Times New Roman" w:hAnsi="Times New Roman" w:cs="Times New Roman"/>
          <w:sz w:val="24"/>
          <w:szCs w:val="24"/>
        </w:rPr>
      </w:pPr>
    </w:p>
    <w:p w14:paraId="6C7B6C31" w14:textId="25A9A025" w:rsidR="000B031E" w:rsidRPr="005369B5" w:rsidRDefault="000B031E" w:rsidP="005369B5">
      <w:pPr>
        <w:rPr>
          <w:rFonts w:ascii="Times New Roman" w:hAnsi="Times New Roman" w:cs="Times New Roman"/>
          <w:b/>
          <w:bCs/>
          <w:sz w:val="24"/>
          <w:szCs w:val="24"/>
        </w:rPr>
      </w:pPr>
      <w:bookmarkStart w:id="4" w:name="_Toc122082987"/>
      <w:r w:rsidRPr="005369B5">
        <w:rPr>
          <w:rFonts w:ascii="Times New Roman" w:hAnsi="Times New Roman" w:cs="Times New Roman"/>
          <w:b/>
          <w:bCs/>
          <w:sz w:val="24"/>
          <w:szCs w:val="24"/>
        </w:rPr>
        <w:t>MECHANISM OF OSTEOPOROSIS</w:t>
      </w:r>
      <w:bookmarkEnd w:id="4"/>
    </w:p>
    <w:p w14:paraId="55F272E2" w14:textId="77777777"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Osteoporosis occurs because of increased bone porosity and hence reduced bone density, which in turn makes it more fragile and likely to fracture [1]. While this general conceptual idea is widely acknowledged, the specific mechanism underpinning osteoporosis has been under increasing scrutiny for the relative importance it assigns trabecular and cortical bone. This section homes in on the disagreement by exploring a range of mechanistic arguments put forth in the literature. </w:t>
      </w:r>
    </w:p>
    <w:p w14:paraId="512E3545" w14:textId="2C6D9D3E"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Bala et al. [10] first described the prevailing mechanistic theories of osteoporotic fracture as “</w:t>
      </w:r>
      <w:proofErr w:type="spellStart"/>
      <w:r w:rsidRPr="005369B5">
        <w:rPr>
          <w:rFonts w:ascii="Times New Roman" w:hAnsi="Times New Roman" w:cs="Times New Roman"/>
          <w:sz w:val="24"/>
          <w:szCs w:val="24"/>
        </w:rPr>
        <w:t>trabeculocentric</w:t>
      </w:r>
      <w:proofErr w:type="spellEnd"/>
      <w:r w:rsidRPr="005369B5">
        <w:rPr>
          <w:rFonts w:ascii="Times New Roman" w:hAnsi="Times New Roman" w:cs="Times New Roman"/>
          <w:sz w:val="24"/>
          <w:szCs w:val="24"/>
        </w:rPr>
        <w:t xml:space="preserve">”, noting that the emphasis on the role of trabecular tissue in causing osteoporosis far exceeds the consideration given to cortical bone. The reasons for this lopsided research are two-fold. Osteoporosis has been considered a trabecular phenomenon given the tissue’s greater metabolism and hence role in </w:t>
      </w:r>
      <w:r w:rsidR="001D5298" w:rsidRPr="005369B5">
        <w:rPr>
          <w:rFonts w:ascii="Times New Roman" w:hAnsi="Times New Roman" w:cs="Times New Roman"/>
          <w:sz w:val="24"/>
          <w:szCs w:val="24"/>
        </w:rPr>
        <w:t>remodeling</w:t>
      </w:r>
      <w:r w:rsidRPr="005369B5">
        <w:rPr>
          <w:rFonts w:ascii="Times New Roman" w:hAnsi="Times New Roman" w:cs="Times New Roman"/>
          <w:sz w:val="24"/>
          <w:szCs w:val="24"/>
        </w:rPr>
        <w:t xml:space="preserve">. As the net rate of degradation and modelling of bone determine the overall porosity and hence fragility, osteoporotic fracture has </w:t>
      </w:r>
      <w:r w:rsidRPr="005369B5">
        <w:rPr>
          <w:rFonts w:ascii="Times New Roman" w:hAnsi="Times New Roman" w:cs="Times New Roman"/>
          <w:sz w:val="24"/>
          <w:szCs w:val="24"/>
        </w:rPr>
        <w:lastRenderedPageBreak/>
        <w:t xml:space="preserve">been attributed to reduced trabecular mechanical properties [10]. Further, as the spongy trabeculae withstands greater deformation than the cortex, some studies [3] </w:t>
      </w:r>
      <w:r w:rsidR="00007ACB" w:rsidRPr="005369B5">
        <w:rPr>
          <w:rFonts w:ascii="Times New Roman" w:hAnsi="Times New Roman" w:cs="Times New Roman"/>
          <w:sz w:val="24"/>
          <w:szCs w:val="24"/>
        </w:rPr>
        <w:t>hypothesize</w:t>
      </w:r>
      <w:r w:rsidRPr="005369B5">
        <w:rPr>
          <w:rFonts w:ascii="Times New Roman" w:hAnsi="Times New Roman" w:cs="Times New Roman"/>
          <w:sz w:val="24"/>
          <w:szCs w:val="24"/>
        </w:rPr>
        <w:t xml:space="preserve"> that an increase in trabecular porosity will have a relatively higher impact on overall bone strength. Wills et al. [3] conducted a Receiver Operating Characteristic – Area Under the Curve (ROC-AUC) study which concluded that the risk of bone fracture was more accurately predicted by the degradation of trabecular as opposed to cortical bone. However, the authors state that such conclusions, despite strong correlation, can be unreliable given that the phenomenological modelling of interactions between cortical and trabecular bone are highly individual. </w:t>
      </w:r>
    </w:p>
    <w:p w14:paraId="74BE8ADB" w14:textId="77777777"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The second reason for historical trabecular focus is that imaging technology has been until recently unable to capture detailed information about cortical porosity given its smaller length scales than trabecular porosity. </w:t>
      </w:r>
    </w:p>
    <w:p w14:paraId="4CE1D7E3" w14:textId="0D858BF0"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With a gradual improvement in imaging such as micro </w:t>
      </w:r>
      <w:r w:rsidR="001D5298" w:rsidRPr="005369B5">
        <w:rPr>
          <w:rFonts w:ascii="Times New Roman" w:hAnsi="Times New Roman" w:cs="Times New Roman"/>
          <w:sz w:val="24"/>
          <w:szCs w:val="24"/>
        </w:rPr>
        <w:t>computerized</w:t>
      </w:r>
      <w:r w:rsidRPr="005369B5">
        <w:rPr>
          <w:rFonts w:ascii="Times New Roman" w:hAnsi="Times New Roman" w:cs="Times New Roman"/>
          <w:sz w:val="24"/>
          <w:szCs w:val="24"/>
        </w:rPr>
        <w:t xml:space="preserve"> tomography (</w:t>
      </w:r>
      <w:proofErr w:type="spellStart"/>
      <w:r w:rsidRPr="005369B5">
        <w:rPr>
          <w:rFonts w:ascii="Times New Roman" w:hAnsi="Times New Roman" w:cs="Times New Roman"/>
          <w:sz w:val="24"/>
          <w:szCs w:val="24"/>
        </w:rPr>
        <w:t>mCT</w:t>
      </w:r>
      <w:proofErr w:type="spellEnd"/>
      <w:r w:rsidRPr="005369B5">
        <w:rPr>
          <w:rFonts w:ascii="Times New Roman" w:hAnsi="Times New Roman" w:cs="Times New Roman"/>
          <w:sz w:val="24"/>
          <w:szCs w:val="24"/>
        </w:rPr>
        <w:t xml:space="preserve">) and an acknowledgment that over 80% of bone fractures occur in the cortex dominated appendicular skeleton [7], there has been a growing body of research investigating the role of the cortical tissue in bone fragility. Cooper et al. [10] argue that the marginal degradation of already heavily porous trabecula is minimal compared to the same percentage increase in cortical porosity. Further, the development of cortical pores increases remodeling which results in even greater porosity, thus resulting in a cycle of increased fragility. In contrast, the rate of trabecular degradation is more controlled. Some studies such as by Dapaah et al. [13] also mention that the energy to fracture is heavily dependent on crack initiation and the subsequently formed microdamage zone located in the cortical tissue, therefore making it a more significant consideration than the trabecular tissue.  </w:t>
      </w:r>
    </w:p>
    <w:p w14:paraId="0F2401B3" w14:textId="77777777"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Thus, although no consensus has been reached in the literature on the mechanism of osteoporosis, it has nevertheless become important to appraise the state-of-the-art in cortical bone modelling </w:t>
      </w:r>
      <w:proofErr w:type="gramStart"/>
      <w:r w:rsidRPr="005369B5">
        <w:rPr>
          <w:rFonts w:ascii="Times New Roman" w:hAnsi="Times New Roman" w:cs="Times New Roman"/>
          <w:sz w:val="24"/>
          <w:szCs w:val="24"/>
        </w:rPr>
        <w:t>in order to</w:t>
      </w:r>
      <w:proofErr w:type="gramEnd"/>
      <w:r w:rsidRPr="005369B5">
        <w:rPr>
          <w:rFonts w:ascii="Times New Roman" w:hAnsi="Times New Roman" w:cs="Times New Roman"/>
          <w:sz w:val="24"/>
          <w:szCs w:val="24"/>
        </w:rPr>
        <w:t xml:space="preserve"> develop simulations with greater bio-fidelity.  </w:t>
      </w:r>
    </w:p>
    <w:p w14:paraId="70C0B6CC" w14:textId="77777777" w:rsidR="000B031E" w:rsidRPr="005369B5" w:rsidRDefault="000B031E" w:rsidP="005369B5">
      <w:pPr>
        <w:jc w:val="both"/>
        <w:rPr>
          <w:rFonts w:ascii="Times New Roman" w:hAnsi="Times New Roman" w:cs="Times New Roman"/>
          <w:sz w:val="24"/>
          <w:szCs w:val="24"/>
        </w:rPr>
      </w:pPr>
    </w:p>
    <w:p w14:paraId="7361E885" w14:textId="52F57F2B" w:rsidR="000B031E" w:rsidRPr="005369B5" w:rsidRDefault="000B031E" w:rsidP="005369B5">
      <w:pPr>
        <w:rPr>
          <w:rFonts w:ascii="Times New Roman" w:hAnsi="Times New Roman" w:cs="Times New Roman"/>
          <w:b/>
          <w:bCs/>
          <w:sz w:val="24"/>
          <w:szCs w:val="24"/>
        </w:rPr>
      </w:pPr>
      <w:bookmarkStart w:id="5" w:name="_Toc122082988"/>
      <w:r w:rsidRPr="005369B5">
        <w:rPr>
          <w:rFonts w:ascii="Times New Roman" w:hAnsi="Times New Roman" w:cs="Times New Roman"/>
          <w:b/>
          <w:bCs/>
          <w:sz w:val="24"/>
          <w:szCs w:val="24"/>
        </w:rPr>
        <w:t>FE SIMULATION OF BONES</w:t>
      </w:r>
      <w:bookmarkEnd w:id="5"/>
    </w:p>
    <w:p w14:paraId="515320E8" w14:textId="61E50F1A"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The current clinical standard for osteoporosis diagnosis is </w:t>
      </w:r>
      <w:proofErr w:type="spellStart"/>
      <w:r w:rsidRPr="005369B5">
        <w:rPr>
          <w:rFonts w:ascii="Times New Roman" w:hAnsi="Times New Roman" w:cs="Times New Roman"/>
          <w:sz w:val="24"/>
          <w:szCs w:val="24"/>
        </w:rPr>
        <w:t>areal</w:t>
      </w:r>
      <w:proofErr w:type="spellEnd"/>
      <w:r w:rsidRPr="005369B5">
        <w:rPr>
          <w:rFonts w:ascii="Times New Roman" w:hAnsi="Times New Roman" w:cs="Times New Roman"/>
          <w:sz w:val="24"/>
          <w:szCs w:val="24"/>
        </w:rPr>
        <w:t xml:space="preserve"> bone density mapping (</w:t>
      </w:r>
      <w:proofErr w:type="spellStart"/>
      <w:r w:rsidRPr="005369B5">
        <w:rPr>
          <w:rFonts w:ascii="Times New Roman" w:hAnsi="Times New Roman" w:cs="Times New Roman"/>
          <w:sz w:val="24"/>
          <w:szCs w:val="24"/>
        </w:rPr>
        <w:t>aBMD</w:t>
      </w:r>
      <w:proofErr w:type="spellEnd"/>
      <w:r w:rsidRPr="005369B5">
        <w:rPr>
          <w:rFonts w:ascii="Times New Roman" w:hAnsi="Times New Roman" w:cs="Times New Roman"/>
          <w:sz w:val="24"/>
          <w:szCs w:val="24"/>
        </w:rPr>
        <w:t xml:space="preserve">) based on DXA imaging, coupled with diagnostic frameworks such as Fracture Risk Assessment Tool (FRAX) [14]. While this method is frugal, </w:t>
      </w:r>
      <w:r w:rsidR="00A612A9" w:rsidRPr="005369B5">
        <w:rPr>
          <w:rFonts w:ascii="Times New Roman" w:hAnsi="Times New Roman" w:cs="Times New Roman"/>
          <w:sz w:val="24"/>
          <w:szCs w:val="24"/>
        </w:rPr>
        <w:t>subject patients</w:t>
      </w:r>
      <w:r w:rsidRPr="005369B5">
        <w:rPr>
          <w:rFonts w:ascii="Times New Roman" w:hAnsi="Times New Roman" w:cs="Times New Roman"/>
          <w:sz w:val="24"/>
          <w:szCs w:val="24"/>
        </w:rPr>
        <w:t xml:space="preserve"> to relatively low radiation doses and is time-efficient, it has several shortcomings. First, BMD mapping provides only planar information and cannot provide volumetric visualisation [4]. In addition, it is unable to account for individual bone geometry, patient specific material properties and loading conditions. Finally, it must be recognized that while studies have shown adequate correlation of BMD with fracture risk, there are several other contributing factors such as microstructure, rate of osteocyte turnover and bone geometry.[16] Due to these limitations, BMD risk assessments are able to diagnose osteoporosis only for more severe cases with bone density test scores less than -2.5, thereby resulting in prediction errors of around 25-30% as reported by Wills et al. [3]. </w:t>
      </w:r>
    </w:p>
    <w:p w14:paraId="7D225293" w14:textId="1CECA2F0"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Patient specific finite element simulation of bones overcomes several limitations presented by BMD diagnosis. </w:t>
      </w:r>
      <w:proofErr w:type="gramStart"/>
      <w:r w:rsidRPr="005369B5">
        <w:rPr>
          <w:rFonts w:ascii="Times New Roman" w:hAnsi="Times New Roman" w:cs="Times New Roman"/>
          <w:sz w:val="24"/>
          <w:szCs w:val="24"/>
        </w:rPr>
        <w:t xml:space="preserve">By allowing for </w:t>
      </w:r>
      <w:r w:rsidR="001D5298" w:rsidRPr="005369B5">
        <w:rPr>
          <w:rFonts w:ascii="Times New Roman" w:hAnsi="Times New Roman" w:cs="Times New Roman"/>
          <w:sz w:val="24"/>
          <w:szCs w:val="24"/>
        </w:rPr>
        <w:t>personalized</w:t>
      </w:r>
      <w:r w:rsidRPr="005369B5">
        <w:rPr>
          <w:rFonts w:ascii="Times New Roman" w:hAnsi="Times New Roman" w:cs="Times New Roman"/>
          <w:sz w:val="24"/>
          <w:szCs w:val="24"/>
        </w:rPr>
        <w:t xml:space="preserve"> inputs, it</w:t>
      </w:r>
      <w:proofErr w:type="gramEnd"/>
      <w:r w:rsidRPr="005369B5">
        <w:rPr>
          <w:rFonts w:ascii="Times New Roman" w:hAnsi="Times New Roman" w:cs="Times New Roman"/>
          <w:sz w:val="24"/>
          <w:szCs w:val="24"/>
        </w:rPr>
        <w:t xml:space="preserve"> is proposed that FE models will allow </w:t>
      </w:r>
      <w:r w:rsidRPr="005369B5">
        <w:rPr>
          <w:rFonts w:ascii="Times New Roman" w:hAnsi="Times New Roman" w:cs="Times New Roman"/>
          <w:sz w:val="24"/>
          <w:szCs w:val="24"/>
        </w:rPr>
        <w:lastRenderedPageBreak/>
        <w:t>for improved diagnosis of fracture risk through a more detailed understanding not only of bone fragility but also the mechanism of fracture initiation and propagation. [5,15]</w:t>
      </w:r>
    </w:p>
    <w:p w14:paraId="28C6B9A1" w14:textId="77777777"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PSM has the potential to benefit clinicians by improving their ability to monitor bone health and provides useful information in deciding a commensurate treatment plan for patients. </w:t>
      </w:r>
    </w:p>
    <w:p w14:paraId="6ACC2270" w14:textId="38DEA5A0" w:rsidR="000B031E"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The reason FE models are not already popular is due to the lack of </w:t>
      </w:r>
      <w:r w:rsidR="001D5298" w:rsidRPr="005369B5">
        <w:rPr>
          <w:rFonts w:ascii="Times New Roman" w:hAnsi="Times New Roman" w:cs="Times New Roman"/>
          <w:sz w:val="24"/>
          <w:szCs w:val="24"/>
        </w:rPr>
        <w:t>standardization</w:t>
      </w:r>
      <w:r w:rsidRPr="005369B5">
        <w:rPr>
          <w:rFonts w:ascii="Times New Roman" w:hAnsi="Times New Roman" w:cs="Times New Roman"/>
          <w:sz w:val="24"/>
          <w:szCs w:val="24"/>
        </w:rPr>
        <w:t xml:space="preserve"> of inputs, high radiation and cost associated with QCT imaging, the most preferred method for FE. [4,5] After these issues are addressed, it would also be necessary to engage in widespread retraining of staff to understand how the assumptions in workflow stages can affect FE accuracy and hence diagnosis and treatment recommendations. These challenges, amongst others, will be addressed in greater detail in section 5. </w:t>
      </w:r>
    </w:p>
    <w:p w14:paraId="25221232" w14:textId="77777777" w:rsidR="001D5298" w:rsidRPr="005369B5" w:rsidRDefault="001D5298" w:rsidP="005369B5">
      <w:pPr>
        <w:jc w:val="both"/>
        <w:rPr>
          <w:rFonts w:ascii="Times New Roman" w:hAnsi="Times New Roman" w:cs="Times New Roman"/>
          <w:sz w:val="24"/>
          <w:szCs w:val="24"/>
        </w:rPr>
      </w:pPr>
    </w:p>
    <w:p w14:paraId="3452116F" w14:textId="179EF289" w:rsidR="000B031E" w:rsidRPr="005369B5" w:rsidRDefault="000B031E" w:rsidP="005369B5">
      <w:pPr>
        <w:rPr>
          <w:rFonts w:ascii="Times New Roman" w:hAnsi="Times New Roman" w:cs="Times New Roman"/>
          <w:b/>
          <w:bCs/>
          <w:sz w:val="24"/>
          <w:szCs w:val="24"/>
        </w:rPr>
      </w:pPr>
      <w:bookmarkStart w:id="6" w:name="_Toc122082990"/>
      <w:r w:rsidRPr="005369B5">
        <w:rPr>
          <w:rFonts w:ascii="Times New Roman" w:hAnsi="Times New Roman" w:cs="Times New Roman"/>
          <w:b/>
          <w:bCs/>
          <w:sz w:val="24"/>
          <w:szCs w:val="24"/>
        </w:rPr>
        <w:t>FE SIMULATION WORKFLOW</w:t>
      </w:r>
      <w:bookmarkEnd w:id="6"/>
    </w:p>
    <w:p w14:paraId="4B7394C8" w14:textId="08DF0B67" w:rsidR="000B031E"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The purpose of patient specific finite element modelling is to simulate the mechanical response of bone tissue given a set of </w:t>
      </w:r>
      <w:r w:rsidR="005D1634" w:rsidRPr="005369B5">
        <w:rPr>
          <w:rFonts w:ascii="Times New Roman" w:hAnsi="Times New Roman" w:cs="Times New Roman"/>
          <w:sz w:val="24"/>
          <w:szCs w:val="24"/>
        </w:rPr>
        <w:t>individualized</w:t>
      </w:r>
      <w:r w:rsidRPr="005369B5">
        <w:rPr>
          <w:rFonts w:ascii="Times New Roman" w:hAnsi="Times New Roman" w:cs="Times New Roman"/>
          <w:sz w:val="24"/>
          <w:szCs w:val="24"/>
        </w:rPr>
        <w:t xml:space="preserve"> input conditions. In general, a typical finite element workflow to develop a bone simulation requires three important inputs: imaging, material model assignment and load and boundary condition specification [4]. Once the image has been segmented such that it can be </w:t>
      </w:r>
      <w:r w:rsidR="005D1634" w:rsidRPr="005369B5">
        <w:rPr>
          <w:rFonts w:ascii="Times New Roman" w:hAnsi="Times New Roman" w:cs="Times New Roman"/>
          <w:sz w:val="24"/>
          <w:szCs w:val="24"/>
        </w:rPr>
        <w:t>analyzed</w:t>
      </w:r>
      <w:r w:rsidRPr="005369B5">
        <w:rPr>
          <w:rFonts w:ascii="Times New Roman" w:hAnsi="Times New Roman" w:cs="Times New Roman"/>
          <w:sz w:val="24"/>
          <w:szCs w:val="24"/>
        </w:rPr>
        <w:t xml:space="preserve">, the generated model is then meshed and overlaid with the material model and boundary conditions [4]. Ultimately, the simulation will output the biomechanical response which may </w:t>
      </w:r>
      <w:r w:rsidR="005D1634" w:rsidRPr="005369B5">
        <w:rPr>
          <w:rFonts w:ascii="Times New Roman" w:hAnsi="Times New Roman" w:cs="Times New Roman"/>
          <w:sz w:val="24"/>
          <w:szCs w:val="24"/>
        </w:rPr>
        <w:t>include</w:t>
      </w:r>
      <w:r w:rsidRPr="005369B5">
        <w:rPr>
          <w:rFonts w:ascii="Times New Roman" w:hAnsi="Times New Roman" w:cs="Times New Roman"/>
          <w:sz w:val="24"/>
          <w:szCs w:val="24"/>
        </w:rPr>
        <w:t xml:space="preserve"> stress, strain, </w:t>
      </w:r>
      <w:r w:rsidR="00A612A9" w:rsidRPr="005369B5">
        <w:rPr>
          <w:rFonts w:ascii="Times New Roman" w:hAnsi="Times New Roman" w:cs="Times New Roman"/>
          <w:sz w:val="24"/>
          <w:szCs w:val="24"/>
        </w:rPr>
        <w:t>deformations,</w:t>
      </w:r>
      <w:r w:rsidRPr="005369B5">
        <w:rPr>
          <w:rFonts w:ascii="Times New Roman" w:hAnsi="Times New Roman" w:cs="Times New Roman"/>
          <w:sz w:val="24"/>
          <w:szCs w:val="24"/>
        </w:rPr>
        <w:t xml:space="preserve"> and other clinically relevant parameters [17]. A flow chart of a typical FE workflow for modelling bone is shown in </w:t>
      </w:r>
      <w:r w:rsidRPr="005369B5">
        <w:rPr>
          <w:rFonts w:ascii="Times New Roman" w:hAnsi="Times New Roman" w:cs="Times New Roman"/>
          <w:sz w:val="24"/>
          <w:szCs w:val="24"/>
        </w:rPr>
        <w:fldChar w:fldCharType="begin"/>
      </w:r>
      <w:r w:rsidRPr="005369B5">
        <w:rPr>
          <w:rFonts w:ascii="Times New Roman" w:hAnsi="Times New Roman" w:cs="Times New Roman"/>
          <w:sz w:val="24"/>
          <w:szCs w:val="24"/>
        </w:rPr>
        <w:instrText xml:space="preserve"> REF _Ref122063934 \h  \* MERGEFORMAT </w:instrText>
      </w:r>
      <w:r w:rsidRPr="005369B5">
        <w:rPr>
          <w:rFonts w:ascii="Times New Roman" w:hAnsi="Times New Roman" w:cs="Times New Roman"/>
          <w:sz w:val="24"/>
          <w:szCs w:val="24"/>
        </w:rPr>
      </w:r>
      <w:r w:rsidRPr="005369B5">
        <w:rPr>
          <w:rFonts w:ascii="Times New Roman" w:hAnsi="Times New Roman" w:cs="Times New Roman"/>
          <w:sz w:val="24"/>
          <w:szCs w:val="24"/>
        </w:rPr>
        <w:fldChar w:fldCharType="separate"/>
      </w:r>
      <w:r w:rsidRPr="005369B5">
        <w:rPr>
          <w:rFonts w:ascii="Times New Roman" w:hAnsi="Times New Roman" w:cs="Times New Roman"/>
          <w:sz w:val="24"/>
          <w:szCs w:val="24"/>
        </w:rPr>
        <w:t xml:space="preserve">Figure </w:t>
      </w:r>
      <w:r w:rsidRPr="005369B5">
        <w:rPr>
          <w:rFonts w:ascii="Times New Roman" w:hAnsi="Times New Roman" w:cs="Times New Roman"/>
          <w:noProof/>
          <w:sz w:val="24"/>
          <w:szCs w:val="24"/>
        </w:rPr>
        <w:t>2</w:t>
      </w:r>
      <w:r w:rsidRPr="005369B5">
        <w:rPr>
          <w:rFonts w:ascii="Times New Roman" w:hAnsi="Times New Roman" w:cs="Times New Roman"/>
          <w:sz w:val="24"/>
          <w:szCs w:val="24"/>
        </w:rPr>
        <w:fldChar w:fldCharType="end"/>
      </w:r>
      <w:r w:rsidRPr="005369B5">
        <w:rPr>
          <w:rFonts w:ascii="Times New Roman" w:hAnsi="Times New Roman" w:cs="Times New Roman"/>
          <w:sz w:val="24"/>
          <w:szCs w:val="24"/>
        </w:rPr>
        <w:t xml:space="preserve">. </w:t>
      </w:r>
    </w:p>
    <w:p w14:paraId="366CC73F" w14:textId="00CF609C" w:rsidR="005D1634" w:rsidRPr="005369B5" w:rsidRDefault="005D1634" w:rsidP="005369B5">
      <w:pPr>
        <w:jc w:val="both"/>
        <w:rPr>
          <w:rFonts w:ascii="Times New Roman" w:hAnsi="Times New Roman" w:cs="Times New Roman"/>
          <w:sz w:val="24"/>
          <w:szCs w:val="24"/>
        </w:rPr>
      </w:pPr>
      <w:r w:rsidRPr="00FB3FBB">
        <w:rPr>
          <w:rFonts w:eastAsia="Times New Roman" w:cs="CMU Sans Serif"/>
          <w:noProof/>
        </w:rPr>
        <w:drawing>
          <wp:anchor distT="0" distB="0" distL="114300" distR="114300" simplePos="0" relativeHeight="250892800" behindDoc="1" locked="0" layoutInCell="1" allowOverlap="1" wp14:anchorId="408320EE" wp14:editId="4287B3B9">
            <wp:simplePos x="0" y="0"/>
            <wp:positionH relativeFrom="column">
              <wp:posOffset>0</wp:posOffset>
            </wp:positionH>
            <wp:positionV relativeFrom="paragraph">
              <wp:posOffset>113030</wp:posOffset>
            </wp:positionV>
            <wp:extent cx="3651250" cy="2143125"/>
            <wp:effectExtent l="0" t="0" r="0" b="0"/>
            <wp:wrapTight wrapText="bothSides">
              <wp:wrapPolygon edited="0">
                <wp:start x="0" y="0"/>
                <wp:lineTo x="0" y="21504"/>
                <wp:lineTo x="21525" y="21504"/>
                <wp:lineTo x="21525" y="0"/>
                <wp:lineTo x="0" y="0"/>
              </wp:wrapPolygon>
            </wp:wrapTight>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rotWithShape="1">
                    <a:blip r:embed="rId8">
                      <a:extLst>
                        <a:ext uri="{28A0092B-C50C-407E-A947-70E740481C1C}">
                          <a14:useLocalDpi xmlns:a14="http://schemas.microsoft.com/office/drawing/2010/main" val="0"/>
                        </a:ext>
                      </a:extLst>
                    </a:blip>
                    <a:srcRect r="3464" b="20087"/>
                    <a:stretch/>
                  </pic:blipFill>
                  <pic:spPr bwMode="auto">
                    <a:xfrm>
                      <a:off x="0" y="0"/>
                      <a:ext cx="3651250" cy="2143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pict w14:anchorId="3D2BC452">
          <v:shape id="_x0000_s1027" type="#_x0000_t202" style="position:absolute;left:0;text-align:left;margin-left:0;margin-top:188.9pt;width:287.5pt;height:.05pt;z-index:251665408;mso-position-horizontal-relative:text;mso-position-vertical-relative:text" wrapcoords="-56 0 -56 20463 21600 20463 21600 0 -56 0" stroked="f">
            <v:textbox style="mso-fit-shape-to-text:t" inset="0,0,0,0">
              <w:txbxContent>
                <w:p w14:paraId="531748CB" w14:textId="204D11F0" w:rsidR="005D1634" w:rsidRPr="000C38DA" w:rsidRDefault="005D1634" w:rsidP="005D1634">
                  <w:pPr>
                    <w:pStyle w:val="Caption"/>
                    <w:rPr>
                      <w:rFonts w:ascii="Arial" w:eastAsia="Times New Roman" w:hAnsi="Arial" w:cs="CMU Sans Serif"/>
                      <w:noProof/>
                      <w:lang w:val="en"/>
                    </w:rPr>
                  </w:pPr>
                  <w:r>
                    <w:t xml:space="preserve">Figure </w:t>
                  </w:r>
                  <w:r>
                    <w:fldChar w:fldCharType="begin"/>
                  </w:r>
                  <w:r>
                    <w:instrText xml:space="preserve"> SEQ Figure \* ARABIC </w:instrText>
                  </w:r>
                  <w:r>
                    <w:fldChar w:fldCharType="separate"/>
                  </w:r>
                  <w:r w:rsidR="008961CE">
                    <w:rPr>
                      <w:noProof/>
                    </w:rPr>
                    <w:t>2</w:t>
                  </w:r>
                  <w:r>
                    <w:fldChar w:fldCharType="end"/>
                  </w:r>
                  <w:r>
                    <w:t>. FE workflow for bone modelling [18]</w:t>
                  </w:r>
                </w:p>
              </w:txbxContent>
            </v:textbox>
            <w10:wrap type="tight"/>
          </v:shape>
        </w:pict>
      </w:r>
    </w:p>
    <w:p w14:paraId="2C1FA51C" w14:textId="6CC6FE84"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Each input of the FE simulation must be subject specific </w:t>
      </w:r>
      <w:r w:rsidR="005D1634" w:rsidRPr="005369B5">
        <w:rPr>
          <w:rFonts w:ascii="Times New Roman" w:hAnsi="Times New Roman" w:cs="Times New Roman"/>
          <w:sz w:val="24"/>
          <w:szCs w:val="24"/>
        </w:rPr>
        <w:t>to</w:t>
      </w:r>
      <w:r w:rsidRPr="005369B5">
        <w:rPr>
          <w:rFonts w:ascii="Times New Roman" w:hAnsi="Times New Roman" w:cs="Times New Roman"/>
          <w:sz w:val="24"/>
          <w:szCs w:val="24"/>
        </w:rPr>
        <w:t xml:space="preserve"> obtain an </w:t>
      </w:r>
      <w:r w:rsidR="005D1634" w:rsidRPr="005369B5">
        <w:rPr>
          <w:rFonts w:ascii="Times New Roman" w:hAnsi="Times New Roman" w:cs="Times New Roman"/>
          <w:sz w:val="24"/>
          <w:szCs w:val="24"/>
        </w:rPr>
        <w:t>individualized</w:t>
      </w:r>
      <w:r w:rsidRPr="005369B5">
        <w:rPr>
          <w:rFonts w:ascii="Times New Roman" w:hAnsi="Times New Roman" w:cs="Times New Roman"/>
          <w:sz w:val="24"/>
          <w:szCs w:val="24"/>
        </w:rPr>
        <w:t xml:space="preserve"> result. The material model is particularly challenging to make accurate given the multitude of properties to take into consideration, and the underlying lack of consensus on fracture mechanism. This review thus addresses the material modelling of the cortical bone specifically as an input to FE simulations. However, a context specific overview of all the inputs is first given to provide requisite background information. </w:t>
      </w:r>
    </w:p>
    <w:p w14:paraId="2DA27AA1" w14:textId="77777777" w:rsidR="00B66613" w:rsidRPr="005369B5" w:rsidRDefault="00B66613" w:rsidP="005369B5">
      <w:pPr>
        <w:jc w:val="both"/>
        <w:rPr>
          <w:rFonts w:ascii="Times New Roman" w:hAnsi="Times New Roman" w:cs="Times New Roman"/>
          <w:sz w:val="24"/>
          <w:szCs w:val="24"/>
        </w:rPr>
      </w:pPr>
    </w:p>
    <w:p w14:paraId="550DDE97" w14:textId="77777777" w:rsidR="000B031E" w:rsidRPr="005369B5" w:rsidRDefault="000B031E" w:rsidP="005369B5">
      <w:pPr>
        <w:rPr>
          <w:rFonts w:ascii="Times New Roman" w:hAnsi="Times New Roman" w:cs="Times New Roman"/>
          <w:b/>
          <w:bCs/>
          <w:sz w:val="24"/>
          <w:szCs w:val="24"/>
        </w:rPr>
      </w:pPr>
      <w:bookmarkStart w:id="7" w:name="_Toc122082991"/>
      <w:r w:rsidRPr="005369B5">
        <w:rPr>
          <w:rFonts w:ascii="Times New Roman" w:hAnsi="Times New Roman" w:cs="Times New Roman"/>
          <w:b/>
          <w:bCs/>
          <w:sz w:val="24"/>
          <w:szCs w:val="24"/>
        </w:rPr>
        <w:t>Imaging and segmentation</w:t>
      </w:r>
      <w:bookmarkEnd w:id="7"/>
      <w:r w:rsidRPr="005369B5">
        <w:rPr>
          <w:rFonts w:ascii="Times New Roman" w:hAnsi="Times New Roman" w:cs="Times New Roman"/>
          <w:b/>
          <w:bCs/>
          <w:sz w:val="24"/>
          <w:szCs w:val="24"/>
        </w:rPr>
        <w:t xml:space="preserve"> </w:t>
      </w:r>
    </w:p>
    <w:p w14:paraId="10212245" w14:textId="77777777"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There are several popular medical imaging techniques each with their strengths and weaknesses in yielding insightful information on bone structure. Cortical bone is associated with certain </w:t>
      </w:r>
      <w:r w:rsidRPr="005369B5">
        <w:rPr>
          <w:rFonts w:ascii="Times New Roman" w:hAnsi="Times New Roman" w:cs="Times New Roman"/>
          <w:sz w:val="24"/>
          <w:szCs w:val="24"/>
        </w:rPr>
        <w:lastRenderedPageBreak/>
        <w:t xml:space="preserve">unique imaging challenges due to its microstructure and porosity length scale. The following is an evaluation of commonly used imaging techniques from a cortical bone perspective. </w:t>
      </w:r>
    </w:p>
    <w:p w14:paraId="622C7B9E" w14:textId="77777777" w:rsidR="000B031E" w:rsidRPr="005369B5" w:rsidRDefault="000B031E" w:rsidP="005369B5">
      <w:pPr>
        <w:rPr>
          <w:rFonts w:ascii="Times New Roman" w:hAnsi="Times New Roman" w:cs="Times New Roman"/>
          <w:b/>
          <w:bCs/>
          <w:sz w:val="24"/>
          <w:szCs w:val="24"/>
        </w:rPr>
      </w:pPr>
      <w:r w:rsidRPr="005369B5">
        <w:rPr>
          <w:rFonts w:ascii="Times New Roman" w:hAnsi="Times New Roman" w:cs="Times New Roman"/>
          <w:b/>
          <w:bCs/>
          <w:sz w:val="24"/>
          <w:szCs w:val="24"/>
        </w:rPr>
        <w:t>Dual-energy X-ray Absorptiometry (DXA)</w:t>
      </w:r>
    </w:p>
    <w:p w14:paraId="5F8F5255" w14:textId="049F3F0F"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DXA scans are the </w:t>
      </w:r>
      <w:r w:rsidR="005D1634" w:rsidRPr="005369B5">
        <w:rPr>
          <w:rFonts w:ascii="Times New Roman" w:hAnsi="Times New Roman" w:cs="Times New Roman"/>
          <w:sz w:val="24"/>
          <w:szCs w:val="24"/>
        </w:rPr>
        <w:t>most used</w:t>
      </w:r>
      <w:r w:rsidRPr="005369B5">
        <w:rPr>
          <w:rFonts w:ascii="Times New Roman" w:hAnsi="Times New Roman" w:cs="Times New Roman"/>
          <w:sz w:val="24"/>
          <w:szCs w:val="24"/>
        </w:rPr>
        <w:t xml:space="preserve"> in clinical osteoporosis diagnostics due to </w:t>
      </w:r>
      <w:r w:rsidR="005D1634" w:rsidRPr="005369B5">
        <w:rPr>
          <w:rFonts w:ascii="Times New Roman" w:hAnsi="Times New Roman" w:cs="Times New Roman"/>
          <w:sz w:val="24"/>
          <w:szCs w:val="24"/>
        </w:rPr>
        <w:t>their</w:t>
      </w:r>
      <w:r w:rsidRPr="005369B5">
        <w:rPr>
          <w:rFonts w:ascii="Times New Roman" w:hAnsi="Times New Roman" w:cs="Times New Roman"/>
          <w:sz w:val="24"/>
          <w:szCs w:val="24"/>
        </w:rPr>
        <w:t xml:space="preserve"> low radiation dose, </w:t>
      </w:r>
      <w:proofErr w:type="gramStart"/>
      <w:r w:rsidRPr="005369B5">
        <w:rPr>
          <w:rFonts w:ascii="Times New Roman" w:hAnsi="Times New Roman" w:cs="Times New Roman"/>
          <w:sz w:val="24"/>
          <w:szCs w:val="24"/>
        </w:rPr>
        <w:t>speed</w:t>
      </w:r>
      <w:proofErr w:type="gramEnd"/>
      <w:r w:rsidRPr="005369B5">
        <w:rPr>
          <w:rFonts w:ascii="Times New Roman" w:hAnsi="Times New Roman" w:cs="Times New Roman"/>
          <w:sz w:val="24"/>
          <w:szCs w:val="24"/>
        </w:rPr>
        <w:t xml:space="preserve"> and low cost. Recently, the use of DXA scans is being extended to producing subject specific FE simulation instead of merely providing two-dimensional maps of bone mineral density. [3] Typically, they are used to determine cortical bone thickness which </w:t>
      </w:r>
      <w:proofErr w:type="gramStart"/>
      <w:r w:rsidRPr="005369B5">
        <w:rPr>
          <w:rFonts w:ascii="Times New Roman" w:hAnsi="Times New Roman" w:cs="Times New Roman"/>
          <w:sz w:val="24"/>
          <w:szCs w:val="24"/>
        </w:rPr>
        <w:t>help</w:t>
      </w:r>
      <w:proofErr w:type="gramEnd"/>
      <w:r w:rsidRPr="005369B5">
        <w:rPr>
          <w:rFonts w:ascii="Times New Roman" w:hAnsi="Times New Roman" w:cs="Times New Roman"/>
          <w:sz w:val="24"/>
          <w:szCs w:val="24"/>
        </w:rPr>
        <w:t xml:space="preserve"> in determining the overall bone density and hence propensity to fracture [19]. </w:t>
      </w:r>
    </w:p>
    <w:p w14:paraId="18568356" w14:textId="7A052452" w:rsidR="000B031E" w:rsidRPr="005369B5" w:rsidRDefault="005D1634" w:rsidP="005369B5">
      <w:pPr>
        <w:rPr>
          <w:rFonts w:ascii="Times New Roman" w:hAnsi="Times New Roman" w:cs="Times New Roman"/>
          <w:b/>
          <w:bCs/>
          <w:sz w:val="24"/>
          <w:szCs w:val="24"/>
        </w:rPr>
      </w:pPr>
      <w:r w:rsidRPr="005369B5">
        <w:rPr>
          <w:rFonts w:ascii="Times New Roman" w:hAnsi="Times New Roman" w:cs="Times New Roman"/>
          <w:b/>
          <w:bCs/>
          <w:sz w:val="24"/>
          <w:szCs w:val="24"/>
        </w:rPr>
        <w:t>Computerized</w:t>
      </w:r>
      <w:r w:rsidR="000B031E" w:rsidRPr="005369B5">
        <w:rPr>
          <w:rFonts w:ascii="Times New Roman" w:hAnsi="Times New Roman" w:cs="Times New Roman"/>
          <w:b/>
          <w:bCs/>
          <w:sz w:val="24"/>
          <w:szCs w:val="24"/>
        </w:rPr>
        <w:t xml:space="preserve"> Tomography (CT)</w:t>
      </w:r>
    </w:p>
    <w:p w14:paraId="49F948C4" w14:textId="114B0C91" w:rsidR="000B031E" w:rsidRPr="005369B5" w:rsidRDefault="005D1634" w:rsidP="005369B5">
      <w:pPr>
        <w:jc w:val="both"/>
        <w:rPr>
          <w:rFonts w:ascii="Times New Roman" w:hAnsi="Times New Roman" w:cs="Times New Roman"/>
          <w:sz w:val="24"/>
          <w:szCs w:val="24"/>
        </w:rPr>
      </w:pPr>
      <w:r w:rsidRPr="005369B5">
        <w:rPr>
          <w:rFonts w:ascii="Times New Roman" w:hAnsi="Times New Roman" w:cs="Times New Roman"/>
          <w:sz w:val="24"/>
          <w:szCs w:val="24"/>
        </w:rPr>
        <w:t>Computerized</w:t>
      </w:r>
      <w:r w:rsidR="000B031E" w:rsidRPr="005369B5">
        <w:rPr>
          <w:rFonts w:ascii="Times New Roman" w:hAnsi="Times New Roman" w:cs="Times New Roman"/>
          <w:sz w:val="24"/>
          <w:szCs w:val="24"/>
        </w:rPr>
        <w:t xml:space="preserve"> tomography is the most popular imaging technique to input into FE workflows as it can be used to reconstruct three-dimensional patient specific bone geometry and model individual material properties.[20] However, it has a higher radiation dose than DXA and is more resource intensive, therefore typically being reserved for only essential use in clinical </w:t>
      </w:r>
      <w:r w:rsidRPr="005369B5">
        <w:rPr>
          <w:rFonts w:ascii="Times New Roman" w:hAnsi="Times New Roman" w:cs="Times New Roman"/>
          <w:sz w:val="24"/>
          <w:szCs w:val="24"/>
        </w:rPr>
        <w:t>practice</w:t>
      </w:r>
      <w:r w:rsidR="000B031E" w:rsidRPr="005369B5">
        <w:rPr>
          <w:rFonts w:ascii="Times New Roman" w:hAnsi="Times New Roman" w:cs="Times New Roman"/>
          <w:sz w:val="24"/>
          <w:szCs w:val="24"/>
        </w:rPr>
        <w:t xml:space="preserve">. </w:t>
      </w:r>
    </w:p>
    <w:p w14:paraId="7B696ED3" w14:textId="7B781FEB"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CT scans are capable of indirectly quantifying the porosity of cortical bone through </w:t>
      </w:r>
      <w:r w:rsidR="00A612A9" w:rsidRPr="005369B5">
        <w:rPr>
          <w:rFonts w:ascii="Times New Roman" w:hAnsi="Times New Roman" w:cs="Times New Roman"/>
          <w:sz w:val="24"/>
          <w:szCs w:val="24"/>
        </w:rPr>
        <w:t>vascularity</w:t>
      </w:r>
      <w:r w:rsidRPr="005369B5">
        <w:rPr>
          <w:rFonts w:ascii="Times New Roman" w:hAnsi="Times New Roman" w:cs="Times New Roman"/>
          <w:sz w:val="24"/>
          <w:szCs w:val="24"/>
        </w:rPr>
        <w:t xml:space="preserve"> and bone mineral-based density measurement. Cooper et al. [6] observe that more than 60% of cortical pores are &lt;100 </w:t>
      </w:r>
      <w:r w:rsidR="005D1634" w:rsidRPr="005369B5">
        <w:rPr>
          <w:rFonts w:ascii="Times New Roman" w:hAnsi="Times New Roman" w:cs="Times New Roman"/>
          <w:sz w:val="24"/>
          <w:szCs w:val="24"/>
        </w:rPr>
        <w:t>micrometers</w:t>
      </w:r>
      <w:r w:rsidRPr="005369B5">
        <w:rPr>
          <w:rFonts w:ascii="Times New Roman" w:hAnsi="Times New Roman" w:cs="Times New Roman"/>
          <w:sz w:val="24"/>
          <w:szCs w:val="24"/>
        </w:rPr>
        <w:t xml:space="preserve">, which although previously unfeasible to detect, is increasingly becoming possible with the finer resolution </w:t>
      </w:r>
      <w:proofErr w:type="spellStart"/>
      <w:r w:rsidRPr="005369B5">
        <w:rPr>
          <w:rFonts w:ascii="Times New Roman" w:hAnsi="Times New Roman" w:cs="Times New Roman"/>
          <w:sz w:val="24"/>
          <w:szCs w:val="24"/>
        </w:rPr>
        <w:t>qCT</w:t>
      </w:r>
      <w:proofErr w:type="spellEnd"/>
      <w:r w:rsidRPr="005369B5">
        <w:rPr>
          <w:rFonts w:ascii="Times New Roman" w:hAnsi="Times New Roman" w:cs="Times New Roman"/>
          <w:sz w:val="24"/>
          <w:szCs w:val="24"/>
        </w:rPr>
        <w:t xml:space="preserve"> scanning. </w:t>
      </w:r>
    </w:p>
    <w:p w14:paraId="16CD9CE0" w14:textId="77777777" w:rsidR="000B031E" w:rsidRPr="005369B5" w:rsidRDefault="000B031E" w:rsidP="005369B5">
      <w:pPr>
        <w:rPr>
          <w:rFonts w:ascii="Times New Roman" w:hAnsi="Times New Roman" w:cs="Times New Roman"/>
          <w:b/>
          <w:bCs/>
          <w:sz w:val="24"/>
          <w:szCs w:val="24"/>
        </w:rPr>
      </w:pPr>
      <w:r w:rsidRPr="005369B5">
        <w:rPr>
          <w:rFonts w:ascii="Times New Roman" w:hAnsi="Times New Roman" w:cs="Times New Roman"/>
          <w:b/>
          <w:bCs/>
          <w:sz w:val="24"/>
          <w:szCs w:val="24"/>
        </w:rPr>
        <w:t>Magnetic Resonance Imaging (MRI)</w:t>
      </w:r>
    </w:p>
    <w:p w14:paraId="6907F98A" w14:textId="48499D74" w:rsidR="000B031E"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Recently, </w:t>
      </w:r>
      <w:proofErr w:type="spellStart"/>
      <w:r w:rsidRPr="005369B5">
        <w:rPr>
          <w:rFonts w:ascii="Times New Roman" w:hAnsi="Times New Roman" w:cs="Times New Roman"/>
          <w:sz w:val="24"/>
          <w:szCs w:val="24"/>
        </w:rPr>
        <w:t>Florkow</w:t>
      </w:r>
      <w:proofErr w:type="spellEnd"/>
      <w:r w:rsidRPr="005369B5">
        <w:rPr>
          <w:rFonts w:ascii="Times New Roman" w:hAnsi="Times New Roman" w:cs="Times New Roman"/>
          <w:sz w:val="24"/>
          <w:szCs w:val="24"/>
        </w:rPr>
        <w:t xml:space="preserve"> et al. [21] have attempted to use MRI imaging in the finite element modelling workflow of bones. A benefit of this approach is the lack of associated radiation. MRI captures images of fluid in the bone, as opposed to the solidified bone structure itself. This presents a challenge for cortical bone is dense and contains low quantities of bound water within the microstructure [22]. As a result, the intensity of signal obtained is attenuated in regions of high cortical tissue concentration, thus providing limited ability to reconstruct geometry or material properties. </w:t>
      </w:r>
    </w:p>
    <w:p w14:paraId="0035543D" w14:textId="77777777" w:rsidR="001D5298" w:rsidRPr="005369B5" w:rsidRDefault="001D5298" w:rsidP="005369B5">
      <w:pPr>
        <w:jc w:val="both"/>
        <w:rPr>
          <w:rFonts w:ascii="Times New Roman" w:hAnsi="Times New Roman" w:cs="Times New Roman"/>
          <w:sz w:val="24"/>
          <w:szCs w:val="24"/>
        </w:rPr>
      </w:pPr>
    </w:p>
    <w:p w14:paraId="166F955C" w14:textId="76680F26" w:rsidR="000B031E" w:rsidRPr="005D1634" w:rsidRDefault="00035DB0" w:rsidP="005D1634">
      <w:pPr>
        <w:rPr>
          <w:rFonts w:ascii="Times New Roman" w:hAnsi="Times New Roman" w:cs="Times New Roman"/>
          <w:b/>
          <w:bCs/>
          <w:sz w:val="24"/>
          <w:szCs w:val="24"/>
        </w:rPr>
      </w:pPr>
      <w:bookmarkStart w:id="8" w:name="_Toc122082992"/>
      <w:r w:rsidRPr="00FB3FBB">
        <w:rPr>
          <w:rFonts w:eastAsia="Times New Roman" w:cs="CMU Sans Serif"/>
          <w:noProof/>
        </w:rPr>
        <w:drawing>
          <wp:anchor distT="0" distB="0" distL="114300" distR="114300" simplePos="0" relativeHeight="250904064" behindDoc="1" locked="0" layoutInCell="1" allowOverlap="1" wp14:anchorId="03CDECB1" wp14:editId="57636AD2">
            <wp:simplePos x="0" y="0"/>
            <wp:positionH relativeFrom="column">
              <wp:posOffset>0</wp:posOffset>
            </wp:positionH>
            <wp:positionV relativeFrom="paragraph">
              <wp:posOffset>265430</wp:posOffset>
            </wp:positionV>
            <wp:extent cx="4048125" cy="1412875"/>
            <wp:effectExtent l="0" t="0" r="0" b="0"/>
            <wp:wrapTight wrapText="bothSides">
              <wp:wrapPolygon edited="0">
                <wp:start x="0" y="0"/>
                <wp:lineTo x="0" y="21260"/>
                <wp:lineTo x="21549" y="21260"/>
                <wp:lineTo x="21549" y="0"/>
                <wp:lineTo x="0" y="0"/>
              </wp:wrapPolygon>
            </wp:wrapTight>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48125" cy="1412875"/>
                    </a:xfrm>
                    <a:prstGeom prst="rect">
                      <a:avLst/>
                    </a:prstGeom>
                  </pic:spPr>
                </pic:pic>
              </a:graphicData>
            </a:graphic>
            <wp14:sizeRelH relativeFrom="page">
              <wp14:pctWidth>0</wp14:pctWidth>
            </wp14:sizeRelH>
            <wp14:sizeRelV relativeFrom="page">
              <wp14:pctHeight>0</wp14:pctHeight>
            </wp14:sizeRelV>
          </wp:anchor>
        </w:drawing>
      </w:r>
      <w:r w:rsidR="005369B5" w:rsidRPr="005369B5">
        <w:rPr>
          <w:rFonts w:ascii="Times New Roman" w:hAnsi="Times New Roman" w:cs="Times New Roman"/>
          <w:b/>
          <w:bCs/>
          <w:sz w:val="24"/>
          <w:szCs w:val="24"/>
        </w:rPr>
        <w:t>MATERIAL MODELLING</w:t>
      </w:r>
      <w:bookmarkEnd w:id="8"/>
    </w:p>
    <w:p w14:paraId="51C19774" w14:textId="111A1AE5" w:rsidR="000B031E" w:rsidRPr="005369B5" w:rsidRDefault="00035DB0" w:rsidP="005369B5">
      <w:pPr>
        <w:jc w:val="both"/>
        <w:rPr>
          <w:rFonts w:ascii="Times New Roman" w:hAnsi="Times New Roman" w:cs="Times New Roman"/>
          <w:sz w:val="24"/>
          <w:szCs w:val="24"/>
        </w:rPr>
      </w:pPr>
      <w:r>
        <w:rPr>
          <w:noProof/>
        </w:rPr>
        <w:pict w14:anchorId="54B160E3">
          <v:shape id="_x0000_s1028" type="#_x0000_t202" style="position:absolute;left:0;text-align:left;margin-left:-326.95pt;margin-top:111.55pt;width:227.05pt;height:21.55pt;z-index:251669504;mso-position-horizontal-relative:text;mso-position-vertical-relative:text" stroked="f">
            <v:textbox style="mso-fit-shape-to-text:t" inset="0,0,0,0">
              <w:txbxContent>
                <w:p w14:paraId="33DEBF0E" w14:textId="0ECE8A0E" w:rsidR="005D1634" w:rsidRPr="00CD7890" w:rsidRDefault="005D1634" w:rsidP="005D1634">
                  <w:pPr>
                    <w:pStyle w:val="Caption"/>
                    <w:rPr>
                      <w:rFonts w:ascii="Arial" w:eastAsia="Times New Roman" w:hAnsi="Arial" w:cs="CMU Sans Serif"/>
                      <w:noProof/>
                      <w:lang w:val="en"/>
                    </w:rPr>
                  </w:pPr>
                  <w:r>
                    <w:t xml:space="preserve">Figure </w:t>
                  </w:r>
                  <w:r>
                    <w:fldChar w:fldCharType="begin"/>
                  </w:r>
                  <w:r>
                    <w:instrText xml:space="preserve"> SEQ Figure \* ARABIC </w:instrText>
                  </w:r>
                  <w:r>
                    <w:fldChar w:fldCharType="separate"/>
                  </w:r>
                  <w:r w:rsidR="008961CE">
                    <w:rPr>
                      <w:noProof/>
                    </w:rPr>
                    <w:t>3</w:t>
                  </w:r>
                  <w:r>
                    <w:fldChar w:fldCharType="end"/>
                  </w:r>
                  <w:r>
                    <w:t>. Constitutive modelling procedure for bone [5]</w:t>
                  </w:r>
                </w:p>
              </w:txbxContent>
            </v:textbox>
            <w10:wrap type="topAndBottom"/>
          </v:shape>
        </w:pict>
      </w:r>
      <w:r w:rsidR="000B031E" w:rsidRPr="005369B5">
        <w:rPr>
          <w:rFonts w:ascii="Times New Roman" w:hAnsi="Times New Roman" w:cs="Times New Roman"/>
          <w:sz w:val="24"/>
          <w:szCs w:val="24"/>
        </w:rPr>
        <w:t xml:space="preserve">Material or constitutive modelling aims to simulate the experimentally observed behaviour of bone tissue. Typically, material models are created using a combination of data extracted from in vitro experiments and imaging. The former are important in defining post-yield and time-varying characteristics, while the latter are used to describe the elastic range as well as the degree of anisotropy [4]. </w:t>
      </w:r>
      <w:r w:rsidR="000B031E" w:rsidRPr="005369B5">
        <w:rPr>
          <w:rFonts w:ascii="Times New Roman" w:hAnsi="Times New Roman" w:cs="Times New Roman"/>
          <w:sz w:val="24"/>
          <w:szCs w:val="24"/>
        </w:rPr>
        <w:fldChar w:fldCharType="begin"/>
      </w:r>
      <w:r w:rsidR="000B031E" w:rsidRPr="005369B5">
        <w:rPr>
          <w:rFonts w:ascii="Times New Roman" w:hAnsi="Times New Roman" w:cs="Times New Roman"/>
          <w:sz w:val="24"/>
          <w:szCs w:val="24"/>
        </w:rPr>
        <w:instrText xml:space="preserve"> REF _Ref122065805 \h </w:instrText>
      </w:r>
      <w:r w:rsidR="005369B5" w:rsidRPr="005369B5">
        <w:rPr>
          <w:rFonts w:ascii="Times New Roman" w:hAnsi="Times New Roman" w:cs="Times New Roman"/>
          <w:sz w:val="24"/>
          <w:szCs w:val="24"/>
        </w:rPr>
        <w:instrText xml:space="preserve"> \* MERGEFORMAT </w:instrText>
      </w:r>
      <w:r w:rsidR="000B031E" w:rsidRPr="005369B5">
        <w:rPr>
          <w:rFonts w:ascii="Times New Roman" w:hAnsi="Times New Roman" w:cs="Times New Roman"/>
          <w:sz w:val="24"/>
          <w:szCs w:val="24"/>
        </w:rPr>
      </w:r>
      <w:r w:rsidR="000B031E" w:rsidRPr="005369B5">
        <w:rPr>
          <w:rFonts w:ascii="Times New Roman" w:hAnsi="Times New Roman" w:cs="Times New Roman"/>
          <w:sz w:val="24"/>
          <w:szCs w:val="24"/>
        </w:rPr>
        <w:fldChar w:fldCharType="separate"/>
      </w:r>
      <w:r w:rsidR="000B031E" w:rsidRPr="005369B5">
        <w:rPr>
          <w:rFonts w:ascii="Times New Roman" w:hAnsi="Times New Roman" w:cs="Times New Roman"/>
          <w:sz w:val="24"/>
          <w:szCs w:val="24"/>
        </w:rPr>
        <w:t xml:space="preserve">Figure </w:t>
      </w:r>
      <w:r w:rsidR="000B031E" w:rsidRPr="005369B5">
        <w:rPr>
          <w:rFonts w:ascii="Times New Roman" w:hAnsi="Times New Roman" w:cs="Times New Roman"/>
          <w:noProof/>
          <w:sz w:val="24"/>
          <w:szCs w:val="24"/>
        </w:rPr>
        <w:t>3</w:t>
      </w:r>
      <w:r w:rsidR="000B031E" w:rsidRPr="005369B5">
        <w:rPr>
          <w:rFonts w:ascii="Times New Roman" w:hAnsi="Times New Roman" w:cs="Times New Roman"/>
          <w:sz w:val="24"/>
          <w:szCs w:val="24"/>
        </w:rPr>
        <w:fldChar w:fldCharType="end"/>
      </w:r>
      <w:r w:rsidR="000B031E" w:rsidRPr="005369B5">
        <w:rPr>
          <w:rFonts w:ascii="Times New Roman" w:hAnsi="Times New Roman" w:cs="Times New Roman"/>
          <w:sz w:val="24"/>
          <w:szCs w:val="24"/>
        </w:rPr>
        <w:t xml:space="preserve"> illustrates the concept of constitutive model development. The ultimate objective of such a model is to use experimentally obtained data from mechanical testing on </w:t>
      </w:r>
      <w:r w:rsidR="001D5298" w:rsidRPr="005369B5">
        <w:rPr>
          <w:rFonts w:ascii="Times New Roman" w:hAnsi="Times New Roman" w:cs="Times New Roman"/>
          <w:sz w:val="24"/>
          <w:szCs w:val="24"/>
        </w:rPr>
        <w:t>bone and</w:t>
      </w:r>
      <w:r w:rsidR="000B031E" w:rsidRPr="005369B5">
        <w:rPr>
          <w:rFonts w:ascii="Times New Roman" w:hAnsi="Times New Roman" w:cs="Times New Roman"/>
          <w:sz w:val="24"/>
          <w:szCs w:val="24"/>
        </w:rPr>
        <w:t xml:space="preserve"> predict its behaviour for a broader range extending beyond the experimental readings.</w:t>
      </w:r>
    </w:p>
    <w:p w14:paraId="0ADC1D5A" w14:textId="77777777" w:rsidR="000B031E" w:rsidRPr="005369B5" w:rsidRDefault="000B031E" w:rsidP="005369B5">
      <w:pPr>
        <w:rPr>
          <w:rFonts w:ascii="Times New Roman" w:hAnsi="Times New Roman" w:cs="Times New Roman"/>
          <w:b/>
          <w:bCs/>
          <w:sz w:val="24"/>
          <w:szCs w:val="24"/>
        </w:rPr>
      </w:pPr>
      <w:bookmarkStart w:id="9" w:name="_Toc122082993"/>
      <w:r w:rsidRPr="005369B5">
        <w:rPr>
          <w:rFonts w:ascii="Times New Roman" w:hAnsi="Times New Roman" w:cs="Times New Roman"/>
          <w:b/>
          <w:bCs/>
          <w:sz w:val="24"/>
          <w:szCs w:val="24"/>
        </w:rPr>
        <w:lastRenderedPageBreak/>
        <w:t xml:space="preserve">Boundary and loading </w:t>
      </w:r>
      <w:proofErr w:type="gramStart"/>
      <w:r w:rsidRPr="005369B5">
        <w:rPr>
          <w:rFonts w:ascii="Times New Roman" w:hAnsi="Times New Roman" w:cs="Times New Roman"/>
          <w:b/>
          <w:bCs/>
          <w:sz w:val="24"/>
          <w:szCs w:val="24"/>
        </w:rPr>
        <w:t>conditions</w:t>
      </w:r>
      <w:bookmarkEnd w:id="9"/>
      <w:proofErr w:type="gramEnd"/>
    </w:p>
    <w:p w14:paraId="2899185C" w14:textId="3688CF06" w:rsidR="001D5298"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Accurate assignment of boundary and loading conditions is an under-researched aspect of the FE simulation workflow. [4] Relevant boundary conditions include muscles and ligaments, for example at joints of long bones. Accurate simulations require the stiffness and geometry of these </w:t>
      </w:r>
      <w:proofErr w:type="gramStart"/>
      <w:r w:rsidRPr="005369B5">
        <w:rPr>
          <w:rFonts w:ascii="Times New Roman" w:hAnsi="Times New Roman" w:cs="Times New Roman"/>
          <w:sz w:val="24"/>
          <w:szCs w:val="24"/>
        </w:rPr>
        <w:t>tissue</w:t>
      </w:r>
      <w:proofErr w:type="gramEnd"/>
      <w:r w:rsidRPr="005369B5">
        <w:rPr>
          <w:rFonts w:ascii="Times New Roman" w:hAnsi="Times New Roman" w:cs="Times New Roman"/>
          <w:sz w:val="24"/>
          <w:szCs w:val="24"/>
        </w:rPr>
        <w:t xml:space="preserve">, which are challenging to obtain and whose experimental validation is sparse. Further, subject specific loading forces, including their direction, magnitude and point of application must be known. Pankaj [4] reports that there are two popular methods of boundary and load condition modelling. While the first involves extracting loading data from muscles and ligaments and applying it to bone FE models, the second includes the boundary tissues as part of the system to be </w:t>
      </w:r>
      <w:r w:rsidR="001D5298" w:rsidRPr="005369B5">
        <w:rPr>
          <w:rFonts w:ascii="Times New Roman" w:hAnsi="Times New Roman" w:cs="Times New Roman"/>
          <w:sz w:val="24"/>
          <w:szCs w:val="24"/>
        </w:rPr>
        <w:t>analyzed</w:t>
      </w:r>
      <w:r w:rsidRPr="005369B5">
        <w:rPr>
          <w:rFonts w:ascii="Times New Roman" w:hAnsi="Times New Roman" w:cs="Times New Roman"/>
          <w:sz w:val="24"/>
          <w:szCs w:val="24"/>
        </w:rPr>
        <w:t xml:space="preserve"> along with the bone. </w:t>
      </w:r>
    </w:p>
    <w:p w14:paraId="35B0D15A" w14:textId="77777777" w:rsidR="00007ACB" w:rsidRDefault="000B031E" w:rsidP="00007ACB">
      <w:pPr>
        <w:jc w:val="both"/>
        <w:rPr>
          <w:rFonts w:ascii="Times New Roman" w:hAnsi="Times New Roman" w:cs="Times New Roman"/>
          <w:sz w:val="24"/>
          <w:szCs w:val="24"/>
        </w:rPr>
      </w:pPr>
      <w:r w:rsidRPr="005369B5">
        <w:rPr>
          <w:rFonts w:ascii="Times New Roman" w:hAnsi="Times New Roman" w:cs="Times New Roman"/>
          <w:sz w:val="24"/>
          <w:szCs w:val="24"/>
        </w:rPr>
        <w:t xml:space="preserve"> </w:t>
      </w:r>
      <w:bookmarkStart w:id="10" w:name="_Toc122082994"/>
    </w:p>
    <w:p w14:paraId="03400FA9" w14:textId="6072F86A" w:rsidR="000B031E" w:rsidRPr="00007ACB" w:rsidRDefault="005369B5" w:rsidP="00007ACB">
      <w:pPr>
        <w:jc w:val="both"/>
        <w:rPr>
          <w:rFonts w:ascii="Times New Roman" w:hAnsi="Times New Roman" w:cs="Times New Roman"/>
          <w:sz w:val="24"/>
          <w:szCs w:val="24"/>
        </w:rPr>
      </w:pPr>
      <w:r w:rsidRPr="005369B5">
        <w:rPr>
          <w:rFonts w:ascii="Times New Roman" w:hAnsi="Times New Roman" w:cs="Times New Roman"/>
          <w:b/>
          <w:bCs/>
          <w:sz w:val="24"/>
          <w:szCs w:val="24"/>
        </w:rPr>
        <w:t>MATERIAL MODELLING OF CORTICAL BONES</w:t>
      </w:r>
      <w:bookmarkEnd w:id="10"/>
    </w:p>
    <w:tbl>
      <w:tblPr>
        <w:tblpPr w:leftFromText="180" w:rightFromText="180" w:vertAnchor="text" w:horzAnchor="margin" w:tblpY="93"/>
        <w:tblW w:w="7073" w:type="dxa"/>
        <w:tblLook w:val="04A0" w:firstRow="1" w:lastRow="0" w:firstColumn="1" w:lastColumn="0" w:noHBand="0" w:noVBand="1"/>
      </w:tblPr>
      <w:tblGrid>
        <w:gridCol w:w="1836"/>
        <w:gridCol w:w="1099"/>
        <w:gridCol w:w="947"/>
        <w:gridCol w:w="1140"/>
        <w:gridCol w:w="864"/>
        <w:gridCol w:w="1187"/>
      </w:tblGrid>
      <w:tr w:rsidR="008841B5" w:rsidRPr="00035DB0" w14:paraId="6D8A256D" w14:textId="77777777" w:rsidTr="008841B5">
        <w:trPr>
          <w:trHeight w:val="426"/>
        </w:trPr>
        <w:tc>
          <w:tcPr>
            <w:tcW w:w="1836" w:type="dxa"/>
            <w:tcBorders>
              <w:top w:val="single" w:sz="4" w:space="0" w:color="auto"/>
              <w:left w:val="single" w:sz="4" w:space="0" w:color="auto"/>
              <w:bottom w:val="single" w:sz="4" w:space="0" w:color="auto"/>
              <w:right w:val="single" w:sz="4" w:space="0" w:color="auto"/>
            </w:tcBorders>
            <w:shd w:val="clear" w:color="000000" w:fill="FFFFFF"/>
            <w:hideMark/>
          </w:tcPr>
          <w:p w14:paraId="149762A8" w14:textId="77777777" w:rsidR="008841B5" w:rsidRPr="00035DB0" w:rsidRDefault="008841B5" w:rsidP="008841B5">
            <w:pPr>
              <w:spacing w:line="240" w:lineRule="auto"/>
              <w:rPr>
                <w:rFonts w:ascii="Times New Roman" w:eastAsia="Times New Roman" w:hAnsi="Times New Roman" w:cs="Times New Roman"/>
                <w:b/>
                <w:bCs/>
                <w:sz w:val="18"/>
                <w:szCs w:val="18"/>
                <w:lang w:val="en-GB"/>
              </w:rPr>
            </w:pPr>
            <w:r w:rsidRPr="00035DB0">
              <w:rPr>
                <w:rFonts w:ascii="Times New Roman" w:eastAsia="Times New Roman" w:hAnsi="Times New Roman" w:cs="Times New Roman"/>
                <w:b/>
                <w:bCs/>
                <w:sz w:val="18"/>
                <w:szCs w:val="18"/>
                <w:lang w:val="en-GB"/>
              </w:rPr>
              <w:t>Author</w:t>
            </w:r>
          </w:p>
        </w:tc>
        <w:tc>
          <w:tcPr>
            <w:tcW w:w="1099" w:type="dxa"/>
            <w:tcBorders>
              <w:top w:val="single" w:sz="4" w:space="0" w:color="auto"/>
              <w:left w:val="single" w:sz="4" w:space="0" w:color="auto"/>
              <w:bottom w:val="single" w:sz="4" w:space="0" w:color="auto"/>
              <w:right w:val="single" w:sz="4" w:space="0" w:color="auto"/>
            </w:tcBorders>
            <w:shd w:val="clear" w:color="000000" w:fill="FFFFFF"/>
            <w:hideMark/>
          </w:tcPr>
          <w:p w14:paraId="23D15978" w14:textId="77777777" w:rsidR="008841B5" w:rsidRPr="00035DB0" w:rsidRDefault="008841B5" w:rsidP="008841B5">
            <w:pPr>
              <w:spacing w:line="240" w:lineRule="auto"/>
              <w:rPr>
                <w:rFonts w:ascii="Times New Roman" w:eastAsia="Times New Roman" w:hAnsi="Times New Roman" w:cs="Times New Roman"/>
                <w:b/>
                <w:bCs/>
                <w:sz w:val="18"/>
                <w:szCs w:val="18"/>
                <w:lang w:val="en-GB"/>
              </w:rPr>
            </w:pPr>
            <w:r w:rsidRPr="00035DB0">
              <w:rPr>
                <w:rFonts w:ascii="Times New Roman" w:eastAsia="Times New Roman" w:hAnsi="Times New Roman" w:cs="Times New Roman"/>
                <w:b/>
                <w:bCs/>
                <w:sz w:val="18"/>
                <w:szCs w:val="18"/>
                <w:lang w:val="en-GB"/>
              </w:rPr>
              <w:t>Directional symmetry</w:t>
            </w:r>
          </w:p>
        </w:tc>
        <w:tc>
          <w:tcPr>
            <w:tcW w:w="947" w:type="dxa"/>
            <w:tcBorders>
              <w:top w:val="single" w:sz="4" w:space="0" w:color="auto"/>
              <w:left w:val="single" w:sz="4" w:space="0" w:color="auto"/>
              <w:bottom w:val="single" w:sz="4" w:space="0" w:color="auto"/>
              <w:right w:val="single" w:sz="4" w:space="0" w:color="auto"/>
            </w:tcBorders>
            <w:shd w:val="clear" w:color="000000" w:fill="FFFFFF"/>
            <w:hideMark/>
          </w:tcPr>
          <w:p w14:paraId="3162165A" w14:textId="77777777" w:rsidR="008841B5" w:rsidRPr="00035DB0" w:rsidRDefault="008841B5" w:rsidP="008841B5">
            <w:pPr>
              <w:spacing w:line="240" w:lineRule="auto"/>
              <w:rPr>
                <w:rFonts w:ascii="Times New Roman" w:eastAsia="Times New Roman" w:hAnsi="Times New Roman" w:cs="Times New Roman"/>
                <w:b/>
                <w:bCs/>
                <w:sz w:val="18"/>
                <w:szCs w:val="18"/>
                <w:lang w:val="en-GB"/>
              </w:rPr>
            </w:pPr>
            <w:r w:rsidRPr="00035DB0">
              <w:rPr>
                <w:rFonts w:ascii="Times New Roman" w:eastAsia="Times New Roman" w:hAnsi="Times New Roman" w:cs="Times New Roman"/>
                <w:b/>
                <w:bCs/>
                <w:sz w:val="18"/>
                <w:szCs w:val="18"/>
                <w:lang w:val="en-GB"/>
              </w:rPr>
              <w:t>Plasticity</w:t>
            </w:r>
          </w:p>
        </w:tc>
        <w:tc>
          <w:tcPr>
            <w:tcW w:w="1140" w:type="dxa"/>
            <w:tcBorders>
              <w:top w:val="single" w:sz="4" w:space="0" w:color="auto"/>
              <w:left w:val="single" w:sz="4" w:space="0" w:color="auto"/>
              <w:bottom w:val="single" w:sz="4" w:space="0" w:color="auto"/>
              <w:right w:val="single" w:sz="4" w:space="0" w:color="auto"/>
            </w:tcBorders>
            <w:shd w:val="clear" w:color="000000" w:fill="FFFFFF"/>
            <w:hideMark/>
          </w:tcPr>
          <w:p w14:paraId="1B0058A8" w14:textId="77777777" w:rsidR="008841B5" w:rsidRPr="00035DB0" w:rsidRDefault="008841B5" w:rsidP="008841B5">
            <w:pPr>
              <w:spacing w:line="240" w:lineRule="auto"/>
              <w:rPr>
                <w:rFonts w:ascii="Times New Roman" w:eastAsia="Times New Roman" w:hAnsi="Times New Roman" w:cs="Times New Roman"/>
                <w:b/>
                <w:bCs/>
                <w:sz w:val="18"/>
                <w:szCs w:val="18"/>
                <w:lang w:val="en-GB"/>
              </w:rPr>
            </w:pPr>
            <w:r w:rsidRPr="00035DB0">
              <w:rPr>
                <w:rFonts w:ascii="Times New Roman" w:eastAsia="Times New Roman" w:hAnsi="Times New Roman" w:cs="Times New Roman"/>
                <w:b/>
                <w:bCs/>
                <w:sz w:val="18"/>
                <w:szCs w:val="18"/>
                <w:lang w:val="en-GB"/>
              </w:rPr>
              <w:t>Time dependen</w:t>
            </w:r>
            <w:r>
              <w:rPr>
                <w:rFonts w:ascii="Times New Roman" w:eastAsia="Times New Roman" w:hAnsi="Times New Roman" w:cs="Times New Roman"/>
                <w:b/>
                <w:bCs/>
                <w:sz w:val="18"/>
                <w:szCs w:val="18"/>
                <w:lang w:val="en-GB"/>
              </w:rPr>
              <w:t>ce</w:t>
            </w:r>
          </w:p>
        </w:tc>
        <w:tc>
          <w:tcPr>
            <w:tcW w:w="864" w:type="dxa"/>
            <w:tcBorders>
              <w:top w:val="single" w:sz="4" w:space="0" w:color="auto"/>
              <w:left w:val="single" w:sz="4" w:space="0" w:color="auto"/>
              <w:bottom w:val="single" w:sz="4" w:space="0" w:color="auto"/>
              <w:right w:val="single" w:sz="4" w:space="0" w:color="auto"/>
            </w:tcBorders>
            <w:shd w:val="clear" w:color="000000" w:fill="FFFFFF"/>
            <w:hideMark/>
          </w:tcPr>
          <w:p w14:paraId="7755F653" w14:textId="77777777" w:rsidR="008841B5" w:rsidRPr="00035DB0" w:rsidRDefault="008841B5" w:rsidP="008841B5">
            <w:pPr>
              <w:spacing w:line="240" w:lineRule="auto"/>
              <w:rPr>
                <w:rFonts w:ascii="Times New Roman" w:eastAsia="Times New Roman" w:hAnsi="Times New Roman" w:cs="Times New Roman"/>
                <w:b/>
                <w:bCs/>
                <w:sz w:val="18"/>
                <w:szCs w:val="18"/>
                <w:lang w:val="en-GB"/>
              </w:rPr>
            </w:pPr>
            <w:r w:rsidRPr="00035DB0">
              <w:rPr>
                <w:rFonts w:ascii="Times New Roman" w:eastAsia="Times New Roman" w:hAnsi="Times New Roman" w:cs="Times New Roman"/>
                <w:b/>
                <w:bCs/>
                <w:sz w:val="18"/>
                <w:szCs w:val="18"/>
                <w:lang w:val="en-GB"/>
              </w:rPr>
              <w:t>Damage</w:t>
            </w:r>
          </w:p>
        </w:tc>
        <w:tc>
          <w:tcPr>
            <w:tcW w:w="1187" w:type="dxa"/>
            <w:tcBorders>
              <w:top w:val="single" w:sz="4" w:space="0" w:color="auto"/>
              <w:left w:val="single" w:sz="4" w:space="0" w:color="auto"/>
              <w:bottom w:val="single" w:sz="4" w:space="0" w:color="auto"/>
              <w:right w:val="single" w:sz="4" w:space="0" w:color="auto"/>
            </w:tcBorders>
            <w:shd w:val="clear" w:color="000000" w:fill="FFFFFF"/>
            <w:hideMark/>
          </w:tcPr>
          <w:p w14:paraId="37D7D16D" w14:textId="77777777" w:rsidR="008841B5" w:rsidRPr="00035DB0" w:rsidRDefault="008841B5" w:rsidP="008841B5">
            <w:pPr>
              <w:spacing w:line="240" w:lineRule="auto"/>
              <w:rPr>
                <w:rFonts w:ascii="Times New Roman" w:eastAsia="Times New Roman" w:hAnsi="Times New Roman" w:cs="Times New Roman"/>
                <w:b/>
                <w:bCs/>
                <w:sz w:val="18"/>
                <w:szCs w:val="18"/>
                <w:lang w:val="en-GB"/>
              </w:rPr>
            </w:pPr>
            <w:r w:rsidRPr="00035DB0">
              <w:rPr>
                <w:rFonts w:ascii="Times New Roman" w:eastAsia="Times New Roman" w:hAnsi="Times New Roman" w:cs="Times New Roman"/>
                <w:b/>
                <w:bCs/>
                <w:sz w:val="18"/>
                <w:szCs w:val="18"/>
                <w:lang w:val="en-GB"/>
              </w:rPr>
              <w:t xml:space="preserve">Length scale  </w:t>
            </w:r>
          </w:p>
        </w:tc>
      </w:tr>
      <w:tr w:rsidR="008841B5" w:rsidRPr="00035DB0" w14:paraId="2E8D3EC8" w14:textId="77777777" w:rsidTr="008841B5">
        <w:trPr>
          <w:trHeight w:val="306"/>
        </w:trPr>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67CAB6D7"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proofErr w:type="spellStart"/>
            <w:r w:rsidRPr="00035DB0">
              <w:rPr>
                <w:rFonts w:ascii="Times New Roman" w:eastAsia="Times New Roman" w:hAnsi="Times New Roman" w:cs="Times New Roman"/>
                <w:color w:val="000000"/>
                <w:sz w:val="18"/>
                <w:szCs w:val="18"/>
                <w:lang w:val="en-GB"/>
              </w:rPr>
              <w:t>Asgharpour</w:t>
            </w:r>
            <w:proofErr w:type="spellEnd"/>
            <w:r w:rsidRPr="00035DB0">
              <w:rPr>
                <w:rFonts w:ascii="Times New Roman" w:eastAsia="Times New Roman" w:hAnsi="Times New Roman" w:cs="Times New Roman"/>
                <w:color w:val="000000"/>
                <w:sz w:val="18"/>
                <w:szCs w:val="18"/>
                <w:lang w:val="en-GB"/>
              </w:rPr>
              <w:t xml:space="preserve"> et al.</w:t>
            </w:r>
          </w:p>
        </w:tc>
        <w:tc>
          <w:tcPr>
            <w:tcW w:w="1099" w:type="dxa"/>
            <w:tcBorders>
              <w:top w:val="single" w:sz="4" w:space="0" w:color="auto"/>
              <w:left w:val="single" w:sz="4" w:space="0" w:color="auto"/>
              <w:bottom w:val="single" w:sz="4" w:space="0" w:color="auto"/>
              <w:right w:val="single" w:sz="4" w:space="0" w:color="auto"/>
            </w:tcBorders>
            <w:shd w:val="clear" w:color="auto" w:fill="auto"/>
            <w:noWrap/>
            <w:hideMark/>
          </w:tcPr>
          <w:p w14:paraId="1C32A1DD"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Iso-</w:t>
            </w:r>
          </w:p>
        </w:tc>
        <w:tc>
          <w:tcPr>
            <w:tcW w:w="947" w:type="dxa"/>
            <w:tcBorders>
              <w:top w:val="single" w:sz="4" w:space="0" w:color="auto"/>
              <w:left w:val="single" w:sz="4" w:space="0" w:color="auto"/>
              <w:bottom w:val="single" w:sz="4" w:space="0" w:color="auto"/>
              <w:right w:val="single" w:sz="4" w:space="0" w:color="auto"/>
            </w:tcBorders>
            <w:shd w:val="clear" w:color="auto" w:fill="auto"/>
            <w:noWrap/>
            <w:hideMark/>
          </w:tcPr>
          <w:p w14:paraId="5D785E32" w14:textId="478A02FB"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p>
        </w:tc>
        <w:tc>
          <w:tcPr>
            <w:tcW w:w="1140" w:type="dxa"/>
            <w:tcBorders>
              <w:top w:val="single" w:sz="4" w:space="0" w:color="auto"/>
              <w:left w:val="single" w:sz="4" w:space="0" w:color="auto"/>
              <w:bottom w:val="single" w:sz="4" w:space="0" w:color="auto"/>
              <w:right w:val="single" w:sz="4" w:space="0" w:color="auto"/>
            </w:tcBorders>
            <w:shd w:val="clear" w:color="auto" w:fill="auto"/>
            <w:noWrap/>
            <w:hideMark/>
          </w:tcPr>
          <w:p w14:paraId="6DC285DE" w14:textId="1E95EA94"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p>
        </w:tc>
        <w:tc>
          <w:tcPr>
            <w:tcW w:w="864" w:type="dxa"/>
            <w:tcBorders>
              <w:top w:val="single" w:sz="4" w:space="0" w:color="auto"/>
              <w:left w:val="single" w:sz="4" w:space="0" w:color="auto"/>
              <w:bottom w:val="single" w:sz="4" w:space="0" w:color="auto"/>
              <w:right w:val="single" w:sz="4" w:space="0" w:color="auto"/>
            </w:tcBorders>
            <w:shd w:val="clear" w:color="auto" w:fill="auto"/>
            <w:noWrap/>
            <w:hideMark/>
          </w:tcPr>
          <w:p w14:paraId="5A969074" w14:textId="725AA2BD"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1187" w:type="dxa"/>
            <w:tcBorders>
              <w:top w:val="single" w:sz="4" w:space="0" w:color="auto"/>
              <w:left w:val="single" w:sz="4" w:space="0" w:color="auto"/>
              <w:bottom w:val="single" w:sz="4" w:space="0" w:color="auto"/>
              <w:right w:val="single" w:sz="4" w:space="0" w:color="auto"/>
            </w:tcBorders>
            <w:shd w:val="clear" w:color="auto" w:fill="auto"/>
            <w:noWrap/>
            <w:hideMark/>
          </w:tcPr>
          <w:p w14:paraId="5D30A741"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Macro</w:t>
            </w:r>
          </w:p>
        </w:tc>
      </w:tr>
      <w:tr w:rsidR="008841B5" w:rsidRPr="00035DB0" w14:paraId="617F7348" w14:textId="77777777" w:rsidTr="008841B5">
        <w:trPr>
          <w:trHeight w:val="306"/>
        </w:trPr>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7BAE5425"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proofErr w:type="spellStart"/>
            <w:r w:rsidRPr="00035DB0">
              <w:rPr>
                <w:rFonts w:ascii="Times New Roman" w:eastAsia="Times New Roman" w:hAnsi="Times New Roman" w:cs="Times New Roman"/>
                <w:color w:val="000000"/>
                <w:sz w:val="18"/>
                <w:szCs w:val="18"/>
                <w:lang w:val="en-GB"/>
              </w:rPr>
              <w:t>Barkaoui</w:t>
            </w:r>
            <w:proofErr w:type="spellEnd"/>
            <w:r w:rsidRPr="00035DB0">
              <w:rPr>
                <w:rFonts w:ascii="Times New Roman" w:eastAsia="Times New Roman" w:hAnsi="Times New Roman" w:cs="Times New Roman"/>
                <w:color w:val="000000"/>
                <w:sz w:val="18"/>
                <w:szCs w:val="18"/>
                <w:lang w:val="en-GB"/>
              </w:rPr>
              <w:t xml:space="preserve"> et al.</w:t>
            </w:r>
          </w:p>
        </w:tc>
        <w:tc>
          <w:tcPr>
            <w:tcW w:w="1099" w:type="dxa"/>
            <w:tcBorders>
              <w:top w:val="single" w:sz="4" w:space="0" w:color="auto"/>
              <w:left w:val="single" w:sz="4" w:space="0" w:color="auto"/>
              <w:bottom w:val="single" w:sz="4" w:space="0" w:color="auto"/>
              <w:right w:val="single" w:sz="4" w:space="0" w:color="auto"/>
            </w:tcBorders>
            <w:shd w:val="clear" w:color="auto" w:fill="auto"/>
            <w:noWrap/>
            <w:hideMark/>
          </w:tcPr>
          <w:p w14:paraId="2EDACDEE"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Iso-</w:t>
            </w:r>
          </w:p>
        </w:tc>
        <w:tc>
          <w:tcPr>
            <w:tcW w:w="947" w:type="dxa"/>
            <w:tcBorders>
              <w:top w:val="single" w:sz="4" w:space="0" w:color="auto"/>
              <w:left w:val="single" w:sz="4" w:space="0" w:color="auto"/>
              <w:bottom w:val="single" w:sz="4" w:space="0" w:color="auto"/>
              <w:right w:val="single" w:sz="4" w:space="0" w:color="auto"/>
            </w:tcBorders>
            <w:shd w:val="clear" w:color="auto" w:fill="auto"/>
            <w:noWrap/>
            <w:hideMark/>
          </w:tcPr>
          <w:p w14:paraId="1B1B0253" w14:textId="77777777"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1140" w:type="dxa"/>
            <w:tcBorders>
              <w:top w:val="single" w:sz="4" w:space="0" w:color="auto"/>
              <w:left w:val="single" w:sz="4" w:space="0" w:color="auto"/>
              <w:bottom w:val="single" w:sz="4" w:space="0" w:color="auto"/>
              <w:right w:val="single" w:sz="4" w:space="0" w:color="auto"/>
            </w:tcBorders>
            <w:shd w:val="clear" w:color="auto" w:fill="auto"/>
            <w:noWrap/>
            <w:hideMark/>
          </w:tcPr>
          <w:p w14:paraId="7634DBFA" w14:textId="1A221364"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864" w:type="dxa"/>
            <w:tcBorders>
              <w:top w:val="single" w:sz="4" w:space="0" w:color="auto"/>
              <w:left w:val="single" w:sz="4" w:space="0" w:color="auto"/>
              <w:bottom w:val="single" w:sz="4" w:space="0" w:color="auto"/>
              <w:right w:val="single" w:sz="4" w:space="0" w:color="auto"/>
            </w:tcBorders>
            <w:shd w:val="clear" w:color="auto" w:fill="auto"/>
            <w:noWrap/>
            <w:hideMark/>
          </w:tcPr>
          <w:p w14:paraId="64E7FE01" w14:textId="284E9801"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1187" w:type="dxa"/>
            <w:tcBorders>
              <w:top w:val="single" w:sz="4" w:space="0" w:color="auto"/>
              <w:left w:val="single" w:sz="4" w:space="0" w:color="auto"/>
              <w:bottom w:val="single" w:sz="4" w:space="0" w:color="auto"/>
              <w:right w:val="single" w:sz="4" w:space="0" w:color="auto"/>
            </w:tcBorders>
            <w:shd w:val="clear" w:color="auto" w:fill="auto"/>
            <w:noWrap/>
            <w:hideMark/>
          </w:tcPr>
          <w:p w14:paraId="330853B1"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Nano/multi</w:t>
            </w:r>
          </w:p>
        </w:tc>
      </w:tr>
      <w:tr w:rsidR="008841B5" w:rsidRPr="00035DB0" w14:paraId="7C11B9EF" w14:textId="77777777" w:rsidTr="008841B5">
        <w:trPr>
          <w:trHeight w:val="306"/>
        </w:trPr>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71768405"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Cloete et al.</w:t>
            </w:r>
          </w:p>
        </w:tc>
        <w:tc>
          <w:tcPr>
            <w:tcW w:w="1099" w:type="dxa"/>
            <w:tcBorders>
              <w:top w:val="single" w:sz="4" w:space="0" w:color="auto"/>
              <w:left w:val="single" w:sz="4" w:space="0" w:color="auto"/>
              <w:bottom w:val="single" w:sz="4" w:space="0" w:color="auto"/>
              <w:right w:val="single" w:sz="4" w:space="0" w:color="auto"/>
            </w:tcBorders>
            <w:shd w:val="clear" w:color="auto" w:fill="auto"/>
            <w:noWrap/>
            <w:hideMark/>
          </w:tcPr>
          <w:p w14:paraId="07EBF993" w14:textId="298231E6"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947" w:type="dxa"/>
            <w:tcBorders>
              <w:top w:val="single" w:sz="4" w:space="0" w:color="auto"/>
              <w:left w:val="single" w:sz="4" w:space="0" w:color="auto"/>
              <w:bottom w:val="single" w:sz="4" w:space="0" w:color="auto"/>
              <w:right w:val="single" w:sz="4" w:space="0" w:color="auto"/>
            </w:tcBorders>
            <w:shd w:val="clear" w:color="auto" w:fill="auto"/>
            <w:noWrap/>
            <w:hideMark/>
          </w:tcPr>
          <w:p w14:paraId="02D22E4F" w14:textId="14A13BD1"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noProof/>
                <w:color w:val="000000"/>
                <w:sz w:val="18"/>
                <w:szCs w:val="18"/>
                <w:lang w:val="en-GB"/>
              </w:rPr>
              <w:drawing>
                <wp:anchor distT="0" distB="0" distL="114300" distR="114300" simplePos="0" relativeHeight="252340736" behindDoc="0" locked="0" layoutInCell="1" allowOverlap="1" wp14:anchorId="6CD03E68" wp14:editId="6284E584">
                  <wp:simplePos x="0" y="0"/>
                  <wp:positionH relativeFrom="column">
                    <wp:posOffset>171450</wp:posOffset>
                  </wp:positionH>
                  <wp:positionV relativeFrom="paragraph">
                    <wp:posOffset>-338455</wp:posOffset>
                  </wp:positionV>
                  <wp:extent cx="161925" cy="104775"/>
                  <wp:effectExtent l="0" t="0" r="0" b="0"/>
                  <wp:wrapNone/>
                  <wp:docPr id="552333146" name="Picture 62" descr="Black Check Mark png download - 600*556 - Free Transparent ...">
                    <a:extLst xmlns:a="http://schemas.openxmlformats.org/drawingml/2006/main">
                      <a:ext uri="{FF2B5EF4-FFF2-40B4-BE49-F238E27FC236}">
                        <a16:creationId xmlns:a16="http://schemas.microsoft.com/office/drawing/2014/main" id="{77D9FD4F-CDB7-4D64-87A5-85315C1362BF}"/>
                      </a:ext>
                    </a:extLst>
                  </wp:docPr>
                  <wp:cNvGraphicFramePr/>
                  <a:graphic xmlns:a="http://schemas.openxmlformats.org/drawingml/2006/main">
                    <a:graphicData uri="http://schemas.openxmlformats.org/drawingml/2006/picture">
                      <pic:pic xmlns:pic="http://schemas.openxmlformats.org/drawingml/2006/picture">
                        <pic:nvPicPr>
                          <pic:cNvPr id="6" name="Picture 5" descr="Black Check Mark png download - 600*556 - Free Transparent ...">
                            <a:extLst>
                              <a:ext uri="{FF2B5EF4-FFF2-40B4-BE49-F238E27FC236}">
                                <a16:creationId xmlns:a16="http://schemas.microsoft.com/office/drawing/2014/main" id="{77D9FD4F-CDB7-4D64-87A5-85315C1362BF}"/>
                              </a:ext>
                            </a:extLst>
                          </pic:cNvPr>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5714" b="96786" l="10000" r="90000">
                                        <a14:foregroundMark x1="37889" y1="92500" x2="37889" y2="92500"/>
                                        <a14:foregroundMark x1="38222" y1="96964" x2="38222" y2="96964"/>
                                        <a14:foregroundMark x1="78667" y1="5714" x2="78667" y2="571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61925" cy="1047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18"/>
                <w:szCs w:val="18"/>
                <w:lang w:val="en-GB"/>
              </w:rPr>
              <w:t>-</w:t>
            </w:r>
          </w:p>
        </w:tc>
        <w:tc>
          <w:tcPr>
            <w:tcW w:w="1140" w:type="dxa"/>
            <w:tcBorders>
              <w:top w:val="single" w:sz="4" w:space="0" w:color="auto"/>
              <w:left w:val="single" w:sz="4" w:space="0" w:color="auto"/>
              <w:bottom w:val="single" w:sz="4" w:space="0" w:color="auto"/>
              <w:right w:val="single" w:sz="4" w:space="0" w:color="auto"/>
            </w:tcBorders>
            <w:shd w:val="clear" w:color="auto" w:fill="auto"/>
            <w:noWrap/>
            <w:hideMark/>
          </w:tcPr>
          <w:p w14:paraId="54473F20" w14:textId="49290FB9"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noProof/>
                <w:color w:val="000000"/>
                <w:sz w:val="18"/>
                <w:szCs w:val="18"/>
                <w:lang w:val="en-GB"/>
              </w:rPr>
              <w:drawing>
                <wp:anchor distT="0" distB="0" distL="114300" distR="114300" simplePos="0" relativeHeight="252382720" behindDoc="0" locked="0" layoutInCell="1" allowOverlap="1" wp14:anchorId="1EA96A5F" wp14:editId="2A5BEC32">
                  <wp:simplePos x="0" y="0"/>
                  <wp:positionH relativeFrom="column">
                    <wp:posOffset>219075</wp:posOffset>
                  </wp:positionH>
                  <wp:positionV relativeFrom="paragraph">
                    <wp:posOffset>-347980</wp:posOffset>
                  </wp:positionV>
                  <wp:extent cx="171450" cy="104775"/>
                  <wp:effectExtent l="0" t="0" r="0" b="0"/>
                  <wp:wrapNone/>
                  <wp:docPr id="70940659" name="Picture 61" descr="Black Check Mark png download - 600*556 - Free Transparent ...">
                    <a:extLst xmlns:a="http://schemas.openxmlformats.org/drawingml/2006/main">
                      <a:ext uri="{FF2B5EF4-FFF2-40B4-BE49-F238E27FC236}">
                        <a16:creationId xmlns:a16="http://schemas.microsoft.com/office/drawing/2014/main" id="{A382EAC8-9949-411E-99E7-0C8330E0CFF1}"/>
                      </a:ext>
                    </a:extLst>
                  </wp:docPr>
                  <wp:cNvGraphicFramePr/>
                  <a:graphic xmlns:a="http://schemas.openxmlformats.org/drawingml/2006/main">
                    <a:graphicData uri="http://schemas.openxmlformats.org/drawingml/2006/picture">
                      <pic:pic xmlns:pic="http://schemas.openxmlformats.org/drawingml/2006/picture">
                        <pic:nvPicPr>
                          <pic:cNvPr id="10" name="Picture 9" descr="Black Check Mark png download - 600*556 - Free Transparent ...">
                            <a:extLst>
                              <a:ext uri="{FF2B5EF4-FFF2-40B4-BE49-F238E27FC236}">
                                <a16:creationId xmlns:a16="http://schemas.microsoft.com/office/drawing/2014/main" id="{A382EAC8-9949-411E-99E7-0C8330E0CFF1}"/>
                              </a:ext>
                            </a:extLst>
                          </pic:cNvPr>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5714" b="96786" l="10000" r="90000">
                                        <a14:foregroundMark x1="37889" y1="92500" x2="37889" y2="92500"/>
                                        <a14:foregroundMark x1="38222" y1="96964" x2="38222" y2="96964"/>
                                        <a14:foregroundMark x1="78667" y1="5714" x2="78667" y2="571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71450" cy="1047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864" w:type="dxa"/>
            <w:tcBorders>
              <w:top w:val="single" w:sz="4" w:space="0" w:color="auto"/>
              <w:left w:val="single" w:sz="4" w:space="0" w:color="auto"/>
              <w:bottom w:val="single" w:sz="4" w:space="0" w:color="auto"/>
              <w:right w:val="single" w:sz="4" w:space="0" w:color="auto"/>
            </w:tcBorders>
            <w:shd w:val="clear" w:color="auto" w:fill="auto"/>
            <w:noWrap/>
            <w:hideMark/>
          </w:tcPr>
          <w:p w14:paraId="4C4D91D5" w14:textId="6EF7A8DD"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1187" w:type="dxa"/>
            <w:tcBorders>
              <w:top w:val="single" w:sz="4" w:space="0" w:color="auto"/>
              <w:left w:val="single" w:sz="4" w:space="0" w:color="auto"/>
              <w:bottom w:val="single" w:sz="4" w:space="0" w:color="auto"/>
              <w:right w:val="single" w:sz="4" w:space="0" w:color="auto"/>
            </w:tcBorders>
            <w:shd w:val="clear" w:color="auto" w:fill="auto"/>
            <w:noWrap/>
            <w:hideMark/>
          </w:tcPr>
          <w:p w14:paraId="56E075BD"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Macro</w:t>
            </w:r>
          </w:p>
        </w:tc>
      </w:tr>
      <w:tr w:rsidR="008841B5" w:rsidRPr="00035DB0" w14:paraId="7D49E45C" w14:textId="77777777" w:rsidTr="008841B5">
        <w:trPr>
          <w:trHeight w:val="306"/>
        </w:trPr>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4F1703B4"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Halldin et al.</w:t>
            </w:r>
          </w:p>
        </w:tc>
        <w:tc>
          <w:tcPr>
            <w:tcW w:w="1099" w:type="dxa"/>
            <w:tcBorders>
              <w:top w:val="single" w:sz="4" w:space="0" w:color="auto"/>
              <w:left w:val="single" w:sz="4" w:space="0" w:color="auto"/>
              <w:bottom w:val="single" w:sz="4" w:space="0" w:color="auto"/>
              <w:right w:val="single" w:sz="4" w:space="0" w:color="auto"/>
            </w:tcBorders>
            <w:shd w:val="clear" w:color="auto" w:fill="auto"/>
            <w:noWrap/>
            <w:hideMark/>
          </w:tcPr>
          <w:p w14:paraId="360DA0C3" w14:textId="02C11EB3"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947" w:type="dxa"/>
            <w:tcBorders>
              <w:top w:val="single" w:sz="4" w:space="0" w:color="auto"/>
              <w:left w:val="single" w:sz="4" w:space="0" w:color="auto"/>
              <w:bottom w:val="single" w:sz="4" w:space="0" w:color="auto"/>
              <w:right w:val="single" w:sz="4" w:space="0" w:color="auto"/>
            </w:tcBorders>
            <w:shd w:val="clear" w:color="auto" w:fill="auto"/>
            <w:noWrap/>
            <w:hideMark/>
          </w:tcPr>
          <w:p w14:paraId="43DD1B74" w14:textId="53D732D1"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p>
        </w:tc>
        <w:tc>
          <w:tcPr>
            <w:tcW w:w="1140" w:type="dxa"/>
            <w:tcBorders>
              <w:top w:val="single" w:sz="4" w:space="0" w:color="auto"/>
              <w:left w:val="single" w:sz="4" w:space="0" w:color="auto"/>
              <w:bottom w:val="single" w:sz="4" w:space="0" w:color="auto"/>
              <w:right w:val="single" w:sz="4" w:space="0" w:color="auto"/>
            </w:tcBorders>
            <w:shd w:val="clear" w:color="auto" w:fill="auto"/>
            <w:noWrap/>
            <w:hideMark/>
          </w:tcPr>
          <w:p w14:paraId="1472F6FA" w14:textId="0571BBD0"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p>
        </w:tc>
        <w:tc>
          <w:tcPr>
            <w:tcW w:w="864" w:type="dxa"/>
            <w:tcBorders>
              <w:top w:val="single" w:sz="4" w:space="0" w:color="auto"/>
              <w:left w:val="single" w:sz="4" w:space="0" w:color="auto"/>
              <w:bottom w:val="single" w:sz="4" w:space="0" w:color="auto"/>
              <w:right w:val="single" w:sz="4" w:space="0" w:color="auto"/>
            </w:tcBorders>
            <w:shd w:val="clear" w:color="auto" w:fill="auto"/>
            <w:noWrap/>
            <w:hideMark/>
          </w:tcPr>
          <w:p w14:paraId="19799363" w14:textId="2E1620DF"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1187" w:type="dxa"/>
            <w:tcBorders>
              <w:top w:val="single" w:sz="4" w:space="0" w:color="auto"/>
              <w:left w:val="single" w:sz="4" w:space="0" w:color="auto"/>
              <w:bottom w:val="single" w:sz="4" w:space="0" w:color="auto"/>
              <w:right w:val="single" w:sz="4" w:space="0" w:color="auto"/>
            </w:tcBorders>
            <w:shd w:val="clear" w:color="auto" w:fill="auto"/>
            <w:noWrap/>
            <w:hideMark/>
          </w:tcPr>
          <w:p w14:paraId="68180A24"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Macro</w:t>
            </w:r>
          </w:p>
        </w:tc>
      </w:tr>
      <w:tr w:rsidR="008841B5" w:rsidRPr="00035DB0" w14:paraId="158033C0" w14:textId="77777777" w:rsidTr="008841B5">
        <w:trPr>
          <w:trHeight w:val="306"/>
        </w:trPr>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16CAA319"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Bekker et al.</w:t>
            </w:r>
          </w:p>
        </w:tc>
        <w:tc>
          <w:tcPr>
            <w:tcW w:w="1099" w:type="dxa"/>
            <w:tcBorders>
              <w:top w:val="single" w:sz="4" w:space="0" w:color="auto"/>
              <w:left w:val="single" w:sz="4" w:space="0" w:color="auto"/>
              <w:bottom w:val="single" w:sz="4" w:space="0" w:color="auto"/>
              <w:right w:val="single" w:sz="4" w:space="0" w:color="auto"/>
            </w:tcBorders>
            <w:shd w:val="clear" w:color="auto" w:fill="auto"/>
            <w:noWrap/>
            <w:hideMark/>
          </w:tcPr>
          <w:p w14:paraId="7DBDA184" w14:textId="45C359D9"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947" w:type="dxa"/>
            <w:tcBorders>
              <w:top w:val="single" w:sz="4" w:space="0" w:color="auto"/>
              <w:left w:val="single" w:sz="4" w:space="0" w:color="auto"/>
              <w:bottom w:val="single" w:sz="4" w:space="0" w:color="auto"/>
              <w:right w:val="single" w:sz="4" w:space="0" w:color="auto"/>
            </w:tcBorders>
            <w:shd w:val="clear" w:color="auto" w:fill="auto"/>
            <w:noWrap/>
            <w:hideMark/>
          </w:tcPr>
          <w:p w14:paraId="6EEA2EAD" w14:textId="21F7C4C9"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1140" w:type="dxa"/>
            <w:tcBorders>
              <w:top w:val="single" w:sz="4" w:space="0" w:color="auto"/>
              <w:left w:val="single" w:sz="4" w:space="0" w:color="auto"/>
              <w:bottom w:val="single" w:sz="4" w:space="0" w:color="auto"/>
              <w:right w:val="single" w:sz="4" w:space="0" w:color="auto"/>
            </w:tcBorders>
            <w:shd w:val="clear" w:color="auto" w:fill="auto"/>
            <w:noWrap/>
            <w:hideMark/>
          </w:tcPr>
          <w:p w14:paraId="290D8814" w14:textId="4DEE5800"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noProof/>
                <w:color w:val="000000"/>
                <w:sz w:val="18"/>
                <w:szCs w:val="18"/>
                <w:lang w:val="en-GB"/>
              </w:rPr>
              <w:drawing>
                <wp:anchor distT="0" distB="0" distL="114300" distR="114300" simplePos="0" relativeHeight="252384768" behindDoc="0" locked="0" layoutInCell="1" allowOverlap="1" wp14:anchorId="33A13BB5" wp14:editId="00B0126C">
                  <wp:simplePos x="0" y="0"/>
                  <wp:positionH relativeFrom="column">
                    <wp:posOffset>238125</wp:posOffset>
                  </wp:positionH>
                  <wp:positionV relativeFrom="paragraph">
                    <wp:posOffset>-328930</wp:posOffset>
                  </wp:positionV>
                  <wp:extent cx="161925" cy="104775"/>
                  <wp:effectExtent l="0" t="0" r="0" b="0"/>
                  <wp:wrapNone/>
                  <wp:docPr id="677273250" name="Picture 60" descr="Black Check Mark png download - 600*556 - Free Transparent ...">
                    <a:extLst xmlns:a="http://schemas.openxmlformats.org/drawingml/2006/main">
                      <a:ext uri="{FF2B5EF4-FFF2-40B4-BE49-F238E27FC236}">
                        <a16:creationId xmlns:a16="http://schemas.microsoft.com/office/drawing/2014/main" id="{181F5522-FE1F-4E91-AF0E-A685F1A64C36}"/>
                      </a:ext>
                    </a:extLst>
                  </wp:docPr>
                  <wp:cNvGraphicFramePr/>
                  <a:graphic xmlns:a="http://schemas.openxmlformats.org/drawingml/2006/main">
                    <a:graphicData uri="http://schemas.openxmlformats.org/drawingml/2006/picture">
                      <pic:pic xmlns:pic="http://schemas.openxmlformats.org/drawingml/2006/picture">
                        <pic:nvPicPr>
                          <pic:cNvPr id="11" name="Picture 10" descr="Black Check Mark png download - 600*556 - Free Transparent ...">
                            <a:extLst>
                              <a:ext uri="{FF2B5EF4-FFF2-40B4-BE49-F238E27FC236}">
                                <a16:creationId xmlns:a16="http://schemas.microsoft.com/office/drawing/2014/main" id="{181F5522-FE1F-4E91-AF0E-A685F1A64C36}"/>
                              </a:ext>
                            </a:extLst>
                          </pic:cNvPr>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5714" b="96786" l="10000" r="90000">
                                        <a14:foregroundMark x1="37889" y1="92500" x2="37889" y2="92500"/>
                                        <a14:foregroundMark x1="38222" y1="96964" x2="38222" y2="96964"/>
                                        <a14:foregroundMark x1="78667" y1="5714" x2="78667" y2="571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61925" cy="1047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864" w:type="dxa"/>
            <w:tcBorders>
              <w:top w:val="single" w:sz="4" w:space="0" w:color="auto"/>
              <w:left w:val="single" w:sz="4" w:space="0" w:color="auto"/>
              <w:bottom w:val="single" w:sz="4" w:space="0" w:color="auto"/>
              <w:right w:val="single" w:sz="4" w:space="0" w:color="auto"/>
            </w:tcBorders>
            <w:shd w:val="clear" w:color="auto" w:fill="auto"/>
            <w:noWrap/>
            <w:hideMark/>
          </w:tcPr>
          <w:p w14:paraId="072A2A08" w14:textId="39450838"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1187" w:type="dxa"/>
            <w:tcBorders>
              <w:top w:val="single" w:sz="4" w:space="0" w:color="auto"/>
              <w:left w:val="single" w:sz="4" w:space="0" w:color="auto"/>
              <w:bottom w:val="single" w:sz="4" w:space="0" w:color="auto"/>
              <w:right w:val="single" w:sz="4" w:space="0" w:color="auto"/>
            </w:tcBorders>
            <w:shd w:val="clear" w:color="auto" w:fill="auto"/>
            <w:noWrap/>
            <w:hideMark/>
          </w:tcPr>
          <w:p w14:paraId="779B224F"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proofErr w:type="spellStart"/>
            <w:r w:rsidRPr="00035DB0">
              <w:rPr>
                <w:rFonts w:ascii="Times New Roman" w:eastAsia="Times New Roman" w:hAnsi="Times New Roman" w:cs="Times New Roman"/>
                <w:color w:val="000000"/>
                <w:sz w:val="18"/>
                <w:szCs w:val="18"/>
                <w:lang w:val="en-GB"/>
              </w:rPr>
              <w:t>Meso</w:t>
            </w:r>
            <w:proofErr w:type="spellEnd"/>
          </w:p>
        </w:tc>
      </w:tr>
      <w:tr w:rsidR="008841B5" w:rsidRPr="00035DB0" w14:paraId="73F44163" w14:textId="77777777" w:rsidTr="008841B5">
        <w:trPr>
          <w:trHeight w:val="306"/>
        </w:trPr>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724E1ABF"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 xml:space="preserve">Sansalone et al. </w:t>
            </w:r>
          </w:p>
        </w:tc>
        <w:tc>
          <w:tcPr>
            <w:tcW w:w="1099" w:type="dxa"/>
            <w:tcBorders>
              <w:top w:val="single" w:sz="4" w:space="0" w:color="auto"/>
              <w:left w:val="single" w:sz="4" w:space="0" w:color="auto"/>
              <w:bottom w:val="single" w:sz="4" w:space="0" w:color="auto"/>
              <w:right w:val="single" w:sz="4" w:space="0" w:color="auto"/>
            </w:tcBorders>
            <w:shd w:val="clear" w:color="auto" w:fill="auto"/>
            <w:noWrap/>
            <w:hideMark/>
          </w:tcPr>
          <w:p w14:paraId="75E1F9B4"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Iso-</w:t>
            </w:r>
          </w:p>
        </w:tc>
        <w:tc>
          <w:tcPr>
            <w:tcW w:w="947" w:type="dxa"/>
            <w:tcBorders>
              <w:top w:val="single" w:sz="4" w:space="0" w:color="auto"/>
              <w:left w:val="single" w:sz="4" w:space="0" w:color="auto"/>
              <w:bottom w:val="single" w:sz="4" w:space="0" w:color="auto"/>
              <w:right w:val="single" w:sz="4" w:space="0" w:color="auto"/>
            </w:tcBorders>
            <w:shd w:val="clear" w:color="auto" w:fill="auto"/>
            <w:noWrap/>
            <w:hideMark/>
          </w:tcPr>
          <w:p w14:paraId="79357482" w14:textId="01C570AB"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noProof/>
                <w:color w:val="000000"/>
                <w:sz w:val="18"/>
                <w:szCs w:val="18"/>
                <w:lang w:val="en-GB"/>
              </w:rPr>
              <w:drawing>
                <wp:anchor distT="0" distB="0" distL="114300" distR="114300" simplePos="0" relativeHeight="252397056" behindDoc="0" locked="0" layoutInCell="1" allowOverlap="1" wp14:anchorId="7D1ED3E6" wp14:editId="3D048E2A">
                  <wp:simplePos x="0" y="0"/>
                  <wp:positionH relativeFrom="column">
                    <wp:posOffset>161925</wp:posOffset>
                  </wp:positionH>
                  <wp:positionV relativeFrom="paragraph">
                    <wp:posOffset>-347980</wp:posOffset>
                  </wp:positionV>
                  <wp:extent cx="161925" cy="104775"/>
                  <wp:effectExtent l="0" t="0" r="0" b="0"/>
                  <wp:wrapNone/>
                  <wp:docPr id="1108767911" name="Picture 59" descr="Black Check Mark png download - 600*556 - Free Transparent ...">
                    <a:extLst xmlns:a="http://schemas.openxmlformats.org/drawingml/2006/main">
                      <a:ext uri="{FF2B5EF4-FFF2-40B4-BE49-F238E27FC236}">
                        <a16:creationId xmlns:a16="http://schemas.microsoft.com/office/drawing/2014/main" id="{84C1B3ED-1EF3-426D-9F70-C7D737937E6E}"/>
                      </a:ext>
                    </a:extLst>
                  </wp:docPr>
                  <wp:cNvGraphicFramePr/>
                  <a:graphic xmlns:a="http://schemas.openxmlformats.org/drawingml/2006/main">
                    <a:graphicData uri="http://schemas.openxmlformats.org/drawingml/2006/picture">
                      <pic:pic xmlns:pic="http://schemas.openxmlformats.org/drawingml/2006/picture">
                        <pic:nvPicPr>
                          <pic:cNvPr id="17" name="Picture 16" descr="Black Check Mark png download - 600*556 - Free Transparent ...">
                            <a:extLst>
                              <a:ext uri="{FF2B5EF4-FFF2-40B4-BE49-F238E27FC236}">
                                <a16:creationId xmlns:a16="http://schemas.microsoft.com/office/drawing/2014/main" id="{84C1B3ED-1EF3-426D-9F70-C7D737937E6E}"/>
                              </a:ext>
                            </a:extLst>
                          </pic:cNvPr>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5714" b="96786" l="10000" r="90000">
                                        <a14:foregroundMark x1="37889" y1="92500" x2="37889" y2="92500"/>
                                        <a14:foregroundMark x1="38222" y1="96964" x2="38222" y2="96964"/>
                                        <a14:foregroundMark x1="78667" y1="5714" x2="78667" y2="571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61925" cy="1047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18"/>
                <w:szCs w:val="18"/>
                <w:lang w:val="en-GB"/>
              </w:rPr>
              <w:t>-</w:t>
            </w:r>
          </w:p>
        </w:tc>
        <w:tc>
          <w:tcPr>
            <w:tcW w:w="1140" w:type="dxa"/>
            <w:tcBorders>
              <w:top w:val="single" w:sz="4" w:space="0" w:color="auto"/>
              <w:left w:val="single" w:sz="4" w:space="0" w:color="auto"/>
              <w:bottom w:val="single" w:sz="4" w:space="0" w:color="auto"/>
              <w:right w:val="single" w:sz="4" w:space="0" w:color="auto"/>
            </w:tcBorders>
            <w:shd w:val="clear" w:color="auto" w:fill="auto"/>
            <w:noWrap/>
            <w:hideMark/>
          </w:tcPr>
          <w:p w14:paraId="12C3A4D4" w14:textId="773EC08C"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noProof/>
                <w:color w:val="000000"/>
                <w:sz w:val="18"/>
                <w:szCs w:val="18"/>
                <w:lang w:val="en-GB"/>
              </w:rPr>
              <w:drawing>
                <wp:anchor distT="0" distB="0" distL="114300" distR="114300" simplePos="0" relativeHeight="252401152" behindDoc="0" locked="0" layoutInCell="1" allowOverlap="1" wp14:anchorId="71C7F8E9" wp14:editId="3654F6CE">
                  <wp:simplePos x="0" y="0"/>
                  <wp:positionH relativeFrom="column">
                    <wp:posOffset>228600</wp:posOffset>
                  </wp:positionH>
                  <wp:positionV relativeFrom="paragraph">
                    <wp:posOffset>-319405</wp:posOffset>
                  </wp:positionV>
                  <wp:extent cx="171450" cy="104775"/>
                  <wp:effectExtent l="0" t="0" r="0" b="0"/>
                  <wp:wrapNone/>
                  <wp:docPr id="1211317362" name="Picture 58" descr="Black Check Mark png download - 600*556 - Free Transparent ...">
                    <a:extLst xmlns:a="http://schemas.openxmlformats.org/drawingml/2006/main">
                      <a:ext uri="{FF2B5EF4-FFF2-40B4-BE49-F238E27FC236}">
                        <a16:creationId xmlns:a16="http://schemas.microsoft.com/office/drawing/2014/main" id="{75B9EAE4-8106-4DA8-8DC8-8046E3004E62}"/>
                      </a:ext>
                    </a:extLst>
                  </wp:docPr>
                  <wp:cNvGraphicFramePr/>
                  <a:graphic xmlns:a="http://schemas.openxmlformats.org/drawingml/2006/main">
                    <a:graphicData uri="http://schemas.openxmlformats.org/drawingml/2006/picture">
                      <pic:pic xmlns:pic="http://schemas.openxmlformats.org/drawingml/2006/picture">
                        <pic:nvPicPr>
                          <pic:cNvPr id="20" name="Picture 19" descr="Black Check Mark png download - 600*556 - Free Transparent ...">
                            <a:extLst>
                              <a:ext uri="{FF2B5EF4-FFF2-40B4-BE49-F238E27FC236}">
                                <a16:creationId xmlns:a16="http://schemas.microsoft.com/office/drawing/2014/main" id="{75B9EAE4-8106-4DA8-8DC8-8046E3004E62}"/>
                              </a:ext>
                            </a:extLst>
                          </pic:cNvPr>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5714" b="96786" l="10000" r="90000">
                                        <a14:foregroundMark x1="37889" y1="92500" x2="37889" y2="92500"/>
                                        <a14:foregroundMark x1="38222" y1="96964" x2="38222" y2="96964"/>
                                        <a14:foregroundMark x1="78667" y1="5714" x2="78667" y2="571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71450" cy="1047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18"/>
                <w:szCs w:val="18"/>
                <w:lang w:val="en-GB"/>
              </w:rPr>
              <w:t>-</w:t>
            </w:r>
          </w:p>
        </w:tc>
        <w:tc>
          <w:tcPr>
            <w:tcW w:w="864" w:type="dxa"/>
            <w:tcBorders>
              <w:top w:val="single" w:sz="4" w:space="0" w:color="auto"/>
              <w:left w:val="single" w:sz="4" w:space="0" w:color="auto"/>
              <w:bottom w:val="single" w:sz="4" w:space="0" w:color="auto"/>
              <w:right w:val="single" w:sz="4" w:space="0" w:color="auto"/>
            </w:tcBorders>
            <w:shd w:val="clear" w:color="auto" w:fill="auto"/>
            <w:noWrap/>
            <w:hideMark/>
          </w:tcPr>
          <w:p w14:paraId="76970765" w14:textId="7C21C8BE"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1187" w:type="dxa"/>
            <w:tcBorders>
              <w:top w:val="single" w:sz="4" w:space="0" w:color="auto"/>
              <w:left w:val="single" w:sz="4" w:space="0" w:color="auto"/>
              <w:bottom w:val="single" w:sz="4" w:space="0" w:color="auto"/>
              <w:right w:val="single" w:sz="4" w:space="0" w:color="auto"/>
            </w:tcBorders>
            <w:shd w:val="clear" w:color="auto" w:fill="auto"/>
            <w:noWrap/>
            <w:hideMark/>
          </w:tcPr>
          <w:p w14:paraId="1B03983E"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Macro</w:t>
            </w:r>
          </w:p>
        </w:tc>
      </w:tr>
      <w:tr w:rsidR="008841B5" w:rsidRPr="00035DB0" w14:paraId="6A89C647" w14:textId="77777777" w:rsidTr="008841B5">
        <w:trPr>
          <w:trHeight w:val="306"/>
        </w:trPr>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7C7D5C03"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 xml:space="preserve">Ng et al. </w:t>
            </w:r>
          </w:p>
        </w:tc>
        <w:tc>
          <w:tcPr>
            <w:tcW w:w="1099" w:type="dxa"/>
            <w:tcBorders>
              <w:top w:val="single" w:sz="4" w:space="0" w:color="auto"/>
              <w:left w:val="single" w:sz="4" w:space="0" w:color="auto"/>
              <w:bottom w:val="single" w:sz="4" w:space="0" w:color="auto"/>
              <w:right w:val="single" w:sz="4" w:space="0" w:color="auto"/>
            </w:tcBorders>
            <w:shd w:val="clear" w:color="auto" w:fill="auto"/>
            <w:noWrap/>
            <w:hideMark/>
          </w:tcPr>
          <w:p w14:paraId="5B77A83C"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Iso-</w:t>
            </w:r>
          </w:p>
        </w:tc>
        <w:tc>
          <w:tcPr>
            <w:tcW w:w="947" w:type="dxa"/>
            <w:tcBorders>
              <w:top w:val="single" w:sz="4" w:space="0" w:color="auto"/>
              <w:left w:val="single" w:sz="4" w:space="0" w:color="auto"/>
              <w:bottom w:val="single" w:sz="4" w:space="0" w:color="auto"/>
              <w:right w:val="single" w:sz="4" w:space="0" w:color="auto"/>
            </w:tcBorders>
            <w:shd w:val="clear" w:color="auto" w:fill="auto"/>
            <w:noWrap/>
            <w:hideMark/>
          </w:tcPr>
          <w:p w14:paraId="187DF884" w14:textId="423274E9"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p>
        </w:tc>
        <w:tc>
          <w:tcPr>
            <w:tcW w:w="1140" w:type="dxa"/>
            <w:tcBorders>
              <w:top w:val="single" w:sz="4" w:space="0" w:color="auto"/>
              <w:left w:val="single" w:sz="4" w:space="0" w:color="auto"/>
              <w:bottom w:val="single" w:sz="4" w:space="0" w:color="auto"/>
              <w:right w:val="single" w:sz="4" w:space="0" w:color="auto"/>
            </w:tcBorders>
            <w:shd w:val="clear" w:color="auto" w:fill="auto"/>
            <w:noWrap/>
            <w:hideMark/>
          </w:tcPr>
          <w:p w14:paraId="33B396F4" w14:textId="371F0EF2"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864" w:type="dxa"/>
            <w:tcBorders>
              <w:top w:val="single" w:sz="4" w:space="0" w:color="auto"/>
              <w:left w:val="single" w:sz="4" w:space="0" w:color="auto"/>
              <w:bottom w:val="single" w:sz="4" w:space="0" w:color="auto"/>
              <w:right w:val="single" w:sz="4" w:space="0" w:color="auto"/>
            </w:tcBorders>
            <w:shd w:val="clear" w:color="auto" w:fill="auto"/>
            <w:noWrap/>
            <w:hideMark/>
          </w:tcPr>
          <w:p w14:paraId="0BB2CE8F" w14:textId="7EE6354B"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p>
        </w:tc>
        <w:tc>
          <w:tcPr>
            <w:tcW w:w="1187" w:type="dxa"/>
            <w:tcBorders>
              <w:top w:val="single" w:sz="4" w:space="0" w:color="auto"/>
              <w:left w:val="single" w:sz="4" w:space="0" w:color="auto"/>
              <w:bottom w:val="single" w:sz="4" w:space="0" w:color="auto"/>
              <w:right w:val="single" w:sz="4" w:space="0" w:color="auto"/>
            </w:tcBorders>
            <w:shd w:val="clear" w:color="auto" w:fill="auto"/>
            <w:noWrap/>
            <w:hideMark/>
          </w:tcPr>
          <w:p w14:paraId="65AAF51A"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Macro</w:t>
            </w:r>
          </w:p>
        </w:tc>
      </w:tr>
      <w:tr w:rsidR="008841B5" w:rsidRPr="00035DB0" w14:paraId="799F815B" w14:textId="77777777" w:rsidTr="008841B5">
        <w:trPr>
          <w:trHeight w:val="306"/>
        </w:trPr>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428877D8"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proofErr w:type="spellStart"/>
            <w:r w:rsidRPr="00035DB0">
              <w:rPr>
                <w:rFonts w:ascii="Times New Roman" w:eastAsia="Times New Roman" w:hAnsi="Times New Roman" w:cs="Times New Roman"/>
                <w:color w:val="000000"/>
                <w:sz w:val="18"/>
                <w:szCs w:val="18"/>
                <w:lang w:val="en-GB"/>
              </w:rPr>
              <w:t>Zysset</w:t>
            </w:r>
            <w:proofErr w:type="spellEnd"/>
            <w:r w:rsidRPr="00035DB0">
              <w:rPr>
                <w:rFonts w:ascii="Times New Roman" w:eastAsia="Times New Roman" w:hAnsi="Times New Roman" w:cs="Times New Roman"/>
                <w:color w:val="000000"/>
                <w:sz w:val="18"/>
                <w:szCs w:val="18"/>
                <w:lang w:val="en-GB"/>
              </w:rPr>
              <w:t xml:space="preserve"> et al. </w:t>
            </w:r>
          </w:p>
        </w:tc>
        <w:tc>
          <w:tcPr>
            <w:tcW w:w="1099" w:type="dxa"/>
            <w:tcBorders>
              <w:top w:val="single" w:sz="4" w:space="0" w:color="auto"/>
              <w:left w:val="single" w:sz="4" w:space="0" w:color="auto"/>
              <w:bottom w:val="single" w:sz="4" w:space="0" w:color="auto"/>
              <w:right w:val="single" w:sz="4" w:space="0" w:color="auto"/>
            </w:tcBorders>
            <w:shd w:val="clear" w:color="auto" w:fill="auto"/>
            <w:noWrap/>
            <w:hideMark/>
          </w:tcPr>
          <w:p w14:paraId="791B153E"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 </w:t>
            </w:r>
          </w:p>
        </w:tc>
        <w:tc>
          <w:tcPr>
            <w:tcW w:w="947" w:type="dxa"/>
            <w:tcBorders>
              <w:top w:val="single" w:sz="4" w:space="0" w:color="auto"/>
              <w:left w:val="single" w:sz="4" w:space="0" w:color="auto"/>
              <w:bottom w:val="single" w:sz="4" w:space="0" w:color="auto"/>
              <w:right w:val="single" w:sz="4" w:space="0" w:color="auto"/>
            </w:tcBorders>
            <w:shd w:val="clear" w:color="auto" w:fill="auto"/>
            <w:noWrap/>
            <w:hideMark/>
          </w:tcPr>
          <w:p w14:paraId="1F0AF6D1" w14:textId="22163EF1"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p>
        </w:tc>
        <w:tc>
          <w:tcPr>
            <w:tcW w:w="1140" w:type="dxa"/>
            <w:tcBorders>
              <w:top w:val="single" w:sz="4" w:space="0" w:color="auto"/>
              <w:left w:val="single" w:sz="4" w:space="0" w:color="auto"/>
              <w:bottom w:val="single" w:sz="4" w:space="0" w:color="auto"/>
              <w:right w:val="single" w:sz="4" w:space="0" w:color="auto"/>
            </w:tcBorders>
            <w:shd w:val="clear" w:color="auto" w:fill="auto"/>
            <w:noWrap/>
            <w:hideMark/>
          </w:tcPr>
          <w:p w14:paraId="02AB7D2E" w14:textId="4BB2CAF2"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noProof/>
                <w:color w:val="000000"/>
                <w:sz w:val="18"/>
                <w:szCs w:val="18"/>
                <w:lang w:val="en-GB"/>
              </w:rPr>
              <w:drawing>
                <wp:anchor distT="0" distB="0" distL="114300" distR="114300" simplePos="0" relativeHeight="252405248" behindDoc="0" locked="0" layoutInCell="1" allowOverlap="1" wp14:anchorId="157CD269" wp14:editId="4FC327B8">
                  <wp:simplePos x="0" y="0"/>
                  <wp:positionH relativeFrom="column">
                    <wp:posOffset>238125</wp:posOffset>
                  </wp:positionH>
                  <wp:positionV relativeFrom="paragraph">
                    <wp:posOffset>-512445</wp:posOffset>
                  </wp:positionV>
                  <wp:extent cx="171450" cy="104775"/>
                  <wp:effectExtent l="0" t="0" r="0" b="0"/>
                  <wp:wrapNone/>
                  <wp:docPr id="1409542094" name="Picture 57" descr="Black Check Mark png download - 600*556 - Free Transparent ...">
                    <a:extLst xmlns:a="http://schemas.openxmlformats.org/drawingml/2006/main">
                      <a:ext uri="{FF2B5EF4-FFF2-40B4-BE49-F238E27FC236}">
                        <a16:creationId xmlns:a16="http://schemas.microsoft.com/office/drawing/2014/main" id="{4A76CA11-1087-4795-8041-99F4ACDBEE09}"/>
                      </a:ext>
                    </a:extLst>
                  </wp:docPr>
                  <wp:cNvGraphicFramePr/>
                  <a:graphic xmlns:a="http://schemas.openxmlformats.org/drawingml/2006/main">
                    <a:graphicData uri="http://schemas.openxmlformats.org/drawingml/2006/picture">
                      <pic:pic xmlns:pic="http://schemas.openxmlformats.org/drawingml/2006/picture">
                        <pic:nvPicPr>
                          <pic:cNvPr id="22" name="Picture 21" descr="Black Check Mark png download - 600*556 - Free Transparent ...">
                            <a:extLst>
                              <a:ext uri="{FF2B5EF4-FFF2-40B4-BE49-F238E27FC236}">
                                <a16:creationId xmlns:a16="http://schemas.microsoft.com/office/drawing/2014/main" id="{4A76CA11-1087-4795-8041-99F4ACDBEE09}"/>
                              </a:ext>
                            </a:extLst>
                          </pic:cNvPr>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5714" b="96786" l="10000" r="90000">
                                        <a14:foregroundMark x1="37889" y1="92500" x2="37889" y2="92500"/>
                                        <a14:foregroundMark x1="38222" y1="96964" x2="38222" y2="96964"/>
                                        <a14:foregroundMark x1="78667" y1="5714" x2="78667" y2="571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71450" cy="1047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18"/>
                <w:szCs w:val="18"/>
                <w:lang w:val="en-GB"/>
              </w:rPr>
              <w:t>-</w:t>
            </w:r>
          </w:p>
        </w:tc>
        <w:tc>
          <w:tcPr>
            <w:tcW w:w="864" w:type="dxa"/>
            <w:tcBorders>
              <w:top w:val="single" w:sz="4" w:space="0" w:color="auto"/>
              <w:left w:val="single" w:sz="4" w:space="0" w:color="auto"/>
              <w:bottom w:val="single" w:sz="4" w:space="0" w:color="auto"/>
              <w:right w:val="single" w:sz="4" w:space="0" w:color="auto"/>
            </w:tcBorders>
            <w:shd w:val="clear" w:color="auto" w:fill="auto"/>
            <w:noWrap/>
            <w:hideMark/>
          </w:tcPr>
          <w:p w14:paraId="07EE0B9B" w14:textId="07805059"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p>
        </w:tc>
        <w:tc>
          <w:tcPr>
            <w:tcW w:w="1187" w:type="dxa"/>
            <w:tcBorders>
              <w:top w:val="single" w:sz="4" w:space="0" w:color="auto"/>
              <w:left w:val="single" w:sz="4" w:space="0" w:color="auto"/>
              <w:bottom w:val="single" w:sz="4" w:space="0" w:color="auto"/>
              <w:right w:val="single" w:sz="4" w:space="0" w:color="auto"/>
            </w:tcBorders>
            <w:shd w:val="clear" w:color="auto" w:fill="auto"/>
            <w:noWrap/>
            <w:hideMark/>
          </w:tcPr>
          <w:p w14:paraId="523FEE22"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Macro</w:t>
            </w:r>
          </w:p>
        </w:tc>
      </w:tr>
      <w:tr w:rsidR="008841B5" w:rsidRPr="00035DB0" w14:paraId="3FFEDD20" w14:textId="77777777" w:rsidTr="008841B5">
        <w:trPr>
          <w:trHeight w:val="306"/>
        </w:trPr>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77326A01"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proofErr w:type="spellStart"/>
            <w:r w:rsidRPr="00035DB0">
              <w:rPr>
                <w:rFonts w:ascii="Times New Roman" w:eastAsia="Times New Roman" w:hAnsi="Times New Roman" w:cs="Times New Roman"/>
                <w:color w:val="000000"/>
                <w:sz w:val="18"/>
                <w:szCs w:val="18"/>
                <w:lang w:val="en-GB"/>
              </w:rPr>
              <w:t>Ramezanzadehkoldeh</w:t>
            </w:r>
            <w:proofErr w:type="spellEnd"/>
          </w:p>
        </w:tc>
        <w:tc>
          <w:tcPr>
            <w:tcW w:w="1099" w:type="dxa"/>
            <w:tcBorders>
              <w:top w:val="single" w:sz="4" w:space="0" w:color="auto"/>
              <w:left w:val="single" w:sz="4" w:space="0" w:color="auto"/>
              <w:bottom w:val="single" w:sz="4" w:space="0" w:color="auto"/>
              <w:right w:val="single" w:sz="4" w:space="0" w:color="auto"/>
            </w:tcBorders>
            <w:shd w:val="clear" w:color="auto" w:fill="auto"/>
            <w:noWrap/>
            <w:hideMark/>
          </w:tcPr>
          <w:p w14:paraId="467E9EC5"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Iso-</w:t>
            </w:r>
          </w:p>
        </w:tc>
        <w:tc>
          <w:tcPr>
            <w:tcW w:w="947" w:type="dxa"/>
            <w:tcBorders>
              <w:top w:val="single" w:sz="4" w:space="0" w:color="auto"/>
              <w:left w:val="single" w:sz="4" w:space="0" w:color="auto"/>
              <w:bottom w:val="single" w:sz="4" w:space="0" w:color="auto"/>
              <w:right w:val="single" w:sz="4" w:space="0" w:color="auto"/>
            </w:tcBorders>
            <w:shd w:val="clear" w:color="auto" w:fill="auto"/>
            <w:noWrap/>
            <w:hideMark/>
          </w:tcPr>
          <w:p w14:paraId="029DBC58" w14:textId="24BBEB8F"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noProof/>
                <w:color w:val="000000"/>
                <w:sz w:val="18"/>
                <w:szCs w:val="18"/>
                <w:lang w:val="en-GB"/>
              </w:rPr>
              <w:drawing>
                <wp:anchor distT="0" distB="0" distL="114300" distR="114300" simplePos="0" relativeHeight="252395008" behindDoc="0" locked="0" layoutInCell="1" allowOverlap="1" wp14:anchorId="6339E0B2" wp14:editId="0763392C">
                  <wp:simplePos x="0" y="0"/>
                  <wp:positionH relativeFrom="column">
                    <wp:posOffset>171450</wp:posOffset>
                  </wp:positionH>
                  <wp:positionV relativeFrom="paragraph">
                    <wp:posOffset>-338455</wp:posOffset>
                  </wp:positionV>
                  <wp:extent cx="171450" cy="104775"/>
                  <wp:effectExtent l="0" t="0" r="0" b="0"/>
                  <wp:wrapNone/>
                  <wp:docPr id="585955237" name="Picture 56" descr="Black Check Mark png download - 600*556 - Free Transparent ...">
                    <a:extLst xmlns:a="http://schemas.openxmlformats.org/drawingml/2006/main">
                      <a:ext uri="{FF2B5EF4-FFF2-40B4-BE49-F238E27FC236}">
                        <a16:creationId xmlns:a16="http://schemas.microsoft.com/office/drawing/2014/main" id="{09E8910C-5E89-4134-B7E4-61DD8CBF0AB2}"/>
                      </a:ext>
                    </a:extLst>
                  </wp:docPr>
                  <wp:cNvGraphicFramePr/>
                  <a:graphic xmlns:a="http://schemas.openxmlformats.org/drawingml/2006/main">
                    <a:graphicData uri="http://schemas.openxmlformats.org/drawingml/2006/picture">
                      <pic:pic xmlns:pic="http://schemas.openxmlformats.org/drawingml/2006/picture">
                        <pic:nvPicPr>
                          <pic:cNvPr id="16" name="Picture 15" descr="Black Check Mark png download - 600*556 - Free Transparent ...">
                            <a:extLst>
                              <a:ext uri="{FF2B5EF4-FFF2-40B4-BE49-F238E27FC236}">
                                <a16:creationId xmlns:a16="http://schemas.microsoft.com/office/drawing/2014/main" id="{09E8910C-5E89-4134-B7E4-61DD8CBF0AB2}"/>
                              </a:ext>
                            </a:extLst>
                          </pic:cNvPr>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5714" b="96786" l="10000" r="90000">
                                        <a14:foregroundMark x1="37889" y1="92500" x2="37889" y2="92500"/>
                                        <a14:foregroundMark x1="38222" y1="96964" x2="38222" y2="96964"/>
                                        <a14:foregroundMark x1="78667" y1="5714" x2="78667" y2="571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71450" cy="1047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140" w:type="dxa"/>
            <w:tcBorders>
              <w:top w:val="single" w:sz="4" w:space="0" w:color="auto"/>
              <w:left w:val="single" w:sz="4" w:space="0" w:color="auto"/>
              <w:bottom w:val="single" w:sz="4" w:space="0" w:color="auto"/>
              <w:right w:val="single" w:sz="4" w:space="0" w:color="auto"/>
            </w:tcBorders>
            <w:shd w:val="clear" w:color="auto" w:fill="auto"/>
            <w:noWrap/>
            <w:hideMark/>
          </w:tcPr>
          <w:p w14:paraId="784F2819" w14:textId="69F967F6"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864" w:type="dxa"/>
            <w:tcBorders>
              <w:top w:val="single" w:sz="4" w:space="0" w:color="auto"/>
              <w:left w:val="single" w:sz="4" w:space="0" w:color="auto"/>
              <w:bottom w:val="single" w:sz="4" w:space="0" w:color="auto"/>
              <w:right w:val="single" w:sz="4" w:space="0" w:color="auto"/>
            </w:tcBorders>
            <w:shd w:val="clear" w:color="auto" w:fill="auto"/>
            <w:noWrap/>
            <w:hideMark/>
          </w:tcPr>
          <w:p w14:paraId="0FC246C4" w14:textId="1E365DDA"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noProof/>
                <w:color w:val="000000"/>
                <w:sz w:val="18"/>
                <w:szCs w:val="18"/>
                <w:lang w:val="en-GB"/>
              </w:rPr>
              <w:drawing>
                <wp:anchor distT="0" distB="0" distL="114300" distR="114300" simplePos="0" relativeHeight="252304896" behindDoc="0" locked="0" layoutInCell="1" allowOverlap="1" wp14:anchorId="1CB74BEE" wp14:editId="3FF7A7B6">
                  <wp:simplePos x="0" y="0"/>
                  <wp:positionH relativeFrom="column">
                    <wp:posOffset>133350</wp:posOffset>
                  </wp:positionH>
                  <wp:positionV relativeFrom="paragraph">
                    <wp:posOffset>-338455</wp:posOffset>
                  </wp:positionV>
                  <wp:extent cx="171450" cy="104775"/>
                  <wp:effectExtent l="0" t="0" r="0" b="0"/>
                  <wp:wrapNone/>
                  <wp:docPr id="1468192725" name="Picture 55" descr="Black Check Mark png download - 600*556 - Free Transparent ...">
                    <a:extLst xmlns:a="http://schemas.openxmlformats.org/drawingml/2006/main">
                      <a:ext uri="{FF2B5EF4-FFF2-40B4-BE49-F238E27FC236}">
                        <a16:creationId xmlns:a16="http://schemas.microsoft.com/office/drawing/2014/main" id="{FDFF483B-6AF7-41A2-8E0A-4FFBE17DB9F8}"/>
                      </a:ext>
                    </a:extLst>
                  </wp:docPr>
                  <wp:cNvGraphicFramePr/>
                  <a:graphic xmlns:a="http://schemas.openxmlformats.org/drawingml/2006/main">
                    <a:graphicData uri="http://schemas.openxmlformats.org/drawingml/2006/picture">
                      <pic:pic xmlns:pic="http://schemas.openxmlformats.org/drawingml/2006/picture">
                        <pic:nvPicPr>
                          <pic:cNvPr id="5" name="Picture 4" descr="Black Check Mark png download - 600*556 - Free Transparent ...">
                            <a:extLst>
                              <a:ext uri="{FF2B5EF4-FFF2-40B4-BE49-F238E27FC236}">
                                <a16:creationId xmlns:a16="http://schemas.microsoft.com/office/drawing/2014/main" id="{FDFF483B-6AF7-41A2-8E0A-4FFBE17DB9F8}"/>
                              </a:ext>
                            </a:extLst>
                          </pic:cNvPr>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5714" b="96786" l="10000" r="90000">
                                        <a14:foregroundMark x1="37889" y1="92500" x2="37889" y2="92500"/>
                                        <a14:foregroundMark x1="38222" y1="96964" x2="38222" y2="96964"/>
                                        <a14:foregroundMark x1="78667" y1="5714" x2="78667" y2="571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71450" cy="1047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18"/>
                <w:szCs w:val="18"/>
                <w:lang w:val="en-GB"/>
              </w:rPr>
              <w:t>-</w:t>
            </w:r>
          </w:p>
        </w:tc>
        <w:tc>
          <w:tcPr>
            <w:tcW w:w="1187" w:type="dxa"/>
            <w:tcBorders>
              <w:top w:val="single" w:sz="4" w:space="0" w:color="auto"/>
              <w:left w:val="single" w:sz="4" w:space="0" w:color="auto"/>
              <w:bottom w:val="single" w:sz="4" w:space="0" w:color="auto"/>
              <w:right w:val="single" w:sz="4" w:space="0" w:color="auto"/>
            </w:tcBorders>
            <w:shd w:val="clear" w:color="auto" w:fill="auto"/>
            <w:noWrap/>
            <w:hideMark/>
          </w:tcPr>
          <w:p w14:paraId="2B21852D"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proofErr w:type="spellStart"/>
            <w:r w:rsidRPr="00035DB0">
              <w:rPr>
                <w:rFonts w:ascii="Times New Roman" w:eastAsia="Times New Roman" w:hAnsi="Times New Roman" w:cs="Times New Roman"/>
                <w:color w:val="000000"/>
                <w:sz w:val="18"/>
                <w:szCs w:val="18"/>
                <w:lang w:val="en-GB"/>
              </w:rPr>
              <w:t>Meso</w:t>
            </w:r>
            <w:proofErr w:type="spellEnd"/>
          </w:p>
        </w:tc>
      </w:tr>
      <w:tr w:rsidR="008841B5" w:rsidRPr="00035DB0" w14:paraId="54D4BE54" w14:textId="77777777" w:rsidTr="008841B5">
        <w:trPr>
          <w:trHeight w:val="306"/>
        </w:trPr>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2F75DCEF"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 xml:space="preserve">Atsumi et al. </w:t>
            </w:r>
          </w:p>
        </w:tc>
        <w:tc>
          <w:tcPr>
            <w:tcW w:w="1099" w:type="dxa"/>
            <w:tcBorders>
              <w:top w:val="single" w:sz="4" w:space="0" w:color="auto"/>
              <w:left w:val="single" w:sz="4" w:space="0" w:color="auto"/>
              <w:bottom w:val="single" w:sz="4" w:space="0" w:color="auto"/>
              <w:right w:val="single" w:sz="4" w:space="0" w:color="auto"/>
            </w:tcBorders>
            <w:shd w:val="clear" w:color="auto" w:fill="auto"/>
            <w:noWrap/>
            <w:hideMark/>
          </w:tcPr>
          <w:p w14:paraId="1BE6D8E5"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Ortho-</w:t>
            </w:r>
          </w:p>
        </w:tc>
        <w:tc>
          <w:tcPr>
            <w:tcW w:w="947" w:type="dxa"/>
            <w:tcBorders>
              <w:top w:val="single" w:sz="4" w:space="0" w:color="auto"/>
              <w:left w:val="single" w:sz="4" w:space="0" w:color="auto"/>
              <w:bottom w:val="single" w:sz="4" w:space="0" w:color="auto"/>
              <w:right w:val="single" w:sz="4" w:space="0" w:color="auto"/>
            </w:tcBorders>
            <w:shd w:val="clear" w:color="auto" w:fill="auto"/>
            <w:noWrap/>
            <w:hideMark/>
          </w:tcPr>
          <w:p w14:paraId="021B8C7B" w14:textId="1BFDB369"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noProof/>
                <w:color w:val="000000"/>
                <w:sz w:val="18"/>
                <w:szCs w:val="18"/>
                <w:lang w:val="en-GB"/>
              </w:rPr>
              <w:drawing>
                <wp:anchor distT="0" distB="0" distL="114300" distR="114300" simplePos="0" relativeHeight="252392960" behindDoc="0" locked="0" layoutInCell="1" allowOverlap="1" wp14:anchorId="7E54E3C9" wp14:editId="49D6006A">
                  <wp:simplePos x="0" y="0"/>
                  <wp:positionH relativeFrom="column">
                    <wp:posOffset>171450</wp:posOffset>
                  </wp:positionH>
                  <wp:positionV relativeFrom="paragraph">
                    <wp:posOffset>-319405</wp:posOffset>
                  </wp:positionV>
                  <wp:extent cx="171450" cy="104775"/>
                  <wp:effectExtent l="0" t="0" r="0" b="0"/>
                  <wp:wrapNone/>
                  <wp:docPr id="1190699753" name="Picture 54" descr="Black Check Mark png download - 600*556 - Free Transparent ...">
                    <a:extLst xmlns:a="http://schemas.openxmlformats.org/drawingml/2006/main">
                      <a:ext uri="{FF2B5EF4-FFF2-40B4-BE49-F238E27FC236}">
                        <a16:creationId xmlns:a16="http://schemas.microsoft.com/office/drawing/2014/main" id="{D430732E-20BA-410D-A15F-03C0173B2AA1}"/>
                      </a:ext>
                    </a:extLst>
                  </wp:docPr>
                  <wp:cNvGraphicFramePr/>
                  <a:graphic xmlns:a="http://schemas.openxmlformats.org/drawingml/2006/main">
                    <a:graphicData uri="http://schemas.openxmlformats.org/drawingml/2006/picture">
                      <pic:pic xmlns:pic="http://schemas.openxmlformats.org/drawingml/2006/picture">
                        <pic:nvPicPr>
                          <pic:cNvPr id="15" name="Picture 14" descr="Black Check Mark png download - 600*556 - Free Transparent ...">
                            <a:extLst>
                              <a:ext uri="{FF2B5EF4-FFF2-40B4-BE49-F238E27FC236}">
                                <a16:creationId xmlns:a16="http://schemas.microsoft.com/office/drawing/2014/main" id="{D430732E-20BA-410D-A15F-03C0173B2AA1}"/>
                              </a:ext>
                            </a:extLst>
                          </pic:cNvPr>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5714" b="96786" l="10000" r="90000">
                                        <a14:foregroundMark x1="37889" y1="92500" x2="37889" y2="92500"/>
                                        <a14:foregroundMark x1="38222" y1="96964" x2="38222" y2="96964"/>
                                        <a14:foregroundMark x1="78667" y1="5714" x2="78667" y2="571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71450" cy="1047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140" w:type="dxa"/>
            <w:tcBorders>
              <w:top w:val="single" w:sz="4" w:space="0" w:color="auto"/>
              <w:left w:val="single" w:sz="4" w:space="0" w:color="auto"/>
              <w:bottom w:val="single" w:sz="4" w:space="0" w:color="auto"/>
              <w:right w:val="single" w:sz="4" w:space="0" w:color="auto"/>
            </w:tcBorders>
            <w:shd w:val="clear" w:color="auto" w:fill="auto"/>
            <w:noWrap/>
            <w:hideMark/>
          </w:tcPr>
          <w:p w14:paraId="75E90281" w14:textId="4B35F884"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p>
        </w:tc>
        <w:tc>
          <w:tcPr>
            <w:tcW w:w="864" w:type="dxa"/>
            <w:tcBorders>
              <w:top w:val="single" w:sz="4" w:space="0" w:color="auto"/>
              <w:left w:val="single" w:sz="4" w:space="0" w:color="auto"/>
              <w:bottom w:val="single" w:sz="4" w:space="0" w:color="auto"/>
              <w:right w:val="single" w:sz="4" w:space="0" w:color="auto"/>
            </w:tcBorders>
            <w:shd w:val="clear" w:color="auto" w:fill="auto"/>
            <w:noWrap/>
            <w:hideMark/>
          </w:tcPr>
          <w:p w14:paraId="0711F512" w14:textId="60970F64"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noProof/>
                <w:color w:val="000000"/>
                <w:sz w:val="18"/>
                <w:szCs w:val="18"/>
                <w:lang w:val="en-GB"/>
              </w:rPr>
              <w:drawing>
                <wp:anchor distT="0" distB="0" distL="114300" distR="114300" simplePos="0" relativeHeight="252376576" behindDoc="0" locked="0" layoutInCell="1" allowOverlap="1" wp14:anchorId="187D2721" wp14:editId="3D92F8AE">
                  <wp:simplePos x="0" y="0"/>
                  <wp:positionH relativeFrom="column">
                    <wp:posOffset>133350</wp:posOffset>
                  </wp:positionH>
                  <wp:positionV relativeFrom="paragraph">
                    <wp:posOffset>-328930</wp:posOffset>
                  </wp:positionV>
                  <wp:extent cx="171450" cy="104775"/>
                  <wp:effectExtent l="0" t="0" r="0" b="0"/>
                  <wp:wrapNone/>
                  <wp:docPr id="1028165854" name="Picture 53" descr="Black Check Mark png download - 600*556 - Free Transparent ...">
                    <a:extLst xmlns:a="http://schemas.openxmlformats.org/drawingml/2006/main">
                      <a:ext uri="{FF2B5EF4-FFF2-40B4-BE49-F238E27FC236}">
                        <a16:creationId xmlns:a16="http://schemas.microsoft.com/office/drawing/2014/main" id="{9632B3B9-72F7-4EB6-B806-C613E07131B9}"/>
                      </a:ext>
                    </a:extLst>
                  </wp:docPr>
                  <wp:cNvGraphicFramePr/>
                  <a:graphic xmlns:a="http://schemas.openxmlformats.org/drawingml/2006/main">
                    <a:graphicData uri="http://schemas.openxmlformats.org/drawingml/2006/picture">
                      <pic:pic xmlns:pic="http://schemas.openxmlformats.org/drawingml/2006/picture">
                        <pic:nvPicPr>
                          <pic:cNvPr id="7" name="Picture 6" descr="Black Check Mark png download - 600*556 - Free Transparent ...">
                            <a:extLst>
                              <a:ext uri="{FF2B5EF4-FFF2-40B4-BE49-F238E27FC236}">
                                <a16:creationId xmlns:a16="http://schemas.microsoft.com/office/drawing/2014/main" id="{9632B3B9-72F7-4EB6-B806-C613E07131B9}"/>
                              </a:ext>
                            </a:extLst>
                          </pic:cNvPr>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5714" b="96786" l="10000" r="90000">
                                        <a14:foregroundMark x1="37889" y1="92500" x2="37889" y2="92500"/>
                                        <a14:foregroundMark x1="38222" y1="96964" x2="38222" y2="96964"/>
                                        <a14:foregroundMark x1="78667" y1="5714" x2="78667" y2="571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71450" cy="1047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187" w:type="dxa"/>
            <w:tcBorders>
              <w:top w:val="single" w:sz="4" w:space="0" w:color="auto"/>
              <w:left w:val="single" w:sz="4" w:space="0" w:color="auto"/>
              <w:bottom w:val="single" w:sz="4" w:space="0" w:color="auto"/>
              <w:right w:val="single" w:sz="4" w:space="0" w:color="auto"/>
            </w:tcBorders>
            <w:shd w:val="clear" w:color="auto" w:fill="auto"/>
            <w:noWrap/>
            <w:hideMark/>
          </w:tcPr>
          <w:p w14:paraId="56F374CD"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Macro</w:t>
            </w:r>
          </w:p>
        </w:tc>
      </w:tr>
      <w:tr w:rsidR="008841B5" w:rsidRPr="00035DB0" w14:paraId="7BBA1C48" w14:textId="77777777" w:rsidTr="008841B5">
        <w:trPr>
          <w:trHeight w:val="306"/>
        </w:trPr>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00967EE7"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 xml:space="preserve">Mirzaei et al. </w:t>
            </w:r>
          </w:p>
        </w:tc>
        <w:tc>
          <w:tcPr>
            <w:tcW w:w="1099" w:type="dxa"/>
            <w:tcBorders>
              <w:top w:val="single" w:sz="4" w:space="0" w:color="auto"/>
              <w:left w:val="single" w:sz="4" w:space="0" w:color="auto"/>
              <w:bottom w:val="single" w:sz="4" w:space="0" w:color="auto"/>
              <w:right w:val="single" w:sz="4" w:space="0" w:color="auto"/>
            </w:tcBorders>
            <w:shd w:val="clear" w:color="auto" w:fill="auto"/>
            <w:noWrap/>
            <w:hideMark/>
          </w:tcPr>
          <w:p w14:paraId="1198D0DD"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Ortho-</w:t>
            </w:r>
          </w:p>
        </w:tc>
        <w:tc>
          <w:tcPr>
            <w:tcW w:w="947" w:type="dxa"/>
            <w:tcBorders>
              <w:top w:val="single" w:sz="4" w:space="0" w:color="auto"/>
              <w:left w:val="single" w:sz="4" w:space="0" w:color="auto"/>
              <w:bottom w:val="single" w:sz="4" w:space="0" w:color="auto"/>
              <w:right w:val="single" w:sz="4" w:space="0" w:color="auto"/>
            </w:tcBorders>
            <w:shd w:val="clear" w:color="auto" w:fill="auto"/>
            <w:noWrap/>
            <w:hideMark/>
          </w:tcPr>
          <w:p w14:paraId="2E9165FF" w14:textId="201682BD"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noProof/>
                <w:color w:val="000000"/>
                <w:sz w:val="18"/>
                <w:szCs w:val="18"/>
                <w:lang w:val="en-GB"/>
              </w:rPr>
              <w:drawing>
                <wp:anchor distT="0" distB="0" distL="114300" distR="114300" simplePos="0" relativeHeight="252390912" behindDoc="0" locked="0" layoutInCell="1" allowOverlap="1" wp14:anchorId="4C1668BC" wp14:editId="1D236664">
                  <wp:simplePos x="0" y="0"/>
                  <wp:positionH relativeFrom="column">
                    <wp:posOffset>164987</wp:posOffset>
                  </wp:positionH>
                  <wp:positionV relativeFrom="paragraph">
                    <wp:posOffset>-328930</wp:posOffset>
                  </wp:positionV>
                  <wp:extent cx="171450" cy="104775"/>
                  <wp:effectExtent l="0" t="0" r="0" b="0"/>
                  <wp:wrapNone/>
                  <wp:docPr id="505899263" name="Picture 52" descr="Black Check Mark png download - 600*556 - Free Transparent ...">
                    <a:extLst xmlns:a="http://schemas.openxmlformats.org/drawingml/2006/main">
                      <a:ext uri="{FF2B5EF4-FFF2-40B4-BE49-F238E27FC236}">
                        <a16:creationId xmlns:a16="http://schemas.microsoft.com/office/drawing/2014/main" id="{2B8A3D58-D0FA-4AA4-BD4B-11195686FFFF}"/>
                      </a:ext>
                    </a:extLst>
                  </wp:docPr>
                  <wp:cNvGraphicFramePr/>
                  <a:graphic xmlns:a="http://schemas.openxmlformats.org/drawingml/2006/main">
                    <a:graphicData uri="http://schemas.openxmlformats.org/drawingml/2006/picture">
                      <pic:pic xmlns:pic="http://schemas.openxmlformats.org/drawingml/2006/picture">
                        <pic:nvPicPr>
                          <pic:cNvPr id="14" name="Picture 13" descr="Black Check Mark png download - 600*556 - Free Transparent ...">
                            <a:extLst>
                              <a:ext uri="{FF2B5EF4-FFF2-40B4-BE49-F238E27FC236}">
                                <a16:creationId xmlns:a16="http://schemas.microsoft.com/office/drawing/2014/main" id="{2B8A3D58-D0FA-4AA4-BD4B-11195686FFFF}"/>
                              </a:ext>
                            </a:extLst>
                          </pic:cNvPr>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5714" b="96786" l="10000" r="90000">
                                        <a14:foregroundMark x1="37889" y1="92500" x2="37889" y2="92500"/>
                                        <a14:foregroundMark x1="38222" y1="96964" x2="38222" y2="96964"/>
                                        <a14:foregroundMark x1="78667" y1="5714" x2="78667" y2="571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71450" cy="1047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18"/>
                <w:szCs w:val="18"/>
                <w:lang w:val="en-GB"/>
              </w:rPr>
              <w:t>-</w:t>
            </w:r>
          </w:p>
        </w:tc>
        <w:tc>
          <w:tcPr>
            <w:tcW w:w="1140" w:type="dxa"/>
            <w:tcBorders>
              <w:top w:val="single" w:sz="4" w:space="0" w:color="auto"/>
              <w:left w:val="single" w:sz="4" w:space="0" w:color="auto"/>
              <w:bottom w:val="single" w:sz="4" w:space="0" w:color="auto"/>
              <w:right w:val="single" w:sz="4" w:space="0" w:color="auto"/>
            </w:tcBorders>
            <w:shd w:val="clear" w:color="auto" w:fill="auto"/>
            <w:noWrap/>
            <w:hideMark/>
          </w:tcPr>
          <w:p w14:paraId="1B02B035" w14:textId="162961E6"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864" w:type="dxa"/>
            <w:tcBorders>
              <w:top w:val="single" w:sz="4" w:space="0" w:color="auto"/>
              <w:left w:val="single" w:sz="4" w:space="0" w:color="auto"/>
              <w:bottom w:val="single" w:sz="4" w:space="0" w:color="auto"/>
              <w:right w:val="single" w:sz="4" w:space="0" w:color="auto"/>
            </w:tcBorders>
            <w:shd w:val="clear" w:color="auto" w:fill="auto"/>
            <w:noWrap/>
            <w:hideMark/>
          </w:tcPr>
          <w:p w14:paraId="512EA4CD" w14:textId="26BB249A"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1187" w:type="dxa"/>
            <w:tcBorders>
              <w:top w:val="single" w:sz="4" w:space="0" w:color="auto"/>
              <w:left w:val="single" w:sz="4" w:space="0" w:color="auto"/>
              <w:bottom w:val="single" w:sz="4" w:space="0" w:color="auto"/>
              <w:right w:val="single" w:sz="4" w:space="0" w:color="auto"/>
            </w:tcBorders>
            <w:shd w:val="clear" w:color="auto" w:fill="auto"/>
            <w:noWrap/>
            <w:hideMark/>
          </w:tcPr>
          <w:p w14:paraId="05752FDE"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Macro</w:t>
            </w:r>
          </w:p>
        </w:tc>
      </w:tr>
      <w:tr w:rsidR="008841B5" w:rsidRPr="00035DB0" w14:paraId="3BBFF347" w14:textId="77777777" w:rsidTr="008841B5">
        <w:trPr>
          <w:trHeight w:val="306"/>
        </w:trPr>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2DDBDEAF"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Shah et al.</w:t>
            </w:r>
          </w:p>
        </w:tc>
        <w:tc>
          <w:tcPr>
            <w:tcW w:w="1099" w:type="dxa"/>
            <w:tcBorders>
              <w:top w:val="single" w:sz="4" w:space="0" w:color="auto"/>
              <w:left w:val="single" w:sz="4" w:space="0" w:color="auto"/>
              <w:bottom w:val="single" w:sz="4" w:space="0" w:color="auto"/>
              <w:right w:val="single" w:sz="4" w:space="0" w:color="auto"/>
            </w:tcBorders>
            <w:shd w:val="clear" w:color="auto" w:fill="auto"/>
            <w:noWrap/>
            <w:hideMark/>
          </w:tcPr>
          <w:p w14:paraId="38271188" w14:textId="31D09412"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947" w:type="dxa"/>
            <w:tcBorders>
              <w:top w:val="single" w:sz="4" w:space="0" w:color="auto"/>
              <w:left w:val="single" w:sz="4" w:space="0" w:color="auto"/>
              <w:bottom w:val="single" w:sz="4" w:space="0" w:color="auto"/>
              <w:right w:val="single" w:sz="4" w:space="0" w:color="auto"/>
            </w:tcBorders>
            <w:shd w:val="clear" w:color="auto" w:fill="auto"/>
            <w:noWrap/>
            <w:hideMark/>
          </w:tcPr>
          <w:p w14:paraId="4DD85537" w14:textId="607061A9"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noProof/>
                <w:color w:val="000000"/>
                <w:sz w:val="18"/>
                <w:szCs w:val="18"/>
                <w:lang w:val="en-GB"/>
              </w:rPr>
              <w:drawing>
                <wp:anchor distT="0" distB="0" distL="114300" distR="114300" simplePos="0" relativeHeight="252388864" behindDoc="0" locked="0" layoutInCell="1" allowOverlap="1" wp14:anchorId="6E291E4F" wp14:editId="367EB372">
                  <wp:simplePos x="0" y="0"/>
                  <wp:positionH relativeFrom="column">
                    <wp:posOffset>164987</wp:posOffset>
                  </wp:positionH>
                  <wp:positionV relativeFrom="paragraph">
                    <wp:posOffset>-338455</wp:posOffset>
                  </wp:positionV>
                  <wp:extent cx="171450" cy="104775"/>
                  <wp:effectExtent l="0" t="0" r="0" b="0"/>
                  <wp:wrapNone/>
                  <wp:docPr id="1291188192" name="Picture 51" descr="Black Check Mark png download - 600*556 - Free Transparent ...">
                    <a:extLst xmlns:a="http://schemas.openxmlformats.org/drawingml/2006/main">
                      <a:ext uri="{FF2B5EF4-FFF2-40B4-BE49-F238E27FC236}">
                        <a16:creationId xmlns:a16="http://schemas.microsoft.com/office/drawing/2014/main" id="{4644DC1B-AA5E-4710-ABEB-D2574B31B1A7}"/>
                      </a:ext>
                    </a:extLst>
                  </wp:docPr>
                  <wp:cNvGraphicFramePr/>
                  <a:graphic xmlns:a="http://schemas.openxmlformats.org/drawingml/2006/main">
                    <a:graphicData uri="http://schemas.openxmlformats.org/drawingml/2006/picture">
                      <pic:pic xmlns:pic="http://schemas.openxmlformats.org/drawingml/2006/picture">
                        <pic:nvPicPr>
                          <pic:cNvPr id="13" name="Picture 12" descr="Black Check Mark png download - 600*556 - Free Transparent ...">
                            <a:extLst>
                              <a:ext uri="{FF2B5EF4-FFF2-40B4-BE49-F238E27FC236}">
                                <a16:creationId xmlns:a16="http://schemas.microsoft.com/office/drawing/2014/main" id="{4644DC1B-AA5E-4710-ABEB-D2574B31B1A7}"/>
                              </a:ext>
                            </a:extLst>
                          </pic:cNvPr>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5714" b="96786" l="10000" r="90000">
                                        <a14:foregroundMark x1="37889" y1="92500" x2="37889" y2="92500"/>
                                        <a14:foregroundMark x1="38222" y1="96964" x2="38222" y2="96964"/>
                                        <a14:foregroundMark x1="78667" y1="5714" x2="78667" y2="571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71450" cy="1047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18"/>
                <w:szCs w:val="18"/>
                <w:lang w:val="en-GB"/>
              </w:rPr>
              <w:t>-</w:t>
            </w:r>
          </w:p>
        </w:tc>
        <w:tc>
          <w:tcPr>
            <w:tcW w:w="1140" w:type="dxa"/>
            <w:tcBorders>
              <w:top w:val="single" w:sz="4" w:space="0" w:color="auto"/>
              <w:left w:val="single" w:sz="4" w:space="0" w:color="auto"/>
              <w:bottom w:val="single" w:sz="4" w:space="0" w:color="auto"/>
              <w:right w:val="single" w:sz="4" w:space="0" w:color="auto"/>
            </w:tcBorders>
            <w:shd w:val="clear" w:color="auto" w:fill="auto"/>
            <w:noWrap/>
            <w:hideMark/>
          </w:tcPr>
          <w:p w14:paraId="7F49EB67" w14:textId="708BB452"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noProof/>
                <w:color w:val="000000"/>
                <w:sz w:val="18"/>
                <w:szCs w:val="18"/>
                <w:lang w:val="en-GB"/>
              </w:rPr>
              <w:drawing>
                <wp:anchor distT="0" distB="0" distL="114300" distR="114300" simplePos="0" relativeHeight="252413440" behindDoc="0" locked="0" layoutInCell="1" allowOverlap="1" wp14:anchorId="5D9BA4C5" wp14:editId="69D25E7A">
                  <wp:simplePos x="0" y="0"/>
                  <wp:positionH relativeFrom="column">
                    <wp:posOffset>228600</wp:posOffset>
                  </wp:positionH>
                  <wp:positionV relativeFrom="paragraph">
                    <wp:posOffset>-347980</wp:posOffset>
                  </wp:positionV>
                  <wp:extent cx="171450" cy="104775"/>
                  <wp:effectExtent l="0" t="0" r="0" b="0"/>
                  <wp:wrapNone/>
                  <wp:docPr id="143827563" name="Picture 50" descr="Black Check Mark png download - 600*556 - Free Transparent ...">
                    <a:extLst xmlns:a="http://schemas.openxmlformats.org/drawingml/2006/main">
                      <a:ext uri="{FF2B5EF4-FFF2-40B4-BE49-F238E27FC236}">
                        <a16:creationId xmlns:a16="http://schemas.microsoft.com/office/drawing/2014/main" id="{D91B5BBE-2DE3-4EBE-B21A-FC982B8BE6A8}"/>
                      </a:ext>
                    </a:extLst>
                  </wp:docPr>
                  <wp:cNvGraphicFramePr/>
                  <a:graphic xmlns:a="http://schemas.openxmlformats.org/drawingml/2006/main">
                    <a:graphicData uri="http://schemas.openxmlformats.org/drawingml/2006/picture">
                      <pic:pic xmlns:pic="http://schemas.openxmlformats.org/drawingml/2006/picture">
                        <pic:nvPicPr>
                          <pic:cNvPr id="26" name="Picture 25" descr="Black Check Mark png download - 600*556 - Free Transparent ...">
                            <a:extLst>
                              <a:ext uri="{FF2B5EF4-FFF2-40B4-BE49-F238E27FC236}">
                                <a16:creationId xmlns:a16="http://schemas.microsoft.com/office/drawing/2014/main" id="{D91B5BBE-2DE3-4EBE-B21A-FC982B8BE6A8}"/>
                              </a:ext>
                            </a:extLst>
                          </pic:cNvPr>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5714" b="96786" l="10000" r="90000">
                                        <a14:foregroundMark x1="37889" y1="92500" x2="37889" y2="92500"/>
                                        <a14:foregroundMark x1="38222" y1="96964" x2="38222" y2="96964"/>
                                        <a14:foregroundMark x1="78667" y1="5714" x2="78667" y2="571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71450" cy="1047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18"/>
                <w:szCs w:val="18"/>
                <w:lang w:val="en-GB"/>
              </w:rPr>
              <w:t>-</w:t>
            </w:r>
          </w:p>
        </w:tc>
        <w:tc>
          <w:tcPr>
            <w:tcW w:w="864" w:type="dxa"/>
            <w:tcBorders>
              <w:top w:val="single" w:sz="4" w:space="0" w:color="auto"/>
              <w:left w:val="single" w:sz="4" w:space="0" w:color="auto"/>
              <w:bottom w:val="single" w:sz="4" w:space="0" w:color="auto"/>
              <w:right w:val="single" w:sz="4" w:space="0" w:color="auto"/>
            </w:tcBorders>
            <w:shd w:val="clear" w:color="auto" w:fill="auto"/>
            <w:noWrap/>
            <w:hideMark/>
          </w:tcPr>
          <w:p w14:paraId="51D8D91C" w14:textId="7477E875"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noProof/>
                <w:color w:val="000000"/>
                <w:sz w:val="18"/>
                <w:szCs w:val="18"/>
                <w:lang w:val="en-GB"/>
              </w:rPr>
              <w:drawing>
                <wp:anchor distT="0" distB="0" distL="114300" distR="114300" simplePos="0" relativeHeight="252378624" behindDoc="0" locked="0" layoutInCell="1" allowOverlap="1" wp14:anchorId="0A6C25B8" wp14:editId="6CBAD97C">
                  <wp:simplePos x="0" y="0"/>
                  <wp:positionH relativeFrom="column">
                    <wp:posOffset>123825</wp:posOffset>
                  </wp:positionH>
                  <wp:positionV relativeFrom="paragraph">
                    <wp:posOffset>-347980</wp:posOffset>
                  </wp:positionV>
                  <wp:extent cx="171450" cy="104775"/>
                  <wp:effectExtent l="0" t="0" r="0" b="0"/>
                  <wp:wrapNone/>
                  <wp:docPr id="365446110" name="Picture 49" descr="Black Check Mark png download - 600*556 - Free Transparent ...">
                    <a:extLst xmlns:a="http://schemas.openxmlformats.org/drawingml/2006/main">
                      <a:ext uri="{FF2B5EF4-FFF2-40B4-BE49-F238E27FC236}">
                        <a16:creationId xmlns:a16="http://schemas.microsoft.com/office/drawing/2014/main" id="{2DC13FD1-C66A-4FA7-A4DC-B3319C16211D}"/>
                      </a:ext>
                    </a:extLst>
                  </wp:docPr>
                  <wp:cNvGraphicFramePr/>
                  <a:graphic xmlns:a="http://schemas.openxmlformats.org/drawingml/2006/main">
                    <a:graphicData uri="http://schemas.openxmlformats.org/drawingml/2006/picture">
                      <pic:pic xmlns:pic="http://schemas.openxmlformats.org/drawingml/2006/picture">
                        <pic:nvPicPr>
                          <pic:cNvPr id="8" name="Picture 7" descr="Black Check Mark png download - 600*556 - Free Transparent ...">
                            <a:extLst>
                              <a:ext uri="{FF2B5EF4-FFF2-40B4-BE49-F238E27FC236}">
                                <a16:creationId xmlns:a16="http://schemas.microsoft.com/office/drawing/2014/main" id="{2DC13FD1-C66A-4FA7-A4DC-B3319C16211D}"/>
                              </a:ext>
                            </a:extLst>
                          </pic:cNvPr>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5714" b="96786" l="10000" r="90000">
                                        <a14:foregroundMark x1="37889" y1="92500" x2="37889" y2="92500"/>
                                        <a14:foregroundMark x1="38222" y1="96964" x2="38222" y2="96964"/>
                                        <a14:foregroundMark x1="78667" y1="5714" x2="78667" y2="571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71450" cy="1047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18"/>
                <w:szCs w:val="18"/>
                <w:lang w:val="en-GB"/>
              </w:rPr>
              <w:t>-</w:t>
            </w:r>
          </w:p>
        </w:tc>
        <w:tc>
          <w:tcPr>
            <w:tcW w:w="1187" w:type="dxa"/>
            <w:tcBorders>
              <w:top w:val="single" w:sz="4" w:space="0" w:color="auto"/>
              <w:left w:val="single" w:sz="4" w:space="0" w:color="auto"/>
              <w:bottom w:val="single" w:sz="4" w:space="0" w:color="auto"/>
              <w:right w:val="single" w:sz="4" w:space="0" w:color="auto"/>
            </w:tcBorders>
            <w:shd w:val="clear" w:color="auto" w:fill="auto"/>
            <w:noWrap/>
            <w:hideMark/>
          </w:tcPr>
          <w:p w14:paraId="070DE968"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Multi /nano</w:t>
            </w:r>
          </w:p>
        </w:tc>
      </w:tr>
      <w:tr w:rsidR="008841B5" w:rsidRPr="00035DB0" w14:paraId="144FDA48" w14:textId="77777777" w:rsidTr="008841B5">
        <w:trPr>
          <w:trHeight w:val="306"/>
        </w:trPr>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4DE4C2FC"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proofErr w:type="spellStart"/>
            <w:r w:rsidRPr="00035DB0">
              <w:rPr>
                <w:rFonts w:ascii="Times New Roman" w:eastAsia="Times New Roman" w:hAnsi="Times New Roman" w:cs="Times New Roman"/>
                <w:color w:val="000000"/>
                <w:sz w:val="18"/>
                <w:szCs w:val="18"/>
                <w:lang w:val="en-GB"/>
              </w:rPr>
              <w:t>Idkaidek</w:t>
            </w:r>
            <w:proofErr w:type="spellEnd"/>
            <w:r w:rsidRPr="00035DB0">
              <w:rPr>
                <w:rFonts w:ascii="Times New Roman" w:eastAsia="Times New Roman" w:hAnsi="Times New Roman" w:cs="Times New Roman"/>
                <w:color w:val="000000"/>
                <w:sz w:val="18"/>
                <w:szCs w:val="18"/>
                <w:lang w:val="en-GB"/>
              </w:rPr>
              <w:t xml:space="preserve"> et al.</w:t>
            </w:r>
          </w:p>
        </w:tc>
        <w:tc>
          <w:tcPr>
            <w:tcW w:w="1099" w:type="dxa"/>
            <w:tcBorders>
              <w:top w:val="single" w:sz="4" w:space="0" w:color="auto"/>
              <w:left w:val="single" w:sz="4" w:space="0" w:color="auto"/>
              <w:bottom w:val="single" w:sz="4" w:space="0" w:color="auto"/>
              <w:right w:val="single" w:sz="4" w:space="0" w:color="auto"/>
            </w:tcBorders>
            <w:shd w:val="clear" w:color="auto" w:fill="auto"/>
            <w:noWrap/>
            <w:hideMark/>
          </w:tcPr>
          <w:p w14:paraId="486F7079"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Iso-</w:t>
            </w:r>
          </w:p>
        </w:tc>
        <w:tc>
          <w:tcPr>
            <w:tcW w:w="947" w:type="dxa"/>
            <w:tcBorders>
              <w:top w:val="single" w:sz="4" w:space="0" w:color="auto"/>
              <w:left w:val="single" w:sz="4" w:space="0" w:color="auto"/>
              <w:bottom w:val="single" w:sz="4" w:space="0" w:color="auto"/>
              <w:right w:val="single" w:sz="4" w:space="0" w:color="auto"/>
            </w:tcBorders>
            <w:shd w:val="clear" w:color="auto" w:fill="auto"/>
            <w:noWrap/>
            <w:hideMark/>
          </w:tcPr>
          <w:p w14:paraId="763ABE4D" w14:textId="7C4CF09A"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1140" w:type="dxa"/>
            <w:tcBorders>
              <w:top w:val="single" w:sz="4" w:space="0" w:color="auto"/>
              <w:left w:val="single" w:sz="4" w:space="0" w:color="auto"/>
              <w:bottom w:val="single" w:sz="4" w:space="0" w:color="auto"/>
              <w:right w:val="single" w:sz="4" w:space="0" w:color="auto"/>
            </w:tcBorders>
            <w:shd w:val="clear" w:color="auto" w:fill="auto"/>
            <w:noWrap/>
            <w:hideMark/>
          </w:tcPr>
          <w:p w14:paraId="46A382D6" w14:textId="2EB73D55"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864" w:type="dxa"/>
            <w:tcBorders>
              <w:top w:val="single" w:sz="4" w:space="0" w:color="auto"/>
              <w:left w:val="single" w:sz="4" w:space="0" w:color="auto"/>
              <w:bottom w:val="single" w:sz="4" w:space="0" w:color="auto"/>
              <w:right w:val="single" w:sz="4" w:space="0" w:color="auto"/>
            </w:tcBorders>
            <w:shd w:val="clear" w:color="auto" w:fill="auto"/>
            <w:noWrap/>
            <w:hideMark/>
          </w:tcPr>
          <w:p w14:paraId="09DF371E" w14:textId="7BCA766B"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p>
        </w:tc>
        <w:tc>
          <w:tcPr>
            <w:tcW w:w="1187" w:type="dxa"/>
            <w:tcBorders>
              <w:top w:val="single" w:sz="4" w:space="0" w:color="auto"/>
              <w:left w:val="single" w:sz="4" w:space="0" w:color="auto"/>
              <w:bottom w:val="single" w:sz="4" w:space="0" w:color="auto"/>
              <w:right w:val="single" w:sz="4" w:space="0" w:color="auto"/>
            </w:tcBorders>
            <w:shd w:val="clear" w:color="auto" w:fill="auto"/>
            <w:noWrap/>
            <w:hideMark/>
          </w:tcPr>
          <w:p w14:paraId="5352388A"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Micro</w:t>
            </w:r>
          </w:p>
        </w:tc>
      </w:tr>
      <w:tr w:rsidR="008841B5" w:rsidRPr="00035DB0" w14:paraId="6589CF96" w14:textId="77777777" w:rsidTr="008841B5">
        <w:trPr>
          <w:trHeight w:val="306"/>
        </w:trPr>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5675AEF5"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Khor et al.</w:t>
            </w:r>
          </w:p>
        </w:tc>
        <w:tc>
          <w:tcPr>
            <w:tcW w:w="1099" w:type="dxa"/>
            <w:tcBorders>
              <w:top w:val="single" w:sz="4" w:space="0" w:color="auto"/>
              <w:left w:val="single" w:sz="4" w:space="0" w:color="auto"/>
              <w:bottom w:val="single" w:sz="4" w:space="0" w:color="auto"/>
              <w:right w:val="single" w:sz="4" w:space="0" w:color="auto"/>
            </w:tcBorders>
            <w:shd w:val="clear" w:color="auto" w:fill="auto"/>
            <w:noWrap/>
            <w:hideMark/>
          </w:tcPr>
          <w:p w14:paraId="6E4A540D"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Ortho-</w:t>
            </w:r>
          </w:p>
        </w:tc>
        <w:tc>
          <w:tcPr>
            <w:tcW w:w="947" w:type="dxa"/>
            <w:tcBorders>
              <w:top w:val="single" w:sz="4" w:space="0" w:color="auto"/>
              <w:left w:val="single" w:sz="4" w:space="0" w:color="auto"/>
              <w:bottom w:val="single" w:sz="4" w:space="0" w:color="auto"/>
              <w:right w:val="single" w:sz="4" w:space="0" w:color="auto"/>
            </w:tcBorders>
            <w:shd w:val="clear" w:color="auto" w:fill="auto"/>
            <w:noWrap/>
            <w:hideMark/>
          </w:tcPr>
          <w:p w14:paraId="348767F1" w14:textId="46B8A33F"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1140" w:type="dxa"/>
            <w:tcBorders>
              <w:top w:val="single" w:sz="4" w:space="0" w:color="auto"/>
              <w:left w:val="single" w:sz="4" w:space="0" w:color="auto"/>
              <w:bottom w:val="single" w:sz="4" w:space="0" w:color="auto"/>
              <w:right w:val="single" w:sz="4" w:space="0" w:color="auto"/>
            </w:tcBorders>
            <w:shd w:val="clear" w:color="auto" w:fill="auto"/>
            <w:noWrap/>
            <w:hideMark/>
          </w:tcPr>
          <w:p w14:paraId="49AB4DB6" w14:textId="345B78A9"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864" w:type="dxa"/>
            <w:tcBorders>
              <w:top w:val="single" w:sz="4" w:space="0" w:color="auto"/>
              <w:left w:val="single" w:sz="4" w:space="0" w:color="auto"/>
              <w:bottom w:val="single" w:sz="4" w:space="0" w:color="auto"/>
              <w:right w:val="single" w:sz="4" w:space="0" w:color="auto"/>
            </w:tcBorders>
            <w:shd w:val="clear" w:color="auto" w:fill="auto"/>
            <w:noWrap/>
            <w:hideMark/>
          </w:tcPr>
          <w:p w14:paraId="4BD10BB2" w14:textId="38CDEF4A"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p>
        </w:tc>
        <w:tc>
          <w:tcPr>
            <w:tcW w:w="1187" w:type="dxa"/>
            <w:tcBorders>
              <w:top w:val="single" w:sz="4" w:space="0" w:color="auto"/>
              <w:left w:val="single" w:sz="4" w:space="0" w:color="auto"/>
              <w:bottom w:val="single" w:sz="4" w:space="0" w:color="auto"/>
              <w:right w:val="single" w:sz="4" w:space="0" w:color="auto"/>
            </w:tcBorders>
            <w:shd w:val="clear" w:color="auto" w:fill="auto"/>
            <w:noWrap/>
            <w:hideMark/>
          </w:tcPr>
          <w:p w14:paraId="2DBA7791"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Macro</w:t>
            </w:r>
          </w:p>
        </w:tc>
      </w:tr>
      <w:tr w:rsidR="008841B5" w:rsidRPr="00035DB0" w14:paraId="5ADB120D" w14:textId="77777777" w:rsidTr="008841B5">
        <w:trPr>
          <w:trHeight w:val="306"/>
        </w:trPr>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72EDAC7E"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Cai et al.</w:t>
            </w:r>
          </w:p>
        </w:tc>
        <w:tc>
          <w:tcPr>
            <w:tcW w:w="1099" w:type="dxa"/>
            <w:tcBorders>
              <w:top w:val="single" w:sz="4" w:space="0" w:color="auto"/>
              <w:left w:val="single" w:sz="4" w:space="0" w:color="auto"/>
              <w:bottom w:val="single" w:sz="4" w:space="0" w:color="auto"/>
              <w:right w:val="single" w:sz="4" w:space="0" w:color="auto"/>
            </w:tcBorders>
            <w:shd w:val="clear" w:color="auto" w:fill="auto"/>
            <w:noWrap/>
            <w:hideMark/>
          </w:tcPr>
          <w:p w14:paraId="3915B988"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Trans iso-</w:t>
            </w:r>
          </w:p>
        </w:tc>
        <w:tc>
          <w:tcPr>
            <w:tcW w:w="947" w:type="dxa"/>
            <w:tcBorders>
              <w:top w:val="single" w:sz="4" w:space="0" w:color="auto"/>
              <w:left w:val="single" w:sz="4" w:space="0" w:color="auto"/>
              <w:bottom w:val="single" w:sz="4" w:space="0" w:color="auto"/>
              <w:right w:val="single" w:sz="4" w:space="0" w:color="auto"/>
            </w:tcBorders>
            <w:shd w:val="clear" w:color="auto" w:fill="auto"/>
            <w:noWrap/>
            <w:hideMark/>
          </w:tcPr>
          <w:p w14:paraId="117B6C94" w14:textId="3430BDE4"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1140" w:type="dxa"/>
            <w:tcBorders>
              <w:top w:val="single" w:sz="4" w:space="0" w:color="auto"/>
              <w:left w:val="single" w:sz="4" w:space="0" w:color="auto"/>
              <w:bottom w:val="single" w:sz="4" w:space="0" w:color="auto"/>
              <w:right w:val="single" w:sz="4" w:space="0" w:color="auto"/>
            </w:tcBorders>
            <w:shd w:val="clear" w:color="auto" w:fill="auto"/>
            <w:noWrap/>
            <w:hideMark/>
          </w:tcPr>
          <w:p w14:paraId="470118E5" w14:textId="4CF1AD24"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864" w:type="dxa"/>
            <w:tcBorders>
              <w:top w:val="single" w:sz="4" w:space="0" w:color="auto"/>
              <w:left w:val="single" w:sz="4" w:space="0" w:color="auto"/>
              <w:bottom w:val="single" w:sz="4" w:space="0" w:color="auto"/>
              <w:right w:val="single" w:sz="4" w:space="0" w:color="auto"/>
            </w:tcBorders>
            <w:shd w:val="clear" w:color="auto" w:fill="auto"/>
            <w:noWrap/>
            <w:hideMark/>
          </w:tcPr>
          <w:p w14:paraId="1024ECB3" w14:textId="719364EC"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1187" w:type="dxa"/>
            <w:tcBorders>
              <w:top w:val="single" w:sz="4" w:space="0" w:color="auto"/>
              <w:left w:val="single" w:sz="4" w:space="0" w:color="auto"/>
              <w:bottom w:val="single" w:sz="4" w:space="0" w:color="auto"/>
              <w:right w:val="single" w:sz="4" w:space="0" w:color="auto"/>
            </w:tcBorders>
            <w:shd w:val="clear" w:color="auto" w:fill="auto"/>
            <w:noWrap/>
            <w:hideMark/>
          </w:tcPr>
          <w:p w14:paraId="73994AE4"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Micro/multi</w:t>
            </w:r>
          </w:p>
        </w:tc>
      </w:tr>
      <w:tr w:rsidR="008841B5" w:rsidRPr="00035DB0" w14:paraId="5B0434D4" w14:textId="77777777" w:rsidTr="008841B5">
        <w:trPr>
          <w:trHeight w:val="306"/>
        </w:trPr>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21505511"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 xml:space="preserve">Gustafsson et al. </w:t>
            </w:r>
          </w:p>
        </w:tc>
        <w:tc>
          <w:tcPr>
            <w:tcW w:w="1099" w:type="dxa"/>
            <w:tcBorders>
              <w:top w:val="single" w:sz="4" w:space="0" w:color="auto"/>
              <w:left w:val="single" w:sz="4" w:space="0" w:color="auto"/>
              <w:bottom w:val="single" w:sz="4" w:space="0" w:color="auto"/>
              <w:right w:val="single" w:sz="4" w:space="0" w:color="auto"/>
            </w:tcBorders>
            <w:shd w:val="clear" w:color="auto" w:fill="auto"/>
            <w:noWrap/>
            <w:hideMark/>
          </w:tcPr>
          <w:p w14:paraId="15C08E20"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Iso-</w:t>
            </w:r>
          </w:p>
        </w:tc>
        <w:tc>
          <w:tcPr>
            <w:tcW w:w="947" w:type="dxa"/>
            <w:tcBorders>
              <w:top w:val="single" w:sz="4" w:space="0" w:color="auto"/>
              <w:left w:val="single" w:sz="4" w:space="0" w:color="auto"/>
              <w:bottom w:val="single" w:sz="4" w:space="0" w:color="auto"/>
              <w:right w:val="single" w:sz="4" w:space="0" w:color="auto"/>
            </w:tcBorders>
            <w:shd w:val="clear" w:color="auto" w:fill="auto"/>
            <w:noWrap/>
            <w:hideMark/>
          </w:tcPr>
          <w:p w14:paraId="1719285C" w14:textId="127541E7"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1140" w:type="dxa"/>
            <w:tcBorders>
              <w:top w:val="single" w:sz="4" w:space="0" w:color="auto"/>
              <w:left w:val="single" w:sz="4" w:space="0" w:color="auto"/>
              <w:bottom w:val="single" w:sz="4" w:space="0" w:color="auto"/>
              <w:right w:val="single" w:sz="4" w:space="0" w:color="auto"/>
            </w:tcBorders>
            <w:shd w:val="clear" w:color="auto" w:fill="auto"/>
            <w:noWrap/>
            <w:hideMark/>
          </w:tcPr>
          <w:p w14:paraId="3B2E16E2" w14:textId="376E06AC"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864" w:type="dxa"/>
            <w:tcBorders>
              <w:top w:val="single" w:sz="4" w:space="0" w:color="auto"/>
              <w:left w:val="single" w:sz="4" w:space="0" w:color="auto"/>
              <w:bottom w:val="single" w:sz="4" w:space="0" w:color="auto"/>
              <w:right w:val="single" w:sz="4" w:space="0" w:color="auto"/>
            </w:tcBorders>
            <w:shd w:val="clear" w:color="auto" w:fill="auto"/>
            <w:noWrap/>
            <w:hideMark/>
          </w:tcPr>
          <w:p w14:paraId="72309E30" w14:textId="212DD6AB"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noProof/>
                <w:color w:val="000000"/>
                <w:sz w:val="18"/>
                <w:szCs w:val="18"/>
                <w:lang w:val="en-GB"/>
              </w:rPr>
              <w:drawing>
                <wp:anchor distT="0" distB="0" distL="114300" distR="114300" simplePos="0" relativeHeight="252380672" behindDoc="0" locked="0" layoutInCell="1" allowOverlap="1" wp14:anchorId="1535EC81" wp14:editId="7E7E5A32">
                  <wp:simplePos x="0" y="0"/>
                  <wp:positionH relativeFrom="column">
                    <wp:posOffset>123825</wp:posOffset>
                  </wp:positionH>
                  <wp:positionV relativeFrom="paragraph">
                    <wp:posOffset>-521970</wp:posOffset>
                  </wp:positionV>
                  <wp:extent cx="171450" cy="104775"/>
                  <wp:effectExtent l="0" t="0" r="0" b="0"/>
                  <wp:wrapNone/>
                  <wp:docPr id="2044599197" name="Picture 48" descr="Black Check Mark png download - 600*556 - Free Transparent ...">
                    <a:extLst xmlns:a="http://schemas.openxmlformats.org/drawingml/2006/main">
                      <a:ext uri="{FF2B5EF4-FFF2-40B4-BE49-F238E27FC236}">
                        <a16:creationId xmlns:a16="http://schemas.microsoft.com/office/drawing/2014/main" id="{7D36D306-85E1-44F5-8297-E27DD134781C}"/>
                      </a:ext>
                    </a:extLst>
                  </wp:docPr>
                  <wp:cNvGraphicFramePr/>
                  <a:graphic xmlns:a="http://schemas.openxmlformats.org/drawingml/2006/main">
                    <a:graphicData uri="http://schemas.openxmlformats.org/drawingml/2006/picture">
                      <pic:pic xmlns:pic="http://schemas.openxmlformats.org/drawingml/2006/picture">
                        <pic:nvPicPr>
                          <pic:cNvPr id="9" name="Picture 8" descr="Black Check Mark png download - 600*556 - Free Transparent ...">
                            <a:extLst>
                              <a:ext uri="{FF2B5EF4-FFF2-40B4-BE49-F238E27FC236}">
                                <a16:creationId xmlns:a16="http://schemas.microsoft.com/office/drawing/2014/main" id="{7D36D306-85E1-44F5-8297-E27DD134781C}"/>
                              </a:ext>
                            </a:extLst>
                          </pic:cNvPr>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5714" b="96786" l="10000" r="90000">
                                        <a14:foregroundMark x1="37889" y1="92500" x2="37889" y2="92500"/>
                                        <a14:foregroundMark x1="38222" y1="96964" x2="38222" y2="96964"/>
                                        <a14:foregroundMark x1="78667" y1="5714" x2="78667" y2="571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71450" cy="1047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035DB0">
              <w:rPr>
                <w:rFonts w:ascii="Times New Roman" w:eastAsia="Times New Roman" w:hAnsi="Times New Roman" w:cs="Times New Roman"/>
                <w:noProof/>
                <w:color w:val="000000"/>
                <w:sz w:val="18"/>
                <w:szCs w:val="18"/>
                <w:lang w:val="en-GB"/>
              </w:rPr>
              <w:drawing>
                <wp:anchor distT="0" distB="0" distL="114300" distR="114300" simplePos="0" relativeHeight="252423680" behindDoc="0" locked="0" layoutInCell="1" allowOverlap="1" wp14:anchorId="45A0DFAF" wp14:editId="2AED9067">
                  <wp:simplePos x="0" y="0"/>
                  <wp:positionH relativeFrom="column">
                    <wp:posOffset>117362</wp:posOffset>
                  </wp:positionH>
                  <wp:positionV relativeFrom="paragraph">
                    <wp:posOffset>-328930</wp:posOffset>
                  </wp:positionV>
                  <wp:extent cx="171450" cy="104775"/>
                  <wp:effectExtent l="0" t="0" r="0" b="0"/>
                  <wp:wrapNone/>
                  <wp:docPr id="1815581536" name="Picture 47" descr="Black Check Mark png download - 600*556 - Free Transparent ...">
                    <a:extLst xmlns:a="http://schemas.openxmlformats.org/drawingml/2006/main">
                      <a:ext uri="{FF2B5EF4-FFF2-40B4-BE49-F238E27FC236}">
                        <a16:creationId xmlns:a16="http://schemas.microsoft.com/office/drawing/2014/main" id="{49FB59DA-2F33-4C1A-9166-2269F13259F2}"/>
                      </a:ext>
                    </a:extLst>
                  </wp:docPr>
                  <wp:cNvGraphicFramePr/>
                  <a:graphic xmlns:a="http://schemas.openxmlformats.org/drawingml/2006/main">
                    <a:graphicData uri="http://schemas.openxmlformats.org/drawingml/2006/picture">
                      <pic:pic xmlns:pic="http://schemas.openxmlformats.org/drawingml/2006/picture">
                        <pic:nvPicPr>
                          <pic:cNvPr id="33" name="Picture 32" descr="Black Check Mark png download - 600*556 - Free Transparent ...">
                            <a:extLst>
                              <a:ext uri="{FF2B5EF4-FFF2-40B4-BE49-F238E27FC236}">
                                <a16:creationId xmlns:a16="http://schemas.microsoft.com/office/drawing/2014/main" id="{49FB59DA-2F33-4C1A-9166-2269F13259F2}"/>
                              </a:ext>
                            </a:extLst>
                          </pic:cNvPr>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5714" b="96786" l="10000" r="90000">
                                        <a14:foregroundMark x1="37889" y1="92500" x2="37889" y2="92500"/>
                                        <a14:foregroundMark x1="38222" y1="96964" x2="38222" y2="96964"/>
                                        <a14:foregroundMark x1="78667" y1="5714" x2="78667" y2="571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71450" cy="1047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187" w:type="dxa"/>
            <w:tcBorders>
              <w:top w:val="single" w:sz="4" w:space="0" w:color="auto"/>
              <w:left w:val="single" w:sz="4" w:space="0" w:color="auto"/>
              <w:bottom w:val="single" w:sz="4" w:space="0" w:color="auto"/>
              <w:right w:val="single" w:sz="4" w:space="0" w:color="auto"/>
            </w:tcBorders>
            <w:shd w:val="clear" w:color="auto" w:fill="auto"/>
            <w:noWrap/>
            <w:hideMark/>
          </w:tcPr>
          <w:p w14:paraId="4E317938"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Micro</w:t>
            </w:r>
          </w:p>
        </w:tc>
      </w:tr>
      <w:tr w:rsidR="008841B5" w:rsidRPr="00035DB0" w14:paraId="58730B46" w14:textId="77777777" w:rsidTr="008841B5">
        <w:trPr>
          <w:trHeight w:val="306"/>
        </w:trPr>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4B6BA0E7"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Wills et al.</w:t>
            </w:r>
          </w:p>
        </w:tc>
        <w:tc>
          <w:tcPr>
            <w:tcW w:w="1099" w:type="dxa"/>
            <w:tcBorders>
              <w:top w:val="single" w:sz="4" w:space="0" w:color="auto"/>
              <w:left w:val="single" w:sz="4" w:space="0" w:color="auto"/>
              <w:bottom w:val="single" w:sz="4" w:space="0" w:color="auto"/>
              <w:right w:val="single" w:sz="4" w:space="0" w:color="auto"/>
            </w:tcBorders>
            <w:shd w:val="clear" w:color="auto" w:fill="auto"/>
            <w:noWrap/>
            <w:hideMark/>
          </w:tcPr>
          <w:p w14:paraId="118AD7FB"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Iso-</w:t>
            </w:r>
          </w:p>
        </w:tc>
        <w:tc>
          <w:tcPr>
            <w:tcW w:w="947" w:type="dxa"/>
            <w:tcBorders>
              <w:top w:val="single" w:sz="4" w:space="0" w:color="auto"/>
              <w:left w:val="single" w:sz="4" w:space="0" w:color="auto"/>
              <w:bottom w:val="single" w:sz="4" w:space="0" w:color="auto"/>
              <w:right w:val="single" w:sz="4" w:space="0" w:color="auto"/>
            </w:tcBorders>
            <w:shd w:val="clear" w:color="auto" w:fill="auto"/>
            <w:noWrap/>
            <w:hideMark/>
          </w:tcPr>
          <w:p w14:paraId="168C8357" w14:textId="1302C077"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1140" w:type="dxa"/>
            <w:tcBorders>
              <w:top w:val="single" w:sz="4" w:space="0" w:color="auto"/>
              <w:left w:val="single" w:sz="4" w:space="0" w:color="auto"/>
              <w:bottom w:val="single" w:sz="4" w:space="0" w:color="auto"/>
              <w:right w:val="single" w:sz="4" w:space="0" w:color="auto"/>
            </w:tcBorders>
            <w:shd w:val="clear" w:color="auto" w:fill="auto"/>
            <w:noWrap/>
            <w:hideMark/>
          </w:tcPr>
          <w:p w14:paraId="27975B34" w14:textId="6B9E4FBF"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864" w:type="dxa"/>
            <w:tcBorders>
              <w:top w:val="single" w:sz="4" w:space="0" w:color="auto"/>
              <w:left w:val="single" w:sz="4" w:space="0" w:color="auto"/>
              <w:bottom w:val="single" w:sz="4" w:space="0" w:color="auto"/>
              <w:right w:val="single" w:sz="4" w:space="0" w:color="auto"/>
            </w:tcBorders>
            <w:shd w:val="clear" w:color="auto" w:fill="auto"/>
            <w:noWrap/>
            <w:hideMark/>
          </w:tcPr>
          <w:p w14:paraId="74928F03" w14:textId="371DB968"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1187" w:type="dxa"/>
            <w:tcBorders>
              <w:top w:val="single" w:sz="4" w:space="0" w:color="auto"/>
              <w:left w:val="single" w:sz="4" w:space="0" w:color="auto"/>
              <w:bottom w:val="single" w:sz="4" w:space="0" w:color="auto"/>
              <w:right w:val="single" w:sz="4" w:space="0" w:color="auto"/>
            </w:tcBorders>
            <w:shd w:val="clear" w:color="auto" w:fill="auto"/>
            <w:noWrap/>
            <w:hideMark/>
          </w:tcPr>
          <w:p w14:paraId="35855DFA"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Macro</w:t>
            </w:r>
          </w:p>
        </w:tc>
      </w:tr>
      <w:tr w:rsidR="008841B5" w:rsidRPr="00035DB0" w14:paraId="49292687" w14:textId="77777777" w:rsidTr="008841B5">
        <w:trPr>
          <w:trHeight w:val="306"/>
        </w:trPr>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508452E5"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 xml:space="preserve">Lei et al. </w:t>
            </w:r>
          </w:p>
        </w:tc>
        <w:tc>
          <w:tcPr>
            <w:tcW w:w="1099" w:type="dxa"/>
            <w:tcBorders>
              <w:top w:val="single" w:sz="4" w:space="0" w:color="auto"/>
              <w:left w:val="single" w:sz="4" w:space="0" w:color="auto"/>
              <w:bottom w:val="single" w:sz="4" w:space="0" w:color="auto"/>
              <w:right w:val="single" w:sz="4" w:space="0" w:color="auto"/>
            </w:tcBorders>
            <w:shd w:val="clear" w:color="auto" w:fill="auto"/>
            <w:noWrap/>
            <w:hideMark/>
          </w:tcPr>
          <w:p w14:paraId="15879CF9"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Trans iso-</w:t>
            </w:r>
          </w:p>
        </w:tc>
        <w:tc>
          <w:tcPr>
            <w:tcW w:w="947" w:type="dxa"/>
            <w:tcBorders>
              <w:top w:val="single" w:sz="4" w:space="0" w:color="auto"/>
              <w:left w:val="single" w:sz="4" w:space="0" w:color="auto"/>
              <w:bottom w:val="single" w:sz="4" w:space="0" w:color="auto"/>
              <w:right w:val="single" w:sz="4" w:space="0" w:color="auto"/>
            </w:tcBorders>
            <w:shd w:val="clear" w:color="auto" w:fill="auto"/>
            <w:noWrap/>
            <w:hideMark/>
          </w:tcPr>
          <w:p w14:paraId="0E9DB9D4" w14:textId="76AF25B5"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1140" w:type="dxa"/>
            <w:tcBorders>
              <w:top w:val="single" w:sz="4" w:space="0" w:color="auto"/>
              <w:left w:val="single" w:sz="4" w:space="0" w:color="auto"/>
              <w:bottom w:val="single" w:sz="4" w:space="0" w:color="auto"/>
              <w:right w:val="single" w:sz="4" w:space="0" w:color="auto"/>
            </w:tcBorders>
            <w:shd w:val="clear" w:color="auto" w:fill="auto"/>
            <w:noWrap/>
            <w:hideMark/>
          </w:tcPr>
          <w:p w14:paraId="53EEA46D" w14:textId="7E39DA42"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p>
        </w:tc>
        <w:tc>
          <w:tcPr>
            <w:tcW w:w="864" w:type="dxa"/>
            <w:tcBorders>
              <w:top w:val="single" w:sz="4" w:space="0" w:color="auto"/>
              <w:left w:val="single" w:sz="4" w:space="0" w:color="auto"/>
              <w:bottom w:val="single" w:sz="4" w:space="0" w:color="auto"/>
              <w:right w:val="single" w:sz="4" w:space="0" w:color="auto"/>
            </w:tcBorders>
            <w:shd w:val="clear" w:color="auto" w:fill="auto"/>
            <w:noWrap/>
            <w:hideMark/>
          </w:tcPr>
          <w:p w14:paraId="0526BC19" w14:textId="0A5E89A6"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noProof/>
                <w:color w:val="000000"/>
                <w:sz w:val="18"/>
                <w:szCs w:val="18"/>
                <w:lang w:val="en-GB"/>
              </w:rPr>
              <w:drawing>
                <wp:anchor distT="0" distB="0" distL="114300" distR="114300" simplePos="0" relativeHeight="252419584" behindDoc="0" locked="0" layoutInCell="1" allowOverlap="1" wp14:anchorId="18B353EC" wp14:editId="42698E60">
                  <wp:simplePos x="0" y="0"/>
                  <wp:positionH relativeFrom="column">
                    <wp:posOffset>142875</wp:posOffset>
                  </wp:positionH>
                  <wp:positionV relativeFrom="paragraph">
                    <wp:posOffset>-328930</wp:posOffset>
                  </wp:positionV>
                  <wp:extent cx="161925" cy="104775"/>
                  <wp:effectExtent l="0" t="0" r="0" b="0"/>
                  <wp:wrapNone/>
                  <wp:docPr id="634945002" name="Picture 46" descr="Black Check Mark png download - 600*556 - Free Transparent ...">
                    <a:extLst xmlns:a="http://schemas.openxmlformats.org/drawingml/2006/main">
                      <a:ext uri="{FF2B5EF4-FFF2-40B4-BE49-F238E27FC236}">
                        <a16:creationId xmlns:a16="http://schemas.microsoft.com/office/drawing/2014/main" id="{7BF1DD78-0F98-4626-B9C7-84DF8F90958F}"/>
                      </a:ext>
                    </a:extLst>
                  </wp:docPr>
                  <wp:cNvGraphicFramePr/>
                  <a:graphic xmlns:a="http://schemas.openxmlformats.org/drawingml/2006/main">
                    <a:graphicData uri="http://schemas.openxmlformats.org/drawingml/2006/picture">
                      <pic:pic xmlns:pic="http://schemas.openxmlformats.org/drawingml/2006/picture">
                        <pic:nvPicPr>
                          <pic:cNvPr id="29" name="Picture 28" descr="Black Check Mark png download - 600*556 - Free Transparent ...">
                            <a:extLst>
                              <a:ext uri="{FF2B5EF4-FFF2-40B4-BE49-F238E27FC236}">
                                <a16:creationId xmlns:a16="http://schemas.microsoft.com/office/drawing/2014/main" id="{7BF1DD78-0F98-4626-B9C7-84DF8F90958F}"/>
                              </a:ext>
                            </a:extLst>
                          </pic:cNvPr>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5714" b="96786" l="10000" r="90000">
                                        <a14:foregroundMark x1="37889" y1="92500" x2="37889" y2="92500"/>
                                        <a14:foregroundMark x1="38222" y1="96964" x2="38222" y2="96964"/>
                                        <a14:foregroundMark x1="78667" y1="5714" x2="78667" y2="571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61925" cy="1047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18"/>
                <w:szCs w:val="18"/>
                <w:lang w:val="en-GB"/>
              </w:rPr>
              <w:t>-</w:t>
            </w:r>
          </w:p>
        </w:tc>
        <w:tc>
          <w:tcPr>
            <w:tcW w:w="1187" w:type="dxa"/>
            <w:tcBorders>
              <w:top w:val="single" w:sz="4" w:space="0" w:color="auto"/>
              <w:left w:val="single" w:sz="4" w:space="0" w:color="auto"/>
              <w:bottom w:val="single" w:sz="4" w:space="0" w:color="auto"/>
              <w:right w:val="single" w:sz="4" w:space="0" w:color="auto"/>
            </w:tcBorders>
            <w:shd w:val="clear" w:color="auto" w:fill="auto"/>
            <w:noWrap/>
            <w:hideMark/>
          </w:tcPr>
          <w:p w14:paraId="3A0ABE09"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Macro</w:t>
            </w:r>
          </w:p>
        </w:tc>
      </w:tr>
      <w:tr w:rsidR="008841B5" w:rsidRPr="00035DB0" w14:paraId="5DE4B12C" w14:textId="77777777" w:rsidTr="008841B5">
        <w:trPr>
          <w:trHeight w:val="306"/>
        </w:trPr>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4AB7D8EB"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 xml:space="preserve">Gustafsson et al. </w:t>
            </w:r>
          </w:p>
        </w:tc>
        <w:tc>
          <w:tcPr>
            <w:tcW w:w="1099" w:type="dxa"/>
            <w:tcBorders>
              <w:top w:val="single" w:sz="4" w:space="0" w:color="auto"/>
              <w:left w:val="single" w:sz="4" w:space="0" w:color="auto"/>
              <w:bottom w:val="single" w:sz="4" w:space="0" w:color="auto"/>
              <w:right w:val="single" w:sz="4" w:space="0" w:color="auto"/>
            </w:tcBorders>
            <w:shd w:val="clear" w:color="auto" w:fill="auto"/>
            <w:noWrap/>
            <w:hideMark/>
          </w:tcPr>
          <w:p w14:paraId="28BF86DD"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Iso-</w:t>
            </w:r>
          </w:p>
        </w:tc>
        <w:tc>
          <w:tcPr>
            <w:tcW w:w="947" w:type="dxa"/>
            <w:tcBorders>
              <w:top w:val="single" w:sz="4" w:space="0" w:color="auto"/>
              <w:left w:val="single" w:sz="4" w:space="0" w:color="auto"/>
              <w:bottom w:val="single" w:sz="4" w:space="0" w:color="auto"/>
              <w:right w:val="single" w:sz="4" w:space="0" w:color="auto"/>
            </w:tcBorders>
            <w:shd w:val="clear" w:color="auto" w:fill="auto"/>
            <w:noWrap/>
            <w:hideMark/>
          </w:tcPr>
          <w:p w14:paraId="56A58F0C" w14:textId="03FD924F"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1140" w:type="dxa"/>
            <w:tcBorders>
              <w:top w:val="single" w:sz="4" w:space="0" w:color="auto"/>
              <w:left w:val="single" w:sz="4" w:space="0" w:color="auto"/>
              <w:bottom w:val="single" w:sz="4" w:space="0" w:color="auto"/>
              <w:right w:val="single" w:sz="4" w:space="0" w:color="auto"/>
            </w:tcBorders>
            <w:shd w:val="clear" w:color="auto" w:fill="auto"/>
            <w:noWrap/>
            <w:hideMark/>
          </w:tcPr>
          <w:p w14:paraId="286D9322" w14:textId="20022508"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p>
        </w:tc>
        <w:tc>
          <w:tcPr>
            <w:tcW w:w="864" w:type="dxa"/>
            <w:tcBorders>
              <w:top w:val="single" w:sz="4" w:space="0" w:color="auto"/>
              <w:left w:val="single" w:sz="4" w:space="0" w:color="auto"/>
              <w:bottom w:val="single" w:sz="4" w:space="0" w:color="auto"/>
              <w:right w:val="single" w:sz="4" w:space="0" w:color="auto"/>
            </w:tcBorders>
            <w:shd w:val="clear" w:color="auto" w:fill="auto"/>
            <w:noWrap/>
            <w:hideMark/>
          </w:tcPr>
          <w:p w14:paraId="0EB235AE" w14:textId="481F65AF"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p>
        </w:tc>
        <w:tc>
          <w:tcPr>
            <w:tcW w:w="1187" w:type="dxa"/>
            <w:tcBorders>
              <w:top w:val="single" w:sz="4" w:space="0" w:color="auto"/>
              <w:left w:val="single" w:sz="4" w:space="0" w:color="auto"/>
              <w:bottom w:val="single" w:sz="4" w:space="0" w:color="auto"/>
              <w:right w:val="single" w:sz="4" w:space="0" w:color="auto"/>
            </w:tcBorders>
            <w:shd w:val="clear" w:color="auto" w:fill="auto"/>
            <w:noWrap/>
            <w:hideMark/>
          </w:tcPr>
          <w:p w14:paraId="65C1FBC5"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proofErr w:type="spellStart"/>
            <w:r w:rsidRPr="00035DB0">
              <w:rPr>
                <w:rFonts w:ascii="Times New Roman" w:eastAsia="Times New Roman" w:hAnsi="Times New Roman" w:cs="Times New Roman"/>
                <w:color w:val="000000"/>
                <w:sz w:val="18"/>
                <w:szCs w:val="18"/>
                <w:lang w:val="en-GB"/>
              </w:rPr>
              <w:t>Meso</w:t>
            </w:r>
            <w:proofErr w:type="spellEnd"/>
          </w:p>
        </w:tc>
      </w:tr>
      <w:tr w:rsidR="008841B5" w:rsidRPr="00035DB0" w14:paraId="1C375E86" w14:textId="77777777" w:rsidTr="008841B5">
        <w:trPr>
          <w:trHeight w:val="322"/>
        </w:trPr>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296DC173"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proofErr w:type="spellStart"/>
            <w:r w:rsidRPr="00035DB0">
              <w:rPr>
                <w:rFonts w:ascii="Times New Roman" w:eastAsia="Times New Roman" w:hAnsi="Times New Roman" w:cs="Times New Roman"/>
                <w:color w:val="000000"/>
                <w:sz w:val="18"/>
                <w:szCs w:val="18"/>
                <w:lang w:val="en-GB"/>
              </w:rPr>
              <w:t>Kraiem</w:t>
            </w:r>
            <w:proofErr w:type="spellEnd"/>
            <w:r w:rsidRPr="00035DB0">
              <w:rPr>
                <w:rFonts w:ascii="Times New Roman" w:eastAsia="Times New Roman" w:hAnsi="Times New Roman" w:cs="Times New Roman"/>
                <w:color w:val="000000"/>
                <w:sz w:val="18"/>
                <w:szCs w:val="18"/>
                <w:lang w:val="en-GB"/>
              </w:rPr>
              <w:t xml:space="preserve"> et al. </w:t>
            </w:r>
          </w:p>
        </w:tc>
        <w:tc>
          <w:tcPr>
            <w:tcW w:w="1099" w:type="dxa"/>
            <w:tcBorders>
              <w:top w:val="single" w:sz="4" w:space="0" w:color="auto"/>
              <w:left w:val="single" w:sz="4" w:space="0" w:color="auto"/>
              <w:bottom w:val="single" w:sz="4" w:space="0" w:color="auto"/>
              <w:right w:val="single" w:sz="4" w:space="0" w:color="auto"/>
            </w:tcBorders>
            <w:shd w:val="clear" w:color="auto" w:fill="auto"/>
            <w:noWrap/>
            <w:hideMark/>
          </w:tcPr>
          <w:p w14:paraId="74EEA1B6"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Ortho-</w:t>
            </w:r>
          </w:p>
        </w:tc>
        <w:tc>
          <w:tcPr>
            <w:tcW w:w="947" w:type="dxa"/>
            <w:tcBorders>
              <w:top w:val="single" w:sz="4" w:space="0" w:color="auto"/>
              <w:left w:val="single" w:sz="4" w:space="0" w:color="auto"/>
              <w:bottom w:val="single" w:sz="4" w:space="0" w:color="auto"/>
              <w:right w:val="single" w:sz="4" w:space="0" w:color="auto"/>
            </w:tcBorders>
            <w:shd w:val="clear" w:color="auto" w:fill="auto"/>
            <w:noWrap/>
            <w:hideMark/>
          </w:tcPr>
          <w:p w14:paraId="01BEC4D2" w14:textId="52E16F9D"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p>
        </w:tc>
        <w:tc>
          <w:tcPr>
            <w:tcW w:w="1140" w:type="dxa"/>
            <w:tcBorders>
              <w:top w:val="single" w:sz="4" w:space="0" w:color="auto"/>
              <w:left w:val="single" w:sz="4" w:space="0" w:color="auto"/>
              <w:bottom w:val="single" w:sz="4" w:space="0" w:color="auto"/>
              <w:right w:val="single" w:sz="4" w:space="0" w:color="auto"/>
            </w:tcBorders>
            <w:shd w:val="clear" w:color="auto" w:fill="auto"/>
            <w:noWrap/>
            <w:hideMark/>
          </w:tcPr>
          <w:p w14:paraId="0E916FF4" w14:textId="6A1D3F10"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noProof/>
                <w:color w:val="000000"/>
                <w:sz w:val="18"/>
                <w:szCs w:val="18"/>
                <w:lang w:val="en-GB"/>
              </w:rPr>
              <w:drawing>
                <wp:anchor distT="0" distB="0" distL="114300" distR="114300" simplePos="0" relativeHeight="252411392" behindDoc="0" locked="0" layoutInCell="1" allowOverlap="1" wp14:anchorId="5349CB1E" wp14:editId="6D0EF057">
                  <wp:simplePos x="0" y="0"/>
                  <wp:positionH relativeFrom="column">
                    <wp:posOffset>228600</wp:posOffset>
                  </wp:positionH>
                  <wp:positionV relativeFrom="paragraph">
                    <wp:posOffset>-328930</wp:posOffset>
                  </wp:positionV>
                  <wp:extent cx="171450" cy="104775"/>
                  <wp:effectExtent l="0" t="0" r="0" b="0"/>
                  <wp:wrapNone/>
                  <wp:docPr id="412560210" name="Picture 45" descr="Black Check Mark png download - 600*556 - Free Transparent ...">
                    <a:extLst xmlns:a="http://schemas.openxmlformats.org/drawingml/2006/main">
                      <a:ext uri="{FF2B5EF4-FFF2-40B4-BE49-F238E27FC236}">
                        <a16:creationId xmlns:a16="http://schemas.microsoft.com/office/drawing/2014/main" id="{8A6FC1CD-973B-40D6-8372-7CFC6B92FD71}"/>
                      </a:ext>
                    </a:extLst>
                  </wp:docPr>
                  <wp:cNvGraphicFramePr/>
                  <a:graphic xmlns:a="http://schemas.openxmlformats.org/drawingml/2006/main">
                    <a:graphicData uri="http://schemas.openxmlformats.org/drawingml/2006/picture">
                      <pic:pic xmlns:pic="http://schemas.openxmlformats.org/drawingml/2006/picture">
                        <pic:nvPicPr>
                          <pic:cNvPr id="25" name="Picture 24" descr="Black Check Mark png download - 600*556 - Free Transparent ...">
                            <a:extLst>
                              <a:ext uri="{FF2B5EF4-FFF2-40B4-BE49-F238E27FC236}">
                                <a16:creationId xmlns:a16="http://schemas.microsoft.com/office/drawing/2014/main" id="{8A6FC1CD-973B-40D6-8372-7CFC6B92FD71}"/>
                              </a:ext>
                            </a:extLst>
                          </pic:cNvPr>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5714" b="96786" l="10000" r="90000">
                                        <a14:foregroundMark x1="37889" y1="92500" x2="37889" y2="92500"/>
                                        <a14:foregroundMark x1="38222" y1="96964" x2="38222" y2="96964"/>
                                        <a14:foregroundMark x1="78667" y1="5714" x2="78667" y2="571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71450" cy="1047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864" w:type="dxa"/>
            <w:tcBorders>
              <w:top w:val="single" w:sz="4" w:space="0" w:color="auto"/>
              <w:left w:val="single" w:sz="4" w:space="0" w:color="auto"/>
              <w:bottom w:val="single" w:sz="4" w:space="0" w:color="auto"/>
              <w:right w:val="single" w:sz="4" w:space="0" w:color="auto"/>
            </w:tcBorders>
            <w:shd w:val="clear" w:color="auto" w:fill="auto"/>
            <w:noWrap/>
            <w:hideMark/>
          </w:tcPr>
          <w:p w14:paraId="7C8097F1" w14:textId="10B56E22"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p>
        </w:tc>
        <w:tc>
          <w:tcPr>
            <w:tcW w:w="1187" w:type="dxa"/>
            <w:tcBorders>
              <w:top w:val="single" w:sz="4" w:space="0" w:color="auto"/>
              <w:left w:val="single" w:sz="4" w:space="0" w:color="auto"/>
              <w:bottom w:val="single" w:sz="4" w:space="0" w:color="auto"/>
              <w:right w:val="single" w:sz="4" w:space="0" w:color="auto"/>
            </w:tcBorders>
            <w:shd w:val="clear" w:color="auto" w:fill="auto"/>
            <w:noWrap/>
            <w:hideMark/>
          </w:tcPr>
          <w:p w14:paraId="6C51E126"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Macro</w:t>
            </w:r>
          </w:p>
        </w:tc>
      </w:tr>
      <w:tr w:rsidR="008841B5" w:rsidRPr="00035DB0" w14:paraId="18048435" w14:textId="77777777" w:rsidTr="008841B5">
        <w:trPr>
          <w:trHeight w:val="306"/>
        </w:trPr>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13320DEE"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Remache et al.</w:t>
            </w:r>
          </w:p>
        </w:tc>
        <w:tc>
          <w:tcPr>
            <w:tcW w:w="1099" w:type="dxa"/>
            <w:tcBorders>
              <w:top w:val="single" w:sz="4" w:space="0" w:color="auto"/>
              <w:left w:val="single" w:sz="4" w:space="0" w:color="auto"/>
              <w:bottom w:val="single" w:sz="4" w:space="0" w:color="auto"/>
              <w:right w:val="single" w:sz="4" w:space="0" w:color="auto"/>
            </w:tcBorders>
            <w:shd w:val="clear" w:color="auto" w:fill="auto"/>
            <w:noWrap/>
            <w:hideMark/>
          </w:tcPr>
          <w:p w14:paraId="615373EB"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Iso-</w:t>
            </w:r>
          </w:p>
        </w:tc>
        <w:tc>
          <w:tcPr>
            <w:tcW w:w="947" w:type="dxa"/>
            <w:tcBorders>
              <w:top w:val="single" w:sz="4" w:space="0" w:color="auto"/>
              <w:left w:val="single" w:sz="4" w:space="0" w:color="auto"/>
              <w:bottom w:val="single" w:sz="4" w:space="0" w:color="auto"/>
              <w:right w:val="single" w:sz="4" w:space="0" w:color="auto"/>
            </w:tcBorders>
            <w:shd w:val="clear" w:color="auto" w:fill="auto"/>
            <w:noWrap/>
            <w:hideMark/>
          </w:tcPr>
          <w:p w14:paraId="5992F85B" w14:textId="09DFA685"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p>
        </w:tc>
        <w:tc>
          <w:tcPr>
            <w:tcW w:w="1140" w:type="dxa"/>
            <w:tcBorders>
              <w:top w:val="single" w:sz="4" w:space="0" w:color="auto"/>
              <w:left w:val="single" w:sz="4" w:space="0" w:color="auto"/>
              <w:bottom w:val="single" w:sz="4" w:space="0" w:color="auto"/>
              <w:right w:val="single" w:sz="4" w:space="0" w:color="auto"/>
            </w:tcBorders>
            <w:shd w:val="clear" w:color="auto" w:fill="auto"/>
            <w:noWrap/>
            <w:hideMark/>
          </w:tcPr>
          <w:p w14:paraId="764EA0CF" w14:textId="24EF9859"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p>
        </w:tc>
        <w:tc>
          <w:tcPr>
            <w:tcW w:w="864" w:type="dxa"/>
            <w:tcBorders>
              <w:top w:val="single" w:sz="4" w:space="0" w:color="auto"/>
              <w:left w:val="single" w:sz="4" w:space="0" w:color="auto"/>
              <w:bottom w:val="single" w:sz="4" w:space="0" w:color="auto"/>
              <w:right w:val="single" w:sz="4" w:space="0" w:color="auto"/>
            </w:tcBorders>
            <w:shd w:val="clear" w:color="auto" w:fill="auto"/>
            <w:noWrap/>
            <w:hideMark/>
          </w:tcPr>
          <w:p w14:paraId="417C18AA" w14:textId="778CC037"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noProof/>
                <w:color w:val="000000"/>
                <w:sz w:val="18"/>
                <w:szCs w:val="18"/>
                <w:lang w:val="en-GB"/>
              </w:rPr>
              <w:drawing>
                <wp:anchor distT="0" distB="0" distL="114300" distR="114300" simplePos="0" relativeHeight="252417536" behindDoc="0" locked="0" layoutInCell="1" allowOverlap="1" wp14:anchorId="7BCACA1B" wp14:editId="692D10E6">
                  <wp:simplePos x="0" y="0"/>
                  <wp:positionH relativeFrom="column">
                    <wp:posOffset>135890</wp:posOffset>
                  </wp:positionH>
                  <wp:positionV relativeFrom="paragraph">
                    <wp:posOffset>-376555</wp:posOffset>
                  </wp:positionV>
                  <wp:extent cx="171450" cy="104775"/>
                  <wp:effectExtent l="0" t="0" r="0" b="0"/>
                  <wp:wrapNone/>
                  <wp:docPr id="75239577" name="Picture 43" descr="Black Check Mark png download - 600*556 - Free Transparent ...">
                    <a:extLst xmlns:a="http://schemas.openxmlformats.org/drawingml/2006/main">
                      <a:ext uri="{FF2B5EF4-FFF2-40B4-BE49-F238E27FC236}">
                        <a16:creationId xmlns:a16="http://schemas.microsoft.com/office/drawing/2014/main" id="{E041E897-67CF-48D5-9CDE-E37DF05C0480}"/>
                      </a:ext>
                    </a:extLst>
                  </wp:docPr>
                  <wp:cNvGraphicFramePr/>
                  <a:graphic xmlns:a="http://schemas.openxmlformats.org/drawingml/2006/main">
                    <a:graphicData uri="http://schemas.openxmlformats.org/drawingml/2006/picture">
                      <pic:pic xmlns:pic="http://schemas.openxmlformats.org/drawingml/2006/picture">
                        <pic:nvPicPr>
                          <pic:cNvPr id="28" name="Picture 27" descr="Black Check Mark png download - 600*556 - Free Transparent ...">
                            <a:extLst>
                              <a:ext uri="{FF2B5EF4-FFF2-40B4-BE49-F238E27FC236}">
                                <a16:creationId xmlns:a16="http://schemas.microsoft.com/office/drawing/2014/main" id="{E041E897-67CF-48D5-9CDE-E37DF05C0480}"/>
                              </a:ext>
                            </a:extLst>
                          </pic:cNvPr>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5714" b="96786" l="10000" r="90000">
                                        <a14:foregroundMark x1="37889" y1="92500" x2="37889" y2="92500"/>
                                        <a14:foregroundMark x1="38222" y1="96964" x2="38222" y2="96964"/>
                                        <a14:foregroundMark x1="78667" y1="5714" x2="78667" y2="571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71450" cy="1047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18"/>
                <w:szCs w:val="18"/>
                <w:lang w:val="en-GB"/>
              </w:rPr>
              <w:t>-</w:t>
            </w:r>
          </w:p>
        </w:tc>
        <w:tc>
          <w:tcPr>
            <w:tcW w:w="1187" w:type="dxa"/>
            <w:tcBorders>
              <w:top w:val="single" w:sz="4" w:space="0" w:color="auto"/>
              <w:left w:val="single" w:sz="4" w:space="0" w:color="auto"/>
              <w:bottom w:val="single" w:sz="4" w:space="0" w:color="auto"/>
              <w:right w:val="single" w:sz="4" w:space="0" w:color="auto"/>
            </w:tcBorders>
            <w:shd w:val="clear" w:color="auto" w:fill="auto"/>
            <w:noWrap/>
            <w:hideMark/>
          </w:tcPr>
          <w:p w14:paraId="50CB0826"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Macro</w:t>
            </w:r>
          </w:p>
        </w:tc>
      </w:tr>
      <w:tr w:rsidR="008841B5" w:rsidRPr="00035DB0" w14:paraId="68E20940" w14:textId="77777777" w:rsidTr="008841B5">
        <w:trPr>
          <w:trHeight w:val="306"/>
        </w:trPr>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00509609"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Shokry et al.</w:t>
            </w:r>
          </w:p>
        </w:tc>
        <w:tc>
          <w:tcPr>
            <w:tcW w:w="1099" w:type="dxa"/>
            <w:tcBorders>
              <w:top w:val="single" w:sz="4" w:space="0" w:color="auto"/>
              <w:left w:val="single" w:sz="4" w:space="0" w:color="auto"/>
              <w:bottom w:val="single" w:sz="4" w:space="0" w:color="auto"/>
              <w:right w:val="single" w:sz="4" w:space="0" w:color="auto"/>
            </w:tcBorders>
            <w:shd w:val="clear" w:color="auto" w:fill="auto"/>
            <w:noWrap/>
            <w:hideMark/>
          </w:tcPr>
          <w:p w14:paraId="2E7CA2A3"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Trans iso-</w:t>
            </w:r>
          </w:p>
        </w:tc>
        <w:tc>
          <w:tcPr>
            <w:tcW w:w="947" w:type="dxa"/>
            <w:tcBorders>
              <w:top w:val="single" w:sz="4" w:space="0" w:color="auto"/>
              <w:left w:val="single" w:sz="4" w:space="0" w:color="auto"/>
              <w:bottom w:val="single" w:sz="4" w:space="0" w:color="auto"/>
              <w:right w:val="single" w:sz="4" w:space="0" w:color="auto"/>
            </w:tcBorders>
            <w:shd w:val="clear" w:color="auto" w:fill="auto"/>
            <w:noWrap/>
            <w:hideMark/>
          </w:tcPr>
          <w:p w14:paraId="7E781656" w14:textId="2D83B214"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noProof/>
                <w:color w:val="000000"/>
                <w:sz w:val="18"/>
                <w:szCs w:val="18"/>
                <w:lang w:val="en-GB"/>
              </w:rPr>
              <w:drawing>
                <wp:anchor distT="0" distB="0" distL="114300" distR="114300" simplePos="0" relativeHeight="252399104" behindDoc="0" locked="0" layoutInCell="1" allowOverlap="1" wp14:anchorId="145EDD80" wp14:editId="69227DCF">
                  <wp:simplePos x="0" y="0"/>
                  <wp:positionH relativeFrom="column">
                    <wp:posOffset>152400</wp:posOffset>
                  </wp:positionH>
                  <wp:positionV relativeFrom="paragraph">
                    <wp:posOffset>-338455</wp:posOffset>
                  </wp:positionV>
                  <wp:extent cx="171450" cy="104775"/>
                  <wp:effectExtent l="0" t="0" r="0" b="0"/>
                  <wp:wrapNone/>
                  <wp:docPr id="91490848" name="Picture 42" descr="Black Check Mark png download - 600*556 - Free Transparent ...">
                    <a:extLst xmlns:a="http://schemas.openxmlformats.org/drawingml/2006/main">
                      <a:ext uri="{FF2B5EF4-FFF2-40B4-BE49-F238E27FC236}">
                        <a16:creationId xmlns:a16="http://schemas.microsoft.com/office/drawing/2014/main" id="{F6BE469B-3494-478C-806B-39920E0396BC}"/>
                      </a:ext>
                    </a:extLst>
                  </wp:docPr>
                  <wp:cNvGraphicFramePr/>
                  <a:graphic xmlns:a="http://schemas.openxmlformats.org/drawingml/2006/main">
                    <a:graphicData uri="http://schemas.openxmlformats.org/drawingml/2006/picture">
                      <pic:pic xmlns:pic="http://schemas.openxmlformats.org/drawingml/2006/picture">
                        <pic:nvPicPr>
                          <pic:cNvPr id="19" name="Picture 18" descr="Black Check Mark png download - 600*556 - Free Transparent ...">
                            <a:extLst>
                              <a:ext uri="{FF2B5EF4-FFF2-40B4-BE49-F238E27FC236}">
                                <a16:creationId xmlns:a16="http://schemas.microsoft.com/office/drawing/2014/main" id="{F6BE469B-3494-478C-806B-39920E0396BC}"/>
                              </a:ext>
                            </a:extLst>
                          </pic:cNvPr>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5714" b="96786" l="10000" r="90000">
                                        <a14:foregroundMark x1="37889" y1="92500" x2="37889" y2="92500"/>
                                        <a14:foregroundMark x1="38222" y1="96964" x2="38222" y2="96964"/>
                                        <a14:foregroundMark x1="78667" y1="5714" x2="78667" y2="571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71450" cy="1047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18"/>
                <w:szCs w:val="18"/>
                <w:lang w:val="en-GB"/>
              </w:rPr>
              <w:t>-</w:t>
            </w:r>
          </w:p>
        </w:tc>
        <w:tc>
          <w:tcPr>
            <w:tcW w:w="1140" w:type="dxa"/>
            <w:tcBorders>
              <w:top w:val="single" w:sz="4" w:space="0" w:color="auto"/>
              <w:left w:val="single" w:sz="4" w:space="0" w:color="auto"/>
              <w:bottom w:val="single" w:sz="4" w:space="0" w:color="auto"/>
              <w:right w:val="single" w:sz="4" w:space="0" w:color="auto"/>
            </w:tcBorders>
            <w:shd w:val="clear" w:color="auto" w:fill="auto"/>
            <w:noWrap/>
            <w:hideMark/>
          </w:tcPr>
          <w:p w14:paraId="5FFDDA40" w14:textId="0D5372F6"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noProof/>
                <w:color w:val="000000"/>
                <w:sz w:val="18"/>
                <w:szCs w:val="18"/>
                <w:lang w:val="en-GB"/>
              </w:rPr>
              <w:drawing>
                <wp:anchor distT="0" distB="0" distL="114300" distR="114300" simplePos="0" relativeHeight="252403200" behindDoc="0" locked="0" layoutInCell="1" allowOverlap="1" wp14:anchorId="5935B53E" wp14:editId="72174E86">
                  <wp:simplePos x="0" y="0"/>
                  <wp:positionH relativeFrom="column">
                    <wp:posOffset>247650</wp:posOffset>
                  </wp:positionH>
                  <wp:positionV relativeFrom="paragraph">
                    <wp:posOffset>-531495</wp:posOffset>
                  </wp:positionV>
                  <wp:extent cx="171450" cy="104775"/>
                  <wp:effectExtent l="0" t="0" r="0" b="0"/>
                  <wp:wrapNone/>
                  <wp:docPr id="153408358" name="Picture 44" descr="Black Check Mark png download - 600*556 - Free Transparent ...">
                    <a:extLst xmlns:a="http://schemas.openxmlformats.org/drawingml/2006/main">
                      <a:ext uri="{FF2B5EF4-FFF2-40B4-BE49-F238E27FC236}">
                        <a16:creationId xmlns:a16="http://schemas.microsoft.com/office/drawing/2014/main" id="{D77FEC5B-13BA-4CDE-A056-0D17E28A6870}"/>
                      </a:ext>
                    </a:extLst>
                  </wp:docPr>
                  <wp:cNvGraphicFramePr/>
                  <a:graphic xmlns:a="http://schemas.openxmlformats.org/drawingml/2006/main">
                    <a:graphicData uri="http://schemas.openxmlformats.org/drawingml/2006/picture">
                      <pic:pic xmlns:pic="http://schemas.openxmlformats.org/drawingml/2006/picture">
                        <pic:nvPicPr>
                          <pic:cNvPr id="21" name="Picture 20" descr="Black Check Mark png download - 600*556 - Free Transparent ...">
                            <a:extLst>
                              <a:ext uri="{FF2B5EF4-FFF2-40B4-BE49-F238E27FC236}">
                                <a16:creationId xmlns:a16="http://schemas.microsoft.com/office/drawing/2014/main" id="{D77FEC5B-13BA-4CDE-A056-0D17E28A6870}"/>
                              </a:ext>
                            </a:extLst>
                          </pic:cNvPr>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5714" b="96786" l="10000" r="90000">
                                        <a14:foregroundMark x1="37889" y1="92500" x2="37889" y2="92500"/>
                                        <a14:foregroundMark x1="38222" y1="96964" x2="38222" y2="96964"/>
                                        <a14:foregroundMark x1="78667" y1="5714" x2="78667" y2="571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71450" cy="1047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035DB0">
              <w:rPr>
                <w:rFonts w:ascii="Times New Roman" w:eastAsia="Times New Roman" w:hAnsi="Times New Roman" w:cs="Times New Roman"/>
                <w:noProof/>
                <w:color w:val="000000"/>
                <w:sz w:val="18"/>
                <w:szCs w:val="18"/>
                <w:lang w:val="en-GB"/>
              </w:rPr>
              <w:drawing>
                <wp:anchor distT="0" distB="0" distL="114300" distR="114300" simplePos="0" relativeHeight="252409344" behindDoc="0" locked="0" layoutInCell="1" allowOverlap="1" wp14:anchorId="1B952D36" wp14:editId="64429BB2">
                  <wp:simplePos x="0" y="0"/>
                  <wp:positionH relativeFrom="column">
                    <wp:posOffset>247650</wp:posOffset>
                  </wp:positionH>
                  <wp:positionV relativeFrom="paragraph">
                    <wp:posOffset>-338455</wp:posOffset>
                  </wp:positionV>
                  <wp:extent cx="161925" cy="104775"/>
                  <wp:effectExtent l="0" t="0" r="0" b="0"/>
                  <wp:wrapNone/>
                  <wp:docPr id="2120078482" name="Picture 41" descr="Black Check Mark png download - 600*556 - Free Transparent ...">
                    <a:extLst xmlns:a="http://schemas.openxmlformats.org/drawingml/2006/main">
                      <a:ext uri="{FF2B5EF4-FFF2-40B4-BE49-F238E27FC236}">
                        <a16:creationId xmlns:a16="http://schemas.microsoft.com/office/drawing/2014/main" id="{B5EA3FA0-AAAF-4139-BDB4-1ED6284DC9E3}"/>
                      </a:ext>
                    </a:extLst>
                  </wp:docPr>
                  <wp:cNvGraphicFramePr/>
                  <a:graphic xmlns:a="http://schemas.openxmlformats.org/drawingml/2006/main">
                    <a:graphicData uri="http://schemas.openxmlformats.org/drawingml/2006/picture">
                      <pic:pic xmlns:pic="http://schemas.openxmlformats.org/drawingml/2006/picture">
                        <pic:nvPicPr>
                          <pic:cNvPr id="24" name="Picture 23" descr="Black Check Mark png download - 600*556 - Free Transparent ...">
                            <a:extLst>
                              <a:ext uri="{FF2B5EF4-FFF2-40B4-BE49-F238E27FC236}">
                                <a16:creationId xmlns:a16="http://schemas.microsoft.com/office/drawing/2014/main" id="{B5EA3FA0-AAAF-4139-BDB4-1ED6284DC9E3}"/>
                              </a:ext>
                            </a:extLst>
                          </pic:cNvPr>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5714" b="96786" l="10000" r="90000">
                                        <a14:foregroundMark x1="37889" y1="92500" x2="37889" y2="92500"/>
                                        <a14:foregroundMark x1="38222" y1="96964" x2="38222" y2="96964"/>
                                        <a14:foregroundMark x1="78667" y1="5714" x2="78667" y2="571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61925" cy="1047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864" w:type="dxa"/>
            <w:tcBorders>
              <w:top w:val="single" w:sz="4" w:space="0" w:color="auto"/>
              <w:left w:val="single" w:sz="4" w:space="0" w:color="auto"/>
              <w:bottom w:val="single" w:sz="4" w:space="0" w:color="auto"/>
              <w:right w:val="single" w:sz="4" w:space="0" w:color="auto"/>
            </w:tcBorders>
            <w:shd w:val="clear" w:color="auto" w:fill="auto"/>
            <w:noWrap/>
            <w:hideMark/>
          </w:tcPr>
          <w:p w14:paraId="28AAB094" w14:textId="74361E6E"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1187" w:type="dxa"/>
            <w:tcBorders>
              <w:top w:val="single" w:sz="4" w:space="0" w:color="auto"/>
              <w:left w:val="single" w:sz="4" w:space="0" w:color="auto"/>
              <w:bottom w:val="single" w:sz="4" w:space="0" w:color="auto"/>
              <w:right w:val="single" w:sz="4" w:space="0" w:color="auto"/>
            </w:tcBorders>
            <w:shd w:val="clear" w:color="auto" w:fill="auto"/>
            <w:noWrap/>
            <w:hideMark/>
          </w:tcPr>
          <w:p w14:paraId="3744E3C0"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Macro</w:t>
            </w:r>
          </w:p>
        </w:tc>
      </w:tr>
      <w:tr w:rsidR="008841B5" w:rsidRPr="00035DB0" w14:paraId="5D7DE994" w14:textId="77777777" w:rsidTr="008841B5">
        <w:trPr>
          <w:trHeight w:val="306"/>
        </w:trPr>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4289C78C"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Soni et al.</w:t>
            </w:r>
          </w:p>
        </w:tc>
        <w:tc>
          <w:tcPr>
            <w:tcW w:w="1099" w:type="dxa"/>
            <w:tcBorders>
              <w:top w:val="single" w:sz="4" w:space="0" w:color="auto"/>
              <w:left w:val="single" w:sz="4" w:space="0" w:color="auto"/>
              <w:bottom w:val="single" w:sz="4" w:space="0" w:color="auto"/>
              <w:right w:val="single" w:sz="4" w:space="0" w:color="auto"/>
            </w:tcBorders>
            <w:shd w:val="clear" w:color="auto" w:fill="auto"/>
            <w:noWrap/>
            <w:hideMark/>
          </w:tcPr>
          <w:p w14:paraId="6BA2E074"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Trans iso-</w:t>
            </w:r>
          </w:p>
        </w:tc>
        <w:tc>
          <w:tcPr>
            <w:tcW w:w="947" w:type="dxa"/>
            <w:tcBorders>
              <w:top w:val="single" w:sz="4" w:space="0" w:color="auto"/>
              <w:left w:val="single" w:sz="4" w:space="0" w:color="auto"/>
              <w:bottom w:val="single" w:sz="4" w:space="0" w:color="auto"/>
              <w:right w:val="single" w:sz="4" w:space="0" w:color="auto"/>
            </w:tcBorders>
            <w:shd w:val="clear" w:color="auto" w:fill="auto"/>
            <w:noWrap/>
            <w:hideMark/>
          </w:tcPr>
          <w:p w14:paraId="6289C14B" w14:textId="6403E1EE"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noProof/>
                <w:color w:val="000000"/>
                <w:sz w:val="18"/>
                <w:szCs w:val="18"/>
                <w:lang w:val="en-GB"/>
              </w:rPr>
              <w:drawing>
                <wp:anchor distT="0" distB="0" distL="114300" distR="114300" simplePos="0" relativeHeight="252386816" behindDoc="0" locked="0" layoutInCell="1" allowOverlap="1" wp14:anchorId="672FD96A" wp14:editId="0540AE56">
                  <wp:simplePos x="0" y="0"/>
                  <wp:positionH relativeFrom="column">
                    <wp:posOffset>152400</wp:posOffset>
                  </wp:positionH>
                  <wp:positionV relativeFrom="paragraph">
                    <wp:posOffset>-328930</wp:posOffset>
                  </wp:positionV>
                  <wp:extent cx="171450" cy="104775"/>
                  <wp:effectExtent l="0" t="0" r="0" b="0"/>
                  <wp:wrapNone/>
                  <wp:docPr id="2121795447" name="Picture 39" descr="Black Check Mark png download - 600*556 - Free Transparent ...">
                    <a:extLst xmlns:a="http://schemas.openxmlformats.org/drawingml/2006/main">
                      <a:ext uri="{FF2B5EF4-FFF2-40B4-BE49-F238E27FC236}">
                        <a16:creationId xmlns:a16="http://schemas.microsoft.com/office/drawing/2014/main" id="{D02FAEBD-86F3-46BD-872C-A9ED8A1CE721}"/>
                      </a:ext>
                    </a:extLst>
                  </wp:docPr>
                  <wp:cNvGraphicFramePr/>
                  <a:graphic xmlns:a="http://schemas.openxmlformats.org/drawingml/2006/main">
                    <a:graphicData uri="http://schemas.openxmlformats.org/drawingml/2006/picture">
                      <pic:pic xmlns:pic="http://schemas.openxmlformats.org/drawingml/2006/picture">
                        <pic:nvPicPr>
                          <pic:cNvPr id="12" name="Picture 11" descr="Black Check Mark png download - 600*556 - Free Transparent ...">
                            <a:extLst>
                              <a:ext uri="{FF2B5EF4-FFF2-40B4-BE49-F238E27FC236}">
                                <a16:creationId xmlns:a16="http://schemas.microsoft.com/office/drawing/2014/main" id="{D02FAEBD-86F3-46BD-872C-A9ED8A1CE721}"/>
                              </a:ext>
                            </a:extLst>
                          </pic:cNvPr>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5714" b="96786" l="10000" r="90000">
                                        <a14:foregroundMark x1="37889" y1="92500" x2="37889" y2="92500"/>
                                        <a14:foregroundMark x1="38222" y1="96964" x2="38222" y2="96964"/>
                                        <a14:foregroundMark x1="78667" y1="5714" x2="78667" y2="571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71450" cy="1047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18"/>
                <w:szCs w:val="18"/>
                <w:lang w:val="en-GB"/>
              </w:rPr>
              <w:t>-</w:t>
            </w:r>
          </w:p>
        </w:tc>
        <w:tc>
          <w:tcPr>
            <w:tcW w:w="1140" w:type="dxa"/>
            <w:tcBorders>
              <w:top w:val="single" w:sz="4" w:space="0" w:color="auto"/>
              <w:left w:val="single" w:sz="4" w:space="0" w:color="auto"/>
              <w:bottom w:val="single" w:sz="4" w:space="0" w:color="auto"/>
              <w:right w:val="single" w:sz="4" w:space="0" w:color="auto"/>
            </w:tcBorders>
            <w:shd w:val="clear" w:color="auto" w:fill="auto"/>
            <w:noWrap/>
            <w:hideMark/>
          </w:tcPr>
          <w:p w14:paraId="59C93D86" w14:textId="6DB6EF6B"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864" w:type="dxa"/>
            <w:tcBorders>
              <w:top w:val="single" w:sz="4" w:space="0" w:color="auto"/>
              <w:left w:val="single" w:sz="4" w:space="0" w:color="auto"/>
              <w:bottom w:val="single" w:sz="4" w:space="0" w:color="auto"/>
              <w:right w:val="single" w:sz="4" w:space="0" w:color="auto"/>
            </w:tcBorders>
            <w:shd w:val="clear" w:color="auto" w:fill="auto"/>
            <w:noWrap/>
            <w:hideMark/>
          </w:tcPr>
          <w:p w14:paraId="184A315F" w14:textId="1B4EBB63"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noProof/>
                <w:color w:val="000000"/>
                <w:sz w:val="18"/>
                <w:szCs w:val="18"/>
                <w:lang w:val="en-GB"/>
              </w:rPr>
              <w:drawing>
                <wp:anchor distT="0" distB="0" distL="114300" distR="114300" simplePos="0" relativeHeight="252421632" behindDoc="0" locked="0" layoutInCell="1" allowOverlap="1" wp14:anchorId="6680CE39" wp14:editId="1796A326">
                  <wp:simplePos x="0" y="0"/>
                  <wp:positionH relativeFrom="column">
                    <wp:posOffset>126365</wp:posOffset>
                  </wp:positionH>
                  <wp:positionV relativeFrom="paragraph">
                    <wp:posOffset>-521970</wp:posOffset>
                  </wp:positionV>
                  <wp:extent cx="171450" cy="104775"/>
                  <wp:effectExtent l="0" t="0" r="0" b="0"/>
                  <wp:wrapNone/>
                  <wp:docPr id="570203463" name="Picture 40" descr="Black Check Mark png download - 600*556 - Free Transparent ...">
                    <a:extLst xmlns:a="http://schemas.openxmlformats.org/drawingml/2006/main">
                      <a:ext uri="{FF2B5EF4-FFF2-40B4-BE49-F238E27FC236}">
                        <a16:creationId xmlns:a16="http://schemas.microsoft.com/office/drawing/2014/main" id="{53C68CB1-6FF3-4BD0-AFC1-C1AF421763B9}"/>
                      </a:ext>
                    </a:extLst>
                  </wp:docPr>
                  <wp:cNvGraphicFramePr/>
                  <a:graphic xmlns:a="http://schemas.openxmlformats.org/drawingml/2006/main">
                    <a:graphicData uri="http://schemas.openxmlformats.org/drawingml/2006/picture">
                      <pic:pic xmlns:pic="http://schemas.openxmlformats.org/drawingml/2006/picture">
                        <pic:nvPicPr>
                          <pic:cNvPr id="32" name="Picture 31" descr="Black Check Mark png download - 600*556 - Free Transparent ...">
                            <a:extLst>
                              <a:ext uri="{FF2B5EF4-FFF2-40B4-BE49-F238E27FC236}">
                                <a16:creationId xmlns:a16="http://schemas.microsoft.com/office/drawing/2014/main" id="{53C68CB1-6FF3-4BD0-AFC1-C1AF421763B9}"/>
                              </a:ext>
                            </a:extLst>
                          </pic:cNvPr>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5714" b="96786" l="10000" r="90000">
                                        <a14:foregroundMark x1="37889" y1="92500" x2="37889" y2="92500"/>
                                        <a14:foregroundMark x1="38222" y1="96964" x2="38222" y2="96964"/>
                                        <a14:foregroundMark x1="78667" y1="5714" x2="78667" y2="571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71450" cy="1047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187" w:type="dxa"/>
            <w:tcBorders>
              <w:top w:val="single" w:sz="4" w:space="0" w:color="auto"/>
              <w:left w:val="single" w:sz="4" w:space="0" w:color="auto"/>
              <w:bottom w:val="single" w:sz="4" w:space="0" w:color="auto"/>
              <w:right w:val="single" w:sz="4" w:space="0" w:color="auto"/>
            </w:tcBorders>
            <w:shd w:val="clear" w:color="auto" w:fill="auto"/>
            <w:noWrap/>
            <w:hideMark/>
          </w:tcPr>
          <w:p w14:paraId="7154CE5E"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Multi/micro</w:t>
            </w:r>
          </w:p>
        </w:tc>
      </w:tr>
      <w:tr w:rsidR="008841B5" w:rsidRPr="00035DB0" w14:paraId="1BAA3C19" w14:textId="77777777" w:rsidTr="008841B5">
        <w:trPr>
          <w:trHeight w:val="306"/>
        </w:trPr>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4276AF4D"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Dapaah et al.</w:t>
            </w:r>
          </w:p>
        </w:tc>
        <w:tc>
          <w:tcPr>
            <w:tcW w:w="1099" w:type="dxa"/>
            <w:tcBorders>
              <w:top w:val="single" w:sz="4" w:space="0" w:color="auto"/>
              <w:left w:val="single" w:sz="4" w:space="0" w:color="auto"/>
              <w:bottom w:val="single" w:sz="4" w:space="0" w:color="auto"/>
              <w:right w:val="single" w:sz="4" w:space="0" w:color="auto"/>
            </w:tcBorders>
            <w:shd w:val="clear" w:color="auto" w:fill="auto"/>
            <w:noWrap/>
            <w:hideMark/>
          </w:tcPr>
          <w:p w14:paraId="72FC65A2"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Trans iso-</w:t>
            </w:r>
          </w:p>
        </w:tc>
        <w:tc>
          <w:tcPr>
            <w:tcW w:w="947" w:type="dxa"/>
            <w:tcBorders>
              <w:top w:val="single" w:sz="4" w:space="0" w:color="auto"/>
              <w:left w:val="single" w:sz="4" w:space="0" w:color="auto"/>
              <w:bottom w:val="single" w:sz="4" w:space="0" w:color="auto"/>
              <w:right w:val="single" w:sz="4" w:space="0" w:color="auto"/>
            </w:tcBorders>
            <w:shd w:val="clear" w:color="auto" w:fill="auto"/>
            <w:noWrap/>
            <w:hideMark/>
          </w:tcPr>
          <w:p w14:paraId="57D3F9ED" w14:textId="2911FAD5"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w:t>
            </w:r>
          </w:p>
        </w:tc>
        <w:tc>
          <w:tcPr>
            <w:tcW w:w="1140" w:type="dxa"/>
            <w:tcBorders>
              <w:top w:val="single" w:sz="4" w:space="0" w:color="auto"/>
              <w:left w:val="single" w:sz="4" w:space="0" w:color="auto"/>
              <w:bottom w:val="single" w:sz="4" w:space="0" w:color="auto"/>
              <w:right w:val="single" w:sz="4" w:space="0" w:color="auto"/>
            </w:tcBorders>
            <w:shd w:val="clear" w:color="auto" w:fill="auto"/>
            <w:noWrap/>
            <w:hideMark/>
          </w:tcPr>
          <w:p w14:paraId="7A27DF85" w14:textId="41B51D90"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noProof/>
                <w:color w:val="000000"/>
                <w:sz w:val="18"/>
                <w:szCs w:val="18"/>
                <w:lang w:val="en-GB"/>
              </w:rPr>
              <w:drawing>
                <wp:anchor distT="0" distB="0" distL="114300" distR="114300" simplePos="0" relativeHeight="252407296" behindDoc="0" locked="0" layoutInCell="1" allowOverlap="1" wp14:anchorId="78248A65" wp14:editId="1E481E37">
                  <wp:simplePos x="0" y="0"/>
                  <wp:positionH relativeFrom="column">
                    <wp:posOffset>228600</wp:posOffset>
                  </wp:positionH>
                  <wp:positionV relativeFrom="paragraph">
                    <wp:posOffset>-521970</wp:posOffset>
                  </wp:positionV>
                  <wp:extent cx="171450" cy="104775"/>
                  <wp:effectExtent l="0" t="0" r="0" b="0"/>
                  <wp:wrapNone/>
                  <wp:docPr id="1699687051" name="Picture 38" descr="Black Check Mark png download - 600*556 - Free Transparent ...">
                    <a:extLst xmlns:a="http://schemas.openxmlformats.org/drawingml/2006/main">
                      <a:ext uri="{FF2B5EF4-FFF2-40B4-BE49-F238E27FC236}">
                        <a16:creationId xmlns:a16="http://schemas.microsoft.com/office/drawing/2014/main" id="{73638ED3-D6CC-456D-9EF2-F11B847D8F45}"/>
                      </a:ext>
                    </a:extLst>
                  </wp:docPr>
                  <wp:cNvGraphicFramePr/>
                  <a:graphic xmlns:a="http://schemas.openxmlformats.org/drawingml/2006/main">
                    <a:graphicData uri="http://schemas.openxmlformats.org/drawingml/2006/picture">
                      <pic:pic xmlns:pic="http://schemas.openxmlformats.org/drawingml/2006/picture">
                        <pic:nvPicPr>
                          <pic:cNvPr id="23" name="Picture 22" descr="Black Check Mark png download - 600*556 - Free Transparent ...">
                            <a:extLst>
                              <a:ext uri="{FF2B5EF4-FFF2-40B4-BE49-F238E27FC236}">
                                <a16:creationId xmlns:a16="http://schemas.microsoft.com/office/drawing/2014/main" id="{73638ED3-D6CC-456D-9EF2-F11B847D8F45}"/>
                              </a:ext>
                            </a:extLst>
                          </pic:cNvPr>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5714" b="96786" l="10000" r="90000">
                                        <a14:foregroundMark x1="37889" y1="92500" x2="37889" y2="92500"/>
                                        <a14:foregroundMark x1="38222" y1="96964" x2="38222" y2="96964"/>
                                        <a14:foregroundMark x1="78667" y1="5714" x2="78667" y2="571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71450" cy="1047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035DB0">
              <w:rPr>
                <w:rFonts w:ascii="Times New Roman" w:eastAsia="Times New Roman" w:hAnsi="Times New Roman" w:cs="Times New Roman"/>
                <w:noProof/>
                <w:color w:val="000000"/>
                <w:sz w:val="18"/>
                <w:szCs w:val="18"/>
                <w:lang w:val="en-GB"/>
              </w:rPr>
              <w:drawing>
                <wp:anchor distT="0" distB="0" distL="114300" distR="114300" simplePos="0" relativeHeight="252415488" behindDoc="0" locked="0" layoutInCell="1" allowOverlap="1" wp14:anchorId="670E4B0A" wp14:editId="17776401">
                  <wp:simplePos x="0" y="0"/>
                  <wp:positionH relativeFrom="column">
                    <wp:posOffset>238125</wp:posOffset>
                  </wp:positionH>
                  <wp:positionV relativeFrom="paragraph">
                    <wp:posOffset>-357505</wp:posOffset>
                  </wp:positionV>
                  <wp:extent cx="161925" cy="104775"/>
                  <wp:effectExtent l="0" t="0" r="0" b="0"/>
                  <wp:wrapNone/>
                  <wp:docPr id="180325387" name="Picture 37" descr="Black Check Mark png download - 600*556 - Free Transparent ...">
                    <a:extLst xmlns:a="http://schemas.openxmlformats.org/drawingml/2006/main">
                      <a:ext uri="{FF2B5EF4-FFF2-40B4-BE49-F238E27FC236}">
                        <a16:creationId xmlns:a16="http://schemas.microsoft.com/office/drawing/2014/main" id="{69878CD6-A588-453C-9B2A-96B6397AA9D5}"/>
                      </a:ext>
                    </a:extLst>
                  </wp:docPr>
                  <wp:cNvGraphicFramePr/>
                  <a:graphic xmlns:a="http://schemas.openxmlformats.org/drawingml/2006/main">
                    <a:graphicData uri="http://schemas.openxmlformats.org/drawingml/2006/picture">
                      <pic:pic xmlns:pic="http://schemas.openxmlformats.org/drawingml/2006/picture">
                        <pic:nvPicPr>
                          <pic:cNvPr id="27" name="Picture 26" descr="Black Check Mark png download - 600*556 - Free Transparent ...">
                            <a:extLst>
                              <a:ext uri="{FF2B5EF4-FFF2-40B4-BE49-F238E27FC236}">
                                <a16:creationId xmlns:a16="http://schemas.microsoft.com/office/drawing/2014/main" id="{69878CD6-A588-453C-9B2A-96B6397AA9D5}"/>
                              </a:ext>
                            </a:extLst>
                          </pic:cNvPr>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5714" b="96786" l="10000" r="90000">
                                        <a14:foregroundMark x1="37889" y1="92500" x2="37889" y2="92500"/>
                                        <a14:foregroundMark x1="38222" y1="96964" x2="38222" y2="96964"/>
                                        <a14:foregroundMark x1="78667" y1="5714" x2="78667" y2="571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61925" cy="1047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864" w:type="dxa"/>
            <w:tcBorders>
              <w:top w:val="single" w:sz="4" w:space="0" w:color="auto"/>
              <w:left w:val="single" w:sz="4" w:space="0" w:color="auto"/>
              <w:bottom w:val="single" w:sz="4" w:space="0" w:color="auto"/>
              <w:right w:val="single" w:sz="4" w:space="0" w:color="auto"/>
            </w:tcBorders>
            <w:shd w:val="clear" w:color="auto" w:fill="auto"/>
            <w:noWrap/>
            <w:hideMark/>
          </w:tcPr>
          <w:p w14:paraId="66B6FD21" w14:textId="5E098FA6" w:rsidR="008841B5" w:rsidRPr="00035DB0" w:rsidRDefault="008841B5" w:rsidP="008841B5">
            <w:pPr>
              <w:spacing w:line="240" w:lineRule="auto"/>
              <w:jc w:val="center"/>
              <w:rPr>
                <w:rFonts w:ascii="Times New Roman" w:eastAsia="Times New Roman" w:hAnsi="Times New Roman" w:cs="Times New Roman"/>
                <w:color w:val="000000"/>
                <w:sz w:val="18"/>
                <w:szCs w:val="18"/>
                <w:lang w:val="en-GB"/>
              </w:rPr>
            </w:pPr>
          </w:p>
        </w:tc>
        <w:tc>
          <w:tcPr>
            <w:tcW w:w="1187" w:type="dxa"/>
            <w:tcBorders>
              <w:top w:val="single" w:sz="4" w:space="0" w:color="auto"/>
              <w:left w:val="single" w:sz="4" w:space="0" w:color="auto"/>
              <w:bottom w:val="single" w:sz="4" w:space="0" w:color="auto"/>
              <w:right w:val="single" w:sz="4" w:space="0" w:color="auto"/>
            </w:tcBorders>
            <w:shd w:val="clear" w:color="auto" w:fill="auto"/>
            <w:noWrap/>
            <w:hideMark/>
          </w:tcPr>
          <w:p w14:paraId="1519D918" w14:textId="77777777" w:rsidR="008841B5" w:rsidRPr="00035DB0" w:rsidRDefault="008841B5" w:rsidP="008841B5">
            <w:pPr>
              <w:spacing w:line="240" w:lineRule="auto"/>
              <w:rPr>
                <w:rFonts w:ascii="Times New Roman" w:eastAsia="Times New Roman" w:hAnsi="Times New Roman" w:cs="Times New Roman"/>
                <w:color w:val="000000"/>
                <w:sz w:val="18"/>
                <w:szCs w:val="18"/>
                <w:lang w:val="en-GB"/>
              </w:rPr>
            </w:pPr>
            <w:r w:rsidRPr="00035DB0">
              <w:rPr>
                <w:rFonts w:ascii="Times New Roman" w:eastAsia="Times New Roman" w:hAnsi="Times New Roman" w:cs="Times New Roman"/>
                <w:color w:val="000000"/>
                <w:sz w:val="18"/>
                <w:szCs w:val="18"/>
                <w:lang w:val="en-GB"/>
              </w:rPr>
              <w:t>Macro</w:t>
            </w:r>
          </w:p>
        </w:tc>
      </w:tr>
    </w:tbl>
    <w:p w14:paraId="6725B79C" w14:textId="2BA8C4D3" w:rsidR="008841B5" w:rsidRDefault="008841B5" w:rsidP="008841B5">
      <w:pPr>
        <w:jc w:val="both"/>
        <w:rPr>
          <w:rFonts w:ascii="Times New Roman" w:hAnsi="Times New Roman" w:cs="Times New Roman"/>
          <w:sz w:val="24"/>
          <w:szCs w:val="24"/>
        </w:rPr>
      </w:pPr>
      <w:r w:rsidRPr="005369B5">
        <w:rPr>
          <w:rFonts w:ascii="Times New Roman" w:hAnsi="Times New Roman" w:cs="Times New Roman"/>
          <w:sz w:val="24"/>
          <w:szCs w:val="24"/>
        </w:rPr>
        <w:fldChar w:fldCharType="begin"/>
      </w:r>
      <w:r w:rsidRPr="005369B5">
        <w:rPr>
          <w:rFonts w:ascii="Times New Roman" w:hAnsi="Times New Roman" w:cs="Times New Roman"/>
          <w:sz w:val="24"/>
          <w:szCs w:val="24"/>
        </w:rPr>
        <w:instrText xml:space="preserve"> REF _Ref121981829 \h  \* MERGEFORMAT </w:instrText>
      </w:r>
      <w:r w:rsidRPr="005369B5">
        <w:rPr>
          <w:rFonts w:ascii="Times New Roman" w:hAnsi="Times New Roman" w:cs="Times New Roman"/>
          <w:sz w:val="24"/>
          <w:szCs w:val="24"/>
        </w:rPr>
      </w:r>
      <w:r w:rsidRPr="005369B5">
        <w:rPr>
          <w:rFonts w:ascii="Times New Roman" w:hAnsi="Times New Roman" w:cs="Times New Roman"/>
          <w:sz w:val="24"/>
          <w:szCs w:val="24"/>
        </w:rPr>
        <w:fldChar w:fldCharType="separate"/>
      </w:r>
      <w:r w:rsidRPr="005369B5">
        <w:rPr>
          <w:rFonts w:ascii="Times New Roman" w:hAnsi="Times New Roman" w:cs="Times New Roman"/>
          <w:sz w:val="24"/>
          <w:szCs w:val="24"/>
        </w:rPr>
        <w:t xml:space="preserve">Table </w:t>
      </w:r>
      <w:r w:rsidRPr="005369B5">
        <w:rPr>
          <w:rFonts w:ascii="Times New Roman" w:hAnsi="Times New Roman" w:cs="Times New Roman"/>
          <w:noProof/>
          <w:sz w:val="24"/>
          <w:szCs w:val="24"/>
        </w:rPr>
        <w:t>2</w:t>
      </w:r>
      <w:r w:rsidRPr="005369B5">
        <w:rPr>
          <w:rFonts w:ascii="Times New Roman" w:hAnsi="Times New Roman" w:cs="Times New Roman"/>
          <w:sz w:val="24"/>
          <w:szCs w:val="24"/>
        </w:rPr>
        <w:fldChar w:fldCharType="end"/>
      </w:r>
      <w:r w:rsidRPr="005369B5">
        <w:rPr>
          <w:rFonts w:ascii="Times New Roman" w:hAnsi="Times New Roman" w:cs="Times New Roman"/>
          <w:sz w:val="24"/>
          <w:szCs w:val="24"/>
        </w:rPr>
        <w:t xml:space="preserve"> provides a summary of the developed constitutive models for cortical bone in the past 10 years against a set of relevant material characteristic considerations. Table cells are left unfilled if insufficient detail is provided by the study, or if it explicitly ignores the modelling of a given characteristic. The following subsections (4.1 – 4.5) appraise the progress in modelling of each consideration based on the information presented. </w:t>
      </w:r>
    </w:p>
    <w:p w14:paraId="2E30C7C3" w14:textId="77777777" w:rsidR="008841B5" w:rsidRDefault="008841B5" w:rsidP="008841B5">
      <w:pPr>
        <w:jc w:val="both"/>
        <w:rPr>
          <w:rFonts w:ascii="Times New Roman" w:hAnsi="Times New Roman" w:cs="Times New Roman"/>
          <w:sz w:val="24"/>
          <w:szCs w:val="24"/>
        </w:rPr>
      </w:pPr>
    </w:p>
    <w:p w14:paraId="73A123F0" w14:textId="77777777" w:rsidR="008841B5" w:rsidRDefault="008841B5" w:rsidP="008841B5">
      <w:pPr>
        <w:jc w:val="both"/>
        <w:rPr>
          <w:rFonts w:ascii="Times New Roman" w:hAnsi="Times New Roman" w:cs="Times New Roman"/>
          <w:sz w:val="24"/>
          <w:szCs w:val="24"/>
        </w:rPr>
      </w:pPr>
    </w:p>
    <w:p w14:paraId="1D4A0B52" w14:textId="77777777" w:rsidR="008841B5" w:rsidRPr="008841B5" w:rsidRDefault="008841B5" w:rsidP="008841B5">
      <w:pPr>
        <w:jc w:val="both"/>
        <w:rPr>
          <w:rFonts w:ascii="Times New Roman" w:hAnsi="Times New Roman" w:cs="Times New Roman"/>
          <w:sz w:val="24"/>
          <w:szCs w:val="24"/>
        </w:rPr>
      </w:pPr>
    </w:p>
    <w:p w14:paraId="0C16CE23" w14:textId="7857E8B4" w:rsidR="00035DB0" w:rsidRDefault="00035DB0" w:rsidP="00035DB0">
      <w:pPr>
        <w:pStyle w:val="Caption"/>
        <w:keepNext/>
      </w:pPr>
      <w:r>
        <w:t xml:space="preserve">Table </w:t>
      </w:r>
      <w:r>
        <w:fldChar w:fldCharType="begin"/>
      </w:r>
      <w:r>
        <w:instrText xml:space="preserve"> SEQ Table \* ARABIC </w:instrText>
      </w:r>
      <w:r>
        <w:fldChar w:fldCharType="separate"/>
      </w:r>
      <w:r w:rsidR="00A612A9">
        <w:rPr>
          <w:noProof/>
        </w:rPr>
        <w:t>2</w:t>
      </w:r>
      <w:r>
        <w:fldChar w:fldCharType="end"/>
      </w:r>
      <w:r>
        <w:t xml:space="preserve">. Summary of constitutive models of cortical bones recently published in </w:t>
      </w:r>
      <w:r w:rsidR="008841B5">
        <w:t>literature.</w:t>
      </w:r>
    </w:p>
    <w:p w14:paraId="043AEBF9" w14:textId="77777777" w:rsidR="000B031E" w:rsidRPr="005369B5" w:rsidRDefault="000B031E" w:rsidP="005369B5">
      <w:pPr>
        <w:jc w:val="both"/>
        <w:rPr>
          <w:rFonts w:ascii="Times New Roman" w:hAnsi="Times New Roman" w:cs="Times New Roman"/>
          <w:sz w:val="24"/>
          <w:szCs w:val="24"/>
        </w:rPr>
      </w:pPr>
    </w:p>
    <w:p w14:paraId="637B5B37" w14:textId="77777777" w:rsidR="000B031E" w:rsidRPr="008D3788" w:rsidRDefault="000B031E" w:rsidP="005369B5">
      <w:pPr>
        <w:rPr>
          <w:rFonts w:ascii="Times New Roman" w:hAnsi="Times New Roman" w:cs="Times New Roman"/>
          <w:b/>
          <w:bCs/>
          <w:sz w:val="24"/>
          <w:szCs w:val="24"/>
        </w:rPr>
      </w:pPr>
      <w:bookmarkStart w:id="11" w:name="_Toc122082995"/>
      <w:r w:rsidRPr="008D3788">
        <w:rPr>
          <w:rFonts w:ascii="Times New Roman" w:hAnsi="Times New Roman" w:cs="Times New Roman"/>
          <w:b/>
          <w:bCs/>
          <w:sz w:val="24"/>
          <w:szCs w:val="24"/>
        </w:rPr>
        <w:lastRenderedPageBreak/>
        <w:t>Length scale</w:t>
      </w:r>
      <w:bookmarkEnd w:id="11"/>
    </w:p>
    <w:p w14:paraId="0ECF4A40" w14:textId="49E97710" w:rsidR="008961CE" w:rsidRPr="005369B5" w:rsidRDefault="008961CE" w:rsidP="005369B5">
      <w:pPr>
        <w:jc w:val="both"/>
        <w:rPr>
          <w:rFonts w:ascii="Times New Roman" w:hAnsi="Times New Roman" w:cs="Times New Roman"/>
          <w:sz w:val="24"/>
          <w:szCs w:val="24"/>
        </w:rPr>
      </w:pPr>
      <w:r>
        <w:rPr>
          <w:noProof/>
        </w:rPr>
        <w:pict w14:anchorId="67A397FF">
          <v:shape id="_x0000_s1095" type="#_x0000_t202" style="position:absolute;left:0;text-align:left;margin-left:0;margin-top:267.85pt;width:447.25pt;height:21.55pt;z-index:251731968;mso-position-horizontal-relative:text;mso-position-vertical-relative:text" stroked="f">
            <v:textbox style="mso-fit-shape-to-text:t" inset="0,0,0,0">
              <w:txbxContent>
                <w:p w14:paraId="0A0AF419" w14:textId="0F451453" w:rsidR="008961CE" w:rsidRPr="00E216D1" w:rsidRDefault="008961CE" w:rsidP="008961CE">
                  <w:pPr>
                    <w:pStyle w:val="Caption"/>
                    <w:rPr>
                      <w:rFonts w:ascii="Arial" w:eastAsia="Arial" w:hAnsi="Arial" w:cs="CMU Sans Serif"/>
                      <w:noProof/>
                      <w:lang w:val="en"/>
                    </w:rPr>
                  </w:pPr>
                  <w:r>
                    <w:t xml:space="preserve">Figure </w:t>
                  </w:r>
                  <w:r>
                    <w:fldChar w:fldCharType="begin"/>
                  </w:r>
                  <w:r>
                    <w:instrText xml:space="preserve"> SEQ Figure \* ARABIC </w:instrText>
                  </w:r>
                  <w:r>
                    <w:fldChar w:fldCharType="separate"/>
                  </w:r>
                  <w:r>
                    <w:rPr>
                      <w:noProof/>
                    </w:rPr>
                    <w:t>4</w:t>
                  </w:r>
                  <w:r>
                    <w:fldChar w:fldCharType="end"/>
                  </w:r>
                  <w:r>
                    <w:t xml:space="preserve">. </w:t>
                  </w:r>
                  <w:r w:rsidR="00A612A9">
                    <w:t>Hierarchical</w:t>
                  </w:r>
                  <w:r>
                    <w:t xml:space="preserve"> structure of cortical bone [45]</w:t>
                  </w:r>
                </w:p>
              </w:txbxContent>
            </v:textbox>
            <w10:wrap type="topAndBottom"/>
          </v:shape>
        </w:pict>
      </w:r>
      <w:r w:rsidRPr="00FB3FBB">
        <w:rPr>
          <w:rFonts w:cs="CMU Sans Serif"/>
          <w:noProof/>
        </w:rPr>
        <w:drawing>
          <wp:anchor distT="0" distB="0" distL="114300" distR="114300" simplePos="0" relativeHeight="252428800" behindDoc="0" locked="0" layoutInCell="1" allowOverlap="1" wp14:anchorId="230C80E8" wp14:editId="1E379A50">
            <wp:simplePos x="0" y="0"/>
            <wp:positionH relativeFrom="column">
              <wp:posOffset>0</wp:posOffset>
            </wp:positionH>
            <wp:positionV relativeFrom="paragraph">
              <wp:posOffset>1246505</wp:posOffset>
            </wp:positionV>
            <wp:extent cx="5680075" cy="2209800"/>
            <wp:effectExtent l="0" t="0" r="0" b="0"/>
            <wp:wrapTopAndBottom/>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680075" cy="2209800"/>
                    </a:xfrm>
                    <a:prstGeom prst="rect">
                      <a:avLst/>
                    </a:prstGeom>
                  </pic:spPr>
                </pic:pic>
              </a:graphicData>
            </a:graphic>
            <wp14:sizeRelH relativeFrom="page">
              <wp14:pctWidth>0</wp14:pctWidth>
            </wp14:sizeRelH>
            <wp14:sizeRelV relativeFrom="page">
              <wp14:pctHeight>0</wp14:pctHeight>
            </wp14:sizeRelV>
          </wp:anchor>
        </w:drawing>
      </w:r>
      <w:r w:rsidR="000B031E" w:rsidRPr="005369B5">
        <w:rPr>
          <w:rFonts w:ascii="Times New Roman" w:hAnsi="Times New Roman" w:cs="Times New Roman"/>
          <w:sz w:val="24"/>
          <w:szCs w:val="24"/>
        </w:rPr>
        <w:t xml:space="preserve">Prior to 2007, constitutive models of cortical bone developed in literature were predominantly phenomenological in nature with the aim of simulating macroscopic experimental observation without incorporating mechanistic understanding of features at smaller length scales. However, over the last 15 years, progress has been </w:t>
      </w:r>
      <w:proofErr w:type="gramStart"/>
      <w:r w:rsidR="00A612A9" w:rsidRPr="005369B5">
        <w:rPr>
          <w:rFonts w:ascii="Times New Roman" w:hAnsi="Times New Roman" w:cs="Times New Roman"/>
          <w:sz w:val="24"/>
          <w:szCs w:val="24"/>
        </w:rPr>
        <w:t>made</w:t>
      </w:r>
      <w:r w:rsidR="000B031E" w:rsidRPr="005369B5">
        <w:rPr>
          <w:rFonts w:ascii="Times New Roman" w:hAnsi="Times New Roman" w:cs="Times New Roman"/>
          <w:sz w:val="24"/>
          <w:szCs w:val="24"/>
        </w:rPr>
        <w:t xml:space="preserve"> </w:t>
      </w:r>
      <w:r w:rsidR="00A612A9">
        <w:rPr>
          <w:rFonts w:ascii="Times New Roman" w:hAnsi="Times New Roman" w:cs="Times New Roman"/>
          <w:sz w:val="24"/>
          <w:szCs w:val="24"/>
        </w:rPr>
        <w:t>in</w:t>
      </w:r>
      <w:proofErr w:type="gramEnd"/>
      <w:r w:rsidR="00A612A9">
        <w:rPr>
          <w:rFonts w:ascii="Times New Roman" w:hAnsi="Times New Roman" w:cs="Times New Roman"/>
          <w:sz w:val="24"/>
          <w:szCs w:val="24"/>
        </w:rPr>
        <w:t xml:space="preserve"> </w:t>
      </w:r>
      <w:r w:rsidR="000B031E" w:rsidRPr="005369B5">
        <w:rPr>
          <w:rFonts w:ascii="Times New Roman" w:hAnsi="Times New Roman" w:cs="Times New Roman"/>
          <w:sz w:val="24"/>
          <w:szCs w:val="24"/>
        </w:rPr>
        <w:t xml:space="preserve">integrating nano structural [26] and microstructural models [30] at the tissue-scale, thereby providing a more holistic and accurate prediction of strength, damage, and fracture. </w:t>
      </w:r>
    </w:p>
    <w:p w14:paraId="18299D63" w14:textId="19A9E3F2"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Much variation is observed amongst </w:t>
      </w:r>
      <w:r w:rsidR="00A612A9" w:rsidRPr="005369B5">
        <w:rPr>
          <w:rFonts w:ascii="Times New Roman" w:hAnsi="Times New Roman" w:cs="Times New Roman"/>
          <w:sz w:val="24"/>
          <w:szCs w:val="24"/>
        </w:rPr>
        <w:t>studies</w:t>
      </w:r>
      <w:r w:rsidRPr="005369B5">
        <w:rPr>
          <w:rFonts w:ascii="Times New Roman" w:hAnsi="Times New Roman" w:cs="Times New Roman"/>
          <w:sz w:val="24"/>
          <w:szCs w:val="24"/>
        </w:rPr>
        <w:t xml:space="preserve"> defining the bounds of each length scale and the biological bone constituents falling within each scale. For consistency, this section uses the definition of scales proposed by Hamed et al. [45] to classify the bone models considered in </w:t>
      </w:r>
      <w:r w:rsidRPr="005369B5">
        <w:rPr>
          <w:rFonts w:ascii="Times New Roman" w:hAnsi="Times New Roman" w:cs="Times New Roman"/>
          <w:sz w:val="24"/>
          <w:szCs w:val="24"/>
        </w:rPr>
        <w:fldChar w:fldCharType="begin"/>
      </w:r>
      <w:r w:rsidRPr="005369B5">
        <w:rPr>
          <w:rFonts w:ascii="Times New Roman" w:hAnsi="Times New Roman" w:cs="Times New Roman"/>
          <w:sz w:val="24"/>
          <w:szCs w:val="24"/>
        </w:rPr>
        <w:instrText xml:space="preserve"> REF _Ref121981829 \h  \* MERGEFORMAT </w:instrText>
      </w:r>
      <w:r w:rsidRPr="005369B5">
        <w:rPr>
          <w:rFonts w:ascii="Times New Roman" w:hAnsi="Times New Roman" w:cs="Times New Roman"/>
          <w:sz w:val="24"/>
          <w:szCs w:val="24"/>
        </w:rPr>
      </w:r>
      <w:r w:rsidRPr="005369B5">
        <w:rPr>
          <w:rFonts w:ascii="Times New Roman" w:hAnsi="Times New Roman" w:cs="Times New Roman"/>
          <w:sz w:val="24"/>
          <w:szCs w:val="24"/>
        </w:rPr>
        <w:fldChar w:fldCharType="separate"/>
      </w:r>
      <w:r w:rsidRPr="005369B5">
        <w:rPr>
          <w:rFonts w:ascii="Times New Roman" w:hAnsi="Times New Roman" w:cs="Times New Roman"/>
          <w:sz w:val="24"/>
          <w:szCs w:val="24"/>
        </w:rPr>
        <w:t xml:space="preserve">Table </w:t>
      </w:r>
      <w:r w:rsidRPr="005369B5">
        <w:rPr>
          <w:rFonts w:ascii="Times New Roman" w:hAnsi="Times New Roman" w:cs="Times New Roman"/>
          <w:noProof/>
          <w:sz w:val="24"/>
          <w:szCs w:val="24"/>
        </w:rPr>
        <w:t>2</w:t>
      </w:r>
      <w:r w:rsidRPr="005369B5">
        <w:rPr>
          <w:rFonts w:ascii="Times New Roman" w:hAnsi="Times New Roman" w:cs="Times New Roman"/>
          <w:sz w:val="24"/>
          <w:szCs w:val="24"/>
        </w:rPr>
        <w:fldChar w:fldCharType="end"/>
      </w:r>
      <w:r w:rsidRPr="005369B5">
        <w:rPr>
          <w:rFonts w:ascii="Times New Roman" w:hAnsi="Times New Roman" w:cs="Times New Roman"/>
          <w:sz w:val="24"/>
          <w:szCs w:val="24"/>
        </w:rPr>
        <w:t xml:space="preserve">, even if the authors of these studies use different terminology to describe a given structural feature. </w:t>
      </w:r>
      <w:r w:rsidRPr="005369B5">
        <w:rPr>
          <w:rFonts w:ascii="Times New Roman" w:hAnsi="Times New Roman" w:cs="Times New Roman"/>
          <w:sz w:val="24"/>
          <w:szCs w:val="24"/>
        </w:rPr>
        <w:fldChar w:fldCharType="begin"/>
      </w:r>
      <w:r w:rsidRPr="005369B5">
        <w:rPr>
          <w:rFonts w:ascii="Times New Roman" w:hAnsi="Times New Roman" w:cs="Times New Roman"/>
          <w:sz w:val="24"/>
          <w:szCs w:val="24"/>
        </w:rPr>
        <w:instrText xml:space="preserve"> REF _Ref122030463 \h  \* MERGEFORMAT </w:instrText>
      </w:r>
      <w:r w:rsidRPr="005369B5">
        <w:rPr>
          <w:rFonts w:ascii="Times New Roman" w:hAnsi="Times New Roman" w:cs="Times New Roman"/>
          <w:sz w:val="24"/>
          <w:szCs w:val="24"/>
        </w:rPr>
      </w:r>
      <w:r w:rsidRPr="005369B5">
        <w:rPr>
          <w:rFonts w:ascii="Times New Roman" w:hAnsi="Times New Roman" w:cs="Times New Roman"/>
          <w:sz w:val="24"/>
          <w:szCs w:val="24"/>
        </w:rPr>
        <w:fldChar w:fldCharType="separate"/>
      </w:r>
      <w:r w:rsidRPr="005369B5">
        <w:rPr>
          <w:rFonts w:ascii="Times New Roman" w:hAnsi="Times New Roman" w:cs="Times New Roman"/>
          <w:sz w:val="24"/>
          <w:szCs w:val="24"/>
        </w:rPr>
        <w:t xml:space="preserve">Figure </w:t>
      </w:r>
      <w:r w:rsidRPr="005369B5">
        <w:rPr>
          <w:rFonts w:ascii="Times New Roman" w:hAnsi="Times New Roman" w:cs="Times New Roman"/>
          <w:noProof/>
          <w:sz w:val="24"/>
          <w:szCs w:val="24"/>
        </w:rPr>
        <w:t>4</w:t>
      </w:r>
      <w:r w:rsidRPr="005369B5">
        <w:rPr>
          <w:rFonts w:ascii="Times New Roman" w:hAnsi="Times New Roman" w:cs="Times New Roman"/>
          <w:sz w:val="24"/>
          <w:szCs w:val="24"/>
        </w:rPr>
        <w:fldChar w:fldCharType="end"/>
      </w:r>
      <w:r w:rsidRPr="005369B5">
        <w:rPr>
          <w:rFonts w:ascii="Times New Roman" w:hAnsi="Times New Roman" w:cs="Times New Roman"/>
          <w:sz w:val="24"/>
          <w:szCs w:val="24"/>
        </w:rPr>
        <w:t xml:space="preserve"> illustrates the length scale definitions along with the relevant features of interest.</w:t>
      </w:r>
    </w:p>
    <w:p w14:paraId="0F8795D1" w14:textId="77777777" w:rsidR="000B031E" w:rsidRPr="005369B5" w:rsidRDefault="000B031E" w:rsidP="005369B5">
      <w:pPr>
        <w:jc w:val="both"/>
        <w:rPr>
          <w:rFonts w:ascii="Times New Roman" w:hAnsi="Times New Roman" w:cs="Times New Roman"/>
          <w:sz w:val="24"/>
          <w:szCs w:val="24"/>
        </w:rPr>
      </w:pPr>
    </w:p>
    <w:tbl>
      <w:tblPr>
        <w:tblStyle w:val="TableGrid"/>
        <w:tblpPr w:leftFromText="180" w:rightFromText="180" w:vertAnchor="text" w:horzAnchor="margin" w:tblpY="-157"/>
        <w:tblW w:w="0" w:type="auto"/>
        <w:tblLook w:val="04A0" w:firstRow="1" w:lastRow="0" w:firstColumn="1" w:lastColumn="0" w:noHBand="0" w:noVBand="1"/>
      </w:tblPr>
      <w:tblGrid>
        <w:gridCol w:w="1692"/>
        <w:gridCol w:w="3700"/>
        <w:gridCol w:w="3672"/>
      </w:tblGrid>
      <w:tr w:rsidR="000B031E" w:rsidRPr="005369B5" w14:paraId="22D42FA2" w14:textId="77777777" w:rsidTr="008961CE">
        <w:trPr>
          <w:cantSplit/>
          <w:trHeight w:val="302"/>
        </w:trPr>
        <w:tc>
          <w:tcPr>
            <w:tcW w:w="1692" w:type="dxa"/>
          </w:tcPr>
          <w:p w14:paraId="5F8B24E7" w14:textId="77777777" w:rsidR="000B031E" w:rsidRPr="008961CE" w:rsidRDefault="000B031E" w:rsidP="008961CE">
            <w:pPr>
              <w:spacing w:line="276" w:lineRule="auto"/>
              <w:jc w:val="both"/>
              <w:rPr>
                <w:rFonts w:ascii="Times New Roman" w:hAnsi="Times New Roman" w:cs="Times New Roman"/>
                <w:b/>
                <w:bCs/>
                <w:sz w:val="20"/>
                <w:szCs w:val="20"/>
                <w:lang w:eastAsia="en-GB"/>
              </w:rPr>
            </w:pPr>
            <w:r w:rsidRPr="008961CE">
              <w:rPr>
                <w:rFonts w:ascii="Times New Roman" w:hAnsi="Times New Roman" w:cs="Times New Roman"/>
                <w:b/>
                <w:bCs/>
                <w:sz w:val="20"/>
                <w:szCs w:val="20"/>
                <w:lang w:eastAsia="en-GB"/>
              </w:rPr>
              <w:t>Length-scale</w:t>
            </w:r>
          </w:p>
        </w:tc>
        <w:tc>
          <w:tcPr>
            <w:tcW w:w="3700" w:type="dxa"/>
          </w:tcPr>
          <w:p w14:paraId="781391AC" w14:textId="77777777" w:rsidR="000B031E" w:rsidRPr="008961CE" w:rsidRDefault="000B031E" w:rsidP="008961CE">
            <w:pPr>
              <w:spacing w:line="276" w:lineRule="auto"/>
              <w:jc w:val="both"/>
              <w:rPr>
                <w:rFonts w:ascii="Times New Roman" w:hAnsi="Times New Roman" w:cs="Times New Roman"/>
                <w:b/>
                <w:bCs/>
                <w:sz w:val="20"/>
                <w:szCs w:val="20"/>
                <w:lang w:eastAsia="en-GB"/>
              </w:rPr>
            </w:pPr>
            <w:r w:rsidRPr="008961CE">
              <w:rPr>
                <w:rFonts w:ascii="Times New Roman" w:hAnsi="Times New Roman" w:cs="Times New Roman"/>
                <w:b/>
                <w:bCs/>
                <w:sz w:val="20"/>
                <w:szCs w:val="20"/>
                <w:lang w:eastAsia="en-GB"/>
              </w:rPr>
              <w:t>Biological composition</w:t>
            </w:r>
          </w:p>
        </w:tc>
        <w:tc>
          <w:tcPr>
            <w:tcW w:w="3672" w:type="dxa"/>
          </w:tcPr>
          <w:p w14:paraId="21C878EF" w14:textId="77777777" w:rsidR="000B031E" w:rsidRPr="008961CE" w:rsidRDefault="000B031E" w:rsidP="008961CE">
            <w:pPr>
              <w:spacing w:line="276" w:lineRule="auto"/>
              <w:jc w:val="both"/>
              <w:rPr>
                <w:rFonts w:ascii="Times New Roman" w:hAnsi="Times New Roman" w:cs="Times New Roman"/>
                <w:b/>
                <w:bCs/>
                <w:sz w:val="20"/>
                <w:szCs w:val="20"/>
                <w:lang w:eastAsia="en-GB"/>
              </w:rPr>
            </w:pPr>
            <w:r w:rsidRPr="008961CE">
              <w:rPr>
                <w:rFonts w:ascii="Times New Roman" w:hAnsi="Times New Roman" w:cs="Times New Roman"/>
                <w:b/>
                <w:bCs/>
                <w:sz w:val="20"/>
                <w:szCs w:val="20"/>
                <w:lang w:eastAsia="en-GB"/>
              </w:rPr>
              <w:t>Relevant Study</w:t>
            </w:r>
          </w:p>
        </w:tc>
      </w:tr>
      <w:tr w:rsidR="000B031E" w:rsidRPr="005369B5" w14:paraId="20E8223B" w14:textId="77777777" w:rsidTr="008961CE">
        <w:trPr>
          <w:cantSplit/>
          <w:trHeight w:val="613"/>
        </w:trPr>
        <w:tc>
          <w:tcPr>
            <w:tcW w:w="1692" w:type="dxa"/>
          </w:tcPr>
          <w:p w14:paraId="41342647" w14:textId="77777777" w:rsidR="000B031E" w:rsidRPr="008961CE" w:rsidRDefault="000B031E" w:rsidP="008961CE">
            <w:pPr>
              <w:spacing w:line="276" w:lineRule="auto"/>
              <w:jc w:val="both"/>
              <w:rPr>
                <w:rFonts w:ascii="Times New Roman" w:hAnsi="Times New Roman" w:cs="Times New Roman"/>
                <w:sz w:val="20"/>
                <w:szCs w:val="20"/>
                <w:lang w:eastAsia="en-GB"/>
              </w:rPr>
            </w:pPr>
            <w:r w:rsidRPr="008961CE">
              <w:rPr>
                <w:rFonts w:ascii="Times New Roman" w:hAnsi="Times New Roman" w:cs="Times New Roman"/>
                <w:sz w:val="20"/>
                <w:szCs w:val="20"/>
                <w:lang w:eastAsia="en-GB"/>
              </w:rPr>
              <w:t>Nanoscale</w:t>
            </w:r>
          </w:p>
        </w:tc>
        <w:tc>
          <w:tcPr>
            <w:tcW w:w="3700" w:type="dxa"/>
          </w:tcPr>
          <w:p w14:paraId="08AD5620" w14:textId="77777777" w:rsidR="000B031E" w:rsidRPr="008961CE" w:rsidRDefault="000B031E" w:rsidP="008961CE">
            <w:pPr>
              <w:spacing w:line="276" w:lineRule="auto"/>
              <w:jc w:val="both"/>
              <w:rPr>
                <w:rFonts w:ascii="Times New Roman" w:hAnsi="Times New Roman" w:cs="Times New Roman"/>
                <w:sz w:val="20"/>
                <w:szCs w:val="20"/>
                <w:lang w:eastAsia="en-GB"/>
              </w:rPr>
            </w:pPr>
            <w:r w:rsidRPr="008961CE">
              <w:rPr>
                <w:rFonts w:ascii="Times New Roman" w:hAnsi="Times New Roman" w:cs="Times New Roman"/>
                <w:sz w:val="20"/>
                <w:szCs w:val="20"/>
                <w:lang w:eastAsia="en-GB"/>
              </w:rPr>
              <w:t>Collagen fibrils, lacunar water and protein, hydroxyapatite nanocrystals</w:t>
            </w:r>
          </w:p>
        </w:tc>
        <w:tc>
          <w:tcPr>
            <w:tcW w:w="3672" w:type="dxa"/>
          </w:tcPr>
          <w:p w14:paraId="7CCDC56A" w14:textId="77777777" w:rsidR="000B031E" w:rsidRPr="008961CE" w:rsidRDefault="000B031E" w:rsidP="008961CE">
            <w:pPr>
              <w:pStyle w:val="ListParagraph"/>
              <w:numPr>
                <w:ilvl w:val="0"/>
                <w:numId w:val="18"/>
              </w:numPr>
              <w:spacing w:after="0" w:line="276" w:lineRule="auto"/>
              <w:jc w:val="both"/>
              <w:rPr>
                <w:rFonts w:ascii="Times New Roman" w:hAnsi="Times New Roman" w:cs="Times New Roman"/>
                <w:sz w:val="20"/>
                <w:szCs w:val="20"/>
                <w:lang w:eastAsia="en-GB"/>
              </w:rPr>
            </w:pPr>
            <w:proofErr w:type="spellStart"/>
            <w:r w:rsidRPr="008961CE">
              <w:rPr>
                <w:rFonts w:ascii="Times New Roman" w:hAnsi="Times New Roman" w:cs="Times New Roman"/>
                <w:sz w:val="20"/>
                <w:szCs w:val="20"/>
                <w:lang w:eastAsia="en-GB"/>
              </w:rPr>
              <w:t>Barkaoui</w:t>
            </w:r>
            <w:proofErr w:type="spellEnd"/>
            <w:r w:rsidRPr="008961CE">
              <w:rPr>
                <w:rFonts w:ascii="Times New Roman" w:hAnsi="Times New Roman" w:cs="Times New Roman"/>
                <w:sz w:val="20"/>
                <w:szCs w:val="20"/>
                <w:lang w:eastAsia="en-GB"/>
              </w:rPr>
              <w:t xml:space="preserve"> et al. [8]</w:t>
            </w:r>
          </w:p>
          <w:p w14:paraId="7D1B71C2" w14:textId="77777777" w:rsidR="000B031E" w:rsidRPr="008961CE" w:rsidRDefault="000B031E" w:rsidP="008961CE">
            <w:pPr>
              <w:pStyle w:val="ListParagraph"/>
              <w:numPr>
                <w:ilvl w:val="0"/>
                <w:numId w:val="18"/>
              </w:numPr>
              <w:spacing w:after="0" w:line="276" w:lineRule="auto"/>
              <w:jc w:val="both"/>
              <w:rPr>
                <w:rFonts w:ascii="Times New Roman" w:hAnsi="Times New Roman" w:cs="Times New Roman"/>
                <w:sz w:val="20"/>
                <w:szCs w:val="20"/>
                <w:lang w:eastAsia="en-GB"/>
              </w:rPr>
            </w:pPr>
            <w:r w:rsidRPr="008961CE">
              <w:rPr>
                <w:rFonts w:ascii="Times New Roman" w:hAnsi="Times New Roman" w:cs="Times New Roman"/>
                <w:sz w:val="20"/>
                <w:szCs w:val="20"/>
                <w:lang w:eastAsia="en-GB"/>
              </w:rPr>
              <w:t>Shah et al. [36]</w:t>
            </w:r>
          </w:p>
        </w:tc>
      </w:tr>
      <w:tr w:rsidR="000B031E" w:rsidRPr="005369B5" w14:paraId="63FE1880" w14:textId="77777777" w:rsidTr="008961CE">
        <w:trPr>
          <w:cantSplit/>
          <w:trHeight w:val="302"/>
        </w:trPr>
        <w:tc>
          <w:tcPr>
            <w:tcW w:w="1692" w:type="dxa"/>
          </w:tcPr>
          <w:p w14:paraId="0475E391" w14:textId="77777777" w:rsidR="000B031E" w:rsidRPr="008961CE" w:rsidRDefault="000B031E" w:rsidP="008961CE">
            <w:pPr>
              <w:spacing w:line="276" w:lineRule="auto"/>
              <w:jc w:val="both"/>
              <w:rPr>
                <w:rFonts w:ascii="Times New Roman" w:hAnsi="Times New Roman" w:cs="Times New Roman"/>
                <w:sz w:val="20"/>
                <w:szCs w:val="20"/>
                <w:lang w:eastAsia="en-GB"/>
              </w:rPr>
            </w:pPr>
            <w:r w:rsidRPr="008961CE">
              <w:rPr>
                <w:rFonts w:ascii="Times New Roman" w:hAnsi="Times New Roman" w:cs="Times New Roman"/>
                <w:sz w:val="20"/>
                <w:szCs w:val="20"/>
                <w:lang w:eastAsia="en-GB"/>
              </w:rPr>
              <w:t>Sub-microscale</w:t>
            </w:r>
          </w:p>
        </w:tc>
        <w:tc>
          <w:tcPr>
            <w:tcW w:w="3700" w:type="dxa"/>
          </w:tcPr>
          <w:p w14:paraId="39A7D2A5" w14:textId="77777777" w:rsidR="000B031E" w:rsidRPr="008961CE" w:rsidRDefault="000B031E" w:rsidP="008961CE">
            <w:pPr>
              <w:spacing w:line="276" w:lineRule="auto"/>
              <w:jc w:val="both"/>
              <w:rPr>
                <w:rFonts w:ascii="Times New Roman" w:hAnsi="Times New Roman" w:cs="Times New Roman"/>
                <w:sz w:val="20"/>
                <w:szCs w:val="20"/>
                <w:lang w:eastAsia="en-GB"/>
              </w:rPr>
            </w:pPr>
            <w:r w:rsidRPr="008961CE">
              <w:rPr>
                <w:rFonts w:ascii="Times New Roman" w:hAnsi="Times New Roman" w:cs="Times New Roman"/>
                <w:sz w:val="20"/>
                <w:szCs w:val="20"/>
                <w:lang w:eastAsia="en-GB"/>
              </w:rPr>
              <w:t>Lamellar layer, lacunar cavity</w:t>
            </w:r>
          </w:p>
        </w:tc>
        <w:tc>
          <w:tcPr>
            <w:tcW w:w="3672" w:type="dxa"/>
          </w:tcPr>
          <w:p w14:paraId="7648DAC8" w14:textId="77777777" w:rsidR="000B031E" w:rsidRPr="008961CE" w:rsidRDefault="000B031E" w:rsidP="008961CE">
            <w:pPr>
              <w:pStyle w:val="ListParagraph"/>
              <w:numPr>
                <w:ilvl w:val="0"/>
                <w:numId w:val="20"/>
              </w:numPr>
              <w:spacing w:after="0" w:line="276" w:lineRule="auto"/>
              <w:jc w:val="both"/>
              <w:rPr>
                <w:rFonts w:ascii="Times New Roman" w:hAnsi="Times New Roman" w:cs="Times New Roman"/>
                <w:sz w:val="20"/>
                <w:szCs w:val="20"/>
                <w:lang w:eastAsia="en-GB"/>
              </w:rPr>
            </w:pPr>
            <w:r w:rsidRPr="008961CE">
              <w:rPr>
                <w:rFonts w:ascii="Times New Roman" w:hAnsi="Times New Roman" w:cs="Times New Roman"/>
                <w:sz w:val="20"/>
                <w:szCs w:val="20"/>
                <w:lang w:eastAsia="en-GB"/>
              </w:rPr>
              <w:t>Ascenzi et al. [24]</w:t>
            </w:r>
          </w:p>
        </w:tc>
      </w:tr>
      <w:tr w:rsidR="000B031E" w:rsidRPr="005369B5" w14:paraId="580ED956" w14:textId="77777777" w:rsidTr="008961CE">
        <w:trPr>
          <w:cantSplit/>
          <w:trHeight w:val="613"/>
        </w:trPr>
        <w:tc>
          <w:tcPr>
            <w:tcW w:w="1692" w:type="dxa"/>
          </w:tcPr>
          <w:p w14:paraId="25FECB6E" w14:textId="77777777" w:rsidR="000B031E" w:rsidRPr="008961CE" w:rsidRDefault="000B031E" w:rsidP="008961CE">
            <w:pPr>
              <w:spacing w:line="276" w:lineRule="auto"/>
              <w:jc w:val="both"/>
              <w:rPr>
                <w:rFonts w:ascii="Times New Roman" w:hAnsi="Times New Roman" w:cs="Times New Roman"/>
                <w:sz w:val="20"/>
                <w:szCs w:val="20"/>
                <w:lang w:eastAsia="en-GB"/>
              </w:rPr>
            </w:pPr>
            <w:r w:rsidRPr="008961CE">
              <w:rPr>
                <w:rFonts w:ascii="Times New Roman" w:hAnsi="Times New Roman" w:cs="Times New Roman"/>
                <w:sz w:val="20"/>
                <w:szCs w:val="20"/>
                <w:lang w:eastAsia="en-GB"/>
              </w:rPr>
              <w:t>Microscale</w:t>
            </w:r>
          </w:p>
        </w:tc>
        <w:tc>
          <w:tcPr>
            <w:tcW w:w="3700" w:type="dxa"/>
          </w:tcPr>
          <w:p w14:paraId="3ACF0823" w14:textId="77777777" w:rsidR="000B031E" w:rsidRPr="008961CE" w:rsidRDefault="000B031E" w:rsidP="008961CE">
            <w:pPr>
              <w:spacing w:line="276" w:lineRule="auto"/>
              <w:jc w:val="both"/>
              <w:rPr>
                <w:rFonts w:ascii="Times New Roman" w:hAnsi="Times New Roman" w:cs="Times New Roman"/>
                <w:sz w:val="20"/>
                <w:szCs w:val="20"/>
                <w:lang w:eastAsia="en-GB"/>
              </w:rPr>
            </w:pPr>
            <w:r w:rsidRPr="008961CE">
              <w:rPr>
                <w:rFonts w:ascii="Times New Roman" w:hAnsi="Times New Roman" w:cs="Times New Roman"/>
                <w:sz w:val="20"/>
                <w:szCs w:val="20"/>
                <w:lang w:eastAsia="en-GB"/>
              </w:rPr>
              <w:t>Haversian canal, embedded osteocytes, canaliculi, osteon</w:t>
            </w:r>
          </w:p>
        </w:tc>
        <w:tc>
          <w:tcPr>
            <w:tcW w:w="3672" w:type="dxa"/>
          </w:tcPr>
          <w:p w14:paraId="33780400" w14:textId="77777777" w:rsidR="000B031E" w:rsidRPr="008961CE" w:rsidRDefault="000B031E" w:rsidP="008961CE">
            <w:pPr>
              <w:pStyle w:val="ListParagraph"/>
              <w:numPr>
                <w:ilvl w:val="0"/>
                <w:numId w:val="19"/>
              </w:numPr>
              <w:spacing w:after="0" w:line="276" w:lineRule="auto"/>
              <w:jc w:val="both"/>
              <w:rPr>
                <w:rFonts w:ascii="Times New Roman" w:hAnsi="Times New Roman" w:cs="Times New Roman"/>
                <w:sz w:val="20"/>
                <w:szCs w:val="20"/>
                <w:lang w:eastAsia="en-GB"/>
              </w:rPr>
            </w:pPr>
            <w:r w:rsidRPr="008961CE">
              <w:rPr>
                <w:rFonts w:ascii="Times New Roman" w:hAnsi="Times New Roman" w:cs="Times New Roman"/>
                <w:sz w:val="20"/>
                <w:szCs w:val="20"/>
                <w:lang w:eastAsia="en-GB"/>
              </w:rPr>
              <w:t>Soni et al. [46]</w:t>
            </w:r>
          </w:p>
          <w:p w14:paraId="1E3E5350" w14:textId="77777777" w:rsidR="000B031E" w:rsidRPr="008961CE" w:rsidRDefault="000B031E" w:rsidP="008961CE">
            <w:pPr>
              <w:pStyle w:val="ListParagraph"/>
              <w:numPr>
                <w:ilvl w:val="0"/>
                <w:numId w:val="19"/>
              </w:numPr>
              <w:spacing w:after="0" w:line="276" w:lineRule="auto"/>
              <w:jc w:val="both"/>
              <w:rPr>
                <w:rFonts w:ascii="Times New Roman" w:hAnsi="Times New Roman" w:cs="Times New Roman"/>
                <w:sz w:val="20"/>
                <w:szCs w:val="20"/>
                <w:lang w:eastAsia="en-GB"/>
              </w:rPr>
            </w:pPr>
            <w:proofErr w:type="spellStart"/>
            <w:r w:rsidRPr="008961CE">
              <w:rPr>
                <w:rFonts w:ascii="Times New Roman" w:hAnsi="Times New Roman" w:cs="Times New Roman"/>
                <w:sz w:val="20"/>
                <w:szCs w:val="20"/>
                <w:lang w:eastAsia="en-GB"/>
              </w:rPr>
              <w:t>Idkaidek</w:t>
            </w:r>
            <w:proofErr w:type="spellEnd"/>
            <w:r w:rsidRPr="008961CE">
              <w:rPr>
                <w:rFonts w:ascii="Times New Roman" w:hAnsi="Times New Roman" w:cs="Times New Roman"/>
                <w:sz w:val="20"/>
                <w:szCs w:val="20"/>
                <w:lang w:eastAsia="en-GB"/>
              </w:rPr>
              <w:t xml:space="preserve"> et al. [37]</w:t>
            </w:r>
          </w:p>
        </w:tc>
      </w:tr>
      <w:tr w:rsidR="000B031E" w:rsidRPr="005369B5" w14:paraId="1CC51D85" w14:textId="77777777" w:rsidTr="008961CE">
        <w:trPr>
          <w:cantSplit/>
          <w:trHeight w:val="302"/>
        </w:trPr>
        <w:tc>
          <w:tcPr>
            <w:tcW w:w="1692" w:type="dxa"/>
          </w:tcPr>
          <w:p w14:paraId="4CB497B3" w14:textId="77777777" w:rsidR="000B031E" w:rsidRPr="008961CE" w:rsidRDefault="000B031E" w:rsidP="008961CE">
            <w:pPr>
              <w:spacing w:line="276" w:lineRule="auto"/>
              <w:jc w:val="both"/>
              <w:rPr>
                <w:rFonts w:ascii="Times New Roman" w:hAnsi="Times New Roman" w:cs="Times New Roman"/>
                <w:sz w:val="20"/>
                <w:szCs w:val="20"/>
                <w:lang w:eastAsia="en-GB"/>
              </w:rPr>
            </w:pPr>
            <w:r w:rsidRPr="008961CE">
              <w:rPr>
                <w:rFonts w:ascii="Times New Roman" w:hAnsi="Times New Roman" w:cs="Times New Roman"/>
                <w:sz w:val="20"/>
                <w:szCs w:val="20"/>
                <w:lang w:eastAsia="en-GB"/>
              </w:rPr>
              <w:t>Mesoscale</w:t>
            </w:r>
          </w:p>
        </w:tc>
        <w:tc>
          <w:tcPr>
            <w:tcW w:w="3700" w:type="dxa"/>
          </w:tcPr>
          <w:p w14:paraId="472C979A" w14:textId="77777777" w:rsidR="000B031E" w:rsidRPr="008961CE" w:rsidRDefault="000B031E" w:rsidP="008961CE">
            <w:pPr>
              <w:spacing w:line="276" w:lineRule="auto"/>
              <w:jc w:val="both"/>
              <w:rPr>
                <w:rFonts w:ascii="Times New Roman" w:hAnsi="Times New Roman" w:cs="Times New Roman"/>
                <w:sz w:val="20"/>
                <w:szCs w:val="20"/>
                <w:lang w:eastAsia="en-GB"/>
              </w:rPr>
            </w:pPr>
            <w:r w:rsidRPr="008961CE">
              <w:rPr>
                <w:rFonts w:ascii="Times New Roman" w:hAnsi="Times New Roman" w:cs="Times New Roman"/>
                <w:sz w:val="20"/>
                <w:szCs w:val="20"/>
                <w:lang w:eastAsia="en-GB"/>
              </w:rPr>
              <w:t>Cortical bone tissue</w:t>
            </w:r>
          </w:p>
        </w:tc>
        <w:tc>
          <w:tcPr>
            <w:tcW w:w="3672" w:type="dxa"/>
          </w:tcPr>
          <w:p w14:paraId="14C0C62A" w14:textId="77777777" w:rsidR="000B031E" w:rsidRPr="008961CE" w:rsidRDefault="000B031E" w:rsidP="008961CE">
            <w:pPr>
              <w:pStyle w:val="ListParagraph"/>
              <w:numPr>
                <w:ilvl w:val="0"/>
                <w:numId w:val="19"/>
              </w:numPr>
              <w:spacing w:after="0" w:line="276" w:lineRule="auto"/>
              <w:jc w:val="both"/>
              <w:rPr>
                <w:rFonts w:ascii="Times New Roman" w:hAnsi="Times New Roman" w:cs="Times New Roman"/>
                <w:sz w:val="20"/>
                <w:szCs w:val="20"/>
                <w:lang w:eastAsia="en-GB"/>
              </w:rPr>
            </w:pPr>
            <w:r w:rsidRPr="008961CE">
              <w:rPr>
                <w:rFonts w:ascii="Times New Roman" w:hAnsi="Times New Roman" w:cs="Times New Roman"/>
                <w:sz w:val="20"/>
                <w:szCs w:val="20"/>
                <w:lang w:eastAsia="en-GB"/>
              </w:rPr>
              <w:t>Gustafsson et al. [42]</w:t>
            </w:r>
          </w:p>
          <w:p w14:paraId="427EFD38" w14:textId="77777777" w:rsidR="000B031E" w:rsidRPr="008961CE" w:rsidRDefault="000B031E" w:rsidP="008961CE">
            <w:pPr>
              <w:pStyle w:val="ListParagraph"/>
              <w:numPr>
                <w:ilvl w:val="0"/>
                <w:numId w:val="19"/>
              </w:numPr>
              <w:spacing w:after="0" w:line="276" w:lineRule="auto"/>
              <w:jc w:val="both"/>
              <w:rPr>
                <w:rFonts w:ascii="Times New Roman" w:hAnsi="Times New Roman" w:cs="Times New Roman"/>
                <w:sz w:val="20"/>
                <w:szCs w:val="20"/>
                <w:lang w:eastAsia="en-GB"/>
              </w:rPr>
            </w:pPr>
            <w:proofErr w:type="spellStart"/>
            <w:proofErr w:type="gramStart"/>
            <w:r w:rsidRPr="008961CE">
              <w:rPr>
                <w:rFonts w:ascii="Times New Roman" w:hAnsi="Times New Roman" w:cs="Times New Roman"/>
                <w:sz w:val="20"/>
                <w:szCs w:val="20"/>
                <w:lang w:eastAsia="en-GB"/>
              </w:rPr>
              <w:t>Ramezanzadehkoldeh</w:t>
            </w:r>
            <w:proofErr w:type="spellEnd"/>
            <w:r w:rsidRPr="008961CE">
              <w:rPr>
                <w:rFonts w:ascii="Times New Roman" w:hAnsi="Times New Roman" w:cs="Times New Roman"/>
                <w:sz w:val="20"/>
                <w:szCs w:val="20"/>
                <w:lang w:eastAsia="en-GB"/>
              </w:rPr>
              <w:t>[</w:t>
            </w:r>
            <w:proofErr w:type="gramEnd"/>
            <w:r w:rsidRPr="008961CE">
              <w:rPr>
                <w:rFonts w:ascii="Times New Roman" w:hAnsi="Times New Roman" w:cs="Times New Roman"/>
                <w:sz w:val="20"/>
                <w:szCs w:val="20"/>
                <w:lang w:eastAsia="en-GB"/>
              </w:rPr>
              <w:t>33]</w:t>
            </w:r>
          </w:p>
        </w:tc>
      </w:tr>
      <w:tr w:rsidR="000B031E" w:rsidRPr="005369B5" w14:paraId="74E037FC" w14:textId="77777777" w:rsidTr="008961CE">
        <w:trPr>
          <w:cantSplit/>
          <w:trHeight w:val="302"/>
        </w:trPr>
        <w:tc>
          <w:tcPr>
            <w:tcW w:w="1692" w:type="dxa"/>
          </w:tcPr>
          <w:p w14:paraId="510A386E" w14:textId="77777777" w:rsidR="000B031E" w:rsidRPr="008961CE" w:rsidRDefault="000B031E" w:rsidP="008961CE">
            <w:pPr>
              <w:spacing w:line="276" w:lineRule="auto"/>
              <w:jc w:val="both"/>
              <w:rPr>
                <w:rFonts w:ascii="Times New Roman" w:hAnsi="Times New Roman" w:cs="Times New Roman"/>
                <w:sz w:val="20"/>
                <w:szCs w:val="20"/>
                <w:lang w:eastAsia="en-GB"/>
              </w:rPr>
            </w:pPr>
            <w:r w:rsidRPr="008961CE">
              <w:rPr>
                <w:rFonts w:ascii="Times New Roman" w:hAnsi="Times New Roman" w:cs="Times New Roman"/>
                <w:sz w:val="20"/>
                <w:szCs w:val="20"/>
                <w:lang w:eastAsia="en-GB"/>
              </w:rPr>
              <w:t>Macroscale</w:t>
            </w:r>
          </w:p>
        </w:tc>
        <w:tc>
          <w:tcPr>
            <w:tcW w:w="3700" w:type="dxa"/>
          </w:tcPr>
          <w:p w14:paraId="1023A7E2" w14:textId="77777777" w:rsidR="000B031E" w:rsidRPr="008961CE" w:rsidRDefault="000B031E" w:rsidP="008961CE">
            <w:pPr>
              <w:spacing w:line="276" w:lineRule="auto"/>
              <w:jc w:val="both"/>
              <w:rPr>
                <w:rFonts w:ascii="Times New Roman" w:hAnsi="Times New Roman" w:cs="Times New Roman"/>
                <w:sz w:val="20"/>
                <w:szCs w:val="20"/>
                <w:lang w:eastAsia="en-GB"/>
              </w:rPr>
            </w:pPr>
            <w:r w:rsidRPr="008961CE">
              <w:rPr>
                <w:rFonts w:ascii="Times New Roman" w:hAnsi="Times New Roman" w:cs="Times New Roman"/>
                <w:sz w:val="20"/>
                <w:szCs w:val="20"/>
                <w:lang w:eastAsia="en-GB"/>
              </w:rPr>
              <w:t>Whole bone including cortical and trabecular tissue</w:t>
            </w:r>
          </w:p>
        </w:tc>
        <w:tc>
          <w:tcPr>
            <w:tcW w:w="3672" w:type="dxa"/>
          </w:tcPr>
          <w:p w14:paraId="42EC4D5D" w14:textId="77777777" w:rsidR="000B031E" w:rsidRPr="008961CE" w:rsidRDefault="000B031E" w:rsidP="008961CE">
            <w:pPr>
              <w:pStyle w:val="ListParagraph"/>
              <w:keepNext/>
              <w:numPr>
                <w:ilvl w:val="0"/>
                <w:numId w:val="21"/>
              </w:numPr>
              <w:spacing w:after="0" w:line="276" w:lineRule="auto"/>
              <w:jc w:val="both"/>
              <w:rPr>
                <w:rFonts w:ascii="Times New Roman" w:hAnsi="Times New Roman" w:cs="Times New Roman"/>
                <w:sz w:val="20"/>
                <w:szCs w:val="20"/>
                <w:lang w:eastAsia="en-GB"/>
              </w:rPr>
            </w:pPr>
            <w:r w:rsidRPr="008961CE">
              <w:rPr>
                <w:rFonts w:ascii="Times New Roman" w:hAnsi="Times New Roman" w:cs="Times New Roman"/>
                <w:sz w:val="20"/>
                <w:szCs w:val="20"/>
                <w:lang w:eastAsia="en-GB"/>
              </w:rPr>
              <w:t>Dapaah et al. [47]</w:t>
            </w:r>
          </w:p>
          <w:p w14:paraId="7E60AE77" w14:textId="77777777" w:rsidR="000B031E" w:rsidRPr="008961CE" w:rsidRDefault="000B031E" w:rsidP="008961CE">
            <w:pPr>
              <w:pStyle w:val="ListParagraph"/>
              <w:keepNext/>
              <w:numPr>
                <w:ilvl w:val="0"/>
                <w:numId w:val="21"/>
              </w:numPr>
              <w:spacing w:after="0" w:line="276" w:lineRule="auto"/>
              <w:jc w:val="both"/>
              <w:rPr>
                <w:rFonts w:ascii="Times New Roman" w:hAnsi="Times New Roman" w:cs="Times New Roman"/>
                <w:sz w:val="20"/>
                <w:szCs w:val="20"/>
                <w:lang w:eastAsia="en-GB"/>
              </w:rPr>
            </w:pPr>
            <w:r w:rsidRPr="008961CE">
              <w:rPr>
                <w:rFonts w:ascii="Times New Roman" w:hAnsi="Times New Roman" w:cs="Times New Roman"/>
                <w:sz w:val="20"/>
                <w:szCs w:val="20"/>
                <w:lang w:eastAsia="en-GB"/>
              </w:rPr>
              <w:t>Remache et al. [44]</w:t>
            </w:r>
          </w:p>
          <w:p w14:paraId="5E120896" w14:textId="77777777" w:rsidR="000B031E" w:rsidRPr="008961CE" w:rsidRDefault="000B031E" w:rsidP="008961CE">
            <w:pPr>
              <w:pStyle w:val="ListParagraph"/>
              <w:keepNext/>
              <w:numPr>
                <w:ilvl w:val="0"/>
                <w:numId w:val="21"/>
              </w:numPr>
              <w:spacing w:after="0" w:line="276" w:lineRule="auto"/>
              <w:jc w:val="both"/>
              <w:rPr>
                <w:rFonts w:ascii="Times New Roman" w:hAnsi="Times New Roman" w:cs="Times New Roman"/>
                <w:sz w:val="20"/>
                <w:szCs w:val="20"/>
                <w:lang w:eastAsia="en-GB"/>
              </w:rPr>
            </w:pPr>
            <w:proofErr w:type="spellStart"/>
            <w:r w:rsidRPr="008961CE">
              <w:rPr>
                <w:rFonts w:ascii="Times New Roman" w:hAnsi="Times New Roman" w:cs="Times New Roman"/>
                <w:sz w:val="20"/>
                <w:szCs w:val="20"/>
                <w:lang w:eastAsia="en-GB"/>
              </w:rPr>
              <w:t>Kraiem</w:t>
            </w:r>
            <w:proofErr w:type="spellEnd"/>
            <w:r w:rsidRPr="008961CE">
              <w:rPr>
                <w:rFonts w:ascii="Times New Roman" w:hAnsi="Times New Roman" w:cs="Times New Roman"/>
                <w:sz w:val="20"/>
                <w:szCs w:val="20"/>
                <w:lang w:eastAsia="en-GB"/>
              </w:rPr>
              <w:t xml:space="preserve"> et al. [43]</w:t>
            </w:r>
          </w:p>
        </w:tc>
      </w:tr>
    </w:tbl>
    <w:p w14:paraId="56E5AEF4" w14:textId="66137CCB" w:rsidR="000B031E" w:rsidRPr="008961CE" w:rsidRDefault="000B031E" w:rsidP="005369B5">
      <w:pPr>
        <w:pStyle w:val="Caption"/>
        <w:keepNext/>
        <w:spacing w:line="276" w:lineRule="auto"/>
        <w:rPr>
          <w:rFonts w:ascii="Times New Roman" w:hAnsi="Times New Roman" w:cs="Times New Roman"/>
          <w:sz w:val="20"/>
          <w:szCs w:val="20"/>
        </w:rPr>
      </w:pPr>
      <w:bookmarkStart w:id="12" w:name="_Ref122080673"/>
      <w:bookmarkStart w:id="13" w:name="_Ref122080661"/>
      <w:r w:rsidRPr="008961CE">
        <w:rPr>
          <w:rFonts w:ascii="Times New Roman" w:hAnsi="Times New Roman" w:cs="Times New Roman"/>
          <w:sz w:val="20"/>
          <w:szCs w:val="20"/>
        </w:rPr>
        <w:t xml:space="preserve">Table </w:t>
      </w:r>
      <w:r w:rsidRPr="008961CE">
        <w:rPr>
          <w:rFonts w:ascii="Times New Roman" w:hAnsi="Times New Roman" w:cs="Times New Roman"/>
          <w:sz w:val="20"/>
          <w:szCs w:val="20"/>
        </w:rPr>
        <w:fldChar w:fldCharType="begin"/>
      </w:r>
      <w:r w:rsidRPr="008961CE">
        <w:rPr>
          <w:rFonts w:ascii="Times New Roman" w:hAnsi="Times New Roman" w:cs="Times New Roman"/>
          <w:sz w:val="20"/>
          <w:szCs w:val="20"/>
        </w:rPr>
        <w:instrText xml:space="preserve"> SEQ Table \* ARABIC </w:instrText>
      </w:r>
      <w:r w:rsidRPr="008961CE">
        <w:rPr>
          <w:rFonts w:ascii="Times New Roman" w:hAnsi="Times New Roman" w:cs="Times New Roman"/>
          <w:sz w:val="20"/>
          <w:szCs w:val="20"/>
        </w:rPr>
        <w:fldChar w:fldCharType="separate"/>
      </w:r>
      <w:r w:rsidR="00A612A9">
        <w:rPr>
          <w:rFonts w:ascii="Times New Roman" w:hAnsi="Times New Roman" w:cs="Times New Roman"/>
          <w:noProof/>
          <w:sz w:val="20"/>
          <w:szCs w:val="20"/>
        </w:rPr>
        <w:t>3</w:t>
      </w:r>
      <w:r w:rsidRPr="008961CE">
        <w:rPr>
          <w:rFonts w:ascii="Times New Roman" w:hAnsi="Times New Roman" w:cs="Times New Roman"/>
          <w:noProof/>
          <w:sz w:val="20"/>
          <w:szCs w:val="20"/>
        </w:rPr>
        <w:fldChar w:fldCharType="end"/>
      </w:r>
      <w:bookmarkEnd w:id="12"/>
      <w:r w:rsidRPr="008961CE">
        <w:rPr>
          <w:rFonts w:ascii="Times New Roman" w:hAnsi="Times New Roman" w:cs="Times New Roman"/>
          <w:sz w:val="20"/>
          <w:szCs w:val="20"/>
        </w:rPr>
        <w:t>. Biological composition of each length scale with relevant modelling studies</w:t>
      </w:r>
      <w:bookmarkEnd w:id="13"/>
    </w:p>
    <w:p w14:paraId="4475A580" w14:textId="1DBADF24"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fldChar w:fldCharType="begin"/>
      </w:r>
      <w:r w:rsidRPr="005369B5">
        <w:rPr>
          <w:rFonts w:ascii="Times New Roman" w:hAnsi="Times New Roman" w:cs="Times New Roman"/>
          <w:sz w:val="24"/>
          <w:szCs w:val="24"/>
        </w:rPr>
        <w:instrText xml:space="preserve"> REF _Ref122080673 \h </w:instrText>
      </w:r>
      <w:r w:rsidR="005369B5" w:rsidRPr="005369B5">
        <w:rPr>
          <w:rFonts w:ascii="Times New Roman" w:hAnsi="Times New Roman" w:cs="Times New Roman"/>
          <w:sz w:val="24"/>
          <w:szCs w:val="24"/>
        </w:rPr>
        <w:instrText xml:space="preserve"> \* MERGEFORMAT </w:instrText>
      </w:r>
      <w:r w:rsidRPr="005369B5">
        <w:rPr>
          <w:rFonts w:ascii="Times New Roman" w:hAnsi="Times New Roman" w:cs="Times New Roman"/>
          <w:sz w:val="24"/>
          <w:szCs w:val="24"/>
        </w:rPr>
      </w:r>
      <w:r w:rsidRPr="005369B5">
        <w:rPr>
          <w:rFonts w:ascii="Times New Roman" w:hAnsi="Times New Roman" w:cs="Times New Roman"/>
          <w:sz w:val="24"/>
          <w:szCs w:val="24"/>
        </w:rPr>
        <w:fldChar w:fldCharType="separate"/>
      </w:r>
      <w:r w:rsidRPr="005369B5">
        <w:rPr>
          <w:rFonts w:ascii="Times New Roman" w:hAnsi="Times New Roman" w:cs="Times New Roman"/>
          <w:sz w:val="24"/>
          <w:szCs w:val="24"/>
        </w:rPr>
        <w:t xml:space="preserve">Table </w:t>
      </w:r>
      <w:r w:rsidRPr="005369B5">
        <w:rPr>
          <w:rFonts w:ascii="Times New Roman" w:hAnsi="Times New Roman" w:cs="Times New Roman"/>
          <w:noProof/>
          <w:sz w:val="24"/>
          <w:szCs w:val="24"/>
        </w:rPr>
        <w:t>3</w:t>
      </w:r>
      <w:r w:rsidRPr="005369B5">
        <w:rPr>
          <w:rFonts w:ascii="Times New Roman" w:hAnsi="Times New Roman" w:cs="Times New Roman"/>
          <w:sz w:val="24"/>
          <w:szCs w:val="24"/>
        </w:rPr>
        <w:fldChar w:fldCharType="end"/>
      </w:r>
      <w:r w:rsidRPr="005369B5">
        <w:rPr>
          <w:rFonts w:ascii="Times New Roman" w:hAnsi="Times New Roman" w:cs="Times New Roman"/>
          <w:sz w:val="24"/>
          <w:szCs w:val="24"/>
        </w:rPr>
        <w:t xml:space="preserve"> presents a summary view of the biological composition at each length scale, with a corresponding list of material models developed from that scale. Given that the de facto </w:t>
      </w:r>
      <w:r w:rsidRPr="005369B5">
        <w:rPr>
          <w:rFonts w:ascii="Times New Roman" w:hAnsi="Times New Roman" w:cs="Times New Roman"/>
          <w:sz w:val="24"/>
          <w:szCs w:val="24"/>
        </w:rPr>
        <w:lastRenderedPageBreak/>
        <w:t xml:space="preserve">constitutive model considers the macroscale, only a representative sample set is listed. The models listed at sub-macroscopic scales take a multiscale approach – they are classified based on the smallest scale considered. </w:t>
      </w:r>
    </w:p>
    <w:p w14:paraId="705AF7B0" w14:textId="77777777"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Sansalone et al. [30] state that the decision to adopt a specific length scale should be made based on the availability of experimental input parameters. For subject-specific bone analyses, the authors recommend a macroscale approach if the ultimate objective is merely a determination of overall elastic properties. Further, they argue that despite recent multiscale models such as by Yoon et al. [46] which closely represent hierarchical microstructure, the lack of availability and methodology to obtain subject specific inputs limits their practical use. Pahr et al. [5] support this view, adding that this lack of experimental data increases the inherent uncertainty in models as their validation must be done at a higher length scale. </w:t>
      </w:r>
    </w:p>
    <w:p w14:paraId="6CDD131F" w14:textId="7440D340"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Ghanbari and </w:t>
      </w:r>
      <w:proofErr w:type="spellStart"/>
      <w:r w:rsidRPr="005369B5">
        <w:rPr>
          <w:rFonts w:ascii="Times New Roman" w:hAnsi="Times New Roman" w:cs="Times New Roman"/>
          <w:sz w:val="24"/>
          <w:szCs w:val="24"/>
        </w:rPr>
        <w:t>Naghdabadi</w:t>
      </w:r>
      <w:proofErr w:type="spellEnd"/>
      <w:r w:rsidRPr="005369B5">
        <w:rPr>
          <w:rFonts w:ascii="Times New Roman" w:hAnsi="Times New Roman" w:cs="Times New Roman"/>
          <w:sz w:val="24"/>
          <w:szCs w:val="24"/>
        </w:rPr>
        <w:t xml:space="preserve"> [47] attempt to address the issues raised [30,46], opting for a simultaneous modelling approach. The authors </w:t>
      </w:r>
      <w:proofErr w:type="gramStart"/>
      <w:r w:rsidRPr="005369B5">
        <w:rPr>
          <w:rFonts w:ascii="Times New Roman" w:hAnsi="Times New Roman" w:cs="Times New Roman"/>
          <w:sz w:val="24"/>
          <w:szCs w:val="24"/>
        </w:rPr>
        <w:t>discretely</w:t>
      </w:r>
      <w:proofErr w:type="gramEnd"/>
      <w:r w:rsidRPr="005369B5">
        <w:rPr>
          <w:rFonts w:ascii="Times New Roman" w:hAnsi="Times New Roman" w:cs="Times New Roman"/>
          <w:sz w:val="24"/>
          <w:szCs w:val="24"/>
        </w:rPr>
        <w:t xml:space="preserve"> develop </w:t>
      </w:r>
      <w:r w:rsidR="00A612A9" w:rsidRPr="005369B5">
        <w:rPr>
          <w:rFonts w:ascii="Times New Roman" w:hAnsi="Times New Roman" w:cs="Times New Roman"/>
          <w:sz w:val="24"/>
          <w:szCs w:val="24"/>
        </w:rPr>
        <w:t>nano structural</w:t>
      </w:r>
      <w:r w:rsidRPr="005369B5">
        <w:rPr>
          <w:rFonts w:ascii="Times New Roman" w:hAnsi="Times New Roman" w:cs="Times New Roman"/>
          <w:sz w:val="24"/>
          <w:szCs w:val="24"/>
        </w:rPr>
        <w:t xml:space="preserve"> and macroscale boundary value problems and eventually couple them together with a homogenization technique to obtain macroscopic properties such as Poisson’s ratio, modulus of shear and Young’s modulus. Such an approach allows for the </w:t>
      </w:r>
      <w:r w:rsidR="00A612A9" w:rsidRPr="005369B5">
        <w:rPr>
          <w:rFonts w:ascii="Times New Roman" w:hAnsi="Times New Roman" w:cs="Times New Roman"/>
          <w:sz w:val="24"/>
          <w:szCs w:val="24"/>
        </w:rPr>
        <w:t>characterization</w:t>
      </w:r>
      <w:r w:rsidRPr="005369B5">
        <w:rPr>
          <w:rFonts w:ascii="Times New Roman" w:hAnsi="Times New Roman" w:cs="Times New Roman"/>
          <w:sz w:val="24"/>
          <w:szCs w:val="24"/>
        </w:rPr>
        <w:t xml:space="preserve"> of representative volume elements in different regions of the cortical tissue and results in a tissue level response closely reflecting experimental data. </w:t>
      </w:r>
      <w:proofErr w:type="spellStart"/>
      <w:r w:rsidRPr="005369B5">
        <w:rPr>
          <w:rFonts w:ascii="Times New Roman" w:hAnsi="Times New Roman" w:cs="Times New Roman"/>
          <w:sz w:val="24"/>
          <w:szCs w:val="24"/>
        </w:rPr>
        <w:t>Budyn</w:t>
      </w:r>
      <w:proofErr w:type="spellEnd"/>
      <w:r w:rsidRPr="005369B5">
        <w:rPr>
          <w:rFonts w:ascii="Times New Roman" w:hAnsi="Times New Roman" w:cs="Times New Roman"/>
          <w:sz w:val="24"/>
          <w:szCs w:val="24"/>
        </w:rPr>
        <w:t xml:space="preserve"> and Hoc [48] focus on the damage aspect, using extended FEM to model Haversian microstructure and simulate the initiation and propagation of cracks through computational algorithm. Although both studies show alignment with experimental data from, they fail to achieve subject specificity due to their assumptions of literature-based material constants. </w:t>
      </w:r>
    </w:p>
    <w:p w14:paraId="78337396" w14:textId="77777777" w:rsidR="000B031E"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Recently, Ascenzi et al. [25] demonstrated the ability to construct patient-specific macrostructural models using experimentally obtained stress-strain data for hydroxyapatite crystals and </w:t>
      </w:r>
      <w:proofErr w:type="gramStart"/>
      <w:r w:rsidRPr="005369B5">
        <w:rPr>
          <w:rFonts w:ascii="Times New Roman" w:hAnsi="Times New Roman" w:cs="Times New Roman"/>
          <w:sz w:val="24"/>
          <w:szCs w:val="24"/>
        </w:rPr>
        <w:t>lacunae  of</w:t>
      </w:r>
      <w:proofErr w:type="gramEnd"/>
      <w:r w:rsidRPr="005369B5">
        <w:rPr>
          <w:rFonts w:ascii="Times New Roman" w:hAnsi="Times New Roman" w:cs="Times New Roman"/>
          <w:sz w:val="24"/>
          <w:szCs w:val="24"/>
        </w:rPr>
        <w:t xml:space="preserve"> osteocytes obtained from CT-based techniques. Although the study assumed isotropic properties at the macroscale, the orthotropic and subject-specific inputs regarding microfibril orientation, lacunar hydration and mineral deposits are a positive step towards clinical relevance. </w:t>
      </w:r>
    </w:p>
    <w:p w14:paraId="3583EF72" w14:textId="77777777" w:rsidR="008961CE" w:rsidRPr="005369B5" w:rsidRDefault="008961CE" w:rsidP="005369B5">
      <w:pPr>
        <w:jc w:val="both"/>
        <w:rPr>
          <w:rFonts w:ascii="Times New Roman" w:hAnsi="Times New Roman" w:cs="Times New Roman"/>
          <w:sz w:val="24"/>
          <w:szCs w:val="24"/>
        </w:rPr>
      </w:pPr>
    </w:p>
    <w:p w14:paraId="68E62DE9" w14:textId="77777777" w:rsidR="000B031E" w:rsidRPr="008961CE" w:rsidRDefault="000B031E" w:rsidP="005369B5">
      <w:pPr>
        <w:rPr>
          <w:rFonts w:ascii="Times New Roman" w:hAnsi="Times New Roman" w:cs="Times New Roman"/>
          <w:b/>
          <w:bCs/>
          <w:sz w:val="24"/>
          <w:szCs w:val="24"/>
        </w:rPr>
      </w:pPr>
      <w:bookmarkStart w:id="14" w:name="_Toc122082996"/>
      <w:r w:rsidRPr="008961CE">
        <w:rPr>
          <w:rFonts w:ascii="Times New Roman" w:hAnsi="Times New Roman" w:cs="Times New Roman"/>
          <w:b/>
          <w:bCs/>
          <w:sz w:val="24"/>
          <w:szCs w:val="24"/>
        </w:rPr>
        <w:t>Directional Symmetry</w:t>
      </w:r>
      <w:bookmarkEnd w:id="14"/>
    </w:p>
    <w:p w14:paraId="617C3D8D" w14:textId="77777777"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The anisotropic nature of cortical bone properties is widely acknowledged in literature. Nevertheless, it is not uncommon for constitutive models </w:t>
      </w:r>
      <w:proofErr w:type="gramStart"/>
      <w:r w:rsidRPr="005369B5">
        <w:rPr>
          <w:rFonts w:ascii="Times New Roman" w:hAnsi="Times New Roman" w:cs="Times New Roman"/>
          <w:sz w:val="24"/>
          <w:szCs w:val="24"/>
        </w:rPr>
        <w:t>employ</w:t>
      </w:r>
      <w:proofErr w:type="gramEnd"/>
      <w:r w:rsidRPr="005369B5">
        <w:rPr>
          <w:rFonts w:ascii="Times New Roman" w:hAnsi="Times New Roman" w:cs="Times New Roman"/>
          <w:sz w:val="24"/>
          <w:szCs w:val="24"/>
        </w:rPr>
        <w:t xml:space="preserve"> orthotropic, transversely isotropic, or simple isotropic relationships for the sake of simplicity and to reduce reliance on high-resolution imaging and computational resource. These assumptions in material symmetry often limit the validity of studies but can be justified if the study emphasis is on another aspect of bone fracture. Pankaj [4] cautions against uncritically assuming the superiority of orthotropic models as improper determination of constants of elasticity could lead to less </w:t>
      </w:r>
      <w:proofErr w:type="spellStart"/>
      <w:r w:rsidRPr="005369B5">
        <w:rPr>
          <w:rFonts w:ascii="Times New Roman" w:hAnsi="Times New Roman" w:cs="Times New Roman"/>
          <w:sz w:val="24"/>
          <w:szCs w:val="24"/>
        </w:rPr>
        <w:t>biofidelic</w:t>
      </w:r>
      <w:proofErr w:type="spellEnd"/>
      <w:r w:rsidRPr="005369B5">
        <w:rPr>
          <w:rFonts w:ascii="Times New Roman" w:hAnsi="Times New Roman" w:cs="Times New Roman"/>
          <w:sz w:val="24"/>
          <w:szCs w:val="24"/>
        </w:rPr>
        <w:t xml:space="preserve"> output than simplistic yet more accurate isotropic models. A major challenge in the past has been the determination of </w:t>
      </w:r>
      <w:proofErr w:type="gramStart"/>
      <w:r w:rsidRPr="005369B5">
        <w:rPr>
          <w:rFonts w:ascii="Times New Roman" w:hAnsi="Times New Roman" w:cs="Times New Roman"/>
          <w:sz w:val="24"/>
          <w:szCs w:val="24"/>
        </w:rPr>
        <w:t>a large number of</w:t>
      </w:r>
      <w:proofErr w:type="gramEnd"/>
      <w:r w:rsidRPr="005369B5">
        <w:rPr>
          <w:rFonts w:ascii="Times New Roman" w:hAnsi="Times New Roman" w:cs="Times New Roman"/>
          <w:sz w:val="24"/>
          <w:szCs w:val="24"/>
        </w:rPr>
        <w:t xml:space="preserve"> constants of elasticity (5 for transverse isotropy and 9 for </w:t>
      </w:r>
      <w:r w:rsidRPr="005369B5">
        <w:rPr>
          <w:rFonts w:ascii="Times New Roman" w:hAnsi="Times New Roman" w:cs="Times New Roman"/>
          <w:sz w:val="24"/>
          <w:szCs w:val="24"/>
        </w:rPr>
        <w:lastRenderedPageBreak/>
        <w:t xml:space="preserve">orthotropy), but Franzoso and </w:t>
      </w:r>
      <w:proofErr w:type="spellStart"/>
      <w:r w:rsidRPr="005369B5">
        <w:rPr>
          <w:rFonts w:ascii="Times New Roman" w:hAnsi="Times New Roman" w:cs="Times New Roman"/>
          <w:sz w:val="24"/>
          <w:szCs w:val="24"/>
        </w:rPr>
        <w:t>Zysset</w:t>
      </w:r>
      <w:proofErr w:type="spellEnd"/>
      <w:r w:rsidRPr="005369B5">
        <w:rPr>
          <w:rFonts w:ascii="Times New Roman" w:hAnsi="Times New Roman" w:cs="Times New Roman"/>
          <w:sz w:val="24"/>
          <w:szCs w:val="24"/>
        </w:rPr>
        <w:t xml:space="preserve"> [49] as well as a number of others [4] have developed nanoindentation and ultrasound-based techniques to resolve this impediment. </w:t>
      </w:r>
    </w:p>
    <w:p w14:paraId="7652385D" w14:textId="77777777"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Wills et al. [3] developed a subject-specific femur FE model using linear isotropic elasticity based on the reasoning that previous studies have shown limited percentage improvement in displacement accuracy at a continuum scale through the adoption of an orthotropic modelling, a position with which </w:t>
      </w:r>
      <w:proofErr w:type="spellStart"/>
      <w:r w:rsidRPr="005369B5">
        <w:rPr>
          <w:rFonts w:ascii="Times New Roman" w:hAnsi="Times New Roman" w:cs="Times New Roman"/>
          <w:sz w:val="24"/>
          <w:szCs w:val="24"/>
        </w:rPr>
        <w:t>Ramezanzadehkoldeh</w:t>
      </w:r>
      <w:proofErr w:type="spellEnd"/>
      <w:r w:rsidRPr="005369B5">
        <w:rPr>
          <w:rFonts w:ascii="Times New Roman" w:hAnsi="Times New Roman" w:cs="Times New Roman"/>
          <w:sz w:val="24"/>
          <w:szCs w:val="24"/>
        </w:rPr>
        <w:t xml:space="preserve"> and Skallerud [33] agree with in their study on subject-specific FE cortical bone modelling using micro-CT imaging. </w:t>
      </w:r>
    </w:p>
    <w:p w14:paraId="4B494870" w14:textId="30C62149"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On the other hand, Khor et al. [38] </w:t>
      </w:r>
      <w:r w:rsidR="00A612A9" w:rsidRPr="005369B5">
        <w:rPr>
          <w:rFonts w:ascii="Times New Roman" w:hAnsi="Times New Roman" w:cs="Times New Roman"/>
          <w:sz w:val="24"/>
          <w:szCs w:val="24"/>
        </w:rPr>
        <w:t>emphasize</w:t>
      </w:r>
      <w:r w:rsidRPr="005369B5">
        <w:rPr>
          <w:rFonts w:ascii="Times New Roman" w:hAnsi="Times New Roman" w:cs="Times New Roman"/>
          <w:sz w:val="24"/>
          <w:szCs w:val="24"/>
        </w:rPr>
        <w:t xml:space="preserve"> that while isotropic models are sufficient in simulating the kinematics of bone bending, orthotropic modelling is essential to gain insight into fracture pattern, failure initiation location and ultimate tensile strength. Studies approaching constitutive modelling from a microstructural approach, such as by Ascenzi et al. [25] benefit from using an orthotropic framework to incorporate the directional effects of the Haversian system-based reinforcement structures in cortical bone. </w:t>
      </w:r>
    </w:p>
    <w:p w14:paraId="556CC5E1" w14:textId="56F51537" w:rsidR="000B031E"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Thus, it appears that the choice of material symmetry must be intentionally made based on the desired complexity, computational </w:t>
      </w:r>
      <w:r w:rsidR="00A612A9" w:rsidRPr="005369B5">
        <w:rPr>
          <w:rFonts w:ascii="Times New Roman" w:hAnsi="Times New Roman" w:cs="Times New Roman"/>
          <w:sz w:val="24"/>
          <w:szCs w:val="24"/>
        </w:rPr>
        <w:t>ability,</w:t>
      </w:r>
      <w:r w:rsidRPr="005369B5">
        <w:rPr>
          <w:rFonts w:ascii="Times New Roman" w:hAnsi="Times New Roman" w:cs="Times New Roman"/>
          <w:sz w:val="24"/>
          <w:szCs w:val="24"/>
        </w:rPr>
        <w:t xml:space="preserve"> and theoretical focus of the study. </w:t>
      </w:r>
    </w:p>
    <w:p w14:paraId="3A77B8D5" w14:textId="77777777" w:rsidR="008961CE" w:rsidRPr="005369B5" w:rsidRDefault="008961CE" w:rsidP="005369B5">
      <w:pPr>
        <w:jc w:val="both"/>
        <w:rPr>
          <w:rFonts w:ascii="Times New Roman" w:hAnsi="Times New Roman" w:cs="Times New Roman"/>
          <w:sz w:val="24"/>
          <w:szCs w:val="24"/>
        </w:rPr>
      </w:pPr>
    </w:p>
    <w:p w14:paraId="74503BAA" w14:textId="7BC42565" w:rsidR="000B031E" w:rsidRDefault="008961CE" w:rsidP="008D3788">
      <w:pPr>
        <w:rPr>
          <w:rFonts w:ascii="Times New Roman" w:hAnsi="Times New Roman" w:cs="Times New Roman"/>
          <w:b/>
          <w:bCs/>
          <w:sz w:val="24"/>
          <w:szCs w:val="24"/>
        </w:rPr>
      </w:pPr>
      <w:bookmarkStart w:id="15" w:name="_Toc122082997"/>
      <w:r w:rsidRPr="005369B5">
        <w:rPr>
          <w:rFonts w:ascii="Times New Roman" w:hAnsi="Times New Roman" w:cs="Times New Roman"/>
          <w:b/>
          <w:bCs/>
          <w:sz w:val="24"/>
          <w:szCs w:val="24"/>
        </w:rPr>
        <w:t>Strength-based modelling</w:t>
      </w:r>
      <w:bookmarkEnd w:id="15"/>
    </w:p>
    <w:p w14:paraId="39243030" w14:textId="77777777" w:rsidR="008961CE" w:rsidRDefault="008961CE" w:rsidP="008961CE">
      <w:pPr>
        <w:keepNext/>
      </w:pPr>
      <w:r w:rsidRPr="00FB3FBB">
        <w:rPr>
          <w:rFonts w:cs="CMU Sans Serif"/>
          <w:noProof/>
        </w:rPr>
        <w:drawing>
          <wp:inline distT="0" distB="0" distL="0" distR="0" wp14:anchorId="27C4F301" wp14:editId="09FCD6BF">
            <wp:extent cx="5943600" cy="1921997"/>
            <wp:effectExtent l="0" t="0" r="0" b="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13"/>
                    <a:stretch>
                      <a:fillRect/>
                    </a:stretch>
                  </pic:blipFill>
                  <pic:spPr>
                    <a:xfrm>
                      <a:off x="0" y="0"/>
                      <a:ext cx="5943600" cy="1921997"/>
                    </a:xfrm>
                    <a:prstGeom prst="rect">
                      <a:avLst/>
                    </a:prstGeom>
                  </pic:spPr>
                </pic:pic>
              </a:graphicData>
            </a:graphic>
          </wp:inline>
        </w:drawing>
      </w:r>
    </w:p>
    <w:p w14:paraId="34094C86" w14:textId="597C89AD" w:rsidR="008961CE" w:rsidRPr="008D3788" w:rsidRDefault="008961CE" w:rsidP="008961CE">
      <w:pPr>
        <w:pStyle w:val="Caption"/>
        <w:rPr>
          <w:rFonts w:ascii="Times New Roman" w:hAnsi="Times New Roman" w:cs="Times New Roman"/>
          <w:b/>
          <w:bCs/>
          <w:sz w:val="24"/>
          <w:szCs w:val="24"/>
        </w:rPr>
      </w:pPr>
      <w:r>
        <w:t xml:space="preserve">Figure </w:t>
      </w:r>
      <w:r>
        <w:fldChar w:fldCharType="begin"/>
      </w:r>
      <w:r>
        <w:instrText xml:space="preserve"> SEQ Figure \* ARABIC </w:instrText>
      </w:r>
      <w:r>
        <w:fldChar w:fldCharType="separate"/>
      </w:r>
      <w:r>
        <w:rPr>
          <w:noProof/>
        </w:rPr>
        <w:t>5</w:t>
      </w:r>
      <w:r>
        <w:fldChar w:fldCharType="end"/>
      </w:r>
      <w:r>
        <w:t>. Strength of cortical bone [38]</w:t>
      </w:r>
    </w:p>
    <w:p w14:paraId="450DCF09" w14:textId="24ADAA07"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The yield and ultimate strength of cortical bone are asymmetrical in tension and compression, with higher values observed in compression as shown in </w:t>
      </w:r>
      <w:r w:rsidRPr="005369B5">
        <w:rPr>
          <w:rFonts w:ascii="Times New Roman" w:hAnsi="Times New Roman" w:cs="Times New Roman"/>
          <w:sz w:val="24"/>
          <w:szCs w:val="24"/>
        </w:rPr>
        <w:fldChar w:fldCharType="begin"/>
      </w:r>
      <w:r w:rsidRPr="005369B5">
        <w:rPr>
          <w:rFonts w:ascii="Times New Roman" w:hAnsi="Times New Roman" w:cs="Times New Roman"/>
          <w:sz w:val="24"/>
          <w:szCs w:val="24"/>
        </w:rPr>
        <w:instrText xml:space="preserve"> REF _Ref122072424 \h </w:instrText>
      </w:r>
      <w:r w:rsidR="005369B5" w:rsidRPr="005369B5">
        <w:rPr>
          <w:rFonts w:ascii="Times New Roman" w:hAnsi="Times New Roman" w:cs="Times New Roman"/>
          <w:sz w:val="24"/>
          <w:szCs w:val="24"/>
        </w:rPr>
        <w:instrText xml:space="preserve"> \* MERGEFORMAT </w:instrText>
      </w:r>
      <w:r w:rsidRPr="005369B5">
        <w:rPr>
          <w:rFonts w:ascii="Times New Roman" w:hAnsi="Times New Roman" w:cs="Times New Roman"/>
          <w:sz w:val="24"/>
          <w:szCs w:val="24"/>
        </w:rPr>
      </w:r>
      <w:r w:rsidRPr="005369B5">
        <w:rPr>
          <w:rFonts w:ascii="Times New Roman" w:hAnsi="Times New Roman" w:cs="Times New Roman"/>
          <w:sz w:val="24"/>
          <w:szCs w:val="24"/>
        </w:rPr>
        <w:fldChar w:fldCharType="separate"/>
      </w:r>
      <w:r w:rsidRPr="005369B5">
        <w:rPr>
          <w:rFonts w:ascii="Times New Roman" w:hAnsi="Times New Roman" w:cs="Times New Roman"/>
          <w:sz w:val="24"/>
          <w:szCs w:val="24"/>
        </w:rPr>
        <w:t xml:space="preserve">Figure </w:t>
      </w:r>
      <w:r w:rsidRPr="005369B5">
        <w:rPr>
          <w:rFonts w:ascii="Times New Roman" w:hAnsi="Times New Roman" w:cs="Times New Roman"/>
          <w:noProof/>
          <w:sz w:val="24"/>
          <w:szCs w:val="24"/>
        </w:rPr>
        <w:t>5</w:t>
      </w:r>
      <w:r w:rsidRPr="005369B5">
        <w:rPr>
          <w:rFonts w:ascii="Times New Roman" w:hAnsi="Times New Roman" w:cs="Times New Roman"/>
          <w:sz w:val="24"/>
          <w:szCs w:val="24"/>
        </w:rPr>
        <w:fldChar w:fldCharType="end"/>
      </w:r>
      <w:r w:rsidRPr="005369B5">
        <w:rPr>
          <w:rFonts w:ascii="Times New Roman" w:hAnsi="Times New Roman" w:cs="Times New Roman"/>
          <w:sz w:val="24"/>
          <w:szCs w:val="24"/>
        </w:rPr>
        <w:t xml:space="preserve">. Prior experimental works have also highlighted the anisotropy in elasticity, </w:t>
      </w:r>
      <w:proofErr w:type="gramStart"/>
      <w:r w:rsidRPr="005369B5">
        <w:rPr>
          <w:rFonts w:ascii="Times New Roman" w:hAnsi="Times New Roman" w:cs="Times New Roman"/>
          <w:sz w:val="24"/>
          <w:szCs w:val="24"/>
        </w:rPr>
        <w:t>strength</w:t>
      </w:r>
      <w:proofErr w:type="gramEnd"/>
      <w:r w:rsidRPr="005369B5">
        <w:rPr>
          <w:rFonts w:ascii="Times New Roman" w:hAnsi="Times New Roman" w:cs="Times New Roman"/>
          <w:sz w:val="24"/>
          <w:szCs w:val="24"/>
        </w:rPr>
        <w:t xml:space="preserve"> and stiffness of the cortical tissue [43]. In literature, there is widespread agreement in modelling low-strain mechanical response as time-independent linearly elastic [29]. While the loading of cortical tissue in tension results in brittle failure shortly after yield, its behaviour in compression prior to fracture is more layered, justifying its characterization through elastoplastic stress-strain curves [38]. </w:t>
      </w:r>
    </w:p>
    <w:p w14:paraId="3DCC63DC" w14:textId="2731C6D7"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It is important to represent both elastic and post-yield regions accurately as they each provide distinct insight into the mechanism of bone failure. Modelling of the elastic region is necessary to pinpoint the initiation of yield but is not capable of revealing subsequent progression to failure. It therefore becomes crucial to investigate post-elastic response to simulate yield itself, progressive damage and ultimately fracture. Wills et al. [3] take exception to this stance, </w:t>
      </w:r>
      <w:r w:rsidRPr="005369B5">
        <w:rPr>
          <w:rFonts w:ascii="Times New Roman" w:hAnsi="Times New Roman" w:cs="Times New Roman"/>
          <w:sz w:val="24"/>
          <w:szCs w:val="24"/>
        </w:rPr>
        <w:lastRenderedPageBreak/>
        <w:t xml:space="preserve">proposing instead to altogether eliminate the modelling of post-elastic behaviour of osteoporotic bone given its propensity to very brittle failure. While it is acknowledged that such a simplification </w:t>
      </w:r>
      <w:r w:rsidR="008961CE" w:rsidRPr="005369B5">
        <w:rPr>
          <w:rFonts w:ascii="Times New Roman" w:hAnsi="Times New Roman" w:cs="Times New Roman"/>
          <w:sz w:val="24"/>
          <w:szCs w:val="24"/>
        </w:rPr>
        <w:t>may be</w:t>
      </w:r>
      <w:r w:rsidRPr="005369B5">
        <w:rPr>
          <w:rFonts w:ascii="Times New Roman" w:hAnsi="Times New Roman" w:cs="Times New Roman"/>
          <w:sz w:val="24"/>
          <w:szCs w:val="24"/>
        </w:rPr>
        <w:t xml:space="preserve"> acceptable in tensile loading scenarios, it fails to account for the experimental evidence [39] which underscores the role of plasticity in explaining multi-axial and compressive failure. </w:t>
      </w:r>
    </w:p>
    <w:p w14:paraId="651FD5B9" w14:textId="77777777"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A long-standing point of contention has been the modelling of yield onset, particularly in the selection of stress-based on strain-based criteria. Theoretical frameworks for strain-based yield much preceded any experimental validation, until a seminal study by Nalla </w:t>
      </w:r>
      <w:proofErr w:type="gramStart"/>
      <w:r w:rsidRPr="005369B5">
        <w:rPr>
          <w:rFonts w:ascii="Times New Roman" w:hAnsi="Times New Roman" w:cs="Times New Roman"/>
          <w:sz w:val="24"/>
          <w:szCs w:val="24"/>
        </w:rPr>
        <w:t>et al.[</w:t>
      </w:r>
      <w:proofErr w:type="gramEnd"/>
      <w:r w:rsidRPr="005369B5">
        <w:rPr>
          <w:rFonts w:ascii="Times New Roman" w:hAnsi="Times New Roman" w:cs="Times New Roman"/>
          <w:sz w:val="24"/>
          <w:szCs w:val="24"/>
        </w:rPr>
        <w:t xml:space="preserve">50] provided such evidence. Using an innovative “double-notch-bend” sample configuration, the authors demonstrated that strain was observed to be nearly isotropic whereas stress was significantly anisotropic. Several studies employ the von Mises criteria to model yield onset, which simplistically assumes bone symmetry in bidirectional loading and does not account for pressure sensitivity. Natali et al. [51] supports the view that the von Mises approach is deficient, adding that it cannot capture load-displacement and deformation in parallel during nanoindentation. </w:t>
      </w:r>
      <w:proofErr w:type="gramStart"/>
      <w:r w:rsidRPr="005369B5">
        <w:rPr>
          <w:rFonts w:ascii="Times New Roman" w:hAnsi="Times New Roman" w:cs="Times New Roman"/>
          <w:sz w:val="24"/>
          <w:szCs w:val="24"/>
        </w:rPr>
        <w:t>In an attempt to</w:t>
      </w:r>
      <w:proofErr w:type="gramEnd"/>
      <w:r w:rsidRPr="005369B5">
        <w:rPr>
          <w:rFonts w:ascii="Times New Roman" w:hAnsi="Times New Roman" w:cs="Times New Roman"/>
          <w:sz w:val="24"/>
          <w:szCs w:val="24"/>
        </w:rPr>
        <w:t xml:space="preserve"> determine an optimal yield modelling strategy, </w:t>
      </w:r>
      <w:proofErr w:type="spellStart"/>
      <w:r w:rsidRPr="005369B5">
        <w:rPr>
          <w:rFonts w:ascii="Times New Roman" w:hAnsi="Times New Roman" w:cs="Times New Roman"/>
          <w:sz w:val="24"/>
          <w:szCs w:val="24"/>
        </w:rPr>
        <w:t>Keyak</w:t>
      </w:r>
      <w:proofErr w:type="spellEnd"/>
      <w:r w:rsidRPr="005369B5">
        <w:rPr>
          <w:rFonts w:ascii="Times New Roman" w:hAnsi="Times New Roman" w:cs="Times New Roman"/>
          <w:sz w:val="24"/>
          <w:szCs w:val="24"/>
        </w:rPr>
        <w:t xml:space="preserve"> and Rossi [52] published a comprehensive study reviewing a total of 9 failure theories and their suitability to in the context of fracture of the femur, concluding that shear stress and distortion energy-based theories were the most adaptive to a range of loading scenarios. The study discourages the use of intensive anisotropic criteria such as Tsai-Wu, </w:t>
      </w:r>
      <w:proofErr w:type="gramStart"/>
      <w:r w:rsidRPr="005369B5">
        <w:rPr>
          <w:rFonts w:ascii="Times New Roman" w:hAnsi="Times New Roman" w:cs="Times New Roman"/>
          <w:sz w:val="24"/>
          <w:szCs w:val="24"/>
        </w:rPr>
        <w:t>Kelvin</w:t>
      </w:r>
      <w:proofErr w:type="gramEnd"/>
      <w:r w:rsidRPr="005369B5">
        <w:rPr>
          <w:rFonts w:ascii="Times New Roman" w:hAnsi="Times New Roman" w:cs="Times New Roman"/>
          <w:sz w:val="24"/>
          <w:szCs w:val="24"/>
        </w:rPr>
        <w:t xml:space="preserve"> and Hill as these require the determination of additional constitutive parameters without a significant increase in accuracy – up to 80% of the predictions made on the basis of mathematically simpler models were accurate. </w:t>
      </w:r>
      <w:proofErr w:type="spellStart"/>
      <w:r w:rsidRPr="005369B5">
        <w:rPr>
          <w:rFonts w:ascii="Times New Roman" w:hAnsi="Times New Roman" w:cs="Times New Roman"/>
          <w:sz w:val="24"/>
          <w:szCs w:val="24"/>
        </w:rPr>
        <w:t>Hoffseth</w:t>
      </w:r>
      <w:proofErr w:type="spellEnd"/>
      <w:r w:rsidRPr="005369B5">
        <w:rPr>
          <w:rFonts w:ascii="Times New Roman" w:hAnsi="Times New Roman" w:cs="Times New Roman"/>
          <w:sz w:val="24"/>
          <w:szCs w:val="24"/>
        </w:rPr>
        <w:t xml:space="preserve"> et al. [54] find that the Drucker Prager Yield Criterion is suitable to model cortical bone yielding given its ability to account for the asymmetry of strength in tension and compression. Mullins et al. [51] corroborate this claim with extensive simulation validation. A limitation to progress in the direction of strain-based yield criteria is that such FE codes are usually not available in the commercial domain. </w:t>
      </w:r>
    </w:p>
    <w:p w14:paraId="1156FC24" w14:textId="6AE1C3F7" w:rsidR="000B031E"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An alternative approach to address the need for yield criteria to account for multi-axial loading is provided by Ng et al. [31] who propose the brittle damage plasticity model to make predictions on compressive failure. Finally, there has been a recent interest in going beyond the historically accepted linear isotropic elasticity by expanding constitutive model capabilities to reflect anisotropic reality. For instance, the model proposed by Atsumi et al. [34] allows for anisotropic elastic, </w:t>
      </w:r>
      <w:r w:rsidR="008961CE" w:rsidRPr="005369B5">
        <w:rPr>
          <w:rFonts w:ascii="Times New Roman" w:hAnsi="Times New Roman" w:cs="Times New Roman"/>
          <w:sz w:val="24"/>
          <w:szCs w:val="24"/>
        </w:rPr>
        <w:t>yield,</w:t>
      </w:r>
      <w:r w:rsidRPr="005369B5">
        <w:rPr>
          <w:rFonts w:ascii="Times New Roman" w:hAnsi="Times New Roman" w:cs="Times New Roman"/>
          <w:sz w:val="24"/>
          <w:szCs w:val="24"/>
        </w:rPr>
        <w:t xml:space="preserve"> and post-yield behaviour to be reflected in FE simulation. </w:t>
      </w:r>
    </w:p>
    <w:p w14:paraId="5DAE0606" w14:textId="77777777" w:rsidR="008961CE" w:rsidRPr="005369B5" w:rsidRDefault="008961CE" w:rsidP="005369B5">
      <w:pPr>
        <w:jc w:val="both"/>
        <w:rPr>
          <w:rFonts w:ascii="Times New Roman" w:hAnsi="Times New Roman" w:cs="Times New Roman"/>
          <w:sz w:val="24"/>
          <w:szCs w:val="24"/>
        </w:rPr>
      </w:pPr>
    </w:p>
    <w:p w14:paraId="5113B410" w14:textId="42547DAA" w:rsidR="000B031E" w:rsidRPr="005369B5" w:rsidRDefault="008961CE" w:rsidP="005369B5">
      <w:pPr>
        <w:rPr>
          <w:rFonts w:ascii="Times New Roman" w:hAnsi="Times New Roman" w:cs="Times New Roman"/>
          <w:b/>
          <w:bCs/>
          <w:sz w:val="24"/>
          <w:szCs w:val="24"/>
        </w:rPr>
      </w:pPr>
      <w:bookmarkStart w:id="16" w:name="_Toc122082998"/>
      <w:r w:rsidRPr="005369B5">
        <w:rPr>
          <w:rFonts w:ascii="Times New Roman" w:hAnsi="Times New Roman" w:cs="Times New Roman"/>
          <w:b/>
          <w:bCs/>
          <w:sz w:val="24"/>
          <w:szCs w:val="24"/>
        </w:rPr>
        <w:t>Time dependent effects</w:t>
      </w:r>
      <w:bookmarkEnd w:id="16"/>
    </w:p>
    <w:p w14:paraId="7BEFB27C" w14:textId="0AA32C72"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The relevance of incorporating viscosity in models of the cortical bone has been established for over half a century. A knowledge of the effects of viscous effects on biomechanical responses of bone is useful in simulating physiological events ranging from ambulation to traumatic injury loading [54].  The existing literature is not conclusive in correlating microstructural features such as collagen interlinkage and mineralization to macroscopically observed viscous effects. However, Wu et al. [55]</w:t>
      </w:r>
      <w:r w:rsidR="008D3788">
        <w:rPr>
          <w:rFonts w:ascii="Times New Roman" w:hAnsi="Times New Roman" w:cs="Times New Roman"/>
          <w:sz w:val="24"/>
          <w:szCs w:val="24"/>
        </w:rPr>
        <w:t xml:space="preserve"> report </w:t>
      </w:r>
      <w:r w:rsidRPr="005369B5">
        <w:rPr>
          <w:rFonts w:ascii="Times New Roman" w:hAnsi="Times New Roman" w:cs="Times New Roman"/>
          <w:sz w:val="24"/>
          <w:szCs w:val="24"/>
        </w:rPr>
        <w:t xml:space="preserve">that porosity of bone and its hydration are contributors to </w:t>
      </w:r>
      <w:r w:rsidRPr="005369B5">
        <w:rPr>
          <w:rFonts w:ascii="Times New Roman" w:hAnsi="Times New Roman" w:cs="Times New Roman"/>
          <w:sz w:val="24"/>
          <w:szCs w:val="24"/>
        </w:rPr>
        <w:lastRenderedPageBreak/>
        <w:t xml:space="preserve">viscoelastic response, which may indicate potential applicability of such studies to osteoporotic fracture diagnosis in future. </w:t>
      </w:r>
    </w:p>
    <w:p w14:paraId="359F35BC" w14:textId="7B892852" w:rsidR="000B031E" w:rsidRPr="005369B5" w:rsidRDefault="000B031E" w:rsidP="005369B5">
      <w:pPr>
        <w:jc w:val="both"/>
        <w:rPr>
          <w:rFonts w:ascii="Times New Roman" w:hAnsi="Times New Roman" w:cs="Times New Roman"/>
          <w:b/>
          <w:bCs/>
          <w:sz w:val="24"/>
          <w:szCs w:val="24"/>
        </w:rPr>
      </w:pPr>
      <w:r w:rsidRPr="005369B5">
        <w:rPr>
          <w:rFonts w:ascii="Times New Roman" w:hAnsi="Times New Roman" w:cs="Times New Roman"/>
          <w:sz w:val="24"/>
          <w:szCs w:val="24"/>
        </w:rPr>
        <w:t xml:space="preserve">Research in the past 10 years has </w:t>
      </w:r>
      <w:r w:rsidR="008961CE" w:rsidRPr="005369B5">
        <w:rPr>
          <w:rFonts w:ascii="Times New Roman" w:hAnsi="Times New Roman" w:cs="Times New Roman"/>
          <w:sz w:val="24"/>
          <w:szCs w:val="24"/>
        </w:rPr>
        <w:t>criticized</w:t>
      </w:r>
      <w:r w:rsidRPr="005369B5">
        <w:rPr>
          <w:rFonts w:ascii="Times New Roman" w:hAnsi="Times New Roman" w:cs="Times New Roman"/>
          <w:sz w:val="24"/>
          <w:szCs w:val="24"/>
        </w:rPr>
        <w:t xml:space="preserve"> the dominance of non-physiological low strain-rate </w:t>
      </w:r>
      <w:r w:rsidR="008961CE" w:rsidRPr="005369B5">
        <w:rPr>
          <w:rFonts w:ascii="Times New Roman" w:hAnsi="Times New Roman" w:cs="Times New Roman"/>
          <w:sz w:val="24"/>
          <w:szCs w:val="24"/>
        </w:rPr>
        <w:t>focused</w:t>
      </w:r>
      <w:r w:rsidRPr="005369B5">
        <w:rPr>
          <w:rFonts w:ascii="Times New Roman" w:hAnsi="Times New Roman" w:cs="Times New Roman"/>
          <w:sz w:val="24"/>
          <w:szCs w:val="24"/>
        </w:rPr>
        <w:t xml:space="preserve"> studies and neglect of higher strains which can be used to simulate impact occurrences in the cortical bone.  In response to this deficiency, constitutive modelling based on Hopkinson bar techniques </w:t>
      </w:r>
      <w:r w:rsidR="008961CE" w:rsidRPr="005369B5">
        <w:rPr>
          <w:rFonts w:ascii="Times New Roman" w:hAnsi="Times New Roman" w:cs="Times New Roman"/>
          <w:sz w:val="24"/>
          <w:szCs w:val="24"/>
        </w:rPr>
        <w:t>has</w:t>
      </w:r>
      <w:r w:rsidRPr="005369B5">
        <w:rPr>
          <w:rFonts w:ascii="Times New Roman" w:hAnsi="Times New Roman" w:cs="Times New Roman"/>
          <w:sz w:val="24"/>
          <w:szCs w:val="24"/>
        </w:rPr>
        <w:t xml:space="preserve"> emerged popular [42,30,28]. Further, nanoindentation performed at a range of cyclical loading frequencies, indentation rates and hold times have yielded insight into the lamellar level rate dependent stiffness, although the microstructural features fundamentally underpinning viscoelasticity are still obscured [56]. </w:t>
      </w:r>
    </w:p>
    <w:p w14:paraId="37DD3C59" w14:textId="172508A4"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However, a limitation of these experimental</w:t>
      </w:r>
      <w:r w:rsidR="008961CE">
        <w:rPr>
          <w:rFonts w:ascii="Times New Roman" w:hAnsi="Times New Roman" w:cs="Times New Roman"/>
          <w:sz w:val="24"/>
          <w:szCs w:val="24"/>
        </w:rPr>
        <w:t xml:space="preserve"> </w:t>
      </w:r>
      <w:r w:rsidRPr="005369B5">
        <w:rPr>
          <w:rFonts w:ascii="Times New Roman" w:hAnsi="Times New Roman" w:cs="Times New Roman"/>
          <w:sz w:val="24"/>
          <w:szCs w:val="24"/>
        </w:rPr>
        <w:t xml:space="preserve">approaches is that they cannot be used to model the initiation of failure and must be restricted to values where this is unlikely to occur [57]. </w:t>
      </w:r>
    </w:p>
    <w:p w14:paraId="3D60EE03" w14:textId="77777777" w:rsidR="000B031E" w:rsidRPr="005369B5" w:rsidRDefault="000B031E" w:rsidP="005369B5">
      <w:pPr>
        <w:jc w:val="both"/>
        <w:rPr>
          <w:rFonts w:ascii="Times New Roman" w:hAnsi="Times New Roman" w:cs="Times New Roman"/>
          <w:sz w:val="24"/>
          <w:szCs w:val="24"/>
        </w:rPr>
      </w:pPr>
    </w:p>
    <w:p w14:paraId="4A97AE19" w14:textId="1F41B52E" w:rsidR="000B031E" w:rsidRPr="005369B5" w:rsidRDefault="00007ACB" w:rsidP="005369B5">
      <w:pPr>
        <w:rPr>
          <w:rFonts w:ascii="Times New Roman" w:hAnsi="Times New Roman" w:cs="Times New Roman"/>
          <w:b/>
          <w:bCs/>
          <w:sz w:val="24"/>
          <w:szCs w:val="24"/>
        </w:rPr>
      </w:pPr>
      <w:bookmarkStart w:id="17" w:name="_Toc122082999"/>
      <w:r w:rsidRPr="005369B5">
        <w:rPr>
          <w:rFonts w:ascii="Times New Roman" w:hAnsi="Times New Roman" w:cs="Times New Roman"/>
          <w:b/>
          <w:bCs/>
          <w:sz w:val="24"/>
          <w:szCs w:val="24"/>
        </w:rPr>
        <w:t>Damage-based modelling</w:t>
      </w:r>
      <w:bookmarkEnd w:id="17"/>
    </w:p>
    <w:p w14:paraId="37FEDA16" w14:textId="77777777"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As reported by Pahr et al. [5], there has been an increasing emphasis given to microcrack propagation in recent years, which is a characteristic unique to cortical bone. Baldonedo et al. [58] argue that it is crucial to account for damage evolution </w:t>
      </w:r>
      <w:proofErr w:type="gramStart"/>
      <w:r w:rsidRPr="005369B5">
        <w:rPr>
          <w:rFonts w:ascii="Times New Roman" w:hAnsi="Times New Roman" w:cs="Times New Roman"/>
          <w:sz w:val="24"/>
          <w:szCs w:val="24"/>
        </w:rPr>
        <w:t>in order to</w:t>
      </w:r>
      <w:proofErr w:type="gramEnd"/>
      <w:r w:rsidRPr="005369B5">
        <w:rPr>
          <w:rFonts w:ascii="Times New Roman" w:hAnsi="Times New Roman" w:cs="Times New Roman"/>
          <w:sz w:val="24"/>
          <w:szCs w:val="24"/>
        </w:rPr>
        <w:t xml:space="preserve"> improve fracture risk prediction given that cyclical loading and degenerative conditions can have deleterious impacts on biomechanical properties. Most commonly, continuum damage models (CDM) have been utilized in describing the growth of micro-cracks. As early as 1987, </w:t>
      </w:r>
      <w:proofErr w:type="spellStart"/>
      <w:r w:rsidRPr="005369B5">
        <w:rPr>
          <w:rFonts w:ascii="Times New Roman" w:hAnsi="Times New Roman" w:cs="Times New Roman"/>
          <w:sz w:val="24"/>
          <w:szCs w:val="24"/>
        </w:rPr>
        <w:t>Krajcinov</w:t>
      </w:r>
      <w:proofErr w:type="spellEnd"/>
      <w:r w:rsidRPr="005369B5">
        <w:rPr>
          <w:rFonts w:ascii="Times New Roman" w:hAnsi="Times New Roman" w:cs="Times New Roman"/>
          <w:sz w:val="24"/>
          <w:szCs w:val="24"/>
        </w:rPr>
        <w:t xml:space="preserve"> et al. [59] developed a rudimentary analytical model of the cortical bone tissue accounting for the Haversian canal architecture at a micro and mesoscale, which strongly validated the CDM approach by predicting theoretical values within 3% of experimental observations.  </w:t>
      </w:r>
    </w:p>
    <w:p w14:paraId="47015223" w14:textId="0769D6A6"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Early work in simplistic damage modelling of cortical tissue has spring boarded the conception of more sophisticated three-dimensional </w:t>
      </w:r>
      <w:r w:rsidR="008961CE" w:rsidRPr="005369B5">
        <w:rPr>
          <w:rFonts w:ascii="Times New Roman" w:hAnsi="Times New Roman" w:cs="Times New Roman"/>
          <w:sz w:val="24"/>
          <w:szCs w:val="24"/>
        </w:rPr>
        <w:t>generalizations</w:t>
      </w:r>
      <w:r w:rsidRPr="005369B5">
        <w:rPr>
          <w:rFonts w:ascii="Times New Roman" w:hAnsi="Times New Roman" w:cs="Times New Roman"/>
          <w:sz w:val="24"/>
          <w:szCs w:val="24"/>
        </w:rPr>
        <w:t xml:space="preserve">. For instance, a well cited publication by Garcia et al. [23] </w:t>
      </w:r>
      <w:r w:rsidR="008961CE" w:rsidRPr="005369B5">
        <w:rPr>
          <w:rFonts w:ascii="Times New Roman" w:hAnsi="Times New Roman" w:cs="Times New Roman"/>
          <w:sz w:val="24"/>
          <w:szCs w:val="24"/>
        </w:rPr>
        <w:t>synthesizes</w:t>
      </w:r>
      <w:r w:rsidRPr="005369B5">
        <w:rPr>
          <w:rFonts w:ascii="Times New Roman" w:hAnsi="Times New Roman" w:cs="Times New Roman"/>
          <w:sz w:val="24"/>
          <w:szCs w:val="24"/>
        </w:rPr>
        <w:t xml:space="preserve"> elastoplastic as well as damage behaviour through a novel algorithm allowing them to </w:t>
      </w:r>
      <w:r w:rsidR="008961CE" w:rsidRPr="005369B5">
        <w:rPr>
          <w:rFonts w:ascii="Times New Roman" w:hAnsi="Times New Roman" w:cs="Times New Roman"/>
          <w:sz w:val="24"/>
          <w:szCs w:val="24"/>
        </w:rPr>
        <w:t>analyze</w:t>
      </w:r>
      <w:r w:rsidRPr="005369B5">
        <w:rPr>
          <w:rFonts w:ascii="Times New Roman" w:hAnsi="Times New Roman" w:cs="Times New Roman"/>
          <w:sz w:val="24"/>
          <w:szCs w:val="24"/>
        </w:rPr>
        <w:t xml:space="preserve"> bone in both tension and compression, although somewhat limited by the assumption of identical constitutive models for both cortical and trabecular tissue. </w:t>
      </w:r>
    </w:p>
    <w:p w14:paraId="18B8E1E2" w14:textId="7136AB32"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More recently, CDM is being used to reflect the understanding that the intrinsic fracture toughness of bones slows the evolution of microdamage, through the modelling of micro-damage process zones (MDPZ). Dapaah et al. [48] developed a finite element model based on micro-CT imaging and a bi-linear constitutive damage model, whose resultant load-deflection response closely matched the data generated from single-edge notch bending tests.  Subsequent work by the authors [60] </w:t>
      </w:r>
      <w:r w:rsidR="008961CE" w:rsidRPr="005369B5">
        <w:rPr>
          <w:rFonts w:ascii="Times New Roman" w:hAnsi="Times New Roman" w:cs="Times New Roman"/>
          <w:sz w:val="24"/>
          <w:szCs w:val="24"/>
        </w:rPr>
        <w:t>provides</w:t>
      </w:r>
      <w:r w:rsidRPr="005369B5">
        <w:rPr>
          <w:rFonts w:ascii="Times New Roman" w:hAnsi="Times New Roman" w:cs="Times New Roman"/>
          <w:sz w:val="24"/>
          <w:szCs w:val="24"/>
        </w:rPr>
        <w:t xml:space="preserve"> further improvements through a recognition of the role of strain-rate dependency and work-hardening in MPDZ formation. A contemporary study by Gustafsson et al. [43] acknowledges the high computational demands of attempted modelling of crack growth resistance, proposing instead to use a combination of mesoscale imaging and an interface damage model to better predict 3D crack propagation more efficiently. </w:t>
      </w:r>
    </w:p>
    <w:p w14:paraId="07BE546D" w14:textId="693A98B1"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Much less commonly, the modelling of cortical bone is undertaken through a discrete damage approach. Although discrete damage models can simulate the full crack progression as opposed to merely its initiation, the numerical instability inherent in such models due to topological crack </w:t>
      </w:r>
      <w:r w:rsidRPr="005369B5">
        <w:rPr>
          <w:rFonts w:ascii="Times New Roman" w:hAnsi="Times New Roman" w:cs="Times New Roman"/>
          <w:sz w:val="24"/>
          <w:szCs w:val="24"/>
        </w:rPr>
        <w:lastRenderedPageBreak/>
        <w:t xml:space="preserve">complexity limits their prevalence in the literature [14]. While previous attempts at discrete damage modelling have been made, </w:t>
      </w:r>
      <w:r w:rsidR="00A612A9" w:rsidRPr="005369B5">
        <w:rPr>
          <w:rFonts w:ascii="Times New Roman" w:hAnsi="Times New Roman" w:cs="Times New Roman"/>
          <w:sz w:val="24"/>
          <w:szCs w:val="24"/>
        </w:rPr>
        <w:t>numerical</w:t>
      </w:r>
      <w:r w:rsidRPr="005369B5">
        <w:rPr>
          <w:rFonts w:ascii="Times New Roman" w:hAnsi="Times New Roman" w:cs="Times New Roman"/>
          <w:sz w:val="24"/>
          <w:szCs w:val="24"/>
        </w:rPr>
        <w:t xml:space="preserve"> instability prevents them from providing insight into crack propagation. Gustafsson </w:t>
      </w:r>
      <w:proofErr w:type="gramStart"/>
      <w:r w:rsidRPr="005369B5">
        <w:rPr>
          <w:rFonts w:ascii="Times New Roman" w:hAnsi="Times New Roman" w:cs="Times New Roman"/>
          <w:sz w:val="24"/>
          <w:szCs w:val="24"/>
        </w:rPr>
        <w:t>et al.[</w:t>
      </w:r>
      <w:proofErr w:type="gramEnd"/>
      <w:r w:rsidRPr="005369B5">
        <w:rPr>
          <w:rFonts w:ascii="Times New Roman" w:hAnsi="Times New Roman" w:cs="Times New Roman"/>
          <w:sz w:val="24"/>
          <w:szCs w:val="24"/>
        </w:rPr>
        <w:t xml:space="preserve">14] claim to present a novel framework in response to this gap, allowing for the simulation of a patient-specific heterogenous femur which </w:t>
      </w:r>
      <w:r w:rsidR="00A612A9" w:rsidRPr="005369B5">
        <w:rPr>
          <w:rFonts w:ascii="Times New Roman" w:hAnsi="Times New Roman" w:cs="Times New Roman"/>
          <w:sz w:val="24"/>
          <w:szCs w:val="24"/>
        </w:rPr>
        <w:t>synthesizes</w:t>
      </w:r>
      <w:r w:rsidRPr="005369B5">
        <w:rPr>
          <w:rFonts w:ascii="Times New Roman" w:hAnsi="Times New Roman" w:cs="Times New Roman"/>
          <w:sz w:val="24"/>
          <w:szCs w:val="24"/>
        </w:rPr>
        <w:t xml:space="preserve"> strength and fracture toughness to make high accuracy fracture predictions. Although promising in the context of osteoporosis diagnosis, more research is required due to the limited sample size for experimental validation and lack of variety in bone loading scenarios considered. </w:t>
      </w:r>
    </w:p>
    <w:p w14:paraId="2BB98B5A" w14:textId="77777777" w:rsidR="000B031E" w:rsidRPr="005369B5" w:rsidRDefault="000B031E" w:rsidP="005369B5">
      <w:pPr>
        <w:jc w:val="both"/>
        <w:rPr>
          <w:rFonts w:ascii="Times New Roman" w:hAnsi="Times New Roman" w:cs="Times New Roman"/>
          <w:sz w:val="24"/>
          <w:szCs w:val="24"/>
        </w:rPr>
      </w:pPr>
    </w:p>
    <w:p w14:paraId="0823C68D" w14:textId="66A37430" w:rsidR="000B031E" w:rsidRPr="005369B5" w:rsidRDefault="005369B5" w:rsidP="005369B5">
      <w:pPr>
        <w:rPr>
          <w:rFonts w:ascii="Times New Roman" w:hAnsi="Times New Roman" w:cs="Times New Roman"/>
          <w:b/>
          <w:bCs/>
          <w:sz w:val="24"/>
          <w:szCs w:val="24"/>
        </w:rPr>
      </w:pPr>
      <w:bookmarkStart w:id="18" w:name="_Toc122083000"/>
      <w:r w:rsidRPr="005369B5">
        <w:rPr>
          <w:rFonts w:ascii="Times New Roman" w:hAnsi="Times New Roman" w:cs="Times New Roman"/>
          <w:b/>
          <w:bCs/>
          <w:sz w:val="24"/>
          <w:szCs w:val="24"/>
        </w:rPr>
        <w:t>DISCUSSION</w:t>
      </w:r>
      <w:bookmarkEnd w:id="18"/>
    </w:p>
    <w:p w14:paraId="5F84D44E" w14:textId="0FD96917" w:rsidR="000B031E" w:rsidRPr="005369B5" w:rsidRDefault="000B031E" w:rsidP="005369B5">
      <w:pPr>
        <w:rPr>
          <w:rFonts w:ascii="Times New Roman" w:hAnsi="Times New Roman" w:cs="Times New Roman"/>
          <w:b/>
          <w:bCs/>
          <w:sz w:val="24"/>
          <w:szCs w:val="24"/>
        </w:rPr>
      </w:pPr>
      <w:bookmarkStart w:id="19" w:name="_Toc122083001"/>
      <w:r w:rsidRPr="005369B5">
        <w:rPr>
          <w:rFonts w:ascii="Times New Roman" w:hAnsi="Times New Roman" w:cs="Times New Roman"/>
          <w:b/>
          <w:bCs/>
          <w:sz w:val="24"/>
          <w:szCs w:val="24"/>
        </w:rPr>
        <w:t>Adoption of state-of-the art cortical bone modelling in FE workflows</w:t>
      </w:r>
      <w:bookmarkEnd w:id="19"/>
    </w:p>
    <w:p w14:paraId="05D1A050" w14:textId="5608EEDD"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Following a thematic </w:t>
      </w:r>
      <w:r w:rsidR="00A612A9" w:rsidRPr="005369B5">
        <w:rPr>
          <w:rFonts w:ascii="Times New Roman" w:hAnsi="Times New Roman" w:cs="Times New Roman"/>
          <w:sz w:val="24"/>
          <w:szCs w:val="24"/>
        </w:rPr>
        <w:t>categorization</w:t>
      </w:r>
      <w:r w:rsidRPr="005369B5">
        <w:rPr>
          <w:rFonts w:ascii="Times New Roman" w:hAnsi="Times New Roman" w:cs="Times New Roman"/>
          <w:sz w:val="24"/>
          <w:szCs w:val="24"/>
        </w:rPr>
        <w:t xml:space="preserve"> and presentation of recently developed cortical bone material models, this section analyses the ability and extent to which these constitutive models can be integrated into FE workflows. As finite element simulations are minimally used in clinical settings, the scope is broadened to consider models produced in research settings, which are validated through either primary or secondary experimental data. </w:t>
      </w:r>
    </w:p>
    <w:p w14:paraId="43758E33" w14:textId="561B5E21" w:rsidR="00A612A9" w:rsidRDefault="000B031E" w:rsidP="00A612A9">
      <w:pPr>
        <w:jc w:val="both"/>
        <w:rPr>
          <w:rFonts w:ascii="Times New Roman" w:hAnsi="Times New Roman" w:cs="Times New Roman"/>
          <w:sz w:val="24"/>
          <w:szCs w:val="24"/>
        </w:rPr>
      </w:pPr>
      <w:r w:rsidRPr="005369B5">
        <w:rPr>
          <w:rFonts w:ascii="Times New Roman" w:hAnsi="Times New Roman" w:cs="Times New Roman"/>
          <w:sz w:val="24"/>
          <w:szCs w:val="24"/>
        </w:rPr>
        <w:t xml:space="preserve">Considering the studies cited in section 4, </w:t>
      </w:r>
      <w:r w:rsidRPr="005369B5">
        <w:rPr>
          <w:rFonts w:ascii="Times New Roman" w:hAnsi="Times New Roman" w:cs="Times New Roman"/>
          <w:sz w:val="24"/>
          <w:szCs w:val="24"/>
        </w:rPr>
        <w:fldChar w:fldCharType="begin"/>
      </w:r>
      <w:r w:rsidRPr="005369B5">
        <w:rPr>
          <w:rFonts w:ascii="Times New Roman" w:hAnsi="Times New Roman" w:cs="Times New Roman"/>
          <w:sz w:val="24"/>
          <w:szCs w:val="24"/>
        </w:rPr>
        <w:instrText xml:space="preserve"> REF _Ref122055210 \h </w:instrText>
      </w:r>
      <w:r w:rsidR="005369B5" w:rsidRPr="005369B5">
        <w:rPr>
          <w:rFonts w:ascii="Times New Roman" w:hAnsi="Times New Roman" w:cs="Times New Roman"/>
          <w:sz w:val="24"/>
          <w:szCs w:val="24"/>
        </w:rPr>
        <w:instrText xml:space="preserve"> \* MERGEFORMAT </w:instrText>
      </w:r>
      <w:r w:rsidRPr="005369B5">
        <w:rPr>
          <w:rFonts w:ascii="Times New Roman" w:hAnsi="Times New Roman" w:cs="Times New Roman"/>
          <w:sz w:val="24"/>
          <w:szCs w:val="24"/>
        </w:rPr>
      </w:r>
      <w:r w:rsidRPr="005369B5">
        <w:rPr>
          <w:rFonts w:ascii="Times New Roman" w:hAnsi="Times New Roman" w:cs="Times New Roman"/>
          <w:sz w:val="24"/>
          <w:szCs w:val="24"/>
        </w:rPr>
        <w:fldChar w:fldCharType="separate"/>
      </w:r>
      <w:r w:rsidRPr="005369B5">
        <w:rPr>
          <w:rFonts w:ascii="Times New Roman" w:hAnsi="Times New Roman" w:cs="Times New Roman"/>
          <w:sz w:val="24"/>
          <w:szCs w:val="24"/>
        </w:rPr>
        <w:t xml:space="preserve">Table </w:t>
      </w:r>
      <w:r w:rsidRPr="005369B5">
        <w:rPr>
          <w:rFonts w:ascii="Times New Roman" w:hAnsi="Times New Roman" w:cs="Times New Roman"/>
          <w:noProof/>
          <w:sz w:val="24"/>
          <w:szCs w:val="24"/>
        </w:rPr>
        <w:t>4</w:t>
      </w:r>
      <w:r w:rsidRPr="005369B5">
        <w:rPr>
          <w:rFonts w:ascii="Times New Roman" w:hAnsi="Times New Roman" w:cs="Times New Roman"/>
          <w:sz w:val="24"/>
          <w:szCs w:val="24"/>
        </w:rPr>
        <w:fldChar w:fldCharType="end"/>
      </w:r>
      <w:r w:rsidRPr="005369B5">
        <w:rPr>
          <w:rFonts w:ascii="Times New Roman" w:hAnsi="Times New Roman" w:cs="Times New Roman"/>
          <w:sz w:val="24"/>
          <w:szCs w:val="24"/>
        </w:rPr>
        <w:t xml:space="preserve"> identifies the features of material models input into FE simulation based on their level of prevalence and sophistication. As each study is unique in its assumptions, limitations, and proposed advances, they are classified based on the most advanced </w:t>
      </w:r>
      <w:r w:rsidR="00A612A9" w:rsidRPr="005369B5">
        <w:rPr>
          <w:rFonts w:ascii="Times New Roman" w:hAnsi="Times New Roman" w:cs="Times New Roman"/>
          <w:sz w:val="24"/>
          <w:szCs w:val="24"/>
        </w:rPr>
        <w:t>features</w:t>
      </w:r>
      <w:r w:rsidRPr="005369B5">
        <w:rPr>
          <w:rFonts w:ascii="Times New Roman" w:hAnsi="Times New Roman" w:cs="Times New Roman"/>
          <w:sz w:val="24"/>
          <w:szCs w:val="24"/>
        </w:rPr>
        <w:t xml:space="preserve"> they incorporate into FE workflows, even if they contain elements from lower levels of sophistication. Studies previously listed in </w:t>
      </w:r>
      <w:r w:rsidRPr="005369B5">
        <w:rPr>
          <w:rFonts w:ascii="Times New Roman" w:hAnsi="Times New Roman" w:cs="Times New Roman"/>
          <w:sz w:val="24"/>
          <w:szCs w:val="24"/>
        </w:rPr>
        <w:fldChar w:fldCharType="begin"/>
      </w:r>
      <w:r w:rsidRPr="005369B5">
        <w:rPr>
          <w:rFonts w:ascii="Times New Roman" w:hAnsi="Times New Roman" w:cs="Times New Roman"/>
          <w:sz w:val="24"/>
          <w:szCs w:val="24"/>
        </w:rPr>
        <w:instrText xml:space="preserve"> REF _Ref121981829 \h </w:instrText>
      </w:r>
      <w:r w:rsidR="005369B5" w:rsidRPr="005369B5">
        <w:rPr>
          <w:rFonts w:ascii="Times New Roman" w:hAnsi="Times New Roman" w:cs="Times New Roman"/>
          <w:sz w:val="24"/>
          <w:szCs w:val="24"/>
        </w:rPr>
        <w:instrText xml:space="preserve"> \* MERGEFORMAT </w:instrText>
      </w:r>
      <w:r w:rsidRPr="005369B5">
        <w:rPr>
          <w:rFonts w:ascii="Times New Roman" w:hAnsi="Times New Roman" w:cs="Times New Roman"/>
          <w:sz w:val="24"/>
          <w:szCs w:val="24"/>
        </w:rPr>
      </w:r>
      <w:r w:rsidRPr="005369B5">
        <w:rPr>
          <w:rFonts w:ascii="Times New Roman" w:hAnsi="Times New Roman" w:cs="Times New Roman"/>
          <w:sz w:val="24"/>
          <w:szCs w:val="24"/>
        </w:rPr>
        <w:fldChar w:fldCharType="separate"/>
      </w:r>
      <w:r w:rsidRPr="005369B5">
        <w:rPr>
          <w:rFonts w:ascii="Times New Roman" w:hAnsi="Times New Roman" w:cs="Times New Roman"/>
          <w:sz w:val="24"/>
          <w:szCs w:val="24"/>
        </w:rPr>
        <w:t xml:space="preserve">Table </w:t>
      </w:r>
      <w:r w:rsidRPr="005369B5">
        <w:rPr>
          <w:rFonts w:ascii="Times New Roman" w:hAnsi="Times New Roman" w:cs="Times New Roman"/>
          <w:noProof/>
          <w:sz w:val="24"/>
          <w:szCs w:val="24"/>
        </w:rPr>
        <w:t>2</w:t>
      </w:r>
      <w:r w:rsidRPr="005369B5">
        <w:rPr>
          <w:rFonts w:ascii="Times New Roman" w:hAnsi="Times New Roman" w:cs="Times New Roman"/>
          <w:sz w:val="24"/>
          <w:szCs w:val="24"/>
        </w:rPr>
        <w:fldChar w:fldCharType="end"/>
      </w:r>
      <w:r w:rsidRPr="005369B5">
        <w:rPr>
          <w:rFonts w:ascii="Times New Roman" w:hAnsi="Times New Roman" w:cs="Times New Roman"/>
          <w:sz w:val="24"/>
          <w:szCs w:val="24"/>
        </w:rPr>
        <w:t xml:space="preserve"> are included in this analysis only if there is an attempt at constructing an FE model, with full consideration of input assumptions and limitations. </w:t>
      </w:r>
      <w:bookmarkStart w:id="20" w:name="_Ref122055210"/>
      <w:bookmarkStart w:id="21" w:name="_Ref122055196"/>
    </w:p>
    <w:p w14:paraId="641496D0" w14:textId="77777777" w:rsidR="00A612A9" w:rsidRDefault="00A612A9" w:rsidP="00A612A9">
      <w:pPr>
        <w:jc w:val="both"/>
        <w:rPr>
          <w:rFonts w:ascii="Times New Roman" w:hAnsi="Times New Roman" w:cs="Times New Roman"/>
          <w:sz w:val="24"/>
          <w:szCs w:val="24"/>
        </w:rPr>
      </w:pPr>
    </w:p>
    <w:p w14:paraId="7A0CB743" w14:textId="6C63BDCF" w:rsidR="00A612A9" w:rsidRDefault="00A612A9" w:rsidP="00A612A9">
      <w:pPr>
        <w:pStyle w:val="Caption"/>
        <w:keepNext/>
      </w:pPr>
      <w:r>
        <w:t xml:space="preserve">Table </w:t>
      </w:r>
      <w:r>
        <w:fldChar w:fldCharType="begin"/>
      </w:r>
      <w:r>
        <w:instrText xml:space="preserve"> SEQ Table \* ARABIC </w:instrText>
      </w:r>
      <w:r>
        <w:fldChar w:fldCharType="separate"/>
      </w:r>
      <w:r>
        <w:rPr>
          <w:noProof/>
        </w:rPr>
        <w:t>4</w:t>
      </w:r>
      <w:r>
        <w:fldChar w:fldCharType="end"/>
      </w:r>
      <w:r>
        <w:t>. Classification of finite element bone models</w:t>
      </w:r>
    </w:p>
    <w:tbl>
      <w:tblPr>
        <w:tblStyle w:val="GridTable1Light"/>
        <w:tblpPr w:leftFromText="180" w:rightFromText="180" w:vertAnchor="text" w:horzAnchor="margin" w:tblpY="127"/>
        <w:tblW w:w="9665" w:type="dxa"/>
        <w:tblLook w:val="04A0" w:firstRow="1" w:lastRow="0" w:firstColumn="1" w:lastColumn="0" w:noHBand="0" w:noVBand="1"/>
      </w:tblPr>
      <w:tblGrid>
        <w:gridCol w:w="3137"/>
        <w:gridCol w:w="3740"/>
        <w:gridCol w:w="2788"/>
      </w:tblGrid>
      <w:tr w:rsidR="00A612A9" w:rsidRPr="005369B5" w14:paraId="1C1219B6" w14:textId="77777777" w:rsidTr="00A612A9">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3137" w:type="dxa"/>
          </w:tcPr>
          <w:p w14:paraId="1F27CFF6" w14:textId="77777777" w:rsidR="00A612A9" w:rsidRPr="00A612A9" w:rsidRDefault="00A612A9" w:rsidP="00A612A9">
            <w:pPr>
              <w:keepNext/>
              <w:keepLines/>
              <w:spacing w:before="240" w:line="276" w:lineRule="auto"/>
              <w:ind w:left="432"/>
              <w:rPr>
                <w:rFonts w:ascii="Times New Roman" w:hAnsi="Times New Roman" w:cs="Times New Roman"/>
                <w:sz w:val="18"/>
                <w:szCs w:val="18"/>
                <w:lang w:eastAsia="en-GB"/>
              </w:rPr>
            </w:pPr>
            <w:r w:rsidRPr="00A612A9">
              <w:rPr>
                <w:rFonts w:ascii="Times New Roman" w:hAnsi="Times New Roman" w:cs="Times New Roman"/>
                <w:sz w:val="18"/>
                <w:szCs w:val="18"/>
                <w:lang w:eastAsia="en-GB"/>
              </w:rPr>
              <w:t>Prevalence in FE workflow</w:t>
            </w:r>
          </w:p>
        </w:tc>
        <w:tc>
          <w:tcPr>
            <w:tcW w:w="3740" w:type="dxa"/>
          </w:tcPr>
          <w:p w14:paraId="5561D2C1" w14:textId="77777777" w:rsidR="00A612A9" w:rsidRPr="00A612A9" w:rsidRDefault="00A612A9" w:rsidP="00A612A9">
            <w:pPr>
              <w:keepNext/>
              <w:keepLines/>
              <w:spacing w:before="240" w:line="276" w:lineRule="auto"/>
              <w:ind w:left="432"/>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eastAsia="en-GB"/>
              </w:rPr>
            </w:pPr>
            <w:r w:rsidRPr="00A612A9">
              <w:rPr>
                <w:rFonts w:ascii="Times New Roman" w:hAnsi="Times New Roman" w:cs="Times New Roman"/>
                <w:sz w:val="18"/>
                <w:szCs w:val="18"/>
                <w:lang w:eastAsia="en-GB"/>
              </w:rPr>
              <w:t>Material characteristics incorporated</w:t>
            </w:r>
          </w:p>
        </w:tc>
        <w:tc>
          <w:tcPr>
            <w:tcW w:w="2788" w:type="dxa"/>
          </w:tcPr>
          <w:p w14:paraId="24DF0D68" w14:textId="77777777" w:rsidR="00A612A9" w:rsidRPr="00A612A9" w:rsidRDefault="00A612A9" w:rsidP="00A612A9">
            <w:pPr>
              <w:keepNext/>
              <w:keepLines/>
              <w:spacing w:before="240" w:line="276" w:lineRule="auto"/>
              <w:ind w:left="432"/>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eastAsia="en-GB"/>
              </w:rPr>
            </w:pPr>
            <w:r w:rsidRPr="00A612A9">
              <w:rPr>
                <w:rFonts w:ascii="Times New Roman" w:hAnsi="Times New Roman" w:cs="Times New Roman"/>
                <w:sz w:val="18"/>
                <w:szCs w:val="18"/>
                <w:lang w:eastAsia="en-GB"/>
              </w:rPr>
              <w:t>Relevant studies</w:t>
            </w:r>
          </w:p>
        </w:tc>
      </w:tr>
      <w:tr w:rsidR="00A612A9" w:rsidRPr="005369B5" w14:paraId="4B5DE51B" w14:textId="77777777" w:rsidTr="00A612A9">
        <w:trPr>
          <w:trHeight w:val="889"/>
        </w:trPr>
        <w:tc>
          <w:tcPr>
            <w:cnfStyle w:val="001000000000" w:firstRow="0" w:lastRow="0" w:firstColumn="1" w:lastColumn="0" w:oddVBand="0" w:evenVBand="0" w:oddHBand="0" w:evenHBand="0" w:firstRowFirstColumn="0" w:firstRowLastColumn="0" w:lastRowFirstColumn="0" w:lastRowLastColumn="0"/>
            <w:tcW w:w="3137" w:type="dxa"/>
          </w:tcPr>
          <w:p w14:paraId="7D71272A" w14:textId="77777777" w:rsidR="00A612A9" w:rsidRPr="00A612A9" w:rsidRDefault="00A612A9" w:rsidP="00A612A9">
            <w:pPr>
              <w:keepNext/>
              <w:keepLines/>
              <w:spacing w:before="240" w:line="276" w:lineRule="auto"/>
              <w:ind w:left="432"/>
              <w:rPr>
                <w:rFonts w:ascii="Times New Roman" w:hAnsi="Times New Roman" w:cs="Times New Roman"/>
                <w:sz w:val="18"/>
                <w:szCs w:val="18"/>
                <w:lang w:eastAsia="en-GB"/>
              </w:rPr>
            </w:pPr>
            <w:r w:rsidRPr="00A612A9">
              <w:rPr>
                <w:rFonts w:ascii="Times New Roman" w:hAnsi="Times New Roman" w:cs="Times New Roman"/>
                <w:sz w:val="18"/>
                <w:szCs w:val="18"/>
                <w:lang w:eastAsia="en-GB"/>
              </w:rPr>
              <w:t>Level 1</w:t>
            </w:r>
          </w:p>
          <w:p w14:paraId="78F88478" w14:textId="77777777" w:rsidR="00A612A9" w:rsidRPr="00A612A9" w:rsidRDefault="00A612A9" w:rsidP="00A612A9">
            <w:pPr>
              <w:keepNext/>
              <w:keepLines/>
              <w:spacing w:before="240" w:line="276" w:lineRule="auto"/>
              <w:ind w:left="432"/>
              <w:rPr>
                <w:rFonts w:ascii="Times New Roman" w:hAnsi="Times New Roman" w:cs="Times New Roman"/>
                <w:b w:val="0"/>
                <w:bCs w:val="0"/>
                <w:sz w:val="18"/>
                <w:szCs w:val="18"/>
                <w:lang w:eastAsia="en-GB"/>
              </w:rPr>
            </w:pPr>
            <w:r w:rsidRPr="00A612A9">
              <w:rPr>
                <w:rFonts w:ascii="Times New Roman" w:hAnsi="Times New Roman" w:cs="Times New Roman"/>
                <w:b w:val="0"/>
                <w:bCs w:val="0"/>
                <w:sz w:val="18"/>
                <w:szCs w:val="18"/>
                <w:lang w:eastAsia="en-GB"/>
              </w:rPr>
              <w:t>Ubiquitous, found in baseline standard FE model</w:t>
            </w:r>
          </w:p>
        </w:tc>
        <w:tc>
          <w:tcPr>
            <w:tcW w:w="3740" w:type="dxa"/>
          </w:tcPr>
          <w:p w14:paraId="70FEE681" w14:textId="77777777" w:rsidR="00A612A9" w:rsidRPr="00A612A9" w:rsidRDefault="00A612A9" w:rsidP="00A612A9">
            <w:pPr>
              <w:pStyle w:val="ListParagraph"/>
              <w:numPr>
                <w:ilvl w:val="0"/>
                <w:numId w:val="5"/>
              </w:num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eastAsia="en-GB"/>
              </w:rPr>
            </w:pPr>
            <w:r w:rsidRPr="00A612A9">
              <w:rPr>
                <w:rFonts w:ascii="Times New Roman" w:hAnsi="Times New Roman" w:cs="Times New Roman"/>
                <w:sz w:val="18"/>
                <w:szCs w:val="18"/>
                <w:lang w:eastAsia="en-GB"/>
              </w:rPr>
              <w:t>Linear elasticity</w:t>
            </w:r>
          </w:p>
          <w:p w14:paraId="7DDDC6E4" w14:textId="77777777" w:rsidR="00A612A9" w:rsidRPr="00A612A9" w:rsidRDefault="00A612A9" w:rsidP="00A612A9">
            <w:pPr>
              <w:pStyle w:val="ListParagraph"/>
              <w:numPr>
                <w:ilvl w:val="0"/>
                <w:numId w:val="5"/>
              </w:num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eastAsia="en-GB"/>
              </w:rPr>
            </w:pPr>
            <w:r w:rsidRPr="00A612A9">
              <w:rPr>
                <w:rFonts w:ascii="Times New Roman" w:hAnsi="Times New Roman" w:cs="Times New Roman"/>
                <w:sz w:val="18"/>
                <w:szCs w:val="18"/>
                <w:lang w:eastAsia="en-GB"/>
              </w:rPr>
              <w:t>Heterogenous bone density mapping</w:t>
            </w:r>
          </w:p>
          <w:p w14:paraId="4024058D" w14:textId="77777777" w:rsidR="00A612A9" w:rsidRPr="00A612A9" w:rsidRDefault="00A612A9" w:rsidP="00A612A9">
            <w:pPr>
              <w:pStyle w:val="ListParagraph"/>
              <w:numPr>
                <w:ilvl w:val="0"/>
                <w:numId w:val="5"/>
              </w:num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eastAsia="en-GB"/>
              </w:rPr>
            </w:pPr>
            <w:r w:rsidRPr="00A612A9">
              <w:rPr>
                <w:rFonts w:ascii="Times New Roman" w:hAnsi="Times New Roman" w:cs="Times New Roman"/>
                <w:sz w:val="18"/>
                <w:szCs w:val="18"/>
                <w:lang w:eastAsia="en-GB"/>
              </w:rPr>
              <w:t>Isotropic material property assignment</w:t>
            </w:r>
          </w:p>
          <w:p w14:paraId="40F5BB47" w14:textId="77777777" w:rsidR="00A612A9" w:rsidRPr="00A612A9" w:rsidRDefault="00A612A9" w:rsidP="00A612A9">
            <w:pPr>
              <w:pStyle w:val="ListParagraph"/>
              <w:numPr>
                <w:ilvl w:val="0"/>
                <w:numId w:val="5"/>
              </w:num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eastAsia="en-GB"/>
              </w:rPr>
            </w:pPr>
            <w:r w:rsidRPr="00A612A9">
              <w:rPr>
                <w:rFonts w:ascii="Times New Roman" w:hAnsi="Times New Roman" w:cs="Times New Roman"/>
                <w:sz w:val="18"/>
                <w:szCs w:val="18"/>
                <w:lang w:eastAsia="en-GB"/>
              </w:rPr>
              <w:t>Consideration of damage</w:t>
            </w:r>
          </w:p>
        </w:tc>
        <w:tc>
          <w:tcPr>
            <w:tcW w:w="2788" w:type="dxa"/>
          </w:tcPr>
          <w:p w14:paraId="2E1E7074" w14:textId="77777777" w:rsidR="00A612A9" w:rsidRPr="00A612A9" w:rsidRDefault="00A612A9" w:rsidP="00A612A9">
            <w:pPr>
              <w:keepNext/>
              <w:keepLines/>
              <w:spacing w:before="240" w:line="276" w:lineRule="auto"/>
              <w:ind w:left="43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eastAsia="en-GB"/>
              </w:rPr>
            </w:pPr>
            <w:r w:rsidRPr="00A612A9">
              <w:rPr>
                <w:rFonts w:ascii="Times New Roman" w:hAnsi="Times New Roman" w:cs="Times New Roman"/>
                <w:sz w:val="18"/>
                <w:szCs w:val="18"/>
                <w:lang w:eastAsia="en-GB"/>
              </w:rPr>
              <w:t>Shokry et al. [46]</w:t>
            </w:r>
          </w:p>
          <w:p w14:paraId="60CCEDED" w14:textId="77777777" w:rsidR="00A612A9" w:rsidRPr="00A612A9" w:rsidRDefault="00A612A9" w:rsidP="00A612A9">
            <w:pPr>
              <w:keepNext/>
              <w:keepLines/>
              <w:spacing w:before="240" w:line="276" w:lineRule="auto"/>
              <w:ind w:left="43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eastAsia="en-GB"/>
              </w:rPr>
            </w:pPr>
            <w:r w:rsidRPr="00A612A9">
              <w:rPr>
                <w:rFonts w:ascii="Times New Roman" w:hAnsi="Times New Roman" w:cs="Times New Roman"/>
                <w:sz w:val="18"/>
                <w:szCs w:val="18"/>
                <w:lang w:eastAsia="en-GB"/>
              </w:rPr>
              <w:t>Dapaah et al. [48]</w:t>
            </w:r>
          </w:p>
          <w:p w14:paraId="30D08A7F" w14:textId="77777777" w:rsidR="00A612A9" w:rsidRPr="00A612A9" w:rsidRDefault="00A612A9" w:rsidP="00A612A9">
            <w:pPr>
              <w:keepNext/>
              <w:keepLines/>
              <w:spacing w:before="240" w:line="276" w:lineRule="auto"/>
              <w:ind w:left="43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eastAsia="en-GB"/>
              </w:rPr>
            </w:pPr>
            <w:r w:rsidRPr="00A612A9">
              <w:rPr>
                <w:rFonts w:ascii="Times New Roman" w:hAnsi="Times New Roman" w:cs="Times New Roman"/>
                <w:sz w:val="18"/>
                <w:szCs w:val="18"/>
                <w:lang w:eastAsia="en-GB"/>
              </w:rPr>
              <w:t>Sansalone et al. [31]</w:t>
            </w:r>
          </w:p>
        </w:tc>
      </w:tr>
      <w:tr w:rsidR="00A612A9" w:rsidRPr="005369B5" w14:paraId="4AD5A8C5" w14:textId="77777777" w:rsidTr="00A612A9">
        <w:trPr>
          <w:trHeight w:val="714"/>
        </w:trPr>
        <w:tc>
          <w:tcPr>
            <w:cnfStyle w:val="001000000000" w:firstRow="0" w:lastRow="0" w:firstColumn="1" w:lastColumn="0" w:oddVBand="0" w:evenVBand="0" w:oddHBand="0" w:evenHBand="0" w:firstRowFirstColumn="0" w:firstRowLastColumn="0" w:lastRowFirstColumn="0" w:lastRowLastColumn="0"/>
            <w:tcW w:w="3137" w:type="dxa"/>
          </w:tcPr>
          <w:p w14:paraId="6C2B14C6" w14:textId="77777777" w:rsidR="00A612A9" w:rsidRPr="00A612A9" w:rsidRDefault="00A612A9" w:rsidP="00A612A9">
            <w:pPr>
              <w:keepNext/>
              <w:keepLines/>
              <w:spacing w:before="240" w:line="276" w:lineRule="auto"/>
              <w:ind w:left="432"/>
              <w:rPr>
                <w:rFonts w:ascii="Times New Roman" w:hAnsi="Times New Roman" w:cs="Times New Roman"/>
                <w:sz w:val="18"/>
                <w:szCs w:val="18"/>
                <w:lang w:eastAsia="en-GB"/>
              </w:rPr>
            </w:pPr>
            <w:r w:rsidRPr="00A612A9">
              <w:rPr>
                <w:rFonts w:ascii="Times New Roman" w:hAnsi="Times New Roman" w:cs="Times New Roman"/>
                <w:sz w:val="18"/>
                <w:szCs w:val="18"/>
                <w:lang w:eastAsia="en-GB"/>
              </w:rPr>
              <w:t>Level 2</w:t>
            </w:r>
          </w:p>
          <w:p w14:paraId="4BC8D336" w14:textId="77777777" w:rsidR="00A612A9" w:rsidRPr="00A612A9" w:rsidRDefault="00A612A9" w:rsidP="00A612A9">
            <w:pPr>
              <w:keepNext/>
              <w:keepLines/>
              <w:spacing w:before="240" w:line="276" w:lineRule="auto"/>
              <w:ind w:left="432"/>
              <w:rPr>
                <w:rFonts w:ascii="Times New Roman" w:hAnsi="Times New Roman" w:cs="Times New Roman"/>
                <w:b w:val="0"/>
                <w:bCs w:val="0"/>
                <w:sz w:val="18"/>
                <w:szCs w:val="18"/>
                <w:lang w:eastAsia="en-GB"/>
              </w:rPr>
            </w:pPr>
            <w:r w:rsidRPr="00A612A9">
              <w:rPr>
                <w:rFonts w:ascii="Times New Roman" w:hAnsi="Times New Roman" w:cs="Times New Roman"/>
                <w:b w:val="0"/>
                <w:bCs w:val="0"/>
                <w:sz w:val="18"/>
                <w:szCs w:val="18"/>
                <w:lang w:eastAsia="en-GB"/>
              </w:rPr>
              <w:t>Emerging, found in state-of-the-art advanced FE simulations</w:t>
            </w:r>
          </w:p>
        </w:tc>
        <w:tc>
          <w:tcPr>
            <w:tcW w:w="3740" w:type="dxa"/>
          </w:tcPr>
          <w:p w14:paraId="725B8C04" w14:textId="77777777" w:rsidR="00A612A9" w:rsidRPr="00A612A9" w:rsidRDefault="00A612A9" w:rsidP="00A612A9">
            <w:pPr>
              <w:pStyle w:val="ListParagraph"/>
              <w:numPr>
                <w:ilvl w:val="0"/>
                <w:numId w:val="6"/>
              </w:num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eastAsia="en-GB"/>
              </w:rPr>
            </w:pPr>
            <w:r w:rsidRPr="00A612A9">
              <w:rPr>
                <w:rFonts w:ascii="Times New Roman" w:hAnsi="Times New Roman" w:cs="Times New Roman"/>
                <w:sz w:val="18"/>
                <w:szCs w:val="18"/>
                <w:lang w:eastAsia="en-GB"/>
              </w:rPr>
              <w:t>Plasticity</w:t>
            </w:r>
          </w:p>
          <w:p w14:paraId="3D1767A5" w14:textId="77777777" w:rsidR="00A612A9" w:rsidRPr="00A612A9" w:rsidRDefault="00A612A9" w:rsidP="00A612A9">
            <w:pPr>
              <w:pStyle w:val="ListParagraph"/>
              <w:numPr>
                <w:ilvl w:val="0"/>
                <w:numId w:val="6"/>
              </w:num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eastAsia="en-GB"/>
              </w:rPr>
            </w:pPr>
            <w:r w:rsidRPr="00A612A9">
              <w:rPr>
                <w:rFonts w:ascii="Times New Roman" w:hAnsi="Times New Roman" w:cs="Times New Roman"/>
                <w:sz w:val="18"/>
                <w:szCs w:val="18"/>
                <w:lang w:eastAsia="en-GB"/>
              </w:rPr>
              <w:t xml:space="preserve">Orthotropy </w:t>
            </w:r>
          </w:p>
          <w:p w14:paraId="45EFF7E3" w14:textId="77777777" w:rsidR="00A612A9" w:rsidRPr="00A612A9" w:rsidRDefault="00A612A9" w:rsidP="00A612A9">
            <w:pPr>
              <w:pStyle w:val="ListParagraph"/>
              <w:numPr>
                <w:ilvl w:val="0"/>
                <w:numId w:val="6"/>
              </w:num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eastAsia="en-GB"/>
              </w:rPr>
            </w:pPr>
            <w:r w:rsidRPr="00A612A9">
              <w:rPr>
                <w:rFonts w:ascii="Times New Roman" w:hAnsi="Times New Roman" w:cs="Times New Roman"/>
                <w:sz w:val="18"/>
                <w:szCs w:val="18"/>
                <w:lang w:eastAsia="en-GB"/>
              </w:rPr>
              <w:t>Viscosity</w:t>
            </w:r>
          </w:p>
          <w:p w14:paraId="22059C3A" w14:textId="77777777" w:rsidR="00A612A9" w:rsidRPr="00A612A9" w:rsidRDefault="00A612A9" w:rsidP="00A612A9">
            <w:pPr>
              <w:keepNext/>
              <w:keepLines/>
              <w:spacing w:before="240" w:line="276" w:lineRule="auto"/>
              <w:ind w:left="43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eastAsia="en-GB"/>
              </w:rPr>
            </w:pPr>
          </w:p>
        </w:tc>
        <w:tc>
          <w:tcPr>
            <w:tcW w:w="2788" w:type="dxa"/>
          </w:tcPr>
          <w:p w14:paraId="4C4731F7" w14:textId="77777777" w:rsidR="00A612A9" w:rsidRPr="00A612A9" w:rsidRDefault="00A612A9" w:rsidP="00A612A9">
            <w:pPr>
              <w:keepNext/>
              <w:keepLines/>
              <w:spacing w:before="240" w:line="276" w:lineRule="auto"/>
              <w:ind w:left="43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eastAsia="en-GB"/>
              </w:rPr>
            </w:pPr>
            <w:r w:rsidRPr="00A612A9">
              <w:rPr>
                <w:rFonts w:ascii="Times New Roman" w:hAnsi="Times New Roman" w:cs="Times New Roman"/>
                <w:sz w:val="18"/>
                <w:szCs w:val="18"/>
                <w:lang w:eastAsia="en-GB"/>
              </w:rPr>
              <w:t xml:space="preserve">Remache </w:t>
            </w:r>
            <w:proofErr w:type="gramStart"/>
            <w:r w:rsidRPr="00A612A9">
              <w:rPr>
                <w:rFonts w:ascii="Times New Roman" w:hAnsi="Times New Roman" w:cs="Times New Roman"/>
                <w:sz w:val="18"/>
                <w:szCs w:val="18"/>
                <w:lang w:eastAsia="en-GB"/>
              </w:rPr>
              <w:t>et al.[</w:t>
            </w:r>
            <w:proofErr w:type="gramEnd"/>
            <w:r w:rsidRPr="00A612A9">
              <w:rPr>
                <w:rFonts w:ascii="Times New Roman" w:hAnsi="Times New Roman" w:cs="Times New Roman"/>
                <w:sz w:val="18"/>
                <w:szCs w:val="18"/>
                <w:lang w:eastAsia="en-GB"/>
              </w:rPr>
              <w:t>45]</w:t>
            </w:r>
          </w:p>
          <w:p w14:paraId="6254A2DA" w14:textId="77777777" w:rsidR="00A612A9" w:rsidRPr="00A612A9" w:rsidRDefault="00A612A9" w:rsidP="00A612A9">
            <w:pPr>
              <w:keepNext/>
              <w:keepLines/>
              <w:spacing w:before="240" w:line="276" w:lineRule="auto"/>
              <w:ind w:left="43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eastAsia="en-GB"/>
              </w:rPr>
            </w:pPr>
            <w:proofErr w:type="spellStart"/>
            <w:r w:rsidRPr="00A612A9">
              <w:rPr>
                <w:rFonts w:ascii="Times New Roman" w:hAnsi="Times New Roman" w:cs="Times New Roman"/>
                <w:sz w:val="18"/>
                <w:szCs w:val="18"/>
                <w:lang w:eastAsia="en-GB"/>
              </w:rPr>
              <w:t>Kraiem</w:t>
            </w:r>
            <w:proofErr w:type="spellEnd"/>
            <w:r w:rsidRPr="00A612A9">
              <w:rPr>
                <w:rFonts w:ascii="Times New Roman" w:hAnsi="Times New Roman" w:cs="Times New Roman"/>
                <w:sz w:val="18"/>
                <w:szCs w:val="18"/>
                <w:lang w:eastAsia="en-GB"/>
              </w:rPr>
              <w:t xml:space="preserve"> et al. [44]</w:t>
            </w:r>
          </w:p>
          <w:p w14:paraId="63F86208" w14:textId="77777777" w:rsidR="00A612A9" w:rsidRPr="00A612A9" w:rsidRDefault="00A612A9" w:rsidP="00A612A9">
            <w:pPr>
              <w:keepNext/>
              <w:keepLines/>
              <w:spacing w:before="240" w:line="276" w:lineRule="auto"/>
              <w:ind w:left="43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eastAsia="en-GB"/>
              </w:rPr>
            </w:pPr>
            <w:r w:rsidRPr="00A612A9">
              <w:rPr>
                <w:rFonts w:ascii="Times New Roman" w:hAnsi="Times New Roman" w:cs="Times New Roman"/>
                <w:sz w:val="18"/>
                <w:szCs w:val="18"/>
                <w:lang w:eastAsia="en-GB"/>
              </w:rPr>
              <w:t>Gustafsson et al. [43]</w:t>
            </w:r>
          </w:p>
        </w:tc>
      </w:tr>
      <w:tr w:rsidR="00A612A9" w:rsidRPr="005369B5" w14:paraId="0DAC5A0C" w14:textId="77777777" w:rsidTr="00A612A9">
        <w:trPr>
          <w:trHeight w:val="841"/>
        </w:trPr>
        <w:tc>
          <w:tcPr>
            <w:cnfStyle w:val="001000000000" w:firstRow="0" w:lastRow="0" w:firstColumn="1" w:lastColumn="0" w:oddVBand="0" w:evenVBand="0" w:oddHBand="0" w:evenHBand="0" w:firstRowFirstColumn="0" w:firstRowLastColumn="0" w:lastRowFirstColumn="0" w:lastRowLastColumn="0"/>
            <w:tcW w:w="3137" w:type="dxa"/>
          </w:tcPr>
          <w:p w14:paraId="01B85B92" w14:textId="77777777" w:rsidR="00A612A9" w:rsidRPr="00A612A9" w:rsidRDefault="00A612A9" w:rsidP="00A612A9">
            <w:pPr>
              <w:keepNext/>
              <w:keepLines/>
              <w:spacing w:before="240" w:line="276" w:lineRule="auto"/>
              <w:ind w:left="432"/>
              <w:rPr>
                <w:rFonts w:ascii="Times New Roman" w:hAnsi="Times New Roman" w:cs="Times New Roman"/>
                <w:sz w:val="18"/>
                <w:szCs w:val="18"/>
                <w:lang w:eastAsia="en-GB"/>
              </w:rPr>
            </w:pPr>
            <w:r w:rsidRPr="00A612A9">
              <w:rPr>
                <w:rFonts w:ascii="Times New Roman" w:hAnsi="Times New Roman" w:cs="Times New Roman"/>
                <w:sz w:val="18"/>
                <w:szCs w:val="18"/>
                <w:lang w:eastAsia="en-GB"/>
              </w:rPr>
              <w:t>Level 3</w:t>
            </w:r>
          </w:p>
          <w:p w14:paraId="189DA6E4" w14:textId="77777777" w:rsidR="00A612A9" w:rsidRPr="00A612A9" w:rsidRDefault="00A612A9" w:rsidP="00A612A9">
            <w:pPr>
              <w:keepNext/>
              <w:keepLines/>
              <w:spacing w:before="240" w:line="276" w:lineRule="auto"/>
              <w:ind w:left="432"/>
              <w:rPr>
                <w:rFonts w:ascii="Times New Roman" w:hAnsi="Times New Roman" w:cs="Times New Roman"/>
                <w:b w:val="0"/>
                <w:bCs w:val="0"/>
                <w:sz w:val="18"/>
                <w:szCs w:val="18"/>
                <w:lang w:eastAsia="en-GB"/>
              </w:rPr>
            </w:pPr>
            <w:r w:rsidRPr="00A612A9">
              <w:rPr>
                <w:rFonts w:ascii="Times New Roman" w:hAnsi="Times New Roman" w:cs="Times New Roman"/>
                <w:b w:val="0"/>
                <w:bCs w:val="0"/>
                <w:sz w:val="18"/>
                <w:szCs w:val="18"/>
                <w:lang w:eastAsia="en-GB"/>
              </w:rPr>
              <w:t>Typically restricted to material modelling and seldom found in FE simulation</w:t>
            </w:r>
          </w:p>
        </w:tc>
        <w:tc>
          <w:tcPr>
            <w:tcW w:w="3740" w:type="dxa"/>
          </w:tcPr>
          <w:p w14:paraId="73182ACE" w14:textId="77777777" w:rsidR="00A612A9" w:rsidRPr="00A612A9" w:rsidRDefault="00A612A9" w:rsidP="00A612A9">
            <w:pPr>
              <w:pStyle w:val="ListParagraph"/>
              <w:numPr>
                <w:ilvl w:val="0"/>
                <w:numId w:val="7"/>
              </w:num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eastAsia="en-GB"/>
              </w:rPr>
            </w:pPr>
            <w:r w:rsidRPr="00A612A9">
              <w:rPr>
                <w:rFonts w:ascii="Times New Roman" w:hAnsi="Times New Roman" w:cs="Times New Roman"/>
                <w:sz w:val="18"/>
                <w:szCs w:val="18"/>
                <w:lang w:eastAsia="en-GB"/>
              </w:rPr>
              <w:t>Bone remodelling</w:t>
            </w:r>
          </w:p>
          <w:p w14:paraId="012F179A" w14:textId="77777777" w:rsidR="00A612A9" w:rsidRPr="00A612A9" w:rsidRDefault="00A612A9" w:rsidP="00A612A9">
            <w:pPr>
              <w:pStyle w:val="ListParagraph"/>
              <w:numPr>
                <w:ilvl w:val="0"/>
                <w:numId w:val="7"/>
              </w:num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eastAsia="en-GB"/>
              </w:rPr>
            </w:pPr>
            <w:r w:rsidRPr="00A612A9">
              <w:rPr>
                <w:rFonts w:ascii="Times New Roman" w:hAnsi="Times New Roman" w:cs="Times New Roman"/>
                <w:sz w:val="18"/>
                <w:szCs w:val="18"/>
                <w:lang w:eastAsia="en-GB"/>
              </w:rPr>
              <w:t>Fatigue</w:t>
            </w:r>
          </w:p>
          <w:p w14:paraId="06A91EAE" w14:textId="77777777" w:rsidR="00A612A9" w:rsidRPr="00A612A9" w:rsidRDefault="00A612A9" w:rsidP="00A612A9">
            <w:pPr>
              <w:pStyle w:val="ListParagraph"/>
              <w:numPr>
                <w:ilvl w:val="0"/>
                <w:numId w:val="7"/>
              </w:num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eastAsia="en-GB"/>
              </w:rPr>
            </w:pPr>
            <w:r w:rsidRPr="00A612A9">
              <w:rPr>
                <w:rFonts w:ascii="Times New Roman" w:hAnsi="Times New Roman" w:cs="Times New Roman"/>
                <w:sz w:val="18"/>
                <w:szCs w:val="18"/>
                <w:lang w:eastAsia="en-GB"/>
              </w:rPr>
              <w:t>Sub-macroscale characterisation of microarchitecture</w:t>
            </w:r>
          </w:p>
        </w:tc>
        <w:tc>
          <w:tcPr>
            <w:tcW w:w="2788" w:type="dxa"/>
          </w:tcPr>
          <w:p w14:paraId="210AA160" w14:textId="77777777" w:rsidR="00A612A9" w:rsidRPr="00A612A9" w:rsidRDefault="00A612A9" w:rsidP="00A612A9">
            <w:pPr>
              <w:keepNext/>
              <w:keepLines/>
              <w:spacing w:before="240" w:line="276" w:lineRule="auto"/>
              <w:ind w:left="43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eastAsia="en-GB"/>
              </w:rPr>
            </w:pPr>
            <w:proofErr w:type="spellStart"/>
            <w:r w:rsidRPr="00A612A9">
              <w:rPr>
                <w:rFonts w:ascii="Times New Roman" w:hAnsi="Times New Roman" w:cs="Times New Roman"/>
                <w:sz w:val="18"/>
                <w:szCs w:val="18"/>
                <w:lang w:eastAsia="en-GB"/>
              </w:rPr>
              <w:t>Barkaoui</w:t>
            </w:r>
            <w:proofErr w:type="spellEnd"/>
            <w:r w:rsidRPr="00A612A9">
              <w:rPr>
                <w:rFonts w:ascii="Times New Roman" w:hAnsi="Times New Roman" w:cs="Times New Roman"/>
                <w:sz w:val="18"/>
                <w:szCs w:val="18"/>
                <w:lang w:eastAsia="en-GB"/>
              </w:rPr>
              <w:t xml:space="preserve"> et al. [27]</w:t>
            </w:r>
          </w:p>
          <w:p w14:paraId="2FDDACA3" w14:textId="77777777" w:rsidR="00A612A9" w:rsidRPr="00A612A9" w:rsidRDefault="00A612A9" w:rsidP="00A612A9">
            <w:pPr>
              <w:keepNext/>
              <w:keepLines/>
              <w:spacing w:before="240" w:line="276" w:lineRule="auto"/>
              <w:ind w:left="43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eastAsia="en-GB"/>
              </w:rPr>
            </w:pPr>
            <w:proofErr w:type="spellStart"/>
            <w:r w:rsidRPr="00A612A9">
              <w:rPr>
                <w:rFonts w:ascii="Times New Roman" w:hAnsi="Times New Roman" w:cs="Times New Roman"/>
                <w:sz w:val="18"/>
                <w:szCs w:val="18"/>
                <w:lang w:eastAsia="en-GB"/>
              </w:rPr>
              <w:t>Idkaidek</w:t>
            </w:r>
            <w:proofErr w:type="spellEnd"/>
            <w:r w:rsidRPr="00A612A9">
              <w:rPr>
                <w:rFonts w:ascii="Times New Roman" w:hAnsi="Times New Roman" w:cs="Times New Roman"/>
                <w:sz w:val="18"/>
                <w:szCs w:val="18"/>
                <w:lang w:eastAsia="en-GB"/>
              </w:rPr>
              <w:t xml:space="preserve"> et al. [38]</w:t>
            </w:r>
          </w:p>
          <w:p w14:paraId="6634ABB6" w14:textId="77777777" w:rsidR="00A612A9" w:rsidRPr="00A612A9" w:rsidRDefault="00A612A9" w:rsidP="00A612A9">
            <w:pPr>
              <w:keepNext/>
              <w:keepLines/>
              <w:spacing w:before="240" w:line="276" w:lineRule="auto"/>
              <w:ind w:left="43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eastAsia="en-GB"/>
              </w:rPr>
            </w:pPr>
          </w:p>
        </w:tc>
      </w:tr>
    </w:tbl>
    <w:bookmarkEnd w:id="20"/>
    <w:bookmarkEnd w:id="21"/>
    <w:p w14:paraId="1BD65C5F" w14:textId="406EF491"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lastRenderedPageBreak/>
        <w:t xml:space="preserve">It is worth noting that studies often cite processing power and FE software-specific constraints [60,24] as the rationale for simplifying FE input parameters, as opposed to a deficiency in constitutive modelling capabilities resulting from insufficient mechanistic understanding. Indeed, a combination of fine meshing, anisotropic material properties and consideration of complex damage functions can be unfeasible particularly at the macroscale. A proposed compromise between simplistic FE simulation and computational cost [48] is to define regions of interest within the model, thereby gaining a fuller albeit </w:t>
      </w:r>
      <w:r w:rsidR="00A612A9" w:rsidRPr="005369B5">
        <w:rPr>
          <w:rFonts w:ascii="Times New Roman" w:hAnsi="Times New Roman" w:cs="Times New Roman"/>
          <w:sz w:val="24"/>
          <w:szCs w:val="24"/>
        </w:rPr>
        <w:t>localized</w:t>
      </w:r>
      <w:r w:rsidRPr="005369B5">
        <w:rPr>
          <w:rFonts w:ascii="Times New Roman" w:hAnsi="Times New Roman" w:cs="Times New Roman"/>
          <w:sz w:val="24"/>
          <w:szCs w:val="24"/>
        </w:rPr>
        <w:t xml:space="preserve"> insight into material response. </w:t>
      </w:r>
    </w:p>
    <w:p w14:paraId="09A258FE" w14:textId="53D6B78A"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Lenaerts et al. [20] provides several examples evidencing the commonplace </w:t>
      </w:r>
      <w:r w:rsidR="00A612A9" w:rsidRPr="005369B5">
        <w:rPr>
          <w:rFonts w:ascii="Times New Roman" w:hAnsi="Times New Roman" w:cs="Times New Roman"/>
          <w:sz w:val="24"/>
          <w:szCs w:val="24"/>
        </w:rPr>
        <w:t>practice</w:t>
      </w:r>
      <w:r w:rsidRPr="005369B5">
        <w:rPr>
          <w:rFonts w:ascii="Times New Roman" w:hAnsi="Times New Roman" w:cs="Times New Roman"/>
          <w:sz w:val="24"/>
          <w:szCs w:val="24"/>
        </w:rPr>
        <w:t xml:space="preserve"> of generating FE simulations based on isotropic and heterogenous constitutive modelling. Such an approach does not preclude patient-specific bone mineral density mapping. However, a limiting factor is the lack of acknowledgement of the microstructural factors that lead to bone anisotropy. Even in instances where it is computationally feasible to simulate anisotropy, </w:t>
      </w:r>
      <w:r w:rsidR="00A612A9" w:rsidRPr="005369B5">
        <w:rPr>
          <w:rFonts w:ascii="Times New Roman" w:hAnsi="Times New Roman" w:cs="Times New Roman"/>
          <w:sz w:val="24"/>
          <w:szCs w:val="24"/>
        </w:rPr>
        <w:t>most</w:t>
      </w:r>
      <w:r w:rsidRPr="005369B5">
        <w:rPr>
          <w:rFonts w:ascii="Times New Roman" w:hAnsi="Times New Roman" w:cs="Times New Roman"/>
          <w:sz w:val="24"/>
          <w:szCs w:val="24"/>
        </w:rPr>
        <w:t xml:space="preserve"> studies either fail to account for local variation by using global values or determine parameters through in vitro techniques that cannot be replicated in vivo. A dearth of research into the optimal modelling of anisotropy in patient-specific FE has thus likely necessitated the simplifications and assumptions made in studies.   </w:t>
      </w:r>
    </w:p>
    <w:p w14:paraId="343CCFC2" w14:textId="77777777"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Sporadically, novel methodology is used to achieve greater sophistication in FE models. </w:t>
      </w:r>
      <w:proofErr w:type="spellStart"/>
      <w:r w:rsidRPr="005369B5">
        <w:rPr>
          <w:rFonts w:ascii="Times New Roman" w:hAnsi="Times New Roman" w:cs="Times New Roman"/>
          <w:sz w:val="24"/>
          <w:szCs w:val="24"/>
        </w:rPr>
        <w:t>Barkaoui</w:t>
      </w:r>
      <w:proofErr w:type="spellEnd"/>
      <w:r w:rsidRPr="005369B5">
        <w:rPr>
          <w:rFonts w:ascii="Times New Roman" w:hAnsi="Times New Roman" w:cs="Times New Roman"/>
          <w:sz w:val="24"/>
          <w:szCs w:val="24"/>
        </w:rPr>
        <w:t xml:space="preserve"> et al. [27] attempt to use a multi-scale approach which starts from nanoscale FE of collagen microfibrils. Using a neural network, the elastic properties at the nanoscale are obtained and then incorporated using homogenization techniques into subsequently higher length scales eventually representing the cortical tissue itself. While the authors were able to successfully demonstrate the validity of their approach against prior literature, this holds true exclusively in the linear elastic regime. </w:t>
      </w:r>
      <w:proofErr w:type="spellStart"/>
      <w:r w:rsidRPr="005369B5">
        <w:rPr>
          <w:rFonts w:ascii="Times New Roman" w:hAnsi="Times New Roman" w:cs="Times New Roman"/>
          <w:sz w:val="24"/>
          <w:szCs w:val="24"/>
        </w:rPr>
        <w:t>Idkaidek</w:t>
      </w:r>
      <w:proofErr w:type="spellEnd"/>
      <w:r w:rsidRPr="005369B5">
        <w:rPr>
          <w:rFonts w:ascii="Times New Roman" w:hAnsi="Times New Roman" w:cs="Times New Roman"/>
          <w:sz w:val="24"/>
          <w:szCs w:val="24"/>
        </w:rPr>
        <w:t xml:space="preserve"> et al. [38] similarly develop an osteon level 2D </w:t>
      </w:r>
      <w:proofErr w:type="spellStart"/>
      <w:r w:rsidRPr="005369B5">
        <w:rPr>
          <w:rFonts w:ascii="Times New Roman" w:hAnsi="Times New Roman" w:cs="Times New Roman"/>
          <w:sz w:val="24"/>
          <w:szCs w:val="24"/>
        </w:rPr>
        <w:t>xFEM</w:t>
      </w:r>
      <w:proofErr w:type="spellEnd"/>
      <w:r w:rsidRPr="005369B5">
        <w:rPr>
          <w:rFonts w:ascii="Times New Roman" w:hAnsi="Times New Roman" w:cs="Times New Roman"/>
          <w:sz w:val="24"/>
          <w:szCs w:val="24"/>
        </w:rPr>
        <w:t xml:space="preserve"> simulation which although individually modelled as linearly elastic and isotropic at the micro-scale, could yield anisotropic insight when scaled up. However, due to the granular initial scale, the authors had to limit their study to four osteons for feasible simulation times, therefore potentially losing accuracy in reflecting in-vivo cortical tissue conditions. </w:t>
      </w:r>
    </w:p>
    <w:p w14:paraId="1BFB03E5" w14:textId="647E77B1"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A 2020 study by </w:t>
      </w:r>
      <w:proofErr w:type="spellStart"/>
      <w:r w:rsidRPr="005369B5">
        <w:rPr>
          <w:rFonts w:ascii="Times New Roman" w:hAnsi="Times New Roman" w:cs="Times New Roman"/>
          <w:sz w:val="24"/>
          <w:szCs w:val="24"/>
        </w:rPr>
        <w:t>Kraiem</w:t>
      </w:r>
      <w:proofErr w:type="spellEnd"/>
      <w:r w:rsidRPr="005369B5">
        <w:rPr>
          <w:rFonts w:ascii="Times New Roman" w:hAnsi="Times New Roman" w:cs="Times New Roman"/>
          <w:sz w:val="24"/>
          <w:szCs w:val="24"/>
        </w:rPr>
        <w:t xml:space="preserve"> et al. [44] is particularly noteworthy given that it combines multiple level 2 features including viscosity, plastic theory, continuum damage, porous </w:t>
      </w:r>
      <w:proofErr w:type="gramStart"/>
      <w:r w:rsidRPr="005369B5">
        <w:rPr>
          <w:rFonts w:ascii="Times New Roman" w:hAnsi="Times New Roman" w:cs="Times New Roman"/>
          <w:sz w:val="24"/>
          <w:szCs w:val="24"/>
        </w:rPr>
        <w:t>elasticity</w:t>
      </w:r>
      <w:proofErr w:type="gramEnd"/>
      <w:r w:rsidRPr="005369B5">
        <w:rPr>
          <w:rFonts w:ascii="Times New Roman" w:hAnsi="Times New Roman" w:cs="Times New Roman"/>
          <w:sz w:val="24"/>
          <w:szCs w:val="24"/>
        </w:rPr>
        <w:t xml:space="preserve"> and transverse isotropy. Further, rigorous validation against a representative element sample (RVE) developed by </w:t>
      </w:r>
      <w:proofErr w:type="spellStart"/>
      <w:r w:rsidRPr="005369B5">
        <w:rPr>
          <w:rFonts w:ascii="Times New Roman" w:hAnsi="Times New Roman" w:cs="Times New Roman"/>
          <w:sz w:val="24"/>
          <w:szCs w:val="24"/>
        </w:rPr>
        <w:t>Zysset</w:t>
      </w:r>
      <w:proofErr w:type="spellEnd"/>
      <w:r w:rsidRPr="005369B5">
        <w:rPr>
          <w:rFonts w:ascii="Times New Roman" w:hAnsi="Times New Roman" w:cs="Times New Roman"/>
          <w:sz w:val="24"/>
          <w:szCs w:val="24"/>
        </w:rPr>
        <w:t xml:space="preserve"> coupled with an analysis of parameter sensitivity </w:t>
      </w:r>
      <w:r w:rsidR="008961CE" w:rsidRPr="005369B5">
        <w:rPr>
          <w:rFonts w:ascii="Times New Roman" w:hAnsi="Times New Roman" w:cs="Times New Roman"/>
          <w:sz w:val="24"/>
          <w:szCs w:val="24"/>
        </w:rPr>
        <w:t>instill</w:t>
      </w:r>
      <w:r w:rsidRPr="005369B5">
        <w:rPr>
          <w:rFonts w:ascii="Times New Roman" w:hAnsi="Times New Roman" w:cs="Times New Roman"/>
          <w:sz w:val="24"/>
          <w:szCs w:val="24"/>
        </w:rPr>
        <w:t xml:space="preserve"> confidence in the model, making it one of the most advanced constitutive model-FE pairing in literature. </w:t>
      </w:r>
    </w:p>
    <w:p w14:paraId="07D1276F" w14:textId="2A269BD8"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Despite the mentioned advances, microstructural inclusion in FE models is an exception and not a norm. Further, none of the FE simulations considered in this review attempt to incorporate fatigue mechanisms despite their growing presence in constitutive modelling.  Li and Gong [61], in their review on the fatigue behaviour of cortical bone offer a compelling reason for such an exclusion, attributing it to challenges in computationally </w:t>
      </w:r>
      <w:r w:rsidR="008961CE" w:rsidRPr="005369B5">
        <w:rPr>
          <w:rFonts w:ascii="Times New Roman" w:hAnsi="Times New Roman" w:cs="Times New Roman"/>
          <w:sz w:val="24"/>
          <w:szCs w:val="24"/>
        </w:rPr>
        <w:t>characterizing</w:t>
      </w:r>
      <w:r w:rsidRPr="005369B5">
        <w:rPr>
          <w:rFonts w:ascii="Times New Roman" w:hAnsi="Times New Roman" w:cs="Times New Roman"/>
          <w:sz w:val="24"/>
          <w:szCs w:val="24"/>
        </w:rPr>
        <w:t xml:space="preserve"> the cement lines between osteons which greatly influence fracture toughness. Finally, the osteoblast-driven </w:t>
      </w:r>
      <w:r w:rsidR="008961CE" w:rsidRPr="005369B5">
        <w:rPr>
          <w:rFonts w:ascii="Times New Roman" w:hAnsi="Times New Roman" w:cs="Times New Roman"/>
          <w:sz w:val="24"/>
          <w:szCs w:val="24"/>
        </w:rPr>
        <w:t>remodeling</w:t>
      </w:r>
      <w:r w:rsidRPr="005369B5">
        <w:rPr>
          <w:rFonts w:ascii="Times New Roman" w:hAnsi="Times New Roman" w:cs="Times New Roman"/>
          <w:sz w:val="24"/>
          <w:szCs w:val="24"/>
        </w:rPr>
        <w:t xml:space="preserve"> process of cortical bone which reinstates prior mechanical properties, is not captured in FE simulation and has only recently begun appearing in numerical constitutive models [62]. As a </w:t>
      </w:r>
      <w:r w:rsidRPr="005369B5">
        <w:rPr>
          <w:rFonts w:ascii="Times New Roman" w:hAnsi="Times New Roman" w:cs="Times New Roman"/>
          <w:sz w:val="24"/>
          <w:szCs w:val="24"/>
        </w:rPr>
        <w:lastRenderedPageBreak/>
        <w:t xml:space="preserve">result, nearly all damage models assume irreversibility and will likely continue to do so until in-vivo material </w:t>
      </w:r>
      <w:r w:rsidR="008961CE" w:rsidRPr="005369B5">
        <w:rPr>
          <w:rFonts w:ascii="Times New Roman" w:hAnsi="Times New Roman" w:cs="Times New Roman"/>
          <w:sz w:val="24"/>
          <w:szCs w:val="24"/>
        </w:rPr>
        <w:t>characterization</w:t>
      </w:r>
      <w:r w:rsidRPr="005369B5">
        <w:rPr>
          <w:rFonts w:ascii="Times New Roman" w:hAnsi="Times New Roman" w:cs="Times New Roman"/>
          <w:sz w:val="24"/>
          <w:szCs w:val="24"/>
        </w:rPr>
        <w:t xml:space="preserve"> through high-resolution imaging is developed. </w:t>
      </w:r>
    </w:p>
    <w:p w14:paraId="5C8D09EF" w14:textId="77777777" w:rsidR="00B66613" w:rsidRPr="005369B5" w:rsidRDefault="00B66613" w:rsidP="005369B5">
      <w:pPr>
        <w:jc w:val="both"/>
        <w:rPr>
          <w:rFonts w:ascii="Times New Roman" w:hAnsi="Times New Roman" w:cs="Times New Roman"/>
          <w:sz w:val="24"/>
          <w:szCs w:val="24"/>
        </w:rPr>
      </w:pPr>
    </w:p>
    <w:p w14:paraId="7DE28C7C" w14:textId="798F8835" w:rsidR="000B031E" w:rsidRPr="005369B5" w:rsidRDefault="00B66613" w:rsidP="005369B5">
      <w:pPr>
        <w:rPr>
          <w:rFonts w:ascii="Times New Roman" w:hAnsi="Times New Roman" w:cs="Times New Roman"/>
          <w:b/>
          <w:bCs/>
          <w:sz w:val="24"/>
          <w:szCs w:val="24"/>
        </w:rPr>
      </w:pPr>
      <w:bookmarkStart w:id="22" w:name="_Toc122083002"/>
      <w:r w:rsidRPr="005369B5">
        <w:rPr>
          <w:rFonts w:ascii="Times New Roman" w:hAnsi="Times New Roman" w:cs="Times New Roman"/>
          <w:b/>
          <w:bCs/>
          <w:sz w:val="24"/>
          <w:szCs w:val="24"/>
        </w:rPr>
        <w:t>CHALLENGES IN MODELLING CORTICAL BONE FOR FE SIMULATION</w:t>
      </w:r>
      <w:bookmarkEnd w:id="22"/>
    </w:p>
    <w:p w14:paraId="773475F7" w14:textId="6D66E0F3"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There are several challenges associated with the development of high-fidelity cortical bone models for use in finite element simulation. These roadblocks may be </w:t>
      </w:r>
      <w:r w:rsidR="008961CE" w:rsidRPr="005369B5">
        <w:rPr>
          <w:rFonts w:ascii="Times New Roman" w:hAnsi="Times New Roman" w:cs="Times New Roman"/>
          <w:sz w:val="24"/>
          <w:szCs w:val="24"/>
        </w:rPr>
        <w:t>categorized</w:t>
      </w:r>
      <w:r w:rsidRPr="005369B5">
        <w:rPr>
          <w:rFonts w:ascii="Times New Roman" w:hAnsi="Times New Roman" w:cs="Times New Roman"/>
          <w:sz w:val="24"/>
          <w:szCs w:val="24"/>
        </w:rPr>
        <w:t xml:space="preserve"> into three distinct issues for clarity: 1) The accuracy of input parameters including imaging capabilities 2) The underlying mechanistic understanding of osteoporotic fragility and fracture itself, and 3) the validity of proposed constitutive models against experimental evidence and theoretical bases. </w:t>
      </w:r>
    </w:p>
    <w:p w14:paraId="329E8DED" w14:textId="1F3DA0A8"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A concern common to numerous authors [11, 21] is the limitations in imaging technology as a tool to determine patient-specific microstructure and material properties. Typical FE simulation workflows use micro-CT imaging to heterogeneously map material properties such as elasticity and stiffness using processed CT attenuation based on predetermined thresholding. As </w:t>
      </w:r>
      <w:r w:rsidR="008961CE" w:rsidRPr="005369B5">
        <w:rPr>
          <w:rFonts w:ascii="Times New Roman" w:hAnsi="Times New Roman" w:cs="Times New Roman"/>
          <w:sz w:val="24"/>
          <w:szCs w:val="24"/>
        </w:rPr>
        <w:t>discussed earlier</w:t>
      </w:r>
      <w:r w:rsidRPr="005369B5">
        <w:rPr>
          <w:rFonts w:ascii="Times New Roman" w:hAnsi="Times New Roman" w:cs="Times New Roman"/>
          <w:sz w:val="24"/>
          <w:szCs w:val="24"/>
        </w:rPr>
        <w:t xml:space="preserve">, the </w:t>
      </w:r>
      <w:r w:rsidR="008961CE" w:rsidRPr="005369B5">
        <w:rPr>
          <w:rFonts w:ascii="Times New Roman" w:hAnsi="Times New Roman" w:cs="Times New Roman"/>
          <w:sz w:val="24"/>
          <w:szCs w:val="24"/>
        </w:rPr>
        <w:t>micrometer</w:t>
      </w:r>
      <w:r w:rsidRPr="005369B5">
        <w:rPr>
          <w:rFonts w:ascii="Times New Roman" w:hAnsi="Times New Roman" w:cs="Times New Roman"/>
          <w:sz w:val="24"/>
          <w:szCs w:val="24"/>
        </w:rPr>
        <w:t xml:space="preserve"> scale of cortical porosity and other nano and microstructural features can only be captured through high-resolution imaging. While imaging advances have made it possible to gain insight into such granular detail, there is an appreciably higher time cost due to the intensive computation needed. From a clinical perspective, it remains undesirable to routinely use CT due to the high radiation dose compared to DXA based BMD mapping. Recent studies demonstrate the potential of DXA [3] and MRI [21] based finite element modelling to greatly reduce or eliminate radiation, although these are exceedingly rare. The former study recruits 111 subjects of which 49 are control and the latter does not present any experimental validation, indicating the need for corroborating evidence from contemporary studies. MRI in the context of cortical bone is particularly problematic as it generates nondescript and attenuated signals due to a low concentration of protons and short duration of NMR relaxation. </w:t>
      </w:r>
    </w:p>
    <w:p w14:paraId="26C4E247" w14:textId="79DD01A3"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It is equally important to work towards resolving debate surrounding the theory underpinning osteoporotic fracture mechanisms, as a model can only be as accurate as the theory it attempts to simulate. Examples of outstanding questions include the relative importance and specific roles of cortical and trabecular bone in osteoporotic fracture mechanisms, associated individual-specific material parameters and the role of strain-rate in estimating the stress at failure. For instance, studies by McElhany [63] and </w:t>
      </w:r>
      <w:proofErr w:type="spellStart"/>
      <w:r w:rsidRPr="005369B5">
        <w:rPr>
          <w:rFonts w:ascii="Times New Roman" w:hAnsi="Times New Roman" w:cs="Times New Roman"/>
          <w:sz w:val="24"/>
          <w:szCs w:val="24"/>
        </w:rPr>
        <w:t>Crownshield</w:t>
      </w:r>
      <w:proofErr w:type="spellEnd"/>
      <w:r w:rsidRPr="005369B5">
        <w:rPr>
          <w:rFonts w:ascii="Times New Roman" w:hAnsi="Times New Roman" w:cs="Times New Roman"/>
          <w:sz w:val="24"/>
          <w:szCs w:val="24"/>
        </w:rPr>
        <w:t xml:space="preserve"> and Pope [64] argue that higher elasticity moduli and strength follow from high-strain compression, while </w:t>
      </w:r>
      <w:r w:rsidR="00007ACB">
        <w:rPr>
          <w:rFonts w:ascii="Times New Roman" w:hAnsi="Times New Roman" w:cs="Times New Roman"/>
          <w:sz w:val="24"/>
          <w:szCs w:val="24"/>
        </w:rPr>
        <w:t>Hansen</w:t>
      </w:r>
      <w:r w:rsidRPr="005369B5">
        <w:rPr>
          <w:rFonts w:ascii="Times New Roman" w:hAnsi="Times New Roman" w:cs="Times New Roman"/>
          <w:sz w:val="24"/>
          <w:szCs w:val="24"/>
        </w:rPr>
        <w:t xml:space="preserve"> et al.</w:t>
      </w:r>
      <w:r w:rsidR="00007ACB">
        <w:rPr>
          <w:rFonts w:ascii="Times New Roman" w:hAnsi="Times New Roman" w:cs="Times New Roman"/>
          <w:sz w:val="24"/>
          <w:szCs w:val="24"/>
        </w:rPr>
        <w:t xml:space="preserve"> </w:t>
      </w:r>
      <w:r w:rsidRPr="005369B5">
        <w:rPr>
          <w:rFonts w:ascii="Times New Roman" w:hAnsi="Times New Roman" w:cs="Times New Roman"/>
          <w:sz w:val="24"/>
          <w:szCs w:val="24"/>
        </w:rPr>
        <w:t xml:space="preserve">[65] provide opposing evidence demonstrating a lack of appreciable strength predictions based on consideration of strain. It is not possible directly compare these conclusions because of different moisture contents during sample preparation. It is thus acknowledged however that there is possibility of high-level disagreement misrepresented as a lack of mechanistic consensus, whereas the root cause of disagreement may have arisen from the systematic lack of </w:t>
      </w:r>
      <w:r w:rsidR="008961CE" w:rsidRPr="005369B5">
        <w:rPr>
          <w:rFonts w:ascii="Times New Roman" w:hAnsi="Times New Roman" w:cs="Times New Roman"/>
          <w:sz w:val="24"/>
          <w:szCs w:val="24"/>
        </w:rPr>
        <w:t>standardization</w:t>
      </w:r>
      <w:r w:rsidRPr="005369B5">
        <w:rPr>
          <w:rFonts w:ascii="Times New Roman" w:hAnsi="Times New Roman" w:cs="Times New Roman"/>
          <w:sz w:val="24"/>
          <w:szCs w:val="24"/>
        </w:rPr>
        <w:t xml:space="preserve"> [5] across studies. Finally, issues pertaining to the fidelity of models with experimental and theoretical observations should be considered. </w:t>
      </w:r>
    </w:p>
    <w:p w14:paraId="6A298E7D" w14:textId="77777777"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lastRenderedPageBreak/>
        <w:t xml:space="preserve">At present, while the multiscale structure of bone is well known, multiscale constitutive modelling typically synthesizes discretely developed inputs from as opposed to a simultaneous integration of each hierarchical level accounting for their complex interfacing [66]. </w:t>
      </w:r>
    </w:p>
    <w:p w14:paraId="574C434D" w14:textId="77777777"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Similarly, there is an increasing incorporation of anisotropic material properties in FE models, but many studies use literature values which cannot account for the individual patient anatomy, age, environment and loading conditions [25, 66]. The models that do not attempt anisotropic modelling at the microscale take isotropic collagen and HA crystals as isotropic due to lack of availability of data. </w:t>
      </w:r>
    </w:p>
    <w:p w14:paraId="265128E7" w14:textId="28FDAA27" w:rsidR="000B031E" w:rsidRPr="005369B5" w:rsidRDefault="000B031E" w:rsidP="005369B5">
      <w:pPr>
        <w:jc w:val="both"/>
        <w:rPr>
          <w:rFonts w:ascii="Times New Roman" w:hAnsi="Times New Roman" w:cs="Times New Roman"/>
          <w:sz w:val="24"/>
          <w:szCs w:val="24"/>
        </w:rPr>
      </w:pPr>
      <w:r w:rsidRPr="005369B5">
        <w:rPr>
          <w:rFonts w:ascii="Times New Roman" w:hAnsi="Times New Roman" w:cs="Times New Roman"/>
          <w:sz w:val="24"/>
          <w:szCs w:val="24"/>
        </w:rPr>
        <w:t xml:space="preserve">A recurring theme in this regard is the establishment of rigorous validation standards [11, 48]. Validation is required on multiple levels, which may include animal mechanical testing, numerical simulation, cadaveric </w:t>
      </w:r>
      <w:r w:rsidR="008961CE" w:rsidRPr="005369B5">
        <w:rPr>
          <w:rFonts w:ascii="Times New Roman" w:hAnsi="Times New Roman" w:cs="Times New Roman"/>
          <w:sz w:val="24"/>
          <w:szCs w:val="24"/>
        </w:rPr>
        <w:t>experimentation,</w:t>
      </w:r>
      <w:r w:rsidRPr="005369B5">
        <w:rPr>
          <w:rFonts w:ascii="Times New Roman" w:hAnsi="Times New Roman" w:cs="Times New Roman"/>
          <w:sz w:val="24"/>
          <w:szCs w:val="24"/>
        </w:rPr>
        <w:t xml:space="preserve"> and finally clinical validation.  Of the studies </w:t>
      </w:r>
      <w:r w:rsidR="008961CE" w:rsidRPr="005369B5">
        <w:rPr>
          <w:rFonts w:ascii="Times New Roman" w:hAnsi="Times New Roman" w:cs="Times New Roman"/>
          <w:sz w:val="24"/>
          <w:szCs w:val="24"/>
        </w:rPr>
        <w:t>analyzed</w:t>
      </w:r>
      <w:r w:rsidRPr="005369B5">
        <w:rPr>
          <w:rFonts w:ascii="Times New Roman" w:hAnsi="Times New Roman" w:cs="Times New Roman"/>
          <w:sz w:val="24"/>
          <w:szCs w:val="24"/>
        </w:rPr>
        <w:t xml:space="preserve"> in this review, a majority consider machined </w:t>
      </w:r>
      <w:r w:rsidR="008961CE" w:rsidRPr="005369B5">
        <w:rPr>
          <w:rFonts w:ascii="Times New Roman" w:hAnsi="Times New Roman" w:cs="Times New Roman"/>
          <w:sz w:val="24"/>
          <w:szCs w:val="24"/>
        </w:rPr>
        <w:t>specimens</w:t>
      </w:r>
      <w:r w:rsidRPr="005369B5">
        <w:rPr>
          <w:rFonts w:ascii="Times New Roman" w:hAnsi="Times New Roman" w:cs="Times New Roman"/>
          <w:sz w:val="24"/>
          <w:szCs w:val="24"/>
        </w:rPr>
        <w:t xml:space="preserve"> from animal bones [48]. While this is not an inherently flawed approach, there are appreciable differences in structural parameters compared to humans. Further, such samples do not afford the opportunity to study the effect of bone </w:t>
      </w:r>
      <w:r w:rsidR="008961CE" w:rsidRPr="005369B5">
        <w:rPr>
          <w:rFonts w:ascii="Times New Roman" w:hAnsi="Times New Roman" w:cs="Times New Roman"/>
          <w:sz w:val="24"/>
          <w:szCs w:val="24"/>
        </w:rPr>
        <w:t>remodeling</w:t>
      </w:r>
      <w:r w:rsidRPr="005369B5">
        <w:rPr>
          <w:rFonts w:ascii="Times New Roman" w:hAnsi="Times New Roman" w:cs="Times New Roman"/>
          <w:sz w:val="24"/>
          <w:szCs w:val="24"/>
        </w:rPr>
        <w:t xml:space="preserve">. Ideally, an in vivo validation based on the living bone tissue of human subjects is undertaken to mitigate these shortcomings. Given the lack of existing solutions, it is appropriate for future research to investigate in vivo modelling [60]. </w:t>
      </w:r>
    </w:p>
    <w:p w14:paraId="0A747A35" w14:textId="77777777" w:rsidR="00611CAF" w:rsidRPr="005369B5" w:rsidRDefault="00611CAF" w:rsidP="005369B5">
      <w:pPr>
        <w:rPr>
          <w:rFonts w:ascii="Times New Roman" w:eastAsia="Times New Roman" w:hAnsi="Times New Roman" w:cs="Times New Roman"/>
          <w:sz w:val="24"/>
          <w:szCs w:val="24"/>
        </w:rPr>
      </w:pPr>
    </w:p>
    <w:p w14:paraId="318107BD" w14:textId="77777777" w:rsidR="00611CAF" w:rsidRPr="005369B5" w:rsidRDefault="00C264DB" w:rsidP="005369B5">
      <w:pPr>
        <w:rPr>
          <w:rFonts w:ascii="Times New Roman" w:eastAsia="Times New Roman" w:hAnsi="Times New Roman" w:cs="Times New Roman"/>
          <w:b/>
          <w:sz w:val="24"/>
          <w:szCs w:val="24"/>
        </w:rPr>
      </w:pPr>
      <w:r w:rsidRPr="005369B5">
        <w:rPr>
          <w:rFonts w:ascii="Times New Roman" w:eastAsia="Times New Roman" w:hAnsi="Times New Roman" w:cs="Times New Roman"/>
          <w:b/>
          <w:sz w:val="24"/>
          <w:szCs w:val="24"/>
        </w:rPr>
        <w:t>CONCLUSIONS</w:t>
      </w:r>
    </w:p>
    <w:p w14:paraId="18F86C84" w14:textId="06921E98" w:rsidR="00F209E5" w:rsidRPr="005369B5" w:rsidRDefault="00F209E5" w:rsidP="005369B5">
      <w:pPr>
        <w:jc w:val="both"/>
        <w:rPr>
          <w:rFonts w:ascii="Times New Roman" w:eastAsia="Times New Roman" w:hAnsi="Times New Roman" w:cs="Times New Roman"/>
          <w:sz w:val="24"/>
          <w:szCs w:val="24"/>
        </w:rPr>
      </w:pPr>
      <w:r w:rsidRPr="005369B5">
        <w:rPr>
          <w:rFonts w:ascii="Times New Roman" w:eastAsia="Times New Roman" w:hAnsi="Times New Roman" w:cs="Times New Roman"/>
          <w:sz w:val="24"/>
          <w:szCs w:val="24"/>
        </w:rPr>
        <w:t xml:space="preserve">Attempts at developing constitutive models and </w:t>
      </w:r>
      <w:r w:rsidR="00F80FC2" w:rsidRPr="005369B5">
        <w:rPr>
          <w:rFonts w:ascii="Times New Roman" w:eastAsia="Times New Roman" w:hAnsi="Times New Roman" w:cs="Times New Roman"/>
          <w:sz w:val="24"/>
          <w:szCs w:val="24"/>
        </w:rPr>
        <w:t>characterizing</w:t>
      </w:r>
      <w:r w:rsidRPr="005369B5">
        <w:rPr>
          <w:rFonts w:ascii="Times New Roman" w:eastAsia="Times New Roman" w:hAnsi="Times New Roman" w:cs="Times New Roman"/>
          <w:sz w:val="24"/>
          <w:szCs w:val="24"/>
        </w:rPr>
        <w:t xml:space="preserve"> the mechanical properties of the cortical bone commenced as early as the 1960s. However, there has only recently been an increase in such efforts, both to aid the development of better patient-specific FE bone models and to gain a more accurate understanding of the underlying mechanism of osteoporotic fracture. </w:t>
      </w:r>
    </w:p>
    <w:p w14:paraId="0D67BEED" w14:textId="77777777" w:rsidR="00F209E5" w:rsidRPr="005369B5" w:rsidRDefault="00F209E5" w:rsidP="005369B5">
      <w:pPr>
        <w:jc w:val="both"/>
        <w:rPr>
          <w:rFonts w:ascii="Times New Roman" w:eastAsia="Times New Roman" w:hAnsi="Times New Roman" w:cs="Times New Roman"/>
          <w:sz w:val="24"/>
          <w:szCs w:val="24"/>
        </w:rPr>
      </w:pPr>
      <w:r w:rsidRPr="005369B5">
        <w:rPr>
          <w:rFonts w:ascii="Times New Roman" w:eastAsia="Times New Roman" w:hAnsi="Times New Roman" w:cs="Times New Roman"/>
          <w:sz w:val="24"/>
          <w:szCs w:val="24"/>
        </w:rPr>
        <w:t xml:space="preserve">The results of this review suggest that there have been considerable improvements in the material models developed over the last 20 years, particularly in reducing the number of assumptions of material parameters and increasingly simulating a wide range of response functions including viscoelasticity, microcrack initiation and propagation, and fatigue. </w:t>
      </w:r>
    </w:p>
    <w:p w14:paraId="60143BB3" w14:textId="1ABC8489" w:rsidR="00F209E5" w:rsidRPr="005369B5" w:rsidRDefault="00F209E5" w:rsidP="005369B5">
      <w:pPr>
        <w:jc w:val="both"/>
        <w:rPr>
          <w:rFonts w:ascii="Times New Roman" w:eastAsia="Times New Roman" w:hAnsi="Times New Roman" w:cs="Times New Roman"/>
          <w:sz w:val="24"/>
          <w:szCs w:val="24"/>
        </w:rPr>
      </w:pPr>
      <w:r w:rsidRPr="005369B5">
        <w:rPr>
          <w:rFonts w:ascii="Times New Roman" w:eastAsia="Times New Roman" w:hAnsi="Times New Roman" w:cs="Times New Roman"/>
          <w:sz w:val="24"/>
          <w:szCs w:val="24"/>
        </w:rPr>
        <w:t xml:space="preserve">There is </w:t>
      </w:r>
      <w:r w:rsidR="008961CE" w:rsidRPr="005369B5">
        <w:rPr>
          <w:rFonts w:ascii="Times New Roman" w:eastAsia="Times New Roman" w:hAnsi="Times New Roman" w:cs="Times New Roman"/>
          <w:sz w:val="24"/>
          <w:szCs w:val="24"/>
        </w:rPr>
        <w:t>still,</w:t>
      </w:r>
      <w:r w:rsidRPr="005369B5">
        <w:rPr>
          <w:rFonts w:ascii="Times New Roman" w:eastAsia="Times New Roman" w:hAnsi="Times New Roman" w:cs="Times New Roman"/>
          <w:sz w:val="24"/>
          <w:szCs w:val="24"/>
        </w:rPr>
        <w:t xml:space="preserve"> however, a lack of mechanistic understanding in several regards which provide an impediment to modelling cortical bone. For instance, debates continue around the determination of yield point, propagation of microcracks, hierarchical microstructure effects and so on </w:t>
      </w:r>
    </w:p>
    <w:p w14:paraId="566DA44E" w14:textId="03432550" w:rsidR="00611CAF" w:rsidRPr="005369B5" w:rsidRDefault="00F209E5" w:rsidP="005369B5">
      <w:pPr>
        <w:jc w:val="both"/>
        <w:rPr>
          <w:rFonts w:ascii="Times New Roman" w:eastAsia="Times New Roman" w:hAnsi="Times New Roman" w:cs="Times New Roman"/>
          <w:sz w:val="24"/>
          <w:szCs w:val="24"/>
        </w:rPr>
      </w:pPr>
      <w:r w:rsidRPr="005369B5">
        <w:rPr>
          <w:rFonts w:ascii="Times New Roman" w:eastAsia="Times New Roman" w:hAnsi="Times New Roman" w:cs="Times New Roman"/>
          <w:sz w:val="24"/>
          <w:szCs w:val="24"/>
        </w:rPr>
        <w:t>Nevertheless, the promise of novel cortical bone modelling could offer several benefits in future, including making evidence based clinical interventions through efficient and accurate patient-specific finite element simulation. It is also possible for their application to extend beyond FE modelling by playing an important role in biomaterial synthesis, bone grafting and prosthetic implant design.</w:t>
      </w:r>
    </w:p>
    <w:p w14:paraId="58627267" w14:textId="77777777" w:rsidR="00F209E5" w:rsidRDefault="00F209E5" w:rsidP="00F209E5">
      <w:pPr>
        <w:jc w:val="both"/>
        <w:rPr>
          <w:rFonts w:ascii="Times New Roman" w:eastAsia="Times New Roman" w:hAnsi="Times New Roman" w:cs="Times New Roman"/>
          <w:sz w:val="24"/>
          <w:szCs w:val="24"/>
        </w:rPr>
      </w:pPr>
    </w:p>
    <w:p w14:paraId="4745346E" w14:textId="77777777" w:rsidR="00611CAF" w:rsidRDefault="00C264D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ACKNOWLEDGEMENTS</w:t>
      </w:r>
    </w:p>
    <w:p w14:paraId="44F92F9C" w14:textId="08009E10" w:rsidR="00611CAF" w:rsidRDefault="00C264D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author would like to thank </w:t>
      </w:r>
      <w:r w:rsidR="00F209E5">
        <w:rPr>
          <w:rFonts w:ascii="Times New Roman" w:eastAsia="Times New Roman" w:hAnsi="Times New Roman" w:cs="Times New Roman"/>
          <w:sz w:val="24"/>
          <w:szCs w:val="24"/>
        </w:rPr>
        <w:t>Dr. Soraia Pimenta</w:t>
      </w:r>
      <w:r>
        <w:rPr>
          <w:rFonts w:ascii="Times New Roman" w:eastAsia="Times New Roman" w:hAnsi="Times New Roman" w:cs="Times New Roman"/>
          <w:sz w:val="24"/>
          <w:szCs w:val="24"/>
        </w:rPr>
        <w:t xml:space="preserve"> for </w:t>
      </w:r>
      <w:r w:rsidR="00F209E5">
        <w:rPr>
          <w:rFonts w:ascii="Times New Roman" w:eastAsia="Times New Roman" w:hAnsi="Times New Roman" w:cs="Times New Roman"/>
          <w:sz w:val="24"/>
          <w:szCs w:val="24"/>
        </w:rPr>
        <w:t xml:space="preserve">insightful comments and reviewing the drafts. </w:t>
      </w:r>
    </w:p>
    <w:p w14:paraId="08BB8FE2" w14:textId="77777777" w:rsidR="00611CAF" w:rsidRDefault="00611CAF">
      <w:pPr>
        <w:rPr>
          <w:rFonts w:ascii="Times New Roman" w:eastAsia="Times New Roman" w:hAnsi="Times New Roman" w:cs="Times New Roman"/>
          <w:sz w:val="24"/>
          <w:szCs w:val="24"/>
        </w:rPr>
      </w:pPr>
    </w:p>
    <w:p w14:paraId="1E8B7884" w14:textId="77777777" w:rsidR="00611CAF" w:rsidRDefault="00C264D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REFERENCES</w:t>
      </w:r>
    </w:p>
    <w:p w14:paraId="54D7F9D1" w14:textId="5EA8ADFB"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proofErr w:type="spellStart"/>
      <w:r w:rsidRPr="00007ACB">
        <w:rPr>
          <w:rFonts w:ascii="Times New Roman" w:eastAsia="Times New Roman" w:hAnsi="Times New Roman" w:cs="Times New Roman"/>
          <w:sz w:val="18"/>
          <w:szCs w:val="18"/>
        </w:rPr>
        <w:t>Sozen</w:t>
      </w:r>
      <w:proofErr w:type="spellEnd"/>
      <w:r w:rsidRPr="00007ACB">
        <w:rPr>
          <w:rFonts w:ascii="Times New Roman" w:eastAsia="Times New Roman" w:hAnsi="Times New Roman" w:cs="Times New Roman"/>
          <w:sz w:val="18"/>
          <w:szCs w:val="18"/>
        </w:rPr>
        <w:t xml:space="preserve"> T, </w:t>
      </w:r>
      <w:proofErr w:type="spellStart"/>
      <w:r w:rsidRPr="00007ACB">
        <w:rPr>
          <w:rFonts w:ascii="Times New Roman" w:eastAsia="Times New Roman" w:hAnsi="Times New Roman" w:cs="Times New Roman"/>
          <w:sz w:val="18"/>
          <w:szCs w:val="18"/>
        </w:rPr>
        <w:t>Ozisik</w:t>
      </w:r>
      <w:proofErr w:type="spellEnd"/>
      <w:r w:rsidRPr="00007ACB">
        <w:rPr>
          <w:rFonts w:ascii="Times New Roman" w:eastAsia="Times New Roman" w:hAnsi="Times New Roman" w:cs="Times New Roman"/>
          <w:sz w:val="18"/>
          <w:szCs w:val="18"/>
        </w:rPr>
        <w:t xml:space="preserve"> L, Calik Basaran N. An overview and management of osteoporosis. European journal of rheumatology. 2017; 4 (1): 46-56. 10.5152/eurjrheum.2016.048.</w:t>
      </w:r>
    </w:p>
    <w:p w14:paraId="7C97AA6D" w14:textId="474FD67E"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Tawara D, Sakomoto J, Kanazawa H, Sekimoto A, Awamori S, </w:t>
      </w:r>
      <w:proofErr w:type="spellStart"/>
      <w:r w:rsidRPr="00007ACB">
        <w:rPr>
          <w:rFonts w:ascii="Times New Roman" w:eastAsia="Times New Roman" w:hAnsi="Times New Roman" w:cs="Times New Roman"/>
          <w:sz w:val="18"/>
          <w:szCs w:val="18"/>
        </w:rPr>
        <w:t>Murukami</w:t>
      </w:r>
      <w:proofErr w:type="spellEnd"/>
      <w:r w:rsidRPr="00007ACB">
        <w:rPr>
          <w:rFonts w:ascii="Times New Roman" w:eastAsia="Times New Roman" w:hAnsi="Times New Roman" w:cs="Times New Roman"/>
          <w:sz w:val="18"/>
          <w:szCs w:val="18"/>
        </w:rPr>
        <w:t xml:space="preserve"> H, et al. Investigation of Vertebral Fracture Risk Evaluation in Osteoporosis by Patient-Specific Finite Element Analysis. TRANSACTIONS OF THE JAPAN SOCIETY OF MECHANICAL ENGINEERS Series A. 2006; 72 (714): 255-262. 10.1299/kikaia.72.255.</w:t>
      </w:r>
    </w:p>
    <w:p w14:paraId="61722031" w14:textId="567FE76D"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Ruiz Wills C, Olivares AL, </w:t>
      </w:r>
      <w:proofErr w:type="spellStart"/>
      <w:r w:rsidRPr="00007ACB">
        <w:rPr>
          <w:rFonts w:ascii="Times New Roman" w:eastAsia="Times New Roman" w:hAnsi="Times New Roman" w:cs="Times New Roman"/>
          <w:sz w:val="18"/>
          <w:szCs w:val="18"/>
        </w:rPr>
        <w:t>Tassani</w:t>
      </w:r>
      <w:proofErr w:type="spellEnd"/>
      <w:r w:rsidRPr="00007ACB">
        <w:rPr>
          <w:rFonts w:ascii="Times New Roman" w:eastAsia="Times New Roman" w:hAnsi="Times New Roman" w:cs="Times New Roman"/>
          <w:sz w:val="18"/>
          <w:szCs w:val="18"/>
        </w:rPr>
        <w:t xml:space="preserve"> S, Ceresa M, Zimmer V, González Ballester MA, et al. 3D patient-specific finite element models of the proximal femur based on DXA towards the classification of fracture and non-fracture cases. Bone (New York, N.Y.). 2019; 121 89-99. 10.1016/j.bone.2019.01.001.</w:t>
      </w:r>
    </w:p>
    <w:p w14:paraId="7249D6BB" w14:textId="362E8A7B"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Pankaj P. Patient-specific modelling of bone and bone-implant systems: the challenges. International journal for numerical methods in biomedical engineering. 2013; 29 (2): 233-249. 10.1002/cnm.2536.</w:t>
      </w:r>
    </w:p>
    <w:p w14:paraId="15BFC975" w14:textId="4A7A53D0"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Pahr DH, Reisinger AG. A Review on Recent Advances in the Constitutive </w:t>
      </w:r>
      <w:proofErr w:type="spellStart"/>
      <w:r w:rsidRPr="00007ACB">
        <w:rPr>
          <w:rFonts w:ascii="Times New Roman" w:eastAsia="Times New Roman" w:hAnsi="Times New Roman" w:cs="Times New Roman"/>
          <w:sz w:val="18"/>
          <w:szCs w:val="18"/>
        </w:rPr>
        <w:t>Modeling</w:t>
      </w:r>
      <w:proofErr w:type="spellEnd"/>
      <w:r w:rsidRPr="00007ACB">
        <w:rPr>
          <w:rFonts w:ascii="Times New Roman" w:eastAsia="Times New Roman" w:hAnsi="Times New Roman" w:cs="Times New Roman"/>
          <w:sz w:val="18"/>
          <w:szCs w:val="18"/>
        </w:rPr>
        <w:t xml:space="preserve"> of Bone Tissue. Current osteoporosis reports. 2020; 18 (6): 696-704. 10.1007/s11914-020-00631-1.</w:t>
      </w:r>
    </w:p>
    <w:p w14:paraId="79A05B5A" w14:textId="522FBF08"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Cooper DML, </w:t>
      </w:r>
      <w:proofErr w:type="spellStart"/>
      <w:r w:rsidRPr="00007ACB">
        <w:rPr>
          <w:rFonts w:ascii="Times New Roman" w:eastAsia="Times New Roman" w:hAnsi="Times New Roman" w:cs="Times New Roman"/>
          <w:sz w:val="18"/>
          <w:szCs w:val="18"/>
        </w:rPr>
        <w:t>Kawalilak</w:t>
      </w:r>
      <w:proofErr w:type="spellEnd"/>
      <w:r w:rsidRPr="00007ACB">
        <w:rPr>
          <w:rFonts w:ascii="Times New Roman" w:eastAsia="Times New Roman" w:hAnsi="Times New Roman" w:cs="Times New Roman"/>
          <w:sz w:val="18"/>
          <w:szCs w:val="18"/>
        </w:rPr>
        <w:t xml:space="preserve"> CE, Harrison K, Johnston BD, Johnston JD. Cortical Bone Porosity: What Is It, Why Is It Important, and How Can We Detect It? Current osteoporosis reports. 2016; 14 (5): 187-198. 10.1007/s11914-016-0319-y.</w:t>
      </w:r>
    </w:p>
    <w:p w14:paraId="17DD8156" w14:textId="7264E9A1"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proofErr w:type="spellStart"/>
      <w:r w:rsidRPr="00007ACB">
        <w:rPr>
          <w:rFonts w:ascii="Times New Roman" w:eastAsia="Times New Roman" w:hAnsi="Times New Roman" w:cs="Times New Roman"/>
          <w:sz w:val="18"/>
          <w:szCs w:val="18"/>
        </w:rPr>
        <w:t>Bjørnerem</w:t>
      </w:r>
      <w:proofErr w:type="spellEnd"/>
      <w:r w:rsidRPr="00007ACB">
        <w:rPr>
          <w:rFonts w:ascii="Times New Roman" w:eastAsia="Times New Roman" w:hAnsi="Times New Roman" w:cs="Times New Roman"/>
          <w:sz w:val="18"/>
          <w:szCs w:val="18"/>
        </w:rPr>
        <w:t xml:space="preserve"> Å, Wang X, Bui M, Ghasem‐Zadeh A, Hopper JL, Zebaze R, et al. Menopause‐Related Appendicular Bone Loss is Mainly Cortical and Results in Increased Cortical Porosity. Journal of bone and mineral research. 2018; 33 (4): 598-605. 10.1002/jbmr.3333.</w:t>
      </w:r>
    </w:p>
    <w:p w14:paraId="27B77A9D" w14:textId="3B300432"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proofErr w:type="spellStart"/>
      <w:r w:rsidRPr="00007ACB">
        <w:rPr>
          <w:rFonts w:ascii="Times New Roman" w:eastAsia="Times New Roman" w:hAnsi="Times New Roman" w:cs="Times New Roman"/>
          <w:sz w:val="18"/>
          <w:szCs w:val="18"/>
        </w:rPr>
        <w:t>Barkaoui</w:t>
      </w:r>
      <w:proofErr w:type="spellEnd"/>
      <w:r w:rsidRPr="00007ACB">
        <w:rPr>
          <w:rFonts w:ascii="Times New Roman" w:eastAsia="Times New Roman" w:hAnsi="Times New Roman" w:cs="Times New Roman"/>
          <w:sz w:val="18"/>
          <w:szCs w:val="18"/>
        </w:rPr>
        <w:t xml:space="preserve"> A, </w:t>
      </w:r>
      <w:proofErr w:type="spellStart"/>
      <w:r w:rsidRPr="00007ACB">
        <w:rPr>
          <w:rFonts w:ascii="Times New Roman" w:eastAsia="Times New Roman" w:hAnsi="Times New Roman" w:cs="Times New Roman"/>
          <w:sz w:val="18"/>
          <w:szCs w:val="18"/>
        </w:rPr>
        <w:t>Chamekh</w:t>
      </w:r>
      <w:proofErr w:type="spellEnd"/>
      <w:r w:rsidRPr="00007ACB">
        <w:rPr>
          <w:rFonts w:ascii="Times New Roman" w:eastAsia="Times New Roman" w:hAnsi="Times New Roman" w:cs="Times New Roman"/>
          <w:sz w:val="18"/>
          <w:szCs w:val="18"/>
        </w:rPr>
        <w:t xml:space="preserve"> A, </w:t>
      </w:r>
      <w:proofErr w:type="spellStart"/>
      <w:r w:rsidRPr="00007ACB">
        <w:rPr>
          <w:rFonts w:ascii="Times New Roman" w:eastAsia="Times New Roman" w:hAnsi="Times New Roman" w:cs="Times New Roman"/>
          <w:sz w:val="18"/>
          <w:szCs w:val="18"/>
        </w:rPr>
        <w:t>Merzouki</w:t>
      </w:r>
      <w:proofErr w:type="spellEnd"/>
      <w:r w:rsidRPr="00007ACB">
        <w:rPr>
          <w:rFonts w:ascii="Times New Roman" w:eastAsia="Times New Roman" w:hAnsi="Times New Roman" w:cs="Times New Roman"/>
          <w:sz w:val="18"/>
          <w:szCs w:val="18"/>
        </w:rPr>
        <w:t xml:space="preserve"> T, Hambli R, </w:t>
      </w:r>
      <w:proofErr w:type="spellStart"/>
      <w:r w:rsidRPr="00007ACB">
        <w:rPr>
          <w:rFonts w:ascii="Times New Roman" w:eastAsia="Times New Roman" w:hAnsi="Times New Roman" w:cs="Times New Roman"/>
          <w:sz w:val="18"/>
          <w:szCs w:val="18"/>
        </w:rPr>
        <w:t>Mkaddem</w:t>
      </w:r>
      <w:proofErr w:type="spellEnd"/>
      <w:r w:rsidRPr="00007ACB">
        <w:rPr>
          <w:rFonts w:ascii="Times New Roman" w:eastAsia="Times New Roman" w:hAnsi="Times New Roman" w:cs="Times New Roman"/>
          <w:sz w:val="18"/>
          <w:szCs w:val="18"/>
        </w:rPr>
        <w:t xml:space="preserve"> A. Multiscale approach including microfibril scale to assess elastic constants of cortical bone based on neural network computation and homogenization method. International journal for numerical methods in biomedical engineering. 2014; 30 (3): 318-338. 10.1002/cnm.2604.</w:t>
      </w:r>
    </w:p>
    <w:p w14:paraId="44E79F9E" w14:textId="6FA56688"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Osterhoff G, Morgan EF, </w:t>
      </w:r>
      <w:proofErr w:type="spellStart"/>
      <w:r w:rsidRPr="00007ACB">
        <w:rPr>
          <w:rFonts w:ascii="Times New Roman" w:eastAsia="Times New Roman" w:hAnsi="Times New Roman" w:cs="Times New Roman"/>
          <w:sz w:val="18"/>
          <w:szCs w:val="18"/>
        </w:rPr>
        <w:t>Shefelbine</w:t>
      </w:r>
      <w:proofErr w:type="spellEnd"/>
      <w:r w:rsidRPr="00007ACB">
        <w:rPr>
          <w:rFonts w:ascii="Times New Roman" w:eastAsia="Times New Roman" w:hAnsi="Times New Roman" w:cs="Times New Roman"/>
          <w:sz w:val="18"/>
          <w:szCs w:val="18"/>
        </w:rPr>
        <w:t xml:space="preserve"> SJ, Karim L, McNamara LM, </w:t>
      </w:r>
      <w:proofErr w:type="spellStart"/>
      <w:r w:rsidRPr="00007ACB">
        <w:rPr>
          <w:rFonts w:ascii="Times New Roman" w:eastAsia="Times New Roman" w:hAnsi="Times New Roman" w:cs="Times New Roman"/>
          <w:sz w:val="18"/>
          <w:szCs w:val="18"/>
        </w:rPr>
        <w:t>Augat</w:t>
      </w:r>
      <w:proofErr w:type="spellEnd"/>
      <w:r w:rsidRPr="00007ACB">
        <w:rPr>
          <w:rFonts w:ascii="Times New Roman" w:eastAsia="Times New Roman" w:hAnsi="Times New Roman" w:cs="Times New Roman"/>
          <w:sz w:val="18"/>
          <w:szCs w:val="18"/>
        </w:rPr>
        <w:t xml:space="preserve"> P. Bone mechanical properties and changes with osteoporosis. Injury. 2016; 47 (</w:t>
      </w:r>
      <w:proofErr w:type="spellStart"/>
      <w:r w:rsidRPr="00007ACB">
        <w:rPr>
          <w:rFonts w:ascii="Times New Roman" w:eastAsia="Times New Roman" w:hAnsi="Times New Roman" w:cs="Times New Roman"/>
          <w:sz w:val="18"/>
          <w:szCs w:val="18"/>
        </w:rPr>
        <w:t>Suppl</w:t>
      </w:r>
      <w:proofErr w:type="spellEnd"/>
      <w:r w:rsidRPr="00007ACB">
        <w:rPr>
          <w:rFonts w:ascii="Times New Roman" w:eastAsia="Times New Roman" w:hAnsi="Times New Roman" w:cs="Times New Roman"/>
          <w:sz w:val="18"/>
          <w:szCs w:val="18"/>
        </w:rPr>
        <w:t xml:space="preserve"> 2): S11-S20. 10.1016/S0020-1383(16)47003-8.</w:t>
      </w:r>
    </w:p>
    <w:p w14:paraId="04E34E4A" w14:textId="37307FC8"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Bala Y, Zebaze R, Seeman E. Role of cortical bone in bone fragility. Current opinion in rheumatology. 2015; 27 (4): 406-413. 10.1097/BOR.0000000000000183.</w:t>
      </w:r>
    </w:p>
    <w:p w14:paraId="1F3F10DA" w14:textId="628D6DF0"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Rosa N, Moura MFSF, </w:t>
      </w:r>
      <w:proofErr w:type="spellStart"/>
      <w:r w:rsidRPr="00007ACB">
        <w:rPr>
          <w:rFonts w:ascii="Times New Roman" w:eastAsia="Times New Roman" w:hAnsi="Times New Roman" w:cs="Times New Roman"/>
          <w:sz w:val="18"/>
          <w:szCs w:val="18"/>
        </w:rPr>
        <w:t>Olhero</w:t>
      </w:r>
      <w:proofErr w:type="spellEnd"/>
      <w:r w:rsidRPr="00007ACB">
        <w:rPr>
          <w:rFonts w:ascii="Times New Roman" w:eastAsia="Times New Roman" w:hAnsi="Times New Roman" w:cs="Times New Roman"/>
          <w:sz w:val="18"/>
          <w:szCs w:val="18"/>
        </w:rPr>
        <w:t xml:space="preserve"> S, Simoes R, Magalhães FD, Marques AT, et al. Bone: An Outstanding Composite Material. Applied sciences. 2022; 12 (7): 3381. 10.3390/app12073381.</w:t>
      </w:r>
    </w:p>
    <w:p w14:paraId="517635DD" w14:textId="1AFC7C0D"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Evans FG. The mechanical properties of human cortical bone. </w:t>
      </w:r>
      <w:proofErr w:type="spellStart"/>
      <w:r w:rsidRPr="00007ACB">
        <w:rPr>
          <w:rFonts w:ascii="Times New Roman" w:eastAsia="Times New Roman" w:hAnsi="Times New Roman" w:cs="Times New Roman"/>
          <w:sz w:val="18"/>
          <w:szCs w:val="18"/>
        </w:rPr>
        <w:t>Problemi</w:t>
      </w:r>
      <w:proofErr w:type="spellEnd"/>
      <w:r w:rsidRPr="00007ACB">
        <w:rPr>
          <w:rFonts w:ascii="Times New Roman" w:eastAsia="Times New Roman" w:hAnsi="Times New Roman" w:cs="Times New Roman"/>
          <w:sz w:val="18"/>
          <w:szCs w:val="18"/>
        </w:rPr>
        <w:t xml:space="preserve"> </w:t>
      </w:r>
      <w:proofErr w:type="spellStart"/>
      <w:r w:rsidRPr="00007ACB">
        <w:rPr>
          <w:rFonts w:ascii="Times New Roman" w:eastAsia="Times New Roman" w:hAnsi="Times New Roman" w:cs="Times New Roman"/>
          <w:sz w:val="18"/>
          <w:szCs w:val="18"/>
        </w:rPr>
        <w:t>attuali</w:t>
      </w:r>
      <w:proofErr w:type="spellEnd"/>
      <w:r w:rsidRPr="00007ACB">
        <w:rPr>
          <w:rFonts w:ascii="Times New Roman" w:eastAsia="Times New Roman" w:hAnsi="Times New Roman" w:cs="Times New Roman"/>
          <w:sz w:val="18"/>
          <w:szCs w:val="18"/>
        </w:rPr>
        <w:t xml:space="preserve"> di </w:t>
      </w:r>
      <w:proofErr w:type="spellStart"/>
      <w:r w:rsidRPr="00007ACB">
        <w:rPr>
          <w:rFonts w:ascii="Times New Roman" w:eastAsia="Times New Roman" w:hAnsi="Times New Roman" w:cs="Times New Roman"/>
          <w:sz w:val="18"/>
          <w:szCs w:val="18"/>
        </w:rPr>
        <w:t>scienza</w:t>
      </w:r>
      <w:proofErr w:type="spellEnd"/>
      <w:r w:rsidRPr="00007ACB">
        <w:rPr>
          <w:rFonts w:ascii="Times New Roman" w:eastAsia="Times New Roman" w:hAnsi="Times New Roman" w:cs="Times New Roman"/>
          <w:sz w:val="18"/>
          <w:szCs w:val="18"/>
        </w:rPr>
        <w:t xml:space="preserve"> e di </w:t>
      </w:r>
      <w:proofErr w:type="spellStart"/>
      <w:r w:rsidRPr="00007ACB">
        <w:rPr>
          <w:rFonts w:ascii="Times New Roman" w:eastAsia="Times New Roman" w:hAnsi="Times New Roman" w:cs="Times New Roman"/>
          <w:sz w:val="18"/>
          <w:szCs w:val="18"/>
        </w:rPr>
        <w:t>cultura</w:t>
      </w:r>
      <w:proofErr w:type="spellEnd"/>
      <w:r w:rsidRPr="00007ACB">
        <w:rPr>
          <w:rFonts w:ascii="Times New Roman" w:eastAsia="Times New Roman" w:hAnsi="Times New Roman" w:cs="Times New Roman"/>
          <w:sz w:val="18"/>
          <w:szCs w:val="18"/>
        </w:rPr>
        <w:t xml:space="preserve"> Roma: Accad. Nazionale </w:t>
      </w:r>
      <w:proofErr w:type="spellStart"/>
      <w:r w:rsidRPr="00007ACB">
        <w:rPr>
          <w:rFonts w:ascii="Times New Roman" w:eastAsia="Times New Roman" w:hAnsi="Times New Roman" w:cs="Times New Roman"/>
          <w:sz w:val="18"/>
          <w:szCs w:val="18"/>
        </w:rPr>
        <w:t>dei</w:t>
      </w:r>
      <w:proofErr w:type="spellEnd"/>
      <w:r w:rsidRPr="00007ACB">
        <w:rPr>
          <w:rFonts w:ascii="Times New Roman" w:eastAsia="Times New Roman" w:hAnsi="Times New Roman" w:cs="Times New Roman"/>
          <w:sz w:val="18"/>
          <w:szCs w:val="18"/>
        </w:rPr>
        <w:t xml:space="preserve"> </w:t>
      </w:r>
      <w:proofErr w:type="spellStart"/>
      <w:r w:rsidRPr="00007ACB">
        <w:rPr>
          <w:rFonts w:ascii="Times New Roman" w:eastAsia="Times New Roman" w:hAnsi="Times New Roman" w:cs="Times New Roman"/>
          <w:sz w:val="18"/>
          <w:szCs w:val="18"/>
        </w:rPr>
        <w:t>Lincei</w:t>
      </w:r>
      <w:proofErr w:type="spellEnd"/>
      <w:r w:rsidRPr="00007ACB">
        <w:rPr>
          <w:rFonts w:ascii="Times New Roman" w:eastAsia="Times New Roman" w:hAnsi="Times New Roman" w:cs="Times New Roman"/>
          <w:sz w:val="18"/>
          <w:szCs w:val="18"/>
        </w:rPr>
        <w:t>; 1974.</w:t>
      </w:r>
    </w:p>
    <w:p w14:paraId="3EFD41BE" w14:textId="62572F6C"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Dapaah D, Bahmani A, Montesano J, Willett TL. A Continuum Damage Mechanics Model </w:t>
      </w:r>
      <w:proofErr w:type="gramStart"/>
      <w:r w:rsidRPr="00007ACB">
        <w:rPr>
          <w:rFonts w:ascii="Times New Roman" w:eastAsia="Times New Roman" w:hAnsi="Times New Roman" w:cs="Times New Roman"/>
          <w:sz w:val="18"/>
          <w:szCs w:val="18"/>
        </w:rPr>
        <w:t>Of</w:t>
      </w:r>
      <w:proofErr w:type="gramEnd"/>
      <w:r w:rsidRPr="00007ACB">
        <w:rPr>
          <w:rFonts w:ascii="Times New Roman" w:eastAsia="Times New Roman" w:hAnsi="Times New Roman" w:cs="Times New Roman"/>
          <w:sz w:val="18"/>
          <w:szCs w:val="18"/>
        </w:rPr>
        <w:t xml:space="preserve"> The Microdamage Process Zone During Cortical Bone Fracture. Materials </w:t>
      </w:r>
      <w:proofErr w:type="gramStart"/>
      <w:r w:rsidRPr="00007ACB">
        <w:rPr>
          <w:rFonts w:ascii="Times New Roman" w:eastAsia="Times New Roman" w:hAnsi="Times New Roman" w:cs="Times New Roman"/>
          <w:sz w:val="18"/>
          <w:szCs w:val="18"/>
        </w:rPr>
        <w:t>today :</w:t>
      </w:r>
      <w:proofErr w:type="gramEnd"/>
      <w:r w:rsidRPr="00007ACB">
        <w:rPr>
          <w:rFonts w:ascii="Times New Roman" w:eastAsia="Times New Roman" w:hAnsi="Times New Roman" w:cs="Times New Roman"/>
          <w:sz w:val="18"/>
          <w:szCs w:val="18"/>
        </w:rPr>
        <w:t xml:space="preserve"> proceedings. 2019; 7 402-409. 10.1016/j.matpr.2018.11.102.</w:t>
      </w:r>
    </w:p>
    <w:p w14:paraId="14CFE36D" w14:textId="622907D7"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Gustafsson A, </w:t>
      </w:r>
      <w:proofErr w:type="spellStart"/>
      <w:r w:rsidRPr="00007ACB">
        <w:rPr>
          <w:rFonts w:ascii="Times New Roman" w:eastAsia="Times New Roman" w:hAnsi="Times New Roman" w:cs="Times New Roman"/>
          <w:sz w:val="18"/>
          <w:szCs w:val="18"/>
        </w:rPr>
        <w:t>Tognini</w:t>
      </w:r>
      <w:proofErr w:type="spellEnd"/>
      <w:r w:rsidRPr="00007ACB">
        <w:rPr>
          <w:rFonts w:ascii="Times New Roman" w:eastAsia="Times New Roman" w:hAnsi="Times New Roman" w:cs="Times New Roman"/>
          <w:sz w:val="18"/>
          <w:szCs w:val="18"/>
        </w:rPr>
        <w:t xml:space="preserve"> M, Bengtsson F, Gasser TC, Isaksson H, Grassi L. Subject-specific FE models of the human femur predict fracture path and bone strength under single-leg-stance loading. Journal of the mechanical </w:t>
      </w:r>
      <w:proofErr w:type="spellStart"/>
      <w:r w:rsidRPr="00007ACB">
        <w:rPr>
          <w:rFonts w:ascii="Times New Roman" w:eastAsia="Times New Roman" w:hAnsi="Times New Roman" w:cs="Times New Roman"/>
          <w:sz w:val="18"/>
          <w:szCs w:val="18"/>
        </w:rPr>
        <w:t>behavior</w:t>
      </w:r>
      <w:proofErr w:type="spellEnd"/>
      <w:r w:rsidRPr="00007ACB">
        <w:rPr>
          <w:rFonts w:ascii="Times New Roman" w:eastAsia="Times New Roman" w:hAnsi="Times New Roman" w:cs="Times New Roman"/>
          <w:sz w:val="18"/>
          <w:szCs w:val="18"/>
        </w:rPr>
        <w:t xml:space="preserve"> of biomedical materials. 2021; 113 104118. 10.1016/j.jmbbm.2020.104118.</w:t>
      </w:r>
    </w:p>
    <w:p w14:paraId="0654986E" w14:textId="7143857A"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proofErr w:type="spellStart"/>
      <w:r w:rsidRPr="00007ACB">
        <w:rPr>
          <w:rFonts w:ascii="Times New Roman" w:eastAsia="Times New Roman" w:hAnsi="Times New Roman" w:cs="Times New Roman"/>
          <w:sz w:val="18"/>
          <w:szCs w:val="18"/>
        </w:rPr>
        <w:t>Zysset</w:t>
      </w:r>
      <w:proofErr w:type="spellEnd"/>
      <w:r w:rsidRPr="00007ACB">
        <w:rPr>
          <w:rFonts w:ascii="Times New Roman" w:eastAsia="Times New Roman" w:hAnsi="Times New Roman" w:cs="Times New Roman"/>
          <w:sz w:val="18"/>
          <w:szCs w:val="18"/>
        </w:rPr>
        <w:t xml:space="preserve"> PK, </w:t>
      </w:r>
      <w:proofErr w:type="spellStart"/>
      <w:r w:rsidRPr="00007ACB">
        <w:rPr>
          <w:rFonts w:ascii="Times New Roman" w:eastAsia="Times New Roman" w:hAnsi="Times New Roman" w:cs="Times New Roman"/>
          <w:sz w:val="18"/>
          <w:szCs w:val="18"/>
        </w:rPr>
        <w:t>Dall'ara</w:t>
      </w:r>
      <w:proofErr w:type="spellEnd"/>
      <w:r w:rsidRPr="00007ACB">
        <w:rPr>
          <w:rFonts w:ascii="Times New Roman" w:eastAsia="Times New Roman" w:hAnsi="Times New Roman" w:cs="Times New Roman"/>
          <w:sz w:val="18"/>
          <w:szCs w:val="18"/>
        </w:rPr>
        <w:t xml:space="preserve"> E, Varga P, Pahr DH. Finite element analysis for prediction of bone strength. </w:t>
      </w:r>
      <w:proofErr w:type="spellStart"/>
      <w:r w:rsidRPr="00007ACB">
        <w:rPr>
          <w:rFonts w:ascii="Times New Roman" w:eastAsia="Times New Roman" w:hAnsi="Times New Roman" w:cs="Times New Roman"/>
          <w:sz w:val="18"/>
          <w:szCs w:val="18"/>
        </w:rPr>
        <w:t>BoneKEy</w:t>
      </w:r>
      <w:proofErr w:type="spellEnd"/>
      <w:r w:rsidRPr="00007ACB">
        <w:rPr>
          <w:rFonts w:ascii="Times New Roman" w:eastAsia="Times New Roman" w:hAnsi="Times New Roman" w:cs="Times New Roman"/>
          <w:sz w:val="18"/>
          <w:szCs w:val="18"/>
        </w:rPr>
        <w:t xml:space="preserve"> reports. 2013; 2 386. 10.1038/bonekey.2013.120.</w:t>
      </w:r>
    </w:p>
    <w:p w14:paraId="7668608A" w14:textId="4A6C89A0"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Small RE. Uses and limitations of bone mineral density measurements in the management of osteoporosis. Medscape general medicine. 2005; 7 (2): 3. https://www.ncbi.nlm.nih.gov/pubmed/16369382.</w:t>
      </w:r>
    </w:p>
    <w:p w14:paraId="1D4C9143" w14:textId="126B1C70"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Trabelsi N, </w:t>
      </w:r>
      <w:proofErr w:type="spellStart"/>
      <w:r w:rsidRPr="00007ACB">
        <w:rPr>
          <w:rFonts w:ascii="Times New Roman" w:eastAsia="Times New Roman" w:hAnsi="Times New Roman" w:cs="Times New Roman"/>
          <w:sz w:val="18"/>
          <w:szCs w:val="18"/>
        </w:rPr>
        <w:t>Yosibash</w:t>
      </w:r>
      <w:proofErr w:type="spellEnd"/>
      <w:r w:rsidRPr="00007ACB">
        <w:rPr>
          <w:rFonts w:ascii="Times New Roman" w:eastAsia="Times New Roman" w:hAnsi="Times New Roman" w:cs="Times New Roman"/>
          <w:sz w:val="18"/>
          <w:szCs w:val="18"/>
        </w:rPr>
        <w:t xml:space="preserve"> Z, </w:t>
      </w:r>
      <w:proofErr w:type="spellStart"/>
      <w:r w:rsidRPr="00007ACB">
        <w:rPr>
          <w:rFonts w:ascii="Times New Roman" w:eastAsia="Times New Roman" w:hAnsi="Times New Roman" w:cs="Times New Roman"/>
          <w:sz w:val="18"/>
          <w:szCs w:val="18"/>
        </w:rPr>
        <w:t>Wutte</w:t>
      </w:r>
      <w:proofErr w:type="spellEnd"/>
      <w:r w:rsidRPr="00007ACB">
        <w:rPr>
          <w:rFonts w:ascii="Times New Roman" w:eastAsia="Times New Roman" w:hAnsi="Times New Roman" w:cs="Times New Roman"/>
          <w:sz w:val="18"/>
          <w:szCs w:val="18"/>
        </w:rPr>
        <w:t xml:space="preserve"> C, </w:t>
      </w:r>
      <w:proofErr w:type="spellStart"/>
      <w:r w:rsidRPr="00007ACB">
        <w:rPr>
          <w:rFonts w:ascii="Times New Roman" w:eastAsia="Times New Roman" w:hAnsi="Times New Roman" w:cs="Times New Roman"/>
          <w:sz w:val="18"/>
          <w:szCs w:val="18"/>
        </w:rPr>
        <w:t>Augat</w:t>
      </w:r>
      <w:proofErr w:type="spellEnd"/>
      <w:r w:rsidRPr="00007ACB">
        <w:rPr>
          <w:rFonts w:ascii="Times New Roman" w:eastAsia="Times New Roman" w:hAnsi="Times New Roman" w:cs="Times New Roman"/>
          <w:sz w:val="18"/>
          <w:szCs w:val="18"/>
        </w:rPr>
        <w:t xml:space="preserve"> P, Eberle S. Patient-specific finite element analysis of the human femur—A double-blinded biomechanical validation. Journal of biomechanics. 2011; 44 (9): 1666-1672. 10.1016/j.jbiomech.2011.03.024.</w:t>
      </w:r>
    </w:p>
    <w:p w14:paraId="1D6D6606" w14:textId="54012D7A"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lastRenderedPageBreak/>
        <w:t>Parashar SK, Sharma JK. A review on application of finite element modelling in bone biomechanics. Perspectives in Science. 2016; 8 696-698. 10.1016/j.pisc.2016.06.062.</w:t>
      </w:r>
    </w:p>
    <w:p w14:paraId="08EFADE1" w14:textId="0AB0880F"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proofErr w:type="spellStart"/>
      <w:r w:rsidRPr="00007ACB">
        <w:rPr>
          <w:rFonts w:ascii="Times New Roman" w:eastAsia="Times New Roman" w:hAnsi="Times New Roman" w:cs="Times New Roman"/>
          <w:sz w:val="18"/>
          <w:szCs w:val="18"/>
        </w:rPr>
        <w:t>Poelert</w:t>
      </w:r>
      <w:proofErr w:type="spellEnd"/>
      <w:r w:rsidRPr="00007ACB">
        <w:rPr>
          <w:rFonts w:ascii="Times New Roman" w:eastAsia="Times New Roman" w:hAnsi="Times New Roman" w:cs="Times New Roman"/>
          <w:sz w:val="18"/>
          <w:szCs w:val="18"/>
        </w:rPr>
        <w:t xml:space="preserve"> S, </w:t>
      </w:r>
      <w:proofErr w:type="spellStart"/>
      <w:r w:rsidRPr="00007ACB">
        <w:rPr>
          <w:rFonts w:ascii="Times New Roman" w:eastAsia="Times New Roman" w:hAnsi="Times New Roman" w:cs="Times New Roman"/>
          <w:sz w:val="18"/>
          <w:szCs w:val="18"/>
        </w:rPr>
        <w:t>Valstar</w:t>
      </w:r>
      <w:proofErr w:type="spellEnd"/>
      <w:r w:rsidRPr="00007ACB">
        <w:rPr>
          <w:rFonts w:ascii="Times New Roman" w:eastAsia="Times New Roman" w:hAnsi="Times New Roman" w:cs="Times New Roman"/>
          <w:sz w:val="18"/>
          <w:szCs w:val="18"/>
        </w:rPr>
        <w:t xml:space="preserve"> E, </w:t>
      </w:r>
      <w:proofErr w:type="spellStart"/>
      <w:r w:rsidRPr="00007ACB">
        <w:rPr>
          <w:rFonts w:ascii="Times New Roman" w:eastAsia="Times New Roman" w:hAnsi="Times New Roman" w:cs="Times New Roman"/>
          <w:sz w:val="18"/>
          <w:szCs w:val="18"/>
        </w:rPr>
        <w:t>Weinans</w:t>
      </w:r>
      <w:proofErr w:type="spellEnd"/>
      <w:r w:rsidRPr="00007ACB">
        <w:rPr>
          <w:rFonts w:ascii="Times New Roman" w:eastAsia="Times New Roman" w:hAnsi="Times New Roman" w:cs="Times New Roman"/>
          <w:sz w:val="18"/>
          <w:szCs w:val="18"/>
        </w:rPr>
        <w:t xml:space="preserve"> H, </w:t>
      </w:r>
      <w:proofErr w:type="spellStart"/>
      <w:r w:rsidRPr="00007ACB">
        <w:rPr>
          <w:rFonts w:ascii="Times New Roman" w:eastAsia="Times New Roman" w:hAnsi="Times New Roman" w:cs="Times New Roman"/>
          <w:sz w:val="18"/>
          <w:szCs w:val="18"/>
        </w:rPr>
        <w:t>Zadpoor</w:t>
      </w:r>
      <w:proofErr w:type="spellEnd"/>
      <w:r w:rsidRPr="00007ACB">
        <w:rPr>
          <w:rFonts w:ascii="Times New Roman" w:eastAsia="Times New Roman" w:hAnsi="Times New Roman" w:cs="Times New Roman"/>
          <w:sz w:val="18"/>
          <w:szCs w:val="18"/>
        </w:rPr>
        <w:t xml:space="preserve"> AA. Patient-specific finite element </w:t>
      </w:r>
      <w:proofErr w:type="spellStart"/>
      <w:r w:rsidRPr="00007ACB">
        <w:rPr>
          <w:rFonts w:ascii="Times New Roman" w:eastAsia="Times New Roman" w:hAnsi="Times New Roman" w:cs="Times New Roman"/>
          <w:sz w:val="18"/>
          <w:szCs w:val="18"/>
        </w:rPr>
        <w:t>modeling</w:t>
      </w:r>
      <w:proofErr w:type="spellEnd"/>
      <w:r w:rsidRPr="00007ACB">
        <w:rPr>
          <w:rFonts w:ascii="Times New Roman" w:eastAsia="Times New Roman" w:hAnsi="Times New Roman" w:cs="Times New Roman"/>
          <w:sz w:val="18"/>
          <w:szCs w:val="18"/>
        </w:rPr>
        <w:t xml:space="preserve"> of bones. Proceedings of the Institution of Mechanical Engineers. Part H, Journal of engineering in medicine. 2013; 227 (4): 464-478. 10.1177/0954411912467884.</w:t>
      </w:r>
    </w:p>
    <w:p w14:paraId="6DEE3EF7" w14:textId="404319C9"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Lenaerts L, van Lenthe GH. Multi-level patient-specific modelling of the proximal femur. A promising tool to quantify the effect of osteoporosis treatment. Philosophical transactions of the Royal Society of London. Series A: Mathematical, physical, and engineering sciences. 2009; 367 (1895): 2079-2093. 10.1098/rsta.2008.0302.</w:t>
      </w:r>
    </w:p>
    <w:p w14:paraId="67F28CB4" w14:textId="3F4FDE91"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proofErr w:type="spellStart"/>
      <w:r w:rsidRPr="00007ACB">
        <w:rPr>
          <w:rFonts w:ascii="Times New Roman" w:eastAsia="Times New Roman" w:hAnsi="Times New Roman" w:cs="Times New Roman"/>
          <w:sz w:val="18"/>
          <w:szCs w:val="18"/>
        </w:rPr>
        <w:t>Florkow</w:t>
      </w:r>
      <w:proofErr w:type="spellEnd"/>
      <w:r w:rsidRPr="00007ACB">
        <w:rPr>
          <w:rFonts w:ascii="Times New Roman" w:eastAsia="Times New Roman" w:hAnsi="Times New Roman" w:cs="Times New Roman"/>
          <w:sz w:val="18"/>
          <w:szCs w:val="18"/>
        </w:rPr>
        <w:t xml:space="preserve"> MC, Willemsen K, Mascarenhas VV, </w:t>
      </w:r>
      <w:proofErr w:type="spellStart"/>
      <w:r w:rsidRPr="00007ACB">
        <w:rPr>
          <w:rFonts w:ascii="Times New Roman" w:eastAsia="Times New Roman" w:hAnsi="Times New Roman" w:cs="Times New Roman"/>
          <w:sz w:val="18"/>
          <w:szCs w:val="18"/>
        </w:rPr>
        <w:t>Oei</w:t>
      </w:r>
      <w:proofErr w:type="spellEnd"/>
      <w:r w:rsidRPr="00007ACB">
        <w:rPr>
          <w:rFonts w:ascii="Times New Roman" w:eastAsia="Times New Roman" w:hAnsi="Times New Roman" w:cs="Times New Roman"/>
          <w:sz w:val="18"/>
          <w:szCs w:val="18"/>
        </w:rPr>
        <w:t xml:space="preserve"> EHG, van </w:t>
      </w:r>
      <w:proofErr w:type="spellStart"/>
      <w:r w:rsidRPr="00007ACB">
        <w:rPr>
          <w:rFonts w:ascii="Times New Roman" w:eastAsia="Times New Roman" w:hAnsi="Times New Roman" w:cs="Times New Roman"/>
          <w:sz w:val="18"/>
          <w:szCs w:val="18"/>
        </w:rPr>
        <w:t>Stralen</w:t>
      </w:r>
      <w:proofErr w:type="spellEnd"/>
      <w:r w:rsidRPr="00007ACB">
        <w:rPr>
          <w:rFonts w:ascii="Times New Roman" w:eastAsia="Times New Roman" w:hAnsi="Times New Roman" w:cs="Times New Roman"/>
          <w:sz w:val="18"/>
          <w:szCs w:val="18"/>
        </w:rPr>
        <w:t xml:space="preserve"> M, </w:t>
      </w:r>
      <w:proofErr w:type="spellStart"/>
      <w:r w:rsidRPr="00007ACB">
        <w:rPr>
          <w:rFonts w:ascii="Times New Roman" w:eastAsia="Times New Roman" w:hAnsi="Times New Roman" w:cs="Times New Roman"/>
          <w:sz w:val="18"/>
          <w:szCs w:val="18"/>
        </w:rPr>
        <w:t>Seevinck</w:t>
      </w:r>
      <w:proofErr w:type="spellEnd"/>
      <w:r w:rsidRPr="00007ACB">
        <w:rPr>
          <w:rFonts w:ascii="Times New Roman" w:eastAsia="Times New Roman" w:hAnsi="Times New Roman" w:cs="Times New Roman"/>
          <w:sz w:val="18"/>
          <w:szCs w:val="18"/>
        </w:rPr>
        <w:t xml:space="preserve"> PR. Magnetic Resonance Imaging Versus Computed Tomography for Three-Dimensional Bone Imaging of Musculoskeletal Pathologies: A Review. Journal of magnetic resonance imaging. 2022; 56 (1): 11-34. 10.1002/jmri.28067.</w:t>
      </w:r>
    </w:p>
    <w:p w14:paraId="5F0CC2B6" w14:textId="25DBC28A"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proofErr w:type="spellStart"/>
      <w:r w:rsidRPr="00007ACB">
        <w:rPr>
          <w:rFonts w:ascii="Times New Roman" w:eastAsia="Times New Roman" w:hAnsi="Times New Roman" w:cs="Times New Roman"/>
          <w:sz w:val="18"/>
          <w:szCs w:val="18"/>
        </w:rPr>
        <w:t>Ketsiri</w:t>
      </w:r>
      <w:proofErr w:type="spellEnd"/>
      <w:r w:rsidRPr="00007ACB">
        <w:rPr>
          <w:rFonts w:ascii="Times New Roman" w:eastAsia="Times New Roman" w:hAnsi="Times New Roman" w:cs="Times New Roman"/>
          <w:sz w:val="18"/>
          <w:szCs w:val="18"/>
        </w:rPr>
        <w:t xml:space="preserve"> T, </w:t>
      </w:r>
      <w:proofErr w:type="spellStart"/>
      <w:r w:rsidRPr="00007ACB">
        <w:rPr>
          <w:rFonts w:ascii="Times New Roman" w:eastAsia="Times New Roman" w:hAnsi="Times New Roman" w:cs="Times New Roman"/>
          <w:sz w:val="18"/>
          <w:szCs w:val="18"/>
        </w:rPr>
        <w:t>Uppuganti</w:t>
      </w:r>
      <w:proofErr w:type="spellEnd"/>
      <w:r w:rsidRPr="00007ACB">
        <w:rPr>
          <w:rFonts w:ascii="Times New Roman" w:eastAsia="Times New Roman" w:hAnsi="Times New Roman" w:cs="Times New Roman"/>
          <w:sz w:val="18"/>
          <w:szCs w:val="18"/>
        </w:rPr>
        <w:t xml:space="preserve"> S, Harkins KD, </w:t>
      </w:r>
      <w:proofErr w:type="spellStart"/>
      <w:r w:rsidRPr="00007ACB">
        <w:rPr>
          <w:rFonts w:ascii="Times New Roman" w:eastAsia="Times New Roman" w:hAnsi="Times New Roman" w:cs="Times New Roman"/>
          <w:sz w:val="18"/>
          <w:szCs w:val="18"/>
        </w:rPr>
        <w:t>Gochberg</w:t>
      </w:r>
      <w:proofErr w:type="spellEnd"/>
      <w:r w:rsidRPr="00007ACB">
        <w:rPr>
          <w:rFonts w:ascii="Times New Roman" w:eastAsia="Times New Roman" w:hAnsi="Times New Roman" w:cs="Times New Roman"/>
          <w:sz w:val="18"/>
          <w:szCs w:val="18"/>
        </w:rPr>
        <w:t xml:space="preserve"> DF, Nyman JS, Does MD. Finite element analysis of bone mechanical properties </w:t>
      </w:r>
      <w:proofErr w:type="gramStart"/>
      <w:r w:rsidRPr="00007ACB">
        <w:rPr>
          <w:rFonts w:ascii="Times New Roman" w:eastAsia="Times New Roman" w:hAnsi="Times New Roman" w:cs="Times New Roman"/>
          <w:sz w:val="18"/>
          <w:szCs w:val="18"/>
        </w:rPr>
        <w:t>using</w:t>
      </w:r>
      <w:proofErr w:type="gramEnd"/>
      <w:r w:rsidRPr="00007ACB">
        <w:rPr>
          <w:rFonts w:ascii="Times New Roman" w:eastAsia="Times New Roman" w:hAnsi="Times New Roman" w:cs="Times New Roman"/>
          <w:sz w:val="18"/>
          <w:szCs w:val="18"/>
        </w:rPr>
        <w:t xml:space="preserve"> MRI-derived bound and pore water concentration maps. Computer methods in biomechanics and biomedical engineering. 2022; ahead-of-print (ahead-of-print): 1-12. 10.1080/10255842.2022.2098016.</w:t>
      </w:r>
    </w:p>
    <w:p w14:paraId="07969A7C" w14:textId="14408F5A"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Garcia D, </w:t>
      </w:r>
      <w:proofErr w:type="spellStart"/>
      <w:r w:rsidRPr="00007ACB">
        <w:rPr>
          <w:rFonts w:ascii="Times New Roman" w:eastAsia="Times New Roman" w:hAnsi="Times New Roman" w:cs="Times New Roman"/>
          <w:sz w:val="18"/>
          <w:szCs w:val="18"/>
        </w:rPr>
        <w:t>Zysset</w:t>
      </w:r>
      <w:proofErr w:type="spellEnd"/>
      <w:r w:rsidRPr="00007ACB">
        <w:rPr>
          <w:rFonts w:ascii="Times New Roman" w:eastAsia="Times New Roman" w:hAnsi="Times New Roman" w:cs="Times New Roman"/>
          <w:sz w:val="18"/>
          <w:szCs w:val="18"/>
        </w:rPr>
        <w:t xml:space="preserve"> PK, Charlebois M, </w:t>
      </w:r>
      <w:proofErr w:type="spellStart"/>
      <w:r w:rsidRPr="00007ACB">
        <w:rPr>
          <w:rFonts w:ascii="Times New Roman" w:eastAsia="Times New Roman" w:hAnsi="Times New Roman" w:cs="Times New Roman"/>
          <w:sz w:val="18"/>
          <w:szCs w:val="18"/>
        </w:rPr>
        <w:t>Curnier</w:t>
      </w:r>
      <w:proofErr w:type="spellEnd"/>
      <w:r w:rsidRPr="00007ACB">
        <w:rPr>
          <w:rFonts w:ascii="Times New Roman" w:eastAsia="Times New Roman" w:hAnsi="Times New Roman" w:cs="Times New Roman"/>
          <w:sz w:val="18"/>
          <w:szCs w:val="18"/>
        </w:rPr>
        <w:t xml:space="preserve"> A. A three-dimensional elastic plastic damage constitutive law for bone tissue. Biomechanics and </w:t>
      </w:r>
      <w:proofErr w:type="spellStart"/>
      <w:r w:rsidRPr="00007ACB">
        <w:rPr>
          <w:rFonts w:ascii="Times New Roman" w:eastAsia="Times New Roman" w:hAnsi="Times New Roman" w:cs="Times New Roman"/>
          <w:sz w:val="18"/>
          <w:szCs w:val="18"/>
        </w:rPr>
        <w:t>modeling</w:t>
      </w:r>
      <w:proofErr w:type="spellEnd"/>
      <w:r w:rsidRPr="00007ACB">
        <w:rPr>
          <w:rFonts w:ascii="Times New Roman" w:eastAsia="Times New Roman" w:hAnsi="Times New Roman" w:cs="Times New Roman"/>
          <w:sz w:val="18"/>
          <w:szCs w:val="18"/>
        </w:rPr>
        <w:t xml:space="preserve"> in mechanobiology. 2009; 8 (2): 149-165. 10.1007/s10237-008-0125-2.</w:t>
      </w:r>
    </w:p>
    <w:p w14:paraId="37B13CC5" w14:textId="12E5A52F"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Koivumäki JEM, Thevenot J, Pulkkinen P, Kuhn V, Link TM, Eckstein F, et al. Cortical bone finite element models in the estimation of experimentally measured failure loads in the proximal femur. Bone (New York, N.Y.). 2012; 51 (4): 737-740. 10.1016/j.bone.2012.06.026.</w:t>
      </w:r>
    </w:p>
    <w:p w14:paraId="25753479" w14:textId="1BFFDE6D"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Ascenzi M, Kawas NP, Lutz A, Kardas D, </w:t>
      </w:r>
      <w:proofErr w:type="spellStart"/>
      <w:r w:rsidRPr="00007ACB">
        <w:rPr>
          <w:rFonts w:ascii="Times New Roman" w:eastAsia="Times New Roman" w:hAnsi="Times New Roman" w:cs="Times New Roman"/>
          <w:sz w:val="18"/>
          <w:szCs w:val="18"/>
        </w:rPr>
        <w:t>Nackenhorst</w:t>
      </w:r>
      <w:proofErr w:type="spellEnd"/>
      <w:r w:rsidRPr="00007ACB">
        <w:rPr>
          <w:rFonts w:ascii="Times New Roman" w:eastAsia="Times New Roman" w:hAnsi="Times New Roman" w:cs="Times New Roman"/>
          <w:sz w:val="18"/>
          <w:szCs w:val="18"/>
        </w:rPr>
        <w:t xml:space="preserve"> U, </w:t>
      </w:r>
      <w:proofErr w:type="spellStart"/>
      <w:r w:rsidRPr="00007ACB">
        <w:rPr>
          <w:rFonts w:ascii="Times New Roman" w:eastAsia="Times New Roman" w:hAnsi="Times New Roman" w:cs="Times New Roman"/>
          <w:sz w:val="18"/>
          <w:szCs w:val="18"/>
        </w:rPr>
        <w:t>Keyak</w:t>
      </w:r>
      <w:proofErr w:type="spellEnd"/>
      <w:r w:rsidRPr="00007ACB">
        <w:rPr>
          <w:rFonts w:ascii="Times New Roman" w:eastAsia="Times New Roman" w:hAnsi="Times New Roman" w:cs="Times New Roman"/>
          <w:sz w:val="18"/>
          <w:szCs w:val="18"/>
        </w:rPr>
        <w:t xml:space="preserve"> JH. Individual-specific multi-scale finite element simulation of cortical bone of human proximal femur. Journal of computational physics. 2013; 244 298-311. 10.1016/j.jcp.2012.05.027.</w:t>
      </w:r>
    </w:p>
    <w:p w14:paraId="1C6AD6CF" w14:textId="0D96FAF6"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proofErr w:type="spellStart"/>
      <w:r w:rsidRPr="00007ACB">
        <w:rPr>
          <w:rFonts w:ascii="Times New Roman" w:eastAsia="Times New Roman" w:hAnsi="Times New Roman" w:cs="Times New Roman"/>
          <w:sz w:val="18"/>
          <w:szCs w:val="18"/>
        </w:rPr>
        <w:t>Asgharpour</w:t>
      </w:r>
      <w:proofErr w:type="spellEnd"/>
      <w:r w:rsidRPr="00007ACB">
        <w:rPr>
          <w:rFonts w:ascii="Times New Roman" w:eastAsia="Times New Roman" w:hAnsi="Times New Roman" w:cs="Times New Roman"/>
          <w:sz w:val="18"/>
          <w:szCs w:val="18"/>
        </w:rPr>
        <w:t xml:space="preserve"> Z, </w:t>
      </w:r>
      <w:proofErr w:type="spellStart"/>
      <w:r w:rsidRPr="00007ACB">
        <w:rPr>
          <w:rFonts w:ascii="Times New Roman" w:eastAsia="Times New Roman" w:hAnsi="Times New Roman" w:cs="Times New Roman"/>
          <w:sz w:val="18"/>
          <w:szCs w:val="18"/>
        </w:rPr>
        <w:t>Zioupos</w:t>
      </w:r>
      <w:proofErr w:type="spellEnd"/>
      <w:r w:rsidRPr="00007ACB">
        <w:rPr>
          <w:rFonts w:ascii="Times New Roman" w:eastAsia="Times New Roman" w:hAnsi="Times New Roman" w:cs="Times New Roman"/>
          <w:sz w:val="18"/>
          <w:szCs w:val="18"/>
        </w:rPr>
        <w:t xml:space="preserve"> P, Graw M, </w:t>
      </w:r>
      <w:proofErr w:type="spellStart"/>
      <w:r w:rsidRPr="00007ACB">
        <w:rPr>
          <w:rFonts w:ascii="Times New Roman" w:eastAsia="Times New Roman" w:hAnsi="Times New Roman" w:cs="Times New Roman"/>
          <w:sz w:val="18"/>
          <w:szCs w:val="18"/>
        </w:rPr>
        <w:t>Peldschus</w:t>
      </w:r>
      <w:proofErr w:type="spellEnd"/>
      <w:r w:rsidRPr="00007ACB">
        <w:rPr>
          <w:rFonts w:ascii="Times New Roman" w:eastAsia="Times New Roman" w:hAnsi="Times New Roman" w:cs="Times New Roman"/>
          <w:sz w:val="18"/>
          <w:szCs w:val="18"/>
        </w:rPr>
        <w:t xml:space="preserve"> S. Development of a strain rate dependent material model of human cortical bone for computer-aided reconstruction of injury mechanisms. FORENSIC SCIENCE INTERNATIONAL. 2013; 236 (C): 109-116. 10.1016/j.forsciint.2013.11.010.</w:t>
      </w:r>
    </w:p>
    <w:p w14:paraId="49BF764D" w14:textId="6E6505AB"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Cloete TJ, Paul G, Ismail EB. Hopkinson bar techniques for the intermediate strain rate testing of bovine cortical bone. Philosophical transactions of the Royal Society of London. Series A: Mathematical, physical, and engineering sciences. 2014; 372 (2015): 20130210. 10.1098/rsta.2013.0210.</w:t>
      </w:r>
    </w:p>
    <w:p w14:paraId="512A3D2A" w14:textId="3DDB31AF"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Halldin A, Ander M, Jacobsson M, Hansson S. On a Constitutive Material Model to Capture Time Dependent </w:t>
      </w:r>
      <w:proofErr w:type="spellStart"/>
      <w:r w:rsidRPr="00007ACB">
        <w:rPr>
          <w:rFonts w:ascii="Times New Roman" w:eastAsia="Times New Roman" w:hAnsi="Times New Roman" w:cs="Times New Roman"/>
          <w:sz w:val="18"/>
          <w:szCs w:val="18"/>
        </w:rPr>
        <w:t>Behavior</w:t>
      </w:r>
      <w:proofErr w:type="spellEnd"/>
      <w:r w:rsidRPr="00007ACB">
        <w:rPr>
          <w:rFonts w:ascii="Times New Roman" w:eastAsia="Times New Roman" w:hAnsi="Times New Roman" w:cs="Times New Roman"/>
          <w:sz w:val="18"/>
          <w:szCs w:val="18"/>
        </w:rPr>
        <w:t xml:space="preserve"> of Cortical Bone. World journal of mechanics. 2014; 4 (11): 348-361. 10.4236/wjm.2014.411034.</w:t>
      </w:r>
    </w:p>
    <w:p w14:paraId="5C796240" w14:textId="62EC6054"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Bekker A, Cloete TJ, </w:t>
      </w:r>
      <w:proofErr w:type="spellStart"/>
      <w:r w:rsidRPr="00007ACB">
        <w:rPr>
          <w:rFonts w:ascii="Times New Roman" w:eastAsia="Times New Roman" w:hAnsi="Times New Roman" w:cs="Times New Roman"/>
          <w:sz w:val="18"/>
          <w:szCs w:val="18"/>
        </w:rPr>
        <w:t>Chinsamy</w:t>
      </w:r>
      <w:proofErr w:type="spellEnd"/>
      <w:r w:rsidRPr="00007ACB">
        <w:rPr>
          <w:rFonts w:ascii="Times New Roman" w:eastAsia="Times New Roman" w:hAnsi="Times New Roman" w:cs="Times New Roman"/>
          <w:sz w:val="18"/>
          <w:szCs w:val="18"/>
        </w:rPr>
        <w:t xml:space="preserve">-Turan A, </w:t>
      </w:r>
      <w:proofErr w:type="spellStart"/>
      <w:r w:rsidRPr="00007ACB">
        <w:rPr>
          <w:rFonts w:ascii="Times New Roman" w:eastAsia="Times New Roman" w:hAnsi="Times New Roman" w:cs="Times New Roman"/>
          <w:sz w:val="18"/>
          <w:szCs w:val="18"/>
        </w:rPr>
        <w:t>Nurick</w:t>
      </w:r>
      <w:proofErr w:type="spellEnd"/>
      <w:r w:rsidRPr="00007ACB">
        <w:rPr>
          <w:rFonts w:ascii="Times New Roman" w:eastAsia="Times New Roman" w:hAnsi="Times New Roman" w:cs="Times New Roman"/>
          <w:sz w:val="18"/>
          <w:szCs w:val="18"/>
        </w:rPr>
        <w:t xml:space="preserve"> GN, Kok S. Constant strain rate compression of bovine cortical bone on the Split-Hopkinson Pressure Bar. Materials Science &amp; Engineering C. 2015; 46 443-449. 10.1016/j.msec.2014.10.071.</w:t>
      </w:r>
    </w:p>
    <w:p w14:paraId="37BB23F7" w14:textId="2F9428C3"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Sansalone V, Gagliardi D, </w:t>
      </w:r>
      <w:proofErr w:type="spellStart"/>
      <w:r w:rsidRPr="00007ACB">
        <w:rPr>
          <w:rFonts w:ascii="Times New Roman" w:eastAsia="Times New Roman" w:hAnsi="Times New Roman" w:cs="Times New Roman"/>
          <w:sz w:val="18"/>
          <w:szCs w:val="18"/>
        </w:rPr>
        <w:t>Desceliers</w:t>
      </w:r>
      <w:proofErr w:type="spellEnd"/>
      <w:r w:rsidRPr="00007ACB">
        <w:rPr>
          <w:rFonts w:ascii="Times New Roman" w:eastAsia="Times New Roman" w:hAnsi="Times New Roman" w:cs="Times New Roman"/>
          <w:sz w:val="18"/>
          <w:szCs w:val="18"/>
        </w:rPr>
        <w:t xml:space="preserve"> C, Bousson V, Laredo J, </w:t>
      </w:r>
      <w:proofErr w:type="spellStart"/>
      <w:r w:rsidRPr="00007ACB">
        <w:rPr>
          <w:rFonts w:ascii="Times New Roman" w:eastAsia="Times New Roman" w:hAnsi="Times New Roman" w:cs="Times New Roman"/>
          <w:sz w:val="18"/>
          <w:szCs w:val="18"/>
        </w:rPr>
        <w:t>Peyrin</w:t>
      </w:r>
      <w:proofErr w:type="spellEnd"/>
      <w:r w:rsidRPr="00007ACB">
        <w:rPr>
          <w:rFonts w:ascii="Times New Roman" w:eastAsia="Times New Roman" w:hAnsi="Times New Roman" w:cs="Times New Roman"/>
          <w:sz w:val="18"/>
          <w:szCs w:val="18"/>
        </w:rPr>
        <w:t xml:space="preserve"> F, et al. Stochastic multiscale modelling of cortical bone elasticity based on high-resolution imaging. Biomechanics and </w:t>
      </w:r>
      <w:proofErr w:type="spellStart"/>
      <w:r w:rsidRPr="00007ACB">
        <w:rPr>
          <w:rFonts w:ascii="Times New Roman" w:eastAsia="Times New Roman" w:hAnsi="Times New Roman" w:cs="Times New Roman"/>
          <w:sz w:val="18"/>
          <w:szCs w:val="18"/>
        </w:rPr>
        <w:t>modeling</w:t>
      </w:r>
      <w:proofErr w:type="spellEnd"/>
      <w:r w:rsidRPr="00007ACB">
        <w:rPr>
          <w:rFonts w:ascii="Times New Roman" w:eastAsia="Times New Roman" w:hAnsi="Times New Roman" w:cs="Times New Roman"/>
          <w:sz w:val="18"/>
          <w:szCs w:val="18"/>
        </w:rPr>
        <w:t xml:space="preserve"> in mechanobiology. 2016; 15 (1): 111-131. 10.1007/s10237-015-0695-8.</w:t>
      </w:r>
    </w:p>
    <w:p w14:paraId="215F9818" w14:textId="1524B92A"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Ng TP, R. </w:t>
      </w:r>
      <w:proofErr w:type="spellStart"/>
      <w:r w:rsidRPr="00007ACB">
        <w:rPr>
          <w:rFonts w:ascii="Times New Roman" w:eastAsia="Times New Roman" w:hAnsi="Times New Roman" w:cs="Times New Roman"/>
          <w:sz w:val="18"/>
          <w:szCs w:val="18"/>
        </w:rPr>
        <w:t>Koloor</w:t>
      </w:r>
      <w:proofErr w:type="spellEnd"/>
      <w:r w:rsidRPr="00007ACB">
        <w:rPr>
          <w:rFonts w:ascii="Times New Roman" w:eastAsia="Times New Roman" w:hAnsi="Times New Roman" w:cs="Times New Roman"/>
          <w:sz w:val="18"/>
          <w:szCs w:val="18"/>
        </w:rPr>
        <w:t xml:space="preserve"> SS, </w:t>
      </w:r>
      <w:proofErr w:type="spellStart"/>
      <w:r w:rsidRPr="00007ACB">
        <w:rPr>
          <w:rFonts w:ascii="Times New Roman" w:eastAsia="Times New Roman" w:hAnsi="Times New Roman" w:cs="Times New Roman"/>
          <w:sz w:val="18"/>
          <w:szCs w:val="18"/>
        </w:rPr>
        <w:t>Djuansjah</w:t>
      </w:r>
      <w:proofErr w:type="spellEnd"/>
      <w:r w:rsidRPr="00007ACB">
        <w:rPr>
          <w:rFonts w:ascii="Times New Roman" w:eastAsia="Times New Roman" w:hAnsi="Times New Roman" w:cs="Times New Roman"/>
          <w:sz w:val="18"/>
          <w:szCs w:val="18"/>
        </w:rPr>
        <w:t xml:space="preserve"> JRP, Abdul Kadir MR. Assessment of compressive failure process of cortical bone materials using damage-based model. Journal of the mechanical </w:t>
      </w:r>
      <w:proofErr w:type="spellStart"/>
      <w:r w:rsidRPr="00007ACB">
        <w:rPr>
          <w:rFonts w:ascii="Times New Roman" w:eastAsia="Times New Roman" w:hAnsi="Times New Roman" w:cs="Times New Roman"/>
          <w:sz w:val="18"/>
          <w:szCs w:val="18"/>
        </w:rPr>
        <w:t>behavior</w:t>
      </w:r>
      <w:proofErr w:type="spellEnd"/>
      <w:r w:rsidRPr="00007ACB">
        <w:rPr>
          <w:rFonts w:ascii="Times New Roman" w:eastAsia="Times New Roman" w:hAnsi="Times New Roman" w:cs="Times New Roman"/>
          <w:sz w:val="18"/>
          <w:szCs w:val="18"/>
        </w:rPr>
        <w:t xml:space="preserve"> of biomedical materials. 2017; 66 1-11. 10.1016/j.jmbbm.2016.10.014.</w:t>
      </w:r>
    </w:p>
    <w:p w14:paraId="6B5A90A1" w14:textId="3247FE9B"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proofErr w:type="spellStart"/>
      <w:r w:rsidRPr="00007ACB">
        <w:rPr>
          <w:rFonts w:ascii="Times New Roman" w:eastAsia="Times New Roman" w:hAnsi="Times New Roman" w:cs="Times New Roman"/>
          <w:sz w:val="18"/>
          <w:szCs w:val="18"/>
        </w:rPr>
        <w:t>Zysset</w:t>
      </w:r>
      <w:proofErr w:type="spellEnd"/>
      <w:r w:rsidRPr="00007ACB">
        <w:rPr>
          <w:rFonts w:ascii="Times New Roman" w:eastAsia="Times New Roman" w:hAnsi="Times New Roman" w:cs="Times New Roman"/>
          <w:sz w:val="18"/>
          <w:szCs w:val="18"/>
        </w:rPr>
        <w:t xml:space="preserve"> PK, Wolfram U. A rate-independent continuum model for bone tissue with interaction of compressive and tensile micro-damage. Journal of the mechanical </w:t>
      </w:r>
      <w:proofErr w:type="spellStart"/>
      <w:r w:rsidRPr="00007ACB">
        <w:rPr>
          <w:rFonts w:ascii="Times New Roman" w:eastAsia="Times New Roman" w:hAnsi="Times New Roman" w:cs="Times New Roman"/>
          <w:sz w:val="18"/>
          <w:szCs w:val="18"/>
        </w:rPr>
        <w:t>behavior</w:t>
      </w:r>
      <w:proofErr w:type="spellEnd"/>
      <w:r w:rsidRPr="00007ACB">
        <w:rPr>
          <w:rFonts w:ascii="Times New Roman" w:eastAsia="Times New Roman" w:hAnsi="Times New Roman" w:cs="Times New Roman"/>
          <w:sz w:val="18"/>
          <w:szCs w:val="18"/>
        </w:rPr>
        <w:t xml:space="preserve"> of biomedical materials. 2017; 74 448-462. 10.1016/j.jmbbm.2017.07.008.</w:t>
      </w:r>
    </w:p>
    <w:p w14:paraId="0C6B6E5F" w14:textId="6FCE9676"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proofErr w:type="spellStart"/>
      <w:r w:rsidRPr="00007ACB">
        <w:rPr>
          <w:rFonts w:ascii="Times New Roman" w:eastAsia="Times New Roman" w:hAnsi="Times New Roman" w:cs="Times New Roman"/>
          <w:sz w:val="18"/>
          <w:szCs w:val="18"/>
        </w:rPr>
        <w:lastRenderedPageBreak/>
        <w:t>Ramezanzadehkoldeh</w:t>
      </w:r>
      <w:proofErr w:type="spellEnd"/>
      <w:r w:rsidRPr="00007ACB">
        <w:rPr>
          <w:rFonts w:ascii="Times New Roman" w:eastAsia="Times New Roman" w:hAnsi="Times New Roman" w:cs="Times New Roman"/>
          <w:sz w:val="18"/>
          <w:szCs w:val="18"/>
        </w:rPr>
        <w:t xml:space="preserve"> M, Skallerud BH. </w:t>
      </w:r>
      <w:proofErr w:type="spellStart"/>
      <w:r w:rsidRPr="00007ACB">
        <w:rPr>
          <w:rFonts w:ascii="Times New Roman" w:eastAsia="Times New Roman" w:hAnsi="Times New Roman" w:cs="Times New Roman"/>
          <w:sz w:val="18"/>
          <w:szCs w:val="18"/>
        </w:rPr>
        <w:t>MicroCT</w:t>
      </w:r>
      <w:proofErr w:type="spellEnd"/>
      <w:r w:rsidRPr="00007ACB">
        <w:rPr>
          <w:rFonts w:ascii="Times New Roman" w:eastAsia="Times New Roman" w:hAnsi="Times New Roman" w:cs="Times New Roman"/>
          <w:sz w:val="18"/>
          <w:szCs w:val="18"/>
        </w:rPr>
        <w:t>-based finite element models as a tool for virtual testing of cortical bone. Medical engineering &amp; physics. 2017; 46 12-20. 10.1016/j.medengphy.2017.04.011.</w:t>
      </w:r>
    </w:p>
    <w:p w14:paraId="1075EBFC" w14:textId="5AF5C542"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Atsumi N, Tanaka E, Iwamoto M, Hirabayashi S. Constitutive </w:t>
      </w:r>
      <w:proofErr w:type="spellStart"/>
      <w:r w:rsidRPr="00007ACB">
        <w:rPr>
          <w:rFonts w:ascii="Times New Roman" w:eastAsia="Times New Roman" w:hAnsi="Times New Roman" w:cs="Times New Roman"/>
          <w:sz w:val="18"/>
          <w:szCs w:val="18"/>
        </w:rPr>
        <w:t>modeling</w:t>
      </w:r>
      <w:proofErr w:type="spellEnd"/>
      <w:r w:rsidRPr="00007ACB">
        <w:rPr>
          <w:rFonts w:ascii="Times New Roman" w:eastAsia="Times New Roman" w:hAnsi="Times New Roman" w:cs="Times New Roman"/>
          <w:sz w:val="18"/>
          <w:szCs w:val="18"/>
        </w:rPr>
        <w:t xml:space="preserve"> of cortical bone considering anisotropic inelasticity and damage evolution. Mechanical Engineering Journal. 2017; 4 (4): 17-00095. 10.1299/mej.17-00095.</w:t>
      </w:r>
    </w:p>
    <w:p w14:paraId="16EAE23D" w14:textId="6DE1A6E2"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Mirzaei M, Alavi F, </w:t>
      </w:r>
      <w:proofErr w:type="spellStart"/>
      <w:r w:rsidRPr="00007ACB">
        <w:rPr>
          <w:rFonts w:ascii="Times New Roman" w:eastAsia="Times New Roman" w:hAnsi="Times New Roman" w:cs="Times New Roman"/>
          <w:sz w:val="18"/>
          <w:szCs w:val="18"/>
        </w:rPr>
        <w:t>Allaveisi</w:t>
      </w:r>
      <w:proofErr w:type="spellEnd"/>
      <w:r w:rsidRPr="00007ACB">
        <w:rPr>
          <w:rFonts w:ascii="Times New Roman" w:eastAsia="Times New Roman" w:hAnsi="Times New Roman" w:cs="Times New Roman"/>
          <w:sz w:val="18"/>
          <w:szCs w:val="18"/>
        </w:rPr>
        <w:t xml:space="preserve"> F, Naeini V, Amiri P. Linear and nonlinear analyses of femoral fractures: Computational/experimental study. Journal of biomechanics. 2018; 79 155-163. 10.1016/j.jbiomech.2018.08.003.</w:t>
      </w:r>
    </w:p>
    <w:p w14:paraId="4BF600C5" w14:textId="2C1D3B3B"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Shah FA, Stoica A, Cardemil C, Palmquist A. Multiscale characterization of cortical bone composition, microstructure, and nanomechanical properties in experimentally induced osteoporosis. Journal of biomedical materials research. Part A. 2018; 106 (4): 997-1007. 10.1002/jbm.a.36294.</w:t>
      </w:r>
    </w:p>
    <w:p w14:paraId="378871C4" w14:textId="1C9E7903"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proofErr w:type="spellStart"/>
      <w:r w:rsidRPr="00007ACB">
        <w:rPr>
          <w:rFonts w:ascii="Times New Roman" w:eastAsia="Times New Roman" w:hAnsi="Times New Roman" w:cs="Times New Roman"/>
          <w:sz w:val="18"/>
          <w:szCs w:val="18"/>
        </w:rPr>
        <w:t>Idkaidek</w:t>
      </w:r>
      <w:proofErr w:type="spellEnd"/>
      <w:r w:rsidRPr="00007ACB">
        <w:rPr>
          <w:rFonts w:ascii="Times New Roman" w:eastAsia="Times New Roman" w:hAnsi="Times New Roman" w:cs="Times New Roman"/>
          <w:sz w:val="18"/>
          <w:szCs w:val="18"/>
        </w:rPr>
        <w:t xml:space="preserve"> A, </w:t>
      </w:r>
      <w:proofErr w:type="spellStart"/>
      <w:r w:rsidRPr="00007ACB">
        <w:rPr>
          <w:rFonts w:ascii="Times New Roman" w:eastAsia="Times New Roman" w:hAnsi="Times New Roman" w:cs="Times New Roman"/>
          <w:sz w:val="18"/>
          <w:szCs w:val="18"/>
        </w:rPr>
        <w:t>Koric</w:t>
      </w:r>
      <w:proofErr w:type="spellEnd"/>
      <w:r w:rsidRPr="00007ACB">
        <w:rPr>
          <w:rFonts w:ascii="Times New Roman" w:eastAsia="Times New Roman" w:hAnsi="Times New Roman" w:cs="Times New Roman"/>
          <w:sz w:val="18"/>
          <w:szCs w:val="18"/>
        </w:rPr>
        <w:t xml:space="preserve"> S, </w:t>
      </w:r>
      <w:proofErr w:type="spellStart"/>
      <w:r w:rsidRPr="00007ACB">
        <w:rPr>
          <w:rFonts w:ascii="Times New Roman" w:eastAsia="Times New Roman" w:hAnsi="Times New Roman" w:cs="Times New Roman"/>
          <w:sz w:val="18"/>
          <w:szCs w:val="18"/>
        </w:rPr>
        <w:t>Jasiuk</w:t>
      </w:r>
      <w:proofErr w:type="spellEnd"/>
      <w:r w:rsidRPr="00007ACB">
        <w:rPr>
          <w:rFonts w:ascii="Times New Roman" w:eastAsia="Times New Roman" w:hAnsi="Times New Roman" w:cs="Times New Roman"/>
          <w:sz w:val="18"/>
          <w:szCs w:val="18"/>
        </w:rPr>
        <w:t xml:space="preserve"> I. Fracture analysis of multi-osteon cortical bone using XFEM. Computational mechanics. 2018; 62 (2): 171-184. 10.1007/s00466-017-1491-3.</w:t>
      </w:r>
    </w:p>
    <w:p w14:paraId="08812AC6" w14:textId="33C2FA49"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Khor F, Cronin DS, Watson B, </w:t>
      </w:r>
      <w:proofErr w:type="spellStart"/>
      <w:r w:rsidRPr="00007ACB">
        <w:rPr>
          <w:rFonts w:ascii="Times New Roman" w:eastAsia="Times New Roman" w:hAnsi="Times New Roman" w:cs="Times New Roman"/>
          <w:sz w:val="18"/>
          <w:szCs w:val="18"/>
        </w:rPr>
        <w:t>Gierczycka</w:t>
      </w:r>
      <w:proofErr w:type="spellEnd"/>
      <w:r w:rsidRPr="00007ACB">
        <w:rPr>
          <w:rFonts w:ascii="Times New Roman" w:eastAsia="Times New Roman" w:hAnsi="Times New Roman" w:cs="Times New Roman"/>
          <w:sz w:val="18"/>
          <w:szCs w:val="18"/>
        </w:rPr>
        <w:t xml:space="preserve"> D, Malcolm S. Importance of Asymmetry and Anisotropy in Predicting Cortical Bone Response and Fracture Using Human Body Model Femur in Three-point Bending and Axial Rotation. Journal of the mechanical </w:t>
      </w:r>
      <w:proofErr w:type="spellStart"/>
      <w:r w:rsidRPr="00007ACB">
        <w:rPr>
          <w:rFonts w:ascii="Times New Roman" w:eastAsia="Times New Roman" w:hAnsi="Times New Roman" w:cs="Times New Roman"/>
          <w:sz w:val="18"/>
          <w:szCs w:val="18"/>
        </w:rPr>
        <w:t>behavior</w:t>
      </w:r>
      <w:proofErr w:type="spellEnd"/>
      <w:r w:rsidRPr="00007ACB">
        <w:rPr>
          <w:rFonts w:ascii="Times New Roman" w:eastAsia="Times New Roman" w:hAnsi="Times New Roman" w:cs="Times New Roman"/>
          <w:sz w:val="18"/>
          <w:szCs w:val="18"/>
        </w:rPr>
        <w:t xml:space="preserve"> of biomedical materials. 2018; 87 213-229. 10.1016/j.jmbbm.2018.07.033.</w:t>
      </w:r>
    </w:p>
    <w:p w14:paraId="5E5294BE" w14:textId="5B61A44F"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Cai X, Follet H, Peralta L, Gardegaront M, Farlay D, Gauthier R, et al. Anisotropic elastic properties of human femoral cortical bone and relationships with composition and microstructure in elderly. Acta </w:t>
      </w:r>
      <w:proofErr w:type="spellStart"/>
      <w:r w:rsidRPr="00007ACB">
        <w:rPr>
          <w:rFonts w:ascii="Times New Roman" w:eastAsia="Times New Roman" w:hAnsi="Times New Roman" w:cs="Times New Roman"/>
          <w:sz w:val="18"/>
          <w:szCs w:val="18"/>
        </w:rPr>
        <w:t>biomaterialia</w:t>
      </w:r>
      <w:proofErr w:type="spellEnd"/>
      <w:r w:rsidRPr="00007ACB">
        <w:rPr>
          <w:rFonts w:ascii="Times New Roman" w:eastAsia="Times New Roman" w:hAnsi="Times New Roman" w:cs="Times New Roman"/>
          <w:sz w:val="18"/>
          <w:szCs w:val="18"/>
        </w:rPr>
        <w:t>. 2019; 90 254-266. 10.1016/j.actbio.2019.03.043.</w:t>
      </w:r>
    </w:p>
    <w:p w14:paraId="21211A50" w14:textId="5EAE9926"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Gustafsson A, </w:t>
      </w:r>
      <w:proofErr w:type="spellStart"/>
      <w:r w:rsidRPr="00007ACB">
        <w:rPr>
          <w:rFonts w:ascii="Times New Roman" w:eastAsia="Times New Roman" w:hAnsi="Times New Roman" w:cs="Times New Roman"/>
          <w:sz w:val="18"/>
          <w:szCs w:val="18"/>
        </w:rPr>
        <w:t>Khayyeri</w:t>
      </w:r>
      <w:proofErr w:type="spellEnd"/>
      <w:r w:rsidRPr="00007ACB">
        <w:rPr>
          <w:rFonts w:ascii="Times New Roman" w:eastAsia="Times New Roman" w:hAnsi="Times New Roman" w:cs="Times New Roman"/>
          <w:sz w:val="18"/>
          <w:szCs w:val="18"/>
        </w:rPr>
        <w:t xml:space="preserve"> H, Wallin M, Isaksson H. An interface damage model that captures crack propagation at the microscale in cortical bone using XFEM. Journal of the mechanical </w:t>
      </w:r>
      <w:proofErr w:type="spellStart"/>
      <w:r w:rsidRPr="00007ACB">
        <w:rPr>
          <w:rFonts w:ascii="Times New Roman" w:eastAsia="Times New Roman" w:hAnsi="Times New Roman" w:cs="Times New Roman"/>
          <w:sz w:val="18"/>
          <w:szCs w:val="18"/>
        </w:rPr>
        <w:t>behavior</w:t>
      </w:r>
      <w:proofErr w:type="spellEnd"/>
      <w:r w:rsidRPr="00007ACB">
        <w:rPr>
          <w:rFonts w:ascii="Times New Roman" w:eastAsia="Times New Roman" w:hAnsi="Times New Roman" w:cs="Times New Roman"/>
          <w:sz w:val="18"/>
          <w:szCs w:val="18"/>
        </w:rPr>
        <w:t xml:space="preserve"> of biomedical materials. 2019; 90 556-565. 10.1016/j.jmbbm.2018.09.045.</w:t>
      </w:r>
    </w:p>
    <w:p w14:paraId="0DFB2803" w14:textId="1BCB2442"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Lei J, Li L, Wang Z, Zhu F. Characterizing Strain Rate-Dependent Mechanical Properties for Bovine Cortical Bones. Journal of biomechanical engineering. 2020; 142 (9): 10.1115/1.4046690.</w:t>
      </w:r>
    </w:p>
    <w:p w14:paraId="773AB05C" w14:textId="22229303"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Gustafsson A, Wallin M, Isaksson H. The influence of microstructure on crack propagation in cortical bone at the mesoscale. Journal of biomechanics. 2020; 112 110020. 10.1016/j.jbiomech.2020.110020.</w:t>
      </w:r>
    </w:p>
    <w:p w14:paraId="218CBF3F" w14:textId="3AD42A5B"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proofErr w:type="spellStart"/>
      <w:r w:rsidRPr="00007ACB">
        <w:rPr>
          <w:rFonts w:ascii="Times New Roman" w:eastAsia="Times New Roman" w:hAnsi="Times New Roman" w:cs="Times New Roman"/>
          <w:sz w:val="18"/>
          <w:szCs w:val="18"/>
        </w:rPr>
        <w:t>Kraiem</w:t>
      </w:r>
      <w:proofErr w:type="spellEnd"/>
      <w:r w:rsidRPr="00007ACB">
        <w:rPr>
          <w:rFonts w:ascii="Times New Roman" w:eastAsia="Times New Roman" w:hAnsi="Times New Roman" w:cs="Times New Roman"/>
          <w:sz w:val="18"/>
          <w:szCs w:val="18"/>
        </w:rPr>
        <w:t xml:space="preserve"> T, </w:t>
      </w:r>
      <w:proofErr w:type="spellStart"/>
      <w:r w:rsidRPr="00007ACB">
        <w:rPr>
          <w:rFonts w:ascii="Times New Roman" w:eastAsia="Times New Roman" w:hAnsi="Times New Roman" w:cs="Times New Roman"/>
          <w:sz w:val="18"/>
          <w:szCs w:val="18"/>
        </w:rPr>
        <w:t>Barkaoui</w:t>
      </w:r>
      <w:proofErr w:type="spellEnd"/>
      <w:r w:rsidRPr="00007ACB">
        <w:rPr>
          <w:rFonts w:ascii="Times New Roman" w:eastAsia="Times New Roman" w:hAnsi="Times New Roman" w:cs="Times New Roman"/>
          <w:sz w:val="18"/>
          <w:szCs w:val="18"/>
        </w:rPr>
        <w:t xml:space="preserve"> A, </w:t>
      </w:r>
      <w:proofErr w:type="spellStart"/>
      <w:r w:rsidRPr="00007ACB">
        <w:rPr>
          <w:rFonts w:ascii="Times New Roman" w:eastAsia="Times New Roman" w:hAnsi="Times New Roman" w:cs="Times New Roman"/>
          <w:sz w:val="18"/>
          <w:szCs w:val="18"/>
        </w:rPr>
        <w:t>Merzouki</w:t>
      </w:r>
      <w:proofErr w:type="spellEnd"/>
      <w:r w:rsidRPr="00007ACB">
        <w:rPr>
          <w:rFonts w:ascii="Times New Roman" w:eastAsia="Times New Roman" w:hAnsi="Times New Roman" w:cs="Times New Roman"/>
          <w:sz w:val="18"/>
          <w:szCs w:val="18"/>
        </w:rPr>
        <w:t xml:space="preserve"> T, </w:t>
      </w:r>
      <w:proofErr w:type="spellStart"/>
      <w:r w:rsidRPr="00007ACB">
        <w:rPr>
          <w:rFonts w:ascii="Times New Roman" w:eastAsia="Times New Roman" w:hAnsi="Times New Roman" w:cs="Times New Roman"/>
          <w:sz w:val="18"/>
          <w:szCs w:val="18"/>
        </w:rPr>
        <w:t>Chafra</w:t>
      </w:r>
      <w:proofErr w:type="spellEnd"/>
      <w:r w:rsidRPr="00007ACB">
        <w:rPr>
          <w:rFonts w:ascii="Times New Roman" w:eastAsia="Times New Roman" w:hAnsi="Times New Roman" w:cs="Times New Roman"/>
          <w:sz w:val="18"/>
          <w:szCs w:val="18"/>
        </w:rPr>
        <w:t xml:space="preserve"> M. Computational Approach of the Cortical Bone Mechanical </w:t>
      </w:r>
      <w:proofErr w:type="spellStart"/>
      <w:r w:rsidRPr="00007ACB">
        <w:rPr>
          <w:rFonts w:ascii="Times New Roman" w:eastAsia="Times New Roman" w:hAnsi="Times New Roman" w:cs="Times New Roman"/>
          <w:sz w:val="18"/>
          <w:szCs w:val="18"/>
        </w:rPr>
        <w:t>Behavior</w:t>
      </w:r>
      <w:proofErr w:type="spellEnd"/>
      <w:r w:rsidRPr="00007ACB">
        <w:rPr>
          <w:rFonts w:ascii="Times New Roman" w:eastAsia="Times New Roman" w:hAnsi="Times New Roman" w:cs="Times New Roman"/>
          <w:sz w:val="18"/>
          <w:szCs w:val="18"/>
        </w:rPr>
        <w:t xml:space="preserve"> Based on an Elastic </w:t>
      </w:r>
      <w:proofErr w:type="spellStart"/>
      <w:r w:rsidRPr="00007ACB">
        <w:rPr>
          <w:rFonts w:ascii="Times New Roman" w:eastAsia="Times New Roman" w:hAnsi="Times New Roman" w:cs="Times New Roman"/>
          <w:sz w:val="18"/>
          <w:szCs w:val="18"/>
        </w:rPr>
        <w:t>Viscoplastic</w:t>
      </w:r>
      <w:proofErr w:type="spellEnd"/>
      <w:r w:rsidRPr="00007ACB">
        <w:rPr>
          <w:rFonts w:ascii="Times New Roman" w:eastAsia="Times New Roman" w:hAnsi="Times New Roman" w:cs="Times New Roman"/>
          <w:sz w:val="18"/>
          <w:szCs w:val="18"/>
        </w:rPr>
        <w:t xml:space="preserve"> Damageable Constitutive Model. International journal of applied mechanics. 2020; 12 (7): 2050081. 10.1142/S1758825120500817.</w:t>
      </w:r>
    </w:p>
    <w:p w14:paraId="2F919740" w14:textId="6ED7DA5C"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Remache D, Semaan M, Rossi JM, </w:t>
      </w:r>
      <w:proofErr w:type="spellStart"/>
      <w:r w:rsidRPr="00007ACB">
        <w:rPr>
          <w:rFonts w:ascii="Times New Roman" w:eastAsia="Times New Roman" w:hAnsi="Times New Roman" w:cs="Times New Roman"/>
          <w:sz w:val="18"/>
          <w:szCs w:val="18"/>
        </w:rPr>
        <w:t>Pithioux</w:t>
      </w:r>
      <w:proofErr w:type="spellEnd"/>
      <w:r w:rsidRPr="00007ACB">
        <w:rPr>
          <w:rFonts w:ascii="Times New Roman" w:eastAsia="Times New Roman" w:hAnsi="Times New Roman" w:cs="Times New Roman"/>
          <w:sz w:val="18"/>
          <w:szCs w:val="18"/>
        </w:rPr>
        <w:t xml:space="preserve"> M, Milan JL. Application of the Johnson-Cook plasticity model in the finite element simulations of the nanoindentation of the cortical bone. Journal of the mechanical </w:t>
      </w:r>
      <w:proofErr w:type="spellStart"/>
      <w:r w:rsidRPr="00007ACB">
        <w:rPr>
          <w:rFonts w:ascii="Times New Roman" w:eastAsia="Times New Roman" w:hAnsi="Times New Roman" w:cs="Times New Roman"/>
          <w:sz w:val="18"/>
          <w:szCs w:val="18"/>
        </w:rPr>
        <w:t>behavior</w:t>
      </w:r>
      <w:proofErr w:type="spellEnd"/>
      <w:r w:rsidRPr="00007ACB">
        <w:rPr>
          <w:rFonts w:ascii="Times New Roman" w:eastAsia="Times New Roman" w:hAnsi="Times New Roman" w:cs="Times New Roman"/>
          <w:sz w:val="18"/>
          <w:szCs w:val="18"/>
        </w:rPr>
        <w:t xml:space="preserve"> of biomedical materials. 2020; 101 103426. 10.1016/j.jmbbm.2019.103426.</w:t>
      </w:r>
    </w:p>
    <w:p w14:paraId="7F643109" w14:textId="46468039"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Hamed E, Lee Y, </w:t>
      </w:r>
      <w:proofErr w:type="spellStart"/>
      <w:r w:rsidRPr="00007ACB">
        <w:rPr>
          <w:rFonts w:ascii="Times New Roman" w:eastAsia="Times New Roman" w:hAnsi="Times New Roman" w:cs="Times New Roman"/>
          <w:sz w:val="18"/>
          <w:szCs w:val="18"/>
        </w:rPr>
        <w:t>Jasiuk</w:t>
      </w:r>
      <w:proofErr w:type="spellEnd"/>
      <w:r w:rsidRPr="00007ACB">
        <w:rPr>
          <w:rFonts w:ascii="Times New Roman" w:eastAsia="Times New Roman" w:hAnsi="Times New Roman" w:cs="Times New Roman"/>
          <w:sz w:val="18"/>
          <w:szCs w:val="18"/>
        </w:rPr>
        <w:t xml:space="preserve"> I. Multiscale </w:t>
      </w:r>
      <w:proofErr w:type="spellStart"/>
      <w:r w:rsidRPr="00007ACB">
        <w:rPr>
          <w:rFonts w:ascii="Times New Roman" w:eastAsia="Times New Roman" w:hAnsi="Times New Roman" w:cs="Times New Roman"/>
          <w:sz w:val="18"/>
          <w:szCs w:val="18"/>
        </w:rPr>
        <w:t>modeling</w:t>
      </w:r>
      <w:proofErr w:type="spellEnd"/>
      <w:r w:rsidRPr="00007ACB">
        <w:rPr>
          <w:rFonts w:ascii="Times New Roman" w:eastAsia="Times New Roman" w:hAnsi="Times New Roman" w:cs="Times New Roman"/>
          <w:sz w:val="18"/>
          <w:szCs w:val="18"/>
        </w:rPr>
        <w:t xml:space="preserve"> of elastic properties of cortical bone. Acta </w:t>
      </w:r>
      <w:proofErr w:type="spellStart"/>
      <w:r w:rsidRPr="00007ACB">
        <w:rPr>
          <w:rFonts w:ascii="Times New Roman" w:eastAsia="Times New Roman" w:hAnsi="Times New Roman" w:cs="Times New Roman"/>
          <w:sz w:val="18"/>
          <w:szCs w:val="18"/>
        </w:rPr>
        <w:t>mechanica</w:t>
      </w:r>
      <w:proofErr w:type="spellEnd"/>
      <w:r w:rsidRPr="00007ACB">
        <w:rPr>
          <w:rFonts w:ascii="Times New Roman" w:eastAsia="Times New Roman" w:hAnsi="Times New Roman" w:cs="Times New Roman"/>
          <w:sz w:val="18"/>
          <w:szCs w:val="18"/>
        </w:rPr>
        <w:t>. 2010; 213 (1-2): 131-154. 10.1007/s00707-010-0326-5.</w:t>
      </w:r>
    </w:p>
    <w:p w14:paraId="41BA2EB7" w14:textId="22369339"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Yoon YJ, Cowin SC. The estimated elastic constants for a single bone </w:t>
      </w:r>
      <w:proofErr w:type="spellStart"/>
      <w:r w:rsidRPr="00007ACB">
        <w:rPr>
          <w:rFonts w:ascii="Times New Roman" w:eastAsia="Times New Roman" w:hAnsi="Times New Roman" w:cs="Times New Roman"/>
          <w:sz w:val="18"/>
          <w:szCs w:val="18"/>
        </w:rPr>
        <w:t>osteonal</w:t>
      </w:r>
      <w:proofErr w:type="spellEnd"/>
      <w:r w:rsidRPr="00007ACB">
        <w:rPr>
          <w:rFonts w:ascii="Times New Roman" w:eastAsia="Times New Roman" w:hAnsi="Times New Roman" w:cs="Times New Roman"/>
          <w:sz w:val="18"/>
          <w:szCs w:val="18"/>
        </w:rPr>
        <w:t xml:space="preserve"> lamella. Biomechanics and </w:t>
      </w:r>
      <w:proofErr w:type="spellStart"/>
      <w:r w:rsidRPr="00007ACB">
        <w:rPr>
          <w:rFonts w:ascii="Times New Roman" w:eastAsia="Times New Roman" w:hAnsi="Times New Roman" w:cs="Times New Roman"/>
          <w:sz w:val="18"/>
          <w:szCs w:val="18"/>
        </w:rPr>
        <w:t>modeling</w:t>
      </w:r>
      <w:proofErr w:type="spellEnd"/>
      <w:r w:rsidRPr="00007ACB">
        <w:rPr>
          <w:rFonts w:ascii="Times New Roman" w:eastAsia="Times New Roman" w:hAnsi="Times New Roman" w:cs="Times New Roman"/>
          <w:sz w:val="18"/>
          <w:szCs w:val="18"/>
        </w:rPr>
        <w:t xml:space="preserve"> in mechanobiology. 2008; 7 (1): 1-11. 10.1007/s10237-006-0072-8.</w:t>
      </w:r>
    </w:p>
    <w:p w14:paraId="1E9EF37B" w14:textId="795B190F"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Ghanbari J, </w:t>
      </w:r>
      <w:proofErr w:type="spellStart"/>
      <w:r w:rsidRPr="00007ACB">
        <w:rPr>
          <w:rFonts w:ascii="Times New Roman" w:eastAsia="Times New Roman" w:hAnsi="Times New Roman" w:cs="Times New Roman"/>
          <w:sz w:val="18"/>
          <w:szCs w:val="18"/>
        </w:rPr>
        <w:t>Naghdabadi</w:t>
      </w:r>
      <w:proofErr w:type="spellEnd"/>
      <w:r w:rsidRPr="00007ACB">
        <w:rPr>
          <w:rFonts w:ascii="Times New Roman" w:eastAsia="Times New Roman" w:hAnsi="Times New Roman" w:cs="Times New Roman"/>
          <w:sz w:val="18"/>
          <w:szCs w:val="18"/>
        </w:rPr>
        <w:t xml:space="preserve"> R. Nonlinear hierarchical multiscale </w:t>
      </w:r>
      <w:proofErr w:type="spellStart"/>
      <w:r w:rsidRPr="00007ACB">
        <w:rPr>
          <w:rFonts w:ascii="Times New Roman" w:eastAsia="Times New Roman" w:hAnsi="Times New Roman" w:cs="Times New Roman"/>
          <w:sz w:val="18"/>
          <w:szCs w:val="18"/>
        </w:rPr>
        <w:t>modeling</w:t>
      </w:r>
      <w:proofErr w:type="spellEnd"/>
      <w:r w:rsidRPr="00007ACB">
        <w:rPr>
          <w:rFonts w:ascii="Times New Roman" w:eastAsia="Times New Roman" w:hAnsi="Times New Roman" w:cs="Times New Roman"/>
          <w:sz w:val="18"/>
          <w:szCs w:val="18"/>
        </w:rPr>
        <w:t xml:space="preserve"> of cortical bone considering its nanoscale microstructure. Journal of biomechanics. 2009; 42 (10): 1560-1565. 10.1016/j.jbiomech.2009.02.014.</w:t>
      </w:r>
    </w:p>
    <w:p w14:paraId="52EF76B8" w14:textId="5EFB413E"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proofErr w:type="spellStart"/>
      <w:r w:rsidRPr="00007ACB">
        <w:rPr>
          <w:rFonts w:ascii="Times New Roman" w:eastAsia="Times New Roman" w:hAnsi="Times New Roman" w:cs="Times New Roman"/>
          <w:sz w:val="18"/>
          <w:szCs w:val="18"/>
        </w:rPr>
        <w:t>Budyn</w:t>
      </w:r>
      <w:proofErr w:type="spellEnd"/>
      <w:r w:rsidRPr="00007ACB">
        <w:rPr>
          <w:rFonts w:ascii="Times New Roman" w:eastAsia="Times New Roman" w:hAnsi="Times New Roman" w:cs="Times New Roman"/>
          <w:sz w:val="18"/>
          <w:szCs w:val="18"/>
        </w:rPr>
        <w:t xml:space="preserve"> É, Hoc T. Multiple scale </w:t>
      </w:r>
      <w:proofErr w:type="spellStart"/>
      <w:r w:rsidRPr="00007ACB">
        <w:rPr>
          <w:rFonts w:ascii="Times New Roman" w:eastAsia="Times New Roman" w:hAnsi="Times New Roman" w:cs="Times New Roman"/>
          <w:sz w:val="18"/>
          <w:szCs w:val="18"/>
        </w:rPr>
        <w:t>modeling</w:t>
      </w:r>
      <w:proofErr w:type="spellEnd"/>
      <w:r w:rsidRPr="00007ACB">
        <w:rPr>
          <w:rFonts w:ascii="Times New Roman" w:eastAsia="Times New Roman" w:hAnsi="Times New Roman" w:cs="Times New Roman"/>
          <w:sz w:val="18"/>
          <w:szCs w:val="18"/>
        </w:rPr>
        <w:t xml:space="preserve"> for cortical bone fracture in tension using X-FEM. European journal of computational mechanics. 2007; 16 (2): 213-236. 10.3166/remn.16.213-236.</w:t>
      </w:r>
    </w:p>
    <w:p w14:paraId="47AA6429" w14:textId="061EA016"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Franzoso G, </w:t>
      </w:r>
      <w:proofErr w:type="spellStart"/>
      <w:r w:rsidRPr="00007ACB">
        <w:rPr>
          <w:rFonts w:ascii="Times New Roman" w:eastAsia="Times New Roman" w:hAnsi="Times New Roman" w:cs="Times New Roman"/>
          <w:sz w:val="18"/>
          <w:szCs w:val="18"/>
        </w:rPr>
        <w:t>Zysset</w:t>
      </w:r>
      <w:proofErr w:type="spellEnd"/>
      <w:r w:rsidRPr="00007ACB">
        <w:rPr>
          <w:rFonts w:ascii="Times New Roman" w:eastAsia="Times New Roman" w:hAnsi="Times New Roman" w:cs="Times New Roman"/>
          <w:sz w:val="18"/>
          <w:szCs w:val="18"/>
        </w:rPr>
        <w:t xml:space="preserve"> PK. Elastic Anisotropy of Human Cortical Bone Secondary Osteons Measured by Nanoindentation. Journal of biomechanical engineering. 2009; 131 (2): 21001. 10.1115/1.3005162.</w:t>
      </w:r>
    </w:p>
    <w:p w14:paraId="6ED14146" w14:textId="43F088BA"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Ritchie RO, Nalla RK, Kinney JH. Mechanistic fracture criteria for the failure of human cortical bone. Nature materials. 2003; 2 (3): 164-168. 10.1038/nmat832.</w:t>
      </w:r>
    </w:p>
    <w:p w14:paraId="6CC20619" w14:textId="4F8ACA54"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lastRenderedPageBreak/>
        <w:t xml:space="preserve">Mullins LP, Bruzzi MS, McHugh PE. Calibration of a constitutive model for the post-yield behaviour of cortical bone. Journal of the mechanical </w:t>
      </w:r>
      <w:proofErr w:type="spellStart"/>
      <w:r w:rsidRPr="00007ACB">
        <w:rPr>
          <w:rFonts w:ascii="Times New Roman" w:eastAsia="Times New Roman" w:hAnsi="Times New Roman" w:cs="Times New Roman"/>
          <w:sz w:val="18"/>
          <w:szCs w:val="18"/>
        </w:rPr>
        <w:t>behavior</w:t>
      </w:r>
      <w:proofErr w:type="spellEnd"/>
      <w:r w:rsidRPr="00007ACB">
        <w:rPr>
          <w:rFonts w:ascii="Times New Roman" w:eastAsia="Times New Roman" w:hAnsi="Times New Roman" w:cs="Times New Roman"/>
          <w:sz w:val="18"/>
          <w:szCs w:val="18"/>
        </w:rPr>
        <w:t xml:space="preserve"> of biomedical materials. 2009; 2 (5): 460-470. 10.1016/j.jmbbm.2008.11.003.</w:t>
      </w:r>
    </w:p>
    <w:p w14:paraId="6A70EE08" w14:textId="6EE0C167"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proofErr w:type="spellStart"/>
      <w:r w:rsidRPr="00007ACB">
        <w:rPr>
          <w:rFonts w:ascii="Times New Roman" w:eastAsia="Times New Roman" w:hAnsi="Times New Roman" w:cs="Times New Roman"/>
          <w:sz w:val="18"/>
          <w:szCs w:val="18"/>
        </w:rPr>
        <w:t>Keyak</w:t>
      </w:r>
      <w:proofErr w:type="spellEnd"/>
      <w:r w:rsidRPr="00007ACB">
        <w:rPr>
          <w:rFonts w:ascii="Times New Roman" w:eastAsia="Times New Roman" w:hAnsi="Times New Roman" w:cs="Times New Roman"/>
          <w:sz w:val="18"/>
          <w:szCs w:val="18"/>
        </w:rPr>
        <w:t xml:space="preserve"> JH, Rossi SA. Prediction of femoral fracture load using finite element models: an examination of stress- and strain-based failure theories. Journal of biomechanics. 2000; 33 (2): 209-214. 10.1016/S0021-9290(99)00152-9.</w:t>
      </w:r>
    </w:p>
    <w:p w14:paraId="096899FA" w14:textId="2E57911A"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proofErr w:type="spellStart"/>
      <w:r w:rsidRPr="00007ACB">
        <w:rPr>
          <w:rFonts w:ascii="Times New Roman" w:eastAsia="Times New Roman" w:hAnsi="Times New Roman" w:cs="Times New Roman"/>
          <w:sz w:val="18"/>
          <w:szCs w:val="18"/>
        </w:rPr>
        <w:t>Hoffseth</w:t>
      </w:r>
      <w:proofErr w:type="spellEnd"/>
      <w:r w:rsidRPr="00007ACB">
        <w:rPr>
          <w:rFonts w:ascii="Times New Roman" w:eastAsia="Times New Roman" w:hAnsi="Times New Roman" w:cs="Times New Roman"/>
          <w:sz w:val="18"/>
          <w:szCs w:val="18"/>
        </w:rPr>
        <w:t xml:space="preserve"> K, Randall C, Hansma P, Yang HTY. Study of indentation of a sample equine bone using finite element simulation and single cycle reference point indentation. Journal of the mechanical </w:t>
      </w:r>
      <w:proofErr w:type="spellStart"/>
      <w:r w:rsidRPr="00007ACB">
        <w:rPr>
          <w:rFonts w:ascii="Times New Roman" w:eastAsia="Times New Roman" w:hAnsi="Times New Roman" w:cs="Times New Roman"/>
          <w:sz w:val="18"/>
          <w:szCs w:val="18"/>
        </w:rPr>
        <w:t>behavior</w:t>
      </w:r>
      <w:proofErr w:type="spellEnd"/>
      <w:r w:rsidRPr="00007ACB">
        <w:rPr>
          <w:rFonts w:ascii="Times New Roman" w:eastAsia="Times New Roman" w:hAnsi="Times New Roman" w:cs="Times New Roman"/>
          <w:sz w:val="18"/>
          <w:szCs w:val="18"/>
        </w:rPr>
        <w:t xml:space="preserve"> of biomedical materials. 2015; 42 282-291. 10.1016/j.jmbbm.2014.11.020.</w:t>
      </w:r>
    </w:p>
    <w:p w14:paraId="0CE7C2F9" w14:textId="47F399AD"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proofErr w:type="spellStart"/>
      <w:r w:rsidRPr="00007ACB">
        <w:rPr>
          <w:rFonts w:ascii="Times New Roman" w:eastAsia="Times New Roman" w:hAnsi="Times New Roman" w:cs="Times New Roman"/>
          <w:sz w:val="18"/>
          <w:szCs w:val="18"/>
        </w:rPr>
        <w:t>Melnis</w:t>
      </w:r>
      <w:proofErr w:type="spellEnd"/>
      <w:r w:rsidRPr="00007ACB">
        <w:rPr>
          <w:rFonts w:ascii="Times New Roman" w:eastAsia="Times New Roman" w:hAnsi="Times New Roman" w:cs="Times New Roman"/>
          <w:sz w:val="18"/>
          <w:szCs w:val="18"/>
        </w:rPr>
        <w:t xml:space="preserve"> A, </w:t>
      </w:r>
      <w:proofErr w:type="spellStart"/>
      <w:r w:rsidRPr="00007ACB">
        <w:rPr>
          <w:rFonts w:ascii="Times New Roman" w:eastAsia="Times New Roman" w:hAnsi="Times New Roman" w:cs="Times New Roman"/>
          <w:sz w:val="18"/>
          <w:szCs w:val="18"/>
        </w:rPr>
        <w:t>Knets</w:t>
      </w:r>
      <w:proofErr w:type="spellEnd"/>
      <w:r w:rsidRPr="00007ACB">
        <w:rPr>
          <w:rFonts w:ascii="Times New Roman" w:eastAsia="Times New Roman" w:hAnsi="Times New Roman" w:cs="Times New Roman"/>
          <w:sz w:val="18"/>
          <w:szCs w:val="18"/>
        </w:rPr>
        <w:t xml:space="preserve"> IV. Effect of the rate of deformation on the mechanical properties of compact bone tissue. Mechanics of composite materials. 1982; 18 (3): 358-363. 10.1007/BF00604319.</w:t>
      </w:r>
    </w:p>
    <w:p w14:paraId="322F71F2" w14:textId="253FB418"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Wu Z, </w:t>
      </w:r>
      <w:proofErr w:type="spellStart"/>
      <w:r w:rsidRPr="00007ACB">
        <w:rPr>
          <w:rFonts w:ascii="Times New Roman" w:eastAsia="Times New Roman" w:hAnsi="Times New Roman" w:cs="Times New Roman"/>
          <w:sz w:val="18"/>
          <w:szCs w:val="18"/>
        </w:rPr>
        <w:t>Ovaert</w:t>
      </w:r>
      <w:proofErr w:type="spellEnd"/>
      <w:r w:rsidRPr="00007ACB">
        <w:rPr>
          <w:rFonts w:ascii="Times New Roman" w:eastAsia="Times New Roman" w:hAnsi="Times New Roman" w:cs="Times New Roman"/>
          <w:sz w:val="18"/>
          <w:szCs w:val="18"/>
        </w:rPr>
        <w:t xml:space="preserve"> TC, Niebur GL. Viscoelastic properties of human cortical bone tissue depend on gender and elastic modulus. Journal of orthopaedic research. 2012; 30 (5): 693-699. 10.1002/jor.22001.</w:t>
      </w:r>
    </w:p>
    <w:p w14:paraId="61332030" w14:textId="14848B6A"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Fan Z, Rho J. Effects of viscoelasticity and time-dependent plasticity on nanoindentation measurements of human cortical bone. Journal of biomedical materials research. 2003; 67A (1): 208-214. 10.1002/jbm.a.10027.</w:t>
      </w:r>
    </w:p>
    <w:p w14:paraId="0166B206" w14:textId="6C0D6341"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Johnson TPM, Socrate S, Boyce MC. A viscoelastic, </w:t>
      </w:r>
      <w:proofErr w:type="spellStart"/>
      <w:r w:rsidRPr="00007ACB">
        <w:rPr>
          <w:rFonts w:ascii="Times New Roman" w:eastAsia="Times New Roman" w:hAnsi="Times New Roman" w:cs="Times New Roman"/>
          <w:sz w:val="18"/>
          <w:szCs w:val="18"/>
        </w:rPr>
        <w:t>viscoplastic</w:t>
      </w:r>
      <w:proofErr w:type="spellEnd"/>
      <w:r w:rsidRPr="00007ACB">
        <w:rPr>
          <w:rFonts w:ascii="Times New Roman" w:eastAsia="Times New Roman" w:hAnsi="Times New Roman" w:cs="Times New Roman"/>
          <w:sz w:val="18"/>
          <w:szCs w:val="18"/>
        </w:rPr>
        <w:t xml:space="preserve"> model of cortical bone valid at low and high strain rates. Acta </w:t>
      </w:r>
      <w:proofErr w:type="spellStart"/>
      <w:r w:rsidRPr="00007ACB">
        <w:rPr>
          <w:rFonts w:ascii="Times New Roman" w:eastAsia="Times New Roman" w:hAnsi="Times New Roman" w:cs="Times New Roman"/>
          <w:sz w:val="18"/>
          <w:szCs w:val="18"/>
        </w:rPr>
        <w:t>biomaterialia</w:t>
      </w:r>
      <w:proofErr w:type="spellEnd"/>
      <w:r w:rsidRPr="00007ACB">
        <w:rPr>
          <w:rFonts w:ascii="Times New Roman" w:eastAsia="Times New Roman" w:hAnsi="Times New Roman" w:cs="Times New Roman"/>
          <w:sz w:val="18"/>
          <w:szCs w:val="18"/>
        </w:rPr>
        <w:t>. 2010; 6 (10): 4073-4080. 10.1016/j.actbio.2010.04.017.</w:t>
      </w:r>
    </w:p>
    <w:p w14:paraId="5BC848D3" w14:textId="437C3503"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Baldonedo J, Fernández JR, López-Campos JA, Segade A. Analysis of Damage Models for Cortical Bone. Applied Sciences. 2019; 9 (13): 2710. 10.3390/app9132710.</w:t>
      </w:r>
    </w:p>
    <w:p w14:paraId="2D9EACC8" w14:textId="1708D318"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proofErr w:type="spellStart"/>
      <w:r w:rsidRPr="00007ACB">
        <w:rPr>
          <w:rFonts w:ascii="Times New Roman" w:eastAsia="Times New Roman" w:hAnsi="Times New Roman" w:cs="Times New Roman"/>
          <w:sz w:val="18"/>
          <w:szCs w:val="18"/>
        </w:rPr>
        <w:t>Krajcinovic</w:t>
      </w:r>
      <w:proofErr w:type="spellEnd"/>
      <w:r w:rsidRPr="00007ACB">
        <w:rPr>
          <w:rFonts w:ascii="Times New Roman" w:eastAsia="Times New Roman" w:hAnsi="Times New Roman" w:cs="Times New Roman"/>
          <w:sz w:val="18"/>
          <w:szCs w:val="18"/>
        </w:rPr>
        <w:t xml:space="preserve"> D, </w:t>
      </w:r>
      <w:proofErr w:type="spellStart"/>
      <w:r w:rsidRPr="00007ACB">
        <w:rPr>
          <w:rFonts w:ascii="Times New Roman" w:eastAsia="Times New Roman" w:hAnsi="Times New Roman" w:cs="Times New Roman"/>
          <w:sz w:val="18"/>
          <w:szCs w:val="18"/>
        </w:rPr>
        <w:t>Trafimow</w:t>
      </w:r>
      <w:proofErr w:type="spellEnd"/>
      <w:r w:rsidRPr="00007ACB">
        <w:rPr>
          <w:rFonts w:ascii="Times New Roman" w:eastAsia="Times New Roman" w:hAnsi="Times New Roman" w:cs="Times New Roman"/>
          <w:sz w:val="18"/>
          <w:szCs w:val="18"/>
        </w:rPr>
        <w:t xml:space="preserve"> J, </w:t>
      </w:r>
      <w:proofErr w:type="spellStart"/>
      <w:r w:rsidRPr="00007ACB">
        <w:rPr>
          <w:rFonts w:ascii="Times New Roman" w:eastAsia="Times New Roman" w:hAnsi="Times New Roman" w:cs="Times New Roman"/>
          <w:sz w:val="18"/>
          <w:szCs w:val="18"/>
        </w:rPr>
        <w:t>Sumarac</w:t>
      </w:r>
      <w:proofErr w:type="spellEnd"/>
      <w:r w:rsidRPr="00007ACB">
        <w:rPr>
          <w:rFonts w:ascii="Times New Roman" w:eastAsia="Times New Roman" w:hAnsi="Times New Roman" w:cs="Times New Roman"/>
          <w:sz w:val="18"/>
          <w:szCs w:val="18"/>
        </w:rPr>
        <w:t xml:space="preserve"> D. Simple constitutive model for a cortical bone. Journal of biomechanics. 1987; 20 (8): 779-784. 10.1016/0021-9290(87)90057-1.</w:t>
      </w:r>
    </w:p>
    <w:p w14:paraId="3B5749B3" w14:textId="2918E551"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Dapaah D, Montesano J, Willett TL. The importance of rate-dependent effects in modelling the micro-damage process zone in cortical bone fracture. Engineering fracture mechanics. 2022; 264 108351. 10.1016/j.engfracmech.2022.108351.</w:t>
      </w:r>
    </w:p>
    <w:p w14:paraId="1EB33816" w14:textId="02B59B1C"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Li J, Gong H. Fatigue </w:t>
      </w:r>
      <w:proofErr w:type="spellStart"/>
      <w:r w:rsidRPr="00007ACB">
        <w:rPr>
          <w:rFonts w:ascii="Times New Roman" w:eastAsia="Times New Roman" w:hAnsi="Times New Roman" w:cs="Times New Roman"/>
          <w:sz w:val="18"/>
          <w:szCs w:val="18"/>
        </w:rPr>
        <w:t>behavior</w:t>
      </w:r>
      <w:proofErr w:type="spellEnd"/>
      <w:r w:rsidRPr="00007ACB">
        <w:rPr>
          <w:rFonts w:ascii="Times New Roman" w:eastAsia="Times New Roman" w:hAnsi="Times New Roman" w:cs="Times New Roman"/>
          <w:sz w:val="18"/>
          <w:szCs w:val="18"/>
        </w:rPr>
        <w:t xml:space="preserve"> of cortical bone: a review. Acta </w:t>
      </w:r>
      <w:proofErr w:type="spellStart"/>
      <w:r w:rsidRPr="00007ACB">
        <w:rPr>
          <w:rFonts w:ascii="Times New Roman" w:eastAsia="Times New Roman" w:hAnsi="Times New Roman" w:cs="Times New Roman"/>
          <w:sz w:val="18"/>
          <w:szCs w:val="18"/>
        </w:rPr>
        <w:t>mechanica</w:t>
      </w:r>
      <w:proofErr w:type="spellEnd"/>
      <w:r w:rsidRPr="00007ACB">
        <w:rPr>
          <w:rFonts w:ascii="Times New Roman" w:eastAsia="Times New Roman" w:hAnsi="Times New Roman" w:cs="Times New Roman"/>
          <w:sz w:val="18"/>
          <w:szCs w:val="18"/>
        </w:rPr>
        <w:t xml:space="preserve"> </w:t>
      </w:r>
      <w:proofErr w:type="spellStart"/>
      <w:r w:rsidRPr="00007ACB">
        <w:rPr>
          <w:rFonts w:ascii="Times New Roman" w:eastAsia="Times New Roman" w:hAnsi="Times New Roman" w:cs="Times New Roman"/>
          <w:sz w:val="18"/>
          <w:szCs w:val="18"/>
        </w:rPr>
        <w:t>Sinica</w:t>
      </w:r>
      <w:proofErr w:type="spellEnd"/>
      <w:r w:rsidRPr="00007ACB">
        <w:rPr>
          <w:rFonts w:ascii="Times New Roman" w:eastAsia="Times New Roman" w:hAnsi="Times New Roman" w:cs="Times New Roman"/>
          <w:sz w:val="18"/>
          <w:szCs w:val="18"/>
        </w:rPr>
        <w:t>. 2021; 37 (3): 516-526. 10.1007/s10409-020-01012-8.</w:t>
      </w:r>
    </w:p>
    <w:p w14:paraId="5C7B7896" w14:textId="79E02AAC"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Qu C, Yu S, Feng X, Hao Z. Damage model of bone under mechanical and electromagnetic loadings. Computational materials science. 2012; 57 89-93. 10.1016/j.commatsci.2011.06.037.</w:t>
      </w:r>
    </w:p>
    <w:p w14:paraId="07CDEF1B" w14:textId="2466F313"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McElhaney JH. Dynamic response of bone and muscle tissue. Journal of applied physiology (1948). 1966; 21 (4): 1231-1236. 10.1152/jappl.1966.21.4.1231.</w:t>
      </w:r>
    </w:p>
    <w:p w14:paraId="025AA5C5" w14:textId="4A942390"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Crowninshield RD, Pope MH. The response of compact bone in tension at various strain rates. Annals of biomedical engineering. 1974; 2 (2): 217-225. 10.1007/BF02368492.</w:t>
      </w:r>
    </w:p>
    <w:p w14:paraId="6A962A90" w14:textId="42198848" w:rsidR="00F209E5"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Hansen U, </w:t>
      </w:r>
      <w:proofErr w:type="spellStart"/>
      <w:r w:rsidRPr="00007ACB">
        <w:rPr>
          <w:rFonts w:ascii="Times New Roman" w:eastAsia="Times New Roman" w:hAnsi="Times New Roman" w:cs="Times New Roman"/>
          <w:sz w:val="18"/>
          <w:szCs w:val="18"/>
        </w:rPr>
        <w:t>Zioupos</w:t>
      </w:r>
      <w:proofErr w:type="spellEnd"/>
      <w:r w:rsidRPr="00007ACB">
        <w:rPr>
          <w:rFonts w:ascii="Times New Roman" w:eastAsia="Times New Roman" w:hAnsi="Times New Roman" w:cs="Times New Roman"/>
          <w:sz w:val="18"/>
          <w:szCs w:val="18"/>
        </w:rPr>
        <w:t xml:space="preserve"> P, Simpson R, Currey JD, Hynd D. The Effect of Strain Rate on the Mechanical Properties of Human Cortical Bone. Journal of biomechanical engineering. 2008; 130 (1): 011011-011011 (8). 10.1115/1.2838032.</w:t>
      </w:r>
    </w:p>
    <w:p w14:paraId="0CAD8021" w14:textId="6FF9C4FD" w:rsidR="00611CAF" w:rsidRPr="00007ACB" w:rsidRDefault="00F209E5" w:rsidP="00007ACB">
      <w:pPr>
        <w:pStyle w:val="ListParagraph"/>
        <w:numPr>
          <w:ilvl w:val="0"/>
          <w:numId w:val="22"/>
        </w:numPr>
        <w:spacing w:before="240" w:line="360" w:lineRule="auto"/>
        <w:rPr>
          <w:rFonts w:ascii="Times New Roman" w:eastAsia="Times New Roman" w:hAnsi="Times New Roman" w:cs="Times New Roman"/>
          <w:sz w:val="18"/>
          <w:szCs w:val="18"/>
        </w:rPr>
      </w:pPr>
      <w:r w:rsidRPr="00007ACB">
        <w:rPr>
          <w:rFonts w:ascii="Times New Roman" w:eastAsia="Times New Roman" w:hAnsi="Times New Roman" w:cs="Times New Roman"/>
          <w:sz w:val="18"/>
          <w:szCs w:val="18"/>
        </w:rPr>
        <w:t xml:space="preserve">Sabet FA, </w:t>
      </w:r>
      <w:proofErr w:type="spellStart"/>
      <w:r w:rsidRPr="00007ACB">
        <w:rPr>
          <w:rFonts w:ascii="Times New Roman" w:eastAsia="Times New Roman" w:hAnsi="Times New Roman" w:cs="Times New Roman"/>
          <w:sz w:val="18"/>
          <w:szCs w:val="18"/>
        </w:rPr>
        <w:t>Raeisi</w:t>
      </w:r>
      <w:proofErr w:type="spellEnd"/>
      <w:r w:rsidRPr="00007ACB">
        <w:rPr>
          <w:rFonts w:ascii="Times New Roman" w:eastAsia="Times New Roman" w:hAnsi="Times New Roman" w:cs="Times New Roman"/>
          <w:sz w:val="18"/>
          <w:szCs w:val="18"/>
        </w:rPr>
        <w:t xml:space="preserve"> Najafi A, Hamed E, </w:t>
      </w:r>
      <w:proofErr w:type="spellStart"/>
      <w:r w:rsidRPr="00007ACB">
        <w:rPr>
          <w:rFonts w:ascii="Times New Roman" w:eastAsia="Times New Roman" w:hAnsi="Times New Roman" w:cs="Times New Roman"/>
          <w:sz w:val="18"/>
          <w:szCs w:val="18"/>
        </w:rPr>
        <w:t>Jasiuk</w:t>
      </w:r>
      <w:proofErr w:type="spellEnd"/>
      <w:r w:rsidRPr="00007ACB">
        <w:rPr>
          <w:rFonts w:ascii="Times New Roman" w:eastAsia="Times New Roman" w:hAnsi="Times New Roman" w:cs="Times New Roman"/>
          <w:sz w:val="18"/>
          <w:szCs w:val="18"/>
        </w:rPr>
        <w:t xml:space="preserve"> I. Modelling of bone fracture and strength at different length scales: a review. Interface focus. 2016; 6 (1): 20150055. 10.1098/rsfs.2015.0055.</w:t>
      </w:r>
    </w:p>
    <w:p w14:paraId="3833E541" w14:textId="77777777" w:rsidR="00F80FC2" w:rsidRPr="00007ACB" w:rsidRDefault="00F80FC2" w:rsidP="00007ACB">
      <w:pPr>
        <w:pStyle w:val="ListParagraph"/>
        <w:spacing w:before="240" w:line="360" w:lineRule="auto"/>
        <w:ind w:left="360"/>
        <w:rPr>
          <w:rFonts w:ascii="Times New Roman" w:eastAsia="Times New Roman" w:hAnsi="Times New Roman" w:cs="Times New Roman"/>
          <w:sz w:val="16"/>
          <w:szCs w:val="16"/>
        </w:rPr>
      </w:pPr>
    </w:p>
    <w:sectPr w:rsidR="00F80FC2" w:rsidRPr="00007ACB">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EC05F" w14:textId="77777777" w:rsidR="002D4F26" w:rsidRDefault="002D4F26" w:rsidP="00DC65F1">
      <w:pPr>
        <w:spacing w:line="240" w:lineRule="auto"/>
      </w:pPr>
      <w:r>
        <w:separator/>
      </w:r>
    </w:p>
  </w:endnote>
  <w:endnote w:type="continuationSeparator" w:id="0">
    <w:p w14:paraId="521F3F2D" w14:textId="77777777" w:rsidR="002D4F26" w:rsidRDefault="002D4F26" w:rsidP="00DC6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MU Sans Serif">
    <w:panose1 w:val="02000603000000000000"/>
    <w:charset w:val="00"/>
    <w:family w:val="auto"/>
    <w:pitch w:val="variable"/>
    <w:sig w:usb0="E10002FF" w:usb1="5201E9EB" w:usb2="00020004" w:usb3="00000000" w:csb0="0000011F" w:csb1="00000000"/>
  </w:font>
  <w:font w:name="Cambria">
    <w:panose1 w:val="02040503050406030204"/>
    <w:charset w:val="00"/>
    <w:family w:val="roman"/>
    <w:pitch w:val="variable"/>
    <w:sig w:usb0="E00006FF" w:usb1="420024FF" w:usb2="02000000" w:usb3="00000000" w:csb0="0000019F" w:csb1="00000000"/>
  </w:font>
  <w:font w:name="WfymmlAdvTT3713a231">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C89EF" w14:textId="77777777" w:rsidR="002D4F26" w:rsidRDefault="002D4F26" w:rsidP="00DC65F1">
      <w:pPr>
        <w:spacing w:line="240" w:lineRule="auto"/>
      </w:pPr>
      <w:r>
        <w:separator/>
      </w:r>
    </w:p>
  </w:footnote>
  <w:footnote w:type="continuationSeparator" w:id="0">
    <w:p w14:paraId="3A426EBA" w14:textId="77777777" w:rsidR="002D4F26" w:rsidRDefault="002D4F26" w:rsidP="00DC65F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75B3"/>
    <w:multiLevelType w:val="hybridMultilevel"/>
    <w:tmpl w:val="5662585C"/>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 w15:restartNumberingAfterBreak="0">
    <w:nsid w:val="07587029"/>
    <w:multiLevelType w:val="hybridMultilevel"/>
    <w:tmpl w:val="4680286E"/>
    <w:lvl w:ilvl="0" w:tplc="168C6A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491E08"/>
    <w:multiLevelType w:val="hybridMultilevel"/>
    <w:tmpl w:val="B91ABA3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0F7B0D7C"/>
    <w:multiLevelType w:val="hybridMultilevel"/>
    <w:tmpl w:val="F4D2C6AE"/>
    <w:lvl w:ilvl="0" w:tplc="FF34026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DB966B8"/>
    <w:multiLevelType w:val="hybridMultilevel"/>
    <w:tmpl w:val="1C38EAA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8C1F5E"/>
    <w:multiLevelType w:val="hybridMultilevel"/>
    <w:tmpl w:val="472AA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A43F7E"/>
    <w:multiLevelType w:val="hybridMultilevel"/>
    <w:tmpl w:val="E21291C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DD154BF"/>
    <w:multiLevelType w:val="hybridMultilevel"/>
    <w:tmpl w:val="B8FAE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8C6E06"/>
    <w:multiLevelType w:val="hybridMultilevel"/>
    <w:tmpl w:val="E16800C8"/>
    <w:lvl w:ilvl="0" w:tplc="08090013">
      <w:start w:val="1"/>
      <w:numFmt w:val="upperRoman"/>
      <w:lvlText w:val="%1."/>
      <w:lvlJc w:val="righ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35DD1619"/>
    <w:multiLevelType w:val="hybridMultilevel"/>
    <w:tmpl w:val="CC14C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65747C"/>
    <w:multiLevelType w:val="hybridMultilevel"/>
    <w:tmpl w:val="3CBEC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E4775B"/>
    <w:multiLevelType w:val="hybridMultilevel"/>
    <w:tmpl w:val="807A5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FE69D4"/>
    <w:multiLevelType w:val="hybridMultilevel"/>
    <w:tmpl w:val="7B3C1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147163"/>
    <w:multiLevelType w:val="hybridMultilevel"/>
    <w:tmpl w:val="68E80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09743A"/>
    <w:multiLevelType w:val="multilevel"/>
    <w:tmpl w:val="0809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ADF237A"/>
    <w:multiLevelType w:val="hybridMultilevel"/>
    <w:tmpl w:val="210AD30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D4E5FB4"/>
    <w:multiLevelType w:val="hybridMultilevel"/>
    <w:tmpl w:val="8F36B036"/>
    <w:lvl w:ilvl="0" w:tplc="FF340262">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5FDD7CA3"/>
    <w:multiLevelType w:val="hybridMultilevel"/>
    <w:tmpl w:val="13806A08"/>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72031BF8"/>
    <w:multiLevelType w:val="hybridMultilevel"/>
    <w:tmpl w:val="7CFAD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7E2C5D"/>
    <w:multiLevelType w:val="hybridMultilevel"/>
    <w:tmpl w:val="30987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EF2075"/>
    <w:multiLevelType w:val="hybridMultilevel"/>
    <w:tmpl w:val="94CE13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B9F5B48"/>
    <w:multiLevelType w:val="hybridMultilevel"/>
    <w:tmpl w:val="44B05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3762994">
    <w:abstractNumId w:val="2"/>
  </w:num>
  <w:num w:numId="2" w16cid:durableId="2022858365">
    <w:abstractNumId w:val="9"/>
  </w:num>
  <w:num w:numId="3" w16cid:durableId="1374884650">
    <w:abstractNumId w:val="19"/>
  </w:num>
  <w:num w:numId="4" w16cid:durableId="123474978">
    <w:abstractNumId w:val="0"/>
  </w:num>
  <w:num w:numId="5" w16cid:durableId="1690984408">
    <w:abstractNumId w:val="11"/>
  </w:num>
  <w:num w:numId="6" w16cid:durableId="623733885">
    <w:abstractNumId w:val="12"/>
  </w:num>
  <w:num w:numId="7" w16cid:durableId="1732073479">
    <w:abstractNumId w:val="10"/>
  </w:num>
  <w:num w:numId="8" w16cid:durableId="544949395">
    <w:abstractNumId w:val="18"/>
  </w:num>
  <w:num w:numId="9" w16cid:durableId="39598650">
    <w:abstractNumId w:val="20"/>
  </w:num>
  <w:num w:numId="10" w16cid:durableId="176845040">
    <w:abstractNumId w:val="6"/>
  </w:num>
  <w:num w:numId="11" w16cid:durableId="802113667">
    <w:abstractNumId w:val="15"/>
  </w:num>
  <w:num w:numId="12" w16cid:durableId="1593123818">
    <w:abstractNumId w:val="17"/>
  </w:num>
  <w:num w:numId="13" w16cid:durableId="1713580197">
    <w:abstractNumId w:val="4"/>
  </w:num>
  <w:num w:numId="14" w16cid:durableId="1031152516">
    <w:abstractNumId w:val="16"/>
  </w:num>
  <w:num w:numId="15" w16cid:durableId="901989199">
    <w:abstractNumId w:val="8"/>
  </w:num>
  <w:num w:numId="16" w16cid:durableId="48696334">
    <w:abstractNumId w:val="14"/>
  </w:num>
  <w:num w:numId="17" w16cid:durableId="1149324623">
    <w:abstractNumId w:val="1"/>
  </w:num>
  <w:num w:numId="18" w16cid:durableId="2014140916">
    <w:abstractNumId w:val="5"/>
  </w:num>
  <w:num w:numId="19" w16cid:durableId="559749741">
    <w:abstractNumId w:val="21"/>
  </w:num>
  <w:num w:numId="20" w16cid:durableId="831945477">
    <w:abstractNumId w:val="13"/>
  </w:num>
  <w:num w:numId="21" w16cid:durableId="440957771">
    <w:abstractNumId w:val="7"/>
  </w:num>
  <w:num w:numId="22" w16cid:durableId="1024600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11CAF"/>
    <w:rsid w:val="00007ACB"/>
    <w:rsid w:val="00035DB0"/>
    <w:rsid w:val="000B031E"/>
    <w:rsid w:val="000E12BC"/>
    <w:rsid w:val="000F3DA2"/>
    <w:rsid w:val="000F6BE3"/>
    <w:rsid w:val="00112469"/>
    <w:rsid w:val="00181C81"/>
    <w:rsid w:val="001B1E1F"/>
    <w:rsid w:val="001D4544"/>
    <w:rsid w:val="001D5298"/>
    <w:rsid w:val="001E6773"/>
    <w:rsid w:val="00225B3F"/>
    <w:rsid w:val="00241D95"/>
    <w:rsid w:val="002566D9"/>
    <w:rsid w:val="002A14C0"/>
    <w:rsid w:val="002B72C2"/>
    <w:rsid w:val="002D4F26"/>
    <w:rsid w:val="002E5ABE"/>
    <w:rsid w:val="00312BE5"/>
    <w:rsid w:val="00325C7B"/>
    <w:rsid w:val="00336F5A"/>
    <w:rsid w:val="003A054B"/>
    <w:rsid w:val="003A2B23"/>
    <w:rsid w:val="003D7580"/>
    <w:rsid w:val="00403336"/>
    <w:rsid w:val="0047559A"/>
    <w:rsid w:val="00490D60"/>
    <w:rsid w:val="0049315A"/>
    <w:rsid w:val="004A0C72"/>
    <w:rsid w:val="004C335C"/>
    <w:rsid w:val="00517B7D"/>
    <w:rsid w:val="005369B5"/>
    <w:rsid w:val="005D1634"/>
    <w:rsid w:val="005E11CC"/>
    <w:rsid w:val="006075DE"/>
    <w:rsid w:val="00611CAF"/>
    <w:rsid w:val="006155DF"/>
    <w:rsid w:val="006805C9"/>
    <w:rsid w:val="00686F0D"/>
    <w:rsid w:val="006C131F"/>
    <w:rsid w:val="006E3853"/>
    <w:rsid w:val="006E61EC"/>
    <w:rsid w:val="007157F3"/>
    <w:rsid w:val="00747CB6"/>
    <w:rsid w:val="007510A8"/>
    <w:rsid w:val="007A43F8"/>
    <w:rsid w:val="007D4FDF"/>
    <w:rsid w:val="00802587"/>
    <w:rsid w:val="0080603A"/>
    <w:rsid w:val="008357C9"/>
    <w:rsid w:val="0085501F"/>
    <w:rsid w:val="0085582B"/>
    <w:rsid w:val="008824D2"/>
    <w:rsid w:val="008841B5"/>
    <w:rsid w:val="008961CE"/>
    <w:rsid w:val="00897EEF"/>
    <w:rsid w:val="008A2DC3"/>
    <w:rsid w:val="008B3469"/>
    <w:rsid w:val="008D3788"/>
    <w:rsid w:val="0091000B"/>
    <w:rsid w:val="009165B2"/>
    <w:rsid w:val="00930F8B"/>
    <w:rsid w:val="00932C2C"/>
    <w:rsid w:val="0095732E"/>
    <w:rsid w:val="00963ED5"/>
    <w:rsid w:val="00977A35"/>
    <w:rsid w:val="00985D06"/>
    <w:rsid w:val="00986763"/>
    <w:rsid w:val="009A4633"/>
    <w:rsid w:val="009D5ED0"/>
    <w:rsid w:val="009F53CB"/>
    <w:rsid w:val="00A612A9"/>
    <w:rsid w:val="00A6645D"/>
    <w:rsid w:val="00A71293"/>
    <w:rsid w:val="00AA2626"/>
    <w:rsid w:val="00AC6332"/>
    <w:rsid w:val="00B50DE5"/>
    <w:rsid w:val="00B56A3B"/>
    <w:rsid w:val="00B66613"/>
    <w:rsid w:val="00B91CCB"/>
    <w:rsid w:val="00BB1258"/>
    <w:rsid w:val="00C03614"/>
    <w:rsid w:val="00C264DB"/>
    <w:rsid w:val="00CF0855"/>
    <w:rsid w:val="00D05527"/>
    <w:rsid w:val="00D10F34"/>
    <w:rsid w:val="00D34F38"/>
    <w:rsid w:val="00D44E30"/>
    <w:rsid w:val="00D5796F"/>
    <w:rsid w:val="00D84445"/>
    <w:rsid w:val="00DA1127"/>
    <w:rsid w:val="00DC65F1"/>
    <w:rsid w:val="00DE5A30"/>
    <w:rsid w:val="00E07681"/>
    <w:rsid w:val="00E63CFE"/>
    <w:rsid w:val="00E67E46"/>
    <w:rsid w:val="00E9258D"/>
    <w:rsid w:val="00EB1D05"/>
    <w:rsid w:val="00EC4CFE"/>
    <w:rsid w:val="00F1640F"/>
    <w:rsid w:val="00F209E5"/>
    <w:rsid w:val="00F565D8"/>
    <w:rsid w:val="00F80FC2"/>
    <w:rsid w:val="00F94356"/>
    <w:rsid w:val="00FD5348"/>
    <w:rsid w:val="00FD69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shapelayout>
  </w:shapeDefaults>
  <w:decimalSymbol w:val="."/>
  <w:listSeparator w:val=","/>
  <w14:docId w14:val="08F368FF"/>
  <w15:docId w15:val="{5EDEBB3A-04C9-4E97-9DEB-D90FCC378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link w:val="Heading4Char"/>
    <w:uiPriority w:val="9"/>
    <w:unhideWhenUsed/>
    <w:qFormat/>
    <w:pPr>
      <w:keepNext/>
      <w:keepLines/>
      <w:spacing w:before="280" w:after="80"/>
      <w:outlineLvl w:val="3"/>
    </w:pPr>
    <w:rPr>
      <w:color w:val="666666"/>
      <w:sz w:val="24"/>
      <w:szCs w:val="24"/>
    </w:rPr>
  </w:style>
  <w:style w:type="paragraph" w:styleId="Heading5">
    <w:name w:val="heading 5"/>
    <w:basedOn w:val="Normal"/>
    <w:next w:val="Normal"/>
    <w:link w:val="Heading5Char"/>
    <w:uiPriority w:val="9"/>
    <w:unhideWhenUsed/>
    <w:qFormat/>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pPr>
      <w:keepNext/>
      <w:keepLines/>
      <w:spacing w:before="240" w:after="80"/>
      <w:outlineLvl w:val="5"/>
    </w:pPr>
    <w:rPr>
      <w:i/>
      <w:color w:val="666666"/>
    </w:rPr>
  </w:style>
  <w:style w:type="paragraph" w:styleId="Heading7">
    <w:name w:val="heading 7"/>
    <w:basedOn w:val="Normal"/>
    <w:next w:val="Normal"/>
    <w:link w:val="Heading7Char"/>
    <w:uiPriority w:val="9"/>
    <w:semiHidden/>
    <w:unhideWhenUsed/>
    <w:qFormat/>
    <w:rsid w:val="000B031E"/>
    <w:pPr>
      <w:keepNext/>
      <w:keepLines/>
      <w:spacing w:before="40" w:line="259" w:lineRule="auto"/>
      <w:ind w:left="1296" w:hanging="1296"/>
      <w:outlineLvl w:val="6"/>
    </w:pPr>
    <w:rPr>
      <w:rFonts w:asciiTheme="majorHAnsi" w:eastAsiaTheme="majorEastAsia" w:hAnsiTheme="majorHAnsi" w:cstheme="majorBidi"/>
      <w:i/>
      <w:iCs/>
      <w:color w:val="243F60" w:themeColor="accent1" w:themeShade="7F"/>
      <w:sz w:val="24"/>
      <w:lang w:val="en-GB" w:eastAsia="en-US"/>
    </w:rPr>
  </w:style>
  <w:style w:type="paragraph" w:styleId="Heading8">
    <w:name w:val="heading 8"/>
    <w:basedOn w:val="Normal"/>
    <w:next w:val="Normal"/>
    <w:link w:val="Heading8Char"/>
    <w:uiPriority w:val="9"/>
    <w:semiHidden/>
    <w:unhideWhenUsed/>
    <w:qFormat/>
    <w:rsid w:val="000B031E"/>
    <w:pPr>
      <w:keepNext/>
      <w:keepLines/>
      <w:spacing w:before="40" w:line="259" w:lineRule="auto"/>
      <w:ind w:left="1440" w:hanging="1440"/>
      <w:outlineLvl w:val="7"/>
    </w:pPr>
    <w:rPr>
      <w:rFonts w:asciiTheme="majorHAnsi" w:eastAsiaTheme="majorEastAsia" w:hAnsiTheme="majorHAnsi" w:cstheme="majorBidi"/>
      <w:color w:val="272727" w:themeColor="text1" w:themeTint="D8"/>
      <w:sz w:val="21"/>
      <w:szCs w:val="21"/>
      <w:lang w:val="en-GB" w:eastAsia="en-US"/>
    </w:rPr>
  </w:style>
  <w:style w:type="paragraph" w:styleId="Heading9">
    <w:name w:val="heading 9"/>
    <w:basedOn w:val="Normal"/>
    <w:next w:val="Normal"/>
    <w:link w:val="Heading9Char"/>
    <w:uiPriority w:val="9"/>
    <w:semiHidden/>
    <w:unhideWhenUsed/>
    <w:qFormat/>
    <w:rsid w:val="000B031E"/>
    <w:pPr>
      <w:keepNext/>
      <w:keepLines/>
      <w:spacing w:before="40" w:line="259" w:lineRule="auto"/>
      <w:ind w:left="1584" w:hanging="1584"/>
      <w:outlineLvl w:val="8"/>
    </w:pPr>
    <w:rPr>
      <w:rFonts w:asciiTheme="majorHAnsi" w:eastAsiaTheme="majorEastAsia" w:hAnsiTheme="majorHAnsi" w:cstheme="majorBidi"/>
      <w:i/>
      <w:iCs/>
      <w:color w:val="272727" w:themeColor="text1" w:themeTint="D8"/>
      <w:sz w:val="21"/>
      <w:szCs w:val="21"/>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customStyle="1" w:styleId="Heading7Char">
    <w:name w:val="Heading 7 Char"/>
    <w:basedOn w:val="DefaultParagraphFont"/>
    <w:link w:val="Heading7"/>
    <w:uiPriority w:val="9"/>
    <w:semiHidden/>
    <w:rsid w:val="000B031E"/>
    <w:rPr>
      <w:rFonts w:asciiTheme="majorHAnsi" w:eastAsiaTheme="majorEastAsia" w:hAnsiTheme="majorHAnsi" w:cstheme="majorBidi"/>
      <w:i/>
      <w:iCs/>
      <w:color w:val="243F60" w:themeColor="accent1" w:themeShade="7F"/>
      <w:sz w:val="24"/>
      <w:lang w:val="en-GB" w:eastAsia="en-US"/>
    </w:rPr>
  </w:style>
  <w:style w:type="character" w:customStyle="1" w:styleId="Heading8Char">
    <w:name w:val="Heading 8 Char"/>
    <w:basedOn w:val="DefaultParagraphFont"/>
    <w:link w:val="Heading8"/>
    <w:uiPriority w:val="9"/>
    <w:semiHidden/>
    <w:rsid w:val="000B031E"/>
    <w:rPr>
      <w:rFonts w:asciiTheme="majorHAnsi" w:eastAsiaTheme="majorEastAsia" w:hAnsiTheme="majorHAnsi" w:cstheme="majorBidi"/>
      <w:color w:val="272727" w:themeColor="text1" w:themeTint="D8"/>
      <w:sz w:val="21"/>
      <w:szCs w:val="21"/>
      <w:lang w:val="en-GB" w:eastAsia="en-US"/>
    </w:rPr>
  </w:style>
  <w:style w:type="character" w:customStyle="1" w:styleId="Heading9Char">
    <w:name w:val="Heading 9 Char"/>
    <w:basedOn w:val="DefaultParagraphFont"/>
    <w:link w:val="Heading9"/>
    <w:uiPriority w:val="9"/>
    <w:semiHidden/>
    <w:rsid w:val="000B031E"/>
    <w:rPr>
      <w:rFonts w:asciiTheme="majorHAnsi" w:eastAsiaTheme="majorEastAsia" w:hAnsiTheme="majorHAnsi" w:cstheme="majorBidi"/>
      <w:i/>
      <w:iCs/>
      <w:color w:val="272727" w:themeColor="text1" w:themeTint="D8"/>
      <w:sz w:val="21"/>
      <w:szCs w:val="21"/>
      <w:lang w:val="en-GB" w:eastAsia="en-US"/>
    </w:rPr>
  </w:style>
  <w:style w:type="character" w:customStyle="1" w:styleId="Heading1Char">
    <w:name w:val="Heading 1 Char"/>
    <w:basedOn w:val="DefaultParagraphFont"/>
    <w:link w:val="Heading1"/>
    <w:uiPriority w:val="9"/>
    <w:rsid w:val="000B031E"/>
    <w:rPr>
      <w:sz w:val="40"/>
      <w:szCs w:val="40"/>
    </w:rPr>
  </w:style>
  <w:style w:type="character" w:customStyle="1" w:styleId="Heading2Char">
    <w:name w:val="Heading 2 Char"/>
    <w:basedOn w:val="DefaultParagraphFont"/>
    <w:link w:val="Heading2"/>
    <w:uiPriority w:val="9"/>
    <w:rsid w:val="000B031E"/>
    <w:rPr>
      <w:sz w:val="32"/>
      <w:szCs w:val="32"/>
    </w:rPr>
  </w:style>
  <w:style w:type="character" w:customStyle="1" w:styleId="Heading3Char">
    <w:name w:val="Heading 3 Char"/>
    <w:basedOn w:val="DefaultParagraphFont"/>
    <w:link w:val="Heading3"/>
    <w:uiPriority w:val="9"/>
    <w:rsid w:val="000B031E"/>
    <w:rPr>
      <w:color w:val="434343"/>
      <w:sz w:val="28"/>
      <w:szCs w:val="28"/>
    </w:rPr>
  </w:style>
  <w:style w:type="character" w:customStyle="1" w:styleId="Heading4Char">
    <w:name w:val="Heading 4 Char"/>
    <w:basedOn w:val="DefaultParagraphFont"/>
    <w:link w:val="Heading4"/>
    <w:uiPriority w:val="9"/>
    <w:rsid w:val="000B031E"/>
    <w:rPr>
      <w:color w:val="666666"/>
      <w:sz w:val="24"/>
      <w:szCs w:val="24"/>
    </w:rPr>
  </w:style>
  <w:style w:type="character" w:customStyle="1" w:styleId="Heading5Char">
    <w:name w:val="Heading 5 Char"/>
    <w:basedOn w:val="DefaultParagraphFont"/>
    <w:link w:val="Heading5"/>
    <w:uiPriority w:val="9"/>
    <w:rsid w:val="000B031E"/>
    <w:rPr>
      <w:color w:val="666666"/>
    </w:rPr>
  </w:style>
  <w:style w:type="character" w:customStyle="1" w:styleId="Heading6Char">
    <w:name w:val="Heading 6 Char"/>
    <w:basedOn w:val="DefaultParagraphFont"/>
    <w:link w:val="Heading6"/>
    <w:uiPriority w:val="9"/>
    <w:semiHidden/>
    <w:rsid w:val="000B031E"/>
    <w:rPr>
      <w:i/>
      <w:color w:val="666666"/>
    </w:rPr>
  </w:style>
  <w:style w:type="character" w:styleId="Hyperlink">
    <w:name w:val="Hyperlink"/>
    <w:basedOn w:val="DefaultParagraphFont"/>
    <w:uiPriority w:val="99"/>
    <w:unhideWhenUsed/>
    <w:rsid w:val="000B031E"/>
    <w:rPr>
      <w:color w:val="0000FF"/>
      <w:u w:val="single"/>
    </w:rPr>
  </w:style>
  <w:style w:type="paragraph" w:styleId="ListParagraph">
    <w:name w:val="List Paragraph"/>
    <w:basedOn w:val="Normal"/>
    <w:uiPriority w:val="34"/>
    <w:qFormat/>
    <w:rsid w:val="000B031E"/>
    <w:pPr>
      <w:spacing w:after="160" w:line="259" w:lineRule="auto"/>
      <w:ind w:left="720"/>
      <w:contextualSpacing/>
    </w:pPr>
    <w:rPr>
      <w:rFonts w:ascii="CMU Sans Serif" w:eastAsiaTheme="minorHAnsi" w:hAnsi="CMU Sans Serif" w:cstheme="minorBidi"/>
      <w:sz w:val="24"/>
      <w:lang w:val="en-GB" w:eastAsia="en-US"/>
    </w:rPr>
  </w:style>
  <w:style w:type="character" w:styleId="CommentReference">
    <w:name w:val="annotation reference"/>
    <w:basedOn w:val="DefaultParagraphFont"/>
    <w:uiPriority w:val="99"/>
    <w:semiHidden/>
    <w:unhideWhenUsed/>
    <w:rsid w:val="000B031E"/>
    <w:rPr>
      <w:sz w:val="16"/>
      <w:szCs w:val="16"/>
    </w:rPr>
  </w:style>
  <w:style w:type="paragraph" w:styleId="CommentText">
    <w:name w:val="annotation text"/>
    <w:basedOn w:val="Normal"/>
    <w:link w:val="CommentTextChar"/>
    <w:uiPriority w:val="99"/>
    <w:unhideWhenUsed/>
    <w:rsid w:val="000B031E"/>
    <w:pPr>
      <w:spacing w:after="160" w:line="240" w:lineRule="auto"/>
    </w:pPr>
    <w:rPr>
      <w:rFonts w:ascii="CMU Sans Serif" w:eastAsiaTheme="minorHAnsi" w:hAnsi="CMU Sans Serif" w:cstheme="minorBidi"/>
      <w:sz w:val="20"/>
      <w:szCs w:val="20"/>
      <w:lang w:val="en-GB" w:eastAsia="en-US"/>
    </w:rPr>
  </w:style>
  <w:style w:type="character" w:customStyle="1" w:styleId="CommentTextChar">
    <w:name w:val="Comment Text Char"/>
    <w:basedOn w:val="DefaultParagraphFont"/>
    <w:link w:val="CommentText"/>
    <w:uiPriority w:val="99"/>
    <w:rsid w:val="000B031E"/>
    <w:rPr>
      <w:rFonts w:ascii="CMU Sans Serif" w:eastAsiaTheme="minorHAnsi" w:hAnsi="CMU Sans Serif" w:cstheme="minorBidi"/>
      <w:sz w:val="20"/>
      <w:szCs w:val="20"/>
      <w:lang w:val="en-GB" w:eastAsia="en-US"/>
    </w:rPr>
  </w:style>
  <w:style w:type="paragraph" w:styleId="CommentSubject">
    <w:name w:val="annotation subject"/>
    <w:basedOn w:val="CommentText"/>
    <w:next w:val="CommentText"/>
    <w:link w:val="CommentSubjectChar"/>
    <w:uiPriority w:val="99"/>
    <w:semiHidden/>
    <w:unhideWhenUsed/>
    <w:rsid w:val="000B031E"/>
    <w:rPr>
      <w:b/>
      <w:bCs/>
    </w:rPr>
  </w:style>
  <w:style w:type="character" w:customStyle="1" w:styleId="CommentSubjectChar">
    <w:name w:val="Comment Subject Char"/>
    <w:basedOn w:val="CommentTextChar"/>
    <w:link w:val="CommentSubject"/>
    <w:uiPriority w:val="99"/>
    <w:semiHidden/>
    <w:rsid w:val="000B031E"/>
    <w:rPr>
      <w:rFonts w:ascii="CMU Sans Serif" w:eastAsiaTheme="minorHAnsi" w:hAnsi="CMU Sans Serif" w:cstheme="minorBidi"/>
      <w:b/>
      <w:bCs/>
      <w:sz w:val="20"/>
      <w:szCs w:val="20"/>
      <w:lang w:val="en-GB" w:eastAsia="en-US"/>
    </w:rPr>
  </w:style>
  <w:style w:type="character" w:styleId="UnresolvedMention">
    <w:name w:val="Unresolved Mention"/>
    <w:basedOn w:val="DefaultParagraphFont"/>
    <w:uiPriority w:val="99"/>
    <w:semiHidden/>
    <w:unhideWhenUsed/>
    <w:rsid w:val="000B031E"/>
    <w:rPr>
      <w:color w:val="605E5C"/>
      <w:shd w:val="clear" w:color="auto" w:fill="E1DFDD"/>
    </w:rPr>
  </w:style>
  <w:style w:type="paragraph" w:styleId="NormalWeb">
    <w:name w:val="Normal (Web)"/>
    <w:basedOn w:val="Normal"/>
    <w:uiPriority w:val="99"/>
    <w:unhideWhenUsed/>
    <w:rsid w:val="000B031E"/>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TitleChar">
    <w:name w:val="Title Char"/>
    <w:basedOn w:val="DefaultParagraphFont"/>
    <w:link w:val="Title"/>
    <w:uiPriority w:val="10"/>
    <w:rsid w:val="000B031E"/>
    <w:rPr>
      <w:sz w:val="52"/>
      <w:szCs w:val="52"/>
    </w:rPr>
  </w:style>
  <w:style w:type="table" w:styleId="TableGrid">
    <w:name w:val="Table Grid"/>
    <w:basedOn w:val="TableNormal"/>
    <w:uiPriority w:val="39"/>
    <w:rsid w:val="000B031E"/>
    <w:pPr>
      <w:spacing w:line="240" w:lineRule="auto"/>
    </w:pPr>
    <w:rPr>
      <w:rFonts w:asciiTheme="minorHAnsi" w:eastAsiaTheme="minorHAnsi"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B031E"/>
    <w:pPr>
      <w:spacing w:before="240" w:after="0" w:line="259" w:lineRule="auto"/>
      <w:ind w:left="432" w:hanging="432"/>
      <w:outlineLvl w:val="9"/>
    </w:pPr>
    <w:rPr>
      <w:rFonts w:asciiTheme="majorHAnsi" w:eastAsiaTheme="majorEastAsia" w:hAnsiTheme="majorHAnsi" w:cstheme="majorBidi"/>
      <w:b/>
      <w:sz w:val="32"/>
      <w:szCs w:val="32"/>
      <w:lang w:val="en-US" w:eastAsia="en-US"/>
    </w:rPr>
  </w:style>
  <w:style w:type="paragraph" w:styleId="TOC1">
    <w:name w:val="toc 1"/>
    <w:basedOn w:val="Normal"/>
    <w:next w:val="Normal"/>
    <w:autoRedefine/>
    <w:uiPriority w:val="39"/>
    <w:unhideWhenUsed/>
    <w:rsid w:val="000B031E"/>
    <w:pPr>
      <w:spacing w:after="100" w:line="259" w:lineRule="auto"/>
    </w:pPr>
    <w:rPr>
      <w:rFonts w:ascii="CMU Sans Serif" w:eastAsiaTheme="minorHAnsi" w:hAnsi="CMU Sans Serif" w:cstheme="minorBidi"/>
      <w:sz w:val="24"/>
      <w:lang w:val="en-GB" w:eastAsia="en-US"/>
    </w:rPr>
  </w:style>
  <w:style w:type="paragraph" w:styleId="TOC2">
    <w:name w:val="toc 2"/>
    <w:basedOn w:val="Normal"/>
    <w:next w:val="Normal"/>
    <w:autoRedefine/>
    <w:uiPriority w:val="39"/>
    <w:unhideWhenUsed/>
    <w:rsid w:val="000B031E"/>
    <w:pPr>
      <w:spacing w:after="100" w:line="259" w:lineRule="auto"/>
      <w:ind w:left="220"/>
    </w:pPr>
    <w:rPr>
      <w:rFonts w:ascii="CMU Sans Serif" w:eastAsiaTheme="minorHAnsi" w:hAnsi="CMU Sans Serif" w:cstheme="minorBidi"/>
      <w:sz w:val="24"/>
      <w:lang w:val="en-GB" w:eastAsia="en-US"/>
    </w:rPr>
  </w:style>
  <w:style w:type="paragraph" w:styleId="TOC3">
    <w:name w:val="toc 3"/>
    <w:basedOn w:val="Normal"/>
    <w:next w:val="Normal"/>
    <w:autoRedefine/>
    <w:uiPriority w:val="39"/>
    <w:unhideWhenUsed/>
    <w:rsid w:val="000B031E"/>
    <w:pPr>
      <w:spacing w:after="100" w:line="259" w:lineRule="auto"/>
      <w:ind w:left="440"/>
    </w:pPr>
    <w:rPr>
      <w:rFonts w:ascii="CMU Sans Serif" w:eastAsiaTheme="minorHAnsi" w:hAnsi="CMU Sans Serif" w:cstheme="minorBidi"/>
      <w:sz w:val="24"/>
      <w:lang w:val="en-GB" w:eastAsia="en-US"/>
    </w:rPr>
  </w:style>
  <w:style w:type="table" w:styleId="GridTable1Light">
    <w:name w:val="Grid Table 1 Light"/>
    <w:basedOn w:val="TableNormal"/>
    <w:uiPriority w:val="46"/>
    <w:rsid w:val="000B031E"/>
    <w:pPr>
      <w:spacing w:line="240" w:lineRule="auto"/>
    </w:pPr>
    <w:rPr>
      <w:rFonts w:asciiTheme="minorHAnsi" w:eastAsiaTheme="minorHAnsi" w:hAnsiTheme="minorHAnsi" w:cstheme="minorBidi"/>
      <w:lang w:val="en-GB"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0B031E"/>
    <w:pPr>
      <w:spacing w:after="200" w:line="240" w:lineRule="auto"/>
    </w:pPr>
    <w:rPr>
      <w:rFonts w:ascii="CMU Sans Serif" w:eastAsiaTheme="minorHAnsi" w:hAnsi="CMU Sans Serif" w:cstheme="minorBidi"/>
      <w:i/>
      <w:iCs/>
      <w:color w:val="1F497D" w:themeColor="text2"/>
      <w:sz w:val="18"/>
      <w:szCs w:val="18"/>
      <w:lang w:val="en-GB" w:eastAsia="en-US"/>
    </w:rPr>
  </w:style>
  <w:style w:type="table" w:styleId="PlainTable2">
    <w:name w:val="Plain Table 2"/>
    <w:basedOn w:val="TableNormal"/>
    <w:uiPriority w:val="42"/>
    <w:rsid w:val="000B031E"/>
    <w:pPr>
      <w:spacing w:line="240" w:lineRule="auto"/>
    </w:pPr>
    <w:rPr>
      <w:rFonts w:asciiTheme="minorHAnsi" w:eastAsiaTheme="minorHAnsi" w:hAnsiTheme="minorHAnsi" w:cstheme="minorBidi"/>
      <w:lang w:val="en-GB"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01">
    <w:name w:val="fontstyle01"/>
    <w:basedOn w:val="DefaultParagraphFont"/>
    <w:rsid w:val="000B031E"/>
    <w:rPr>
      <w:rFonts w:ascii="WfymmlAdvTT3713a231" w:hAnsi="WfymmlAdvTT3713a231" w:hint="default"/>
      <w:b w:val="0"/>
      <w:bCs w:val="0"/>
      <w:i w:val="0"/>
      <w:iCs w:val="0"/>
      <w:color w:val="131413"/>
      <w:sz w:val="20"/>
      <w:szCs w:val="20"/>
    </w:rPr>
  </w:style>
  <w:style w:type="paragraph" w:styleId="Header">
    <w:name w:val="header"/>
    <w:basedOn w:val="Normal"/>
    <w:link w:val="HeaderChar"/>
    <w:uiPriority w:val="99"/>
    <w:unhideWhenUsed/>
    <w:rsid w:val="000B031E"/>
    <w:pPr>
      <w:tabs>
        <w:tab w:val="center" w:pos="4513"/>
        <w:tab w:val="right" w:pos="9026"/>
      </w:tabs>
      <w:spacing w:line="240" w:lineRule="auto"/>
    </w:pPr>
    <w:rPr>
      <w:rFonts w:ascii="CMU Sans Serif" w:eastAsiaTheme="minorHAnsi" w:hAnsi="CMU Sans Serif" w:cstheme="minorBidi"/>
      <w:sz w:val="24"/>
      <w:lang w:val="en-GB" w:eastAsia="en-US"/>
    </w:rPr>
  </w:style>
  <w:style w:type="character" w:customStyle="1" w:styleId="HeaderChar">
    <w:name w:val="Header Char"/>
    <w:basedOn w:val="DefaultParagraphFont"/>
    <w:link w:val="Header"/>
    <w:uiPriority w:val="99"/>
    <w:rsid w:val="000B031E"/>
    <w:rPr>
      <w:rFonts w:ascii="CMU Sans Serif" w:eastAsiaTheme="minorHAnsi" w:hAnsi="CMU Sans Serif" w:cstheme="minorBidi"/>
      <w:sz w:val="24"/>
      <w:lang w:val="en-GB" w:eastAsia="en-US"/>
    </w:rPr>
  </w:style>
  <w:style w:type="paragraph" w:styleId="Footer">
    <w:name w:val="footer"/>
    <w:basedOn w:val="Normal"/>
    <w:link w:val="FooterChar"/>
    <w:uiPriority w:val="99"/>
    <w:unhideWhenUsed/>
    <w:rsid w:val="000B031E"/>
    <w:pPr>
      <w:tabs>
        <w:tab w:val="center" w:pos="4513"/>
        <w:tab w:val="right" w:pos="9026"/>
      </w:tabs>
      <w:spacing w:line="240" w:lineRule="auto"/>
    </w:pPr>
    <w:rPr>
      <w:rFonts w:ascii="CMU Sans Serif" w:eastAsiaTheme="minorHAnsi" w:hAnsi="CMU Sans Serif" w:cstheme="minorBidi"/>
      <w:sz w:val="24"/>
      <w:lang w:val="en-GB" w:eastAsia="en-US"/>
    </w:rPr>
  </w:style>
  <w:style w:type="character" w:customStyle="1" w:styleId="FooterChar">
    <w:name w:val="Footer Char"/>
    <w:basedOn w:val="DefaultParagraphFont"/>
    <w:link w:val="Footer"/>
    <w:uiPriority w:val="99"/>
    <w:rsid w:val="000B031E"/>
    <w:rPr>
      <w:rFonts w:ascii="CMU Sans Serif" w:eastAsiaTheme="minorHAnsi" w:hAnsi="CMU Sans Serif" w:cstheme="minorBidi"/>
      <w:sz w:val="24"/>
      <w:lang w:val="en-GB" w:eastAsia="en-US"/>
    </w:rPr>
  </w:style>
  <w:style w:type="paragraph" w:styleId="NoSpacing">
    <w:name w:val="No Spacing"/>
    <w:uiPriority w:val="1"/>
    <w:qFormat/>
    <w:rsid w:val="00B6661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126670">
      <w:bodyDiv w:val="1"/>
      <w:marLeft w:val="0"/>
      <w:marRight w:val="0"/>
      <w:marTop w:val="0"/>
      <w:marBottom w:val="0"/>
      <w:divBdr>
        <w:top w:val="none" w:sz="0" w:space="0" w:color="auto"/>
        <w:left w:val="none" w:sz="0" w:space="0" w:color="auto"/>
        <w:bottom w:val="none" w:sz="0" w:space="0" w:color="auto"/>
        <w:right w:val="none" w:sz="0" w:space="0" w:color="auto"/>
      </w:divBdr>
    </w:div>
    <w:div w:id="8649066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7443</TotalTime>
  <Pages>20</Pages>
  <Words>9208</Words>
  <Characters>52487</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Atulit Dasaratha</dc:creator>
  <cp:keywords/>
  <dc:description/>
  <cp:lastModifiedBy>Dasaratha, Atulit S</cp:lastModifiedBy>
  <cp:revision>3</cp:revision>
  <dcterms:created xsi:type="dcterms:W3CDTF">2023-10-01T19:50:00Z</dcterms:created>
  <dcterms:modified xsi:type="dcterms:W3CDTF">2024-02-10T11:15:00Z</dcterms:modified>
</cp:coreProperties>
</file>